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27, 2025</w:t>
      </w:r>
    </w:p>
    <w:p>
      <w:pPr>
        <w:spacing w:after="0" w:line="22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71342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52070</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173355</wp:posOffset>
            </wp:positionV>
            <wp:extent cx="17792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S-8</w:t>
      </w: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 UNDER THE SECURITIES ACT OF 1933</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Amber International Holding Limited</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172720</wp:posOffset>
            </wp:positionV>
            <wp:extent cx="17792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1660" w:type="dxa"/>
        <w:tblCellMar>
          <w:top w:w="0" w:type="dxa"/>
          <w:left w:w="0" w:type="dxa"/>
          <w:bottom w:w="0" w:type="dxa"/>
          <w:right w:w="0" w:type="dxa"/>
        </w:tblCellMar>
      </w:tblPr>
      <w:tr>
        <w:trPr>
          <w:trHeight w:val="215"/>
        </w:trPr>
        <w:tc>
          <w:tcPr>
            <w:tcW w:w="4100" w:type="dxa"/>
            <w:vAlign w:val="bottom"/>
          </w:tcPr>
          <w:p>
            <w:pPr>
              <w:jc w:val="center"/>
              <w:ind w:right="1811"/>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3560" w:type="dxa"/>
            <w:vAlign w:val="bottom"/>
          </w:tcPr>
          <w:p>
            <w:pPr>
              <w:jc w:val="center"/>
              <w:ind w:left="1811"/>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13"/>
        </w:trPr>
        <w:tc>
          <w:tcPr>
            <w:tcW w:w="4100" w:type="dxa"/>
            <w:vAlign w:val="bottom"/>
          </w:tcPr>
          <w:p>
            <w:pPr>
              <w:jc w:val="center"/>
              <w:ind w:right="1811"/>
              <w:spacing w:after="0"/>
              <w:rPr>
                <w:sz w:val="20"/>
                <w:szCs w:val="20"/>
                <w:color w:val="auto"/>
              </w:rPr>
            </w:pPr>
            <w:r>
              <w:rPr>
                <w:rFonts w:ascii="Times New Roman" w:cs="Times New Roman" w:eastAsia="Times New Roman" w:hAnsi="Times New Roman"/>
                <w:sz w:val="18"/>
                <w:szCs w:val="18"/>
                <w:i w:val="1"/>
                <w:iCs w:val="1"/>
                <w:color w:val="auto"/>
                <w:w w:val="98"/>
              </w:rPr>
              <w:t>(State or other jurisdiction of</w:t>
            </w:r>
          </w:p>
        </w:tc>
        <w:tc>
          <w:tcPr>
            <w:tcW w:w="3560" w:type="dxa"/>
            <w:vAlign w:val="bottom"/>
          </w:tcPr>
          <w:p>
            <w:pPr>
              <w:jc w:val="center"/>
              <w:ind w:left="1811"/>
              <w:spacing w:after="0"/>
              <w:rPr>
                <w:sz w:val="20"/>
                <w:szCs w:val="20"/>
                <w:color w:val="auto"/>
              </w:rPr>
            </w:pPr>
            <w:r>
              <w:rPr>
                <w:rFonts w:ascii="Times New Roman" w:cs="Times New Roman" w:eastAsia="Times New Roman" w:hAnsi="Times New Roman"/>
                <w:sz w:val="18"/>
                <w:szCs w:val="18"/>
                <w:i w:val="1"/>
                <w:iCs w:val="1"/>
                <w:color w:val="auto"/>
                <w:w w:val="98"/>
              </w:rPr>
              <w:t>(I.R.S. Employer</w:t>
            </w:r>
          </w:p>
        </w:tc>
      </w:tr>
      <w:tr>
        <w:trPr>
          <w:trHeight w:val="234"/>
        </w:trPr>
        <w:tc>
          <w:tcPr>
            <w:tcW w:w="4100" w:type="dxa"/>
            <w:vAlign w:val="bottom"/>
          </w:tcPr>
          <w:p>
            <w:pPr>
              <w:jc w:val="center"/>
              <w:ind w:right="1811"/>
              <w:spacing w:after="0"/>
              <w:rPr>
                <w:sz w:val="20"/>
                <w:szCs w:val="20"/>
                <w:color w:val="auto"/>
              </w:rPr>
            </w:pPr>
            <w:r>
              <w:rPr>
                <w:rFonts w:ascii="Times New Roman" w:cs="Times New Roman" w:eastAsia="Times New Roman" w:hAnsi="Times New Roman"/>
                <w:sz w:val="18"/>
                <w:szCs w:val="18"/>
                <w:i w:val="1"/>
                <w:iCs w:val="1"/>
                <w:color w:val="auto"/>
                <w:w w:val="98"/>
              </w:rPr>
              <w:t>incorporation or organization)</w:t>
            </w:r>
          </w:p>
        </w:tc>
        <w:tc>
          <w:tcPr>
            <w:tcW w:w="3560" w:type="dxa"/>
            <w:vAlign w:val="bottom"/>
          </w:tcPr>
          <w:p>
            <w:pPr>
              <w:jc w:val="center"/>
              <w:ind w:left="1831"/>
              <w:spacing w:after="0"/>
              <w:rPr>
                <w:sz w:val="20"/>
                <w:szCs w:val="20"/>
                <w:color w:val="auto"/>
              </w:rPr>
            </w:pPr>
            <w:r>
              <w:rPr>
                <w:rFonts w:ascii="Times New Roman" w:cs="Times New Roman" w:eastAsia="Times New Roman" w:hAnsi="Times New Roman"/>
                <w:sz w:val="18"/>
                <w:szCs w:val="18"/>
                <w:i w:val="1"/>
                <w:iCs w:val="1"/>
                <w:color w:val="auto"/>
                <w:w w:val="99"/>
              </w:rPr>
              <w:t>Identification Number)</w:t>
            </w:r>
          </w:p>
        </w:tc>
      </w:tr>
    </w:tbl>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Wallich Street,</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#30-02 Guoco Tower,</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Singapore 078881</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+65 60220228</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173355</wp:posOffset>
            </wp:positionV>
            <wp:extent cx="17792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2025 Post-IPO Share Incentive Plan</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172720</wp:posOffset>
            </wp:positionV>
            <wp:extent cx="17792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122 East 42nd Street, 18th Floor</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10168</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 of America</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800 221-0102</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173355</wp:posOffset>
            </wp:positionV>
            <wp:extent cx="17792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100"/>
        <w:spacing w:after="0" w:line="27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22" w:lineRule="exact"/>
        <w:rPr>
          <w:sz w:val="24"/>
          <w:szCs w:val="24"/>
          <w:color w:val="auto"/>
        </w:rPr>
      </w:pPr>
    </w:p>
    <w:tbl>
      <w:tblPr>
        <w:tblLayout w:type="fixed"/>
        <w:tblInd w:w="0" w:type="dxa"/>
        <w:tblCellMar>
          <w:top w:w="0" w:type="dxa"/>
          <w:left w:w="0" w:type="dxa"/>
          <w:bottom w:w="0" w:type="dxa"/>
          <w:right w:w="0" w:type="dxa"/>
        </w:tblCellMar>
      </w:tblPr>
      <w:tr>
        <w:trPr>
          <w:trHeight w:val="219"/>
        </w:trPr>
        <w:tc>
          <w:tcPr>
            <w:tcW w:w="282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tc>
        <w:tc>
          <w:tcPr>
            <w:tcW w:w="3940" w:type="dxa"/>
            <w:vAlign w:val="bottom"/>
          </w:tcPr>
          <w:p>
            <w:pPr>
              <w:ind w:left="102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tc>
        <w:tc>
          <w:tcPr>
            <w:tcW w:w="2940" w:type="dxa"/>
            <w:vAlign w:val="bottom"/>
            <w:vMerge w:val="restart"/>
          </w:tcPr>
          <w:p>
            <w:pPr>
              <w:ind w:left="780"/>
              <w:spacing w:after="0" w:line="207" w:lineRule="exact"/>
              <w:rPr>
                <w:sz w:val="20"/>
                <w:szCs w:val="20"/>
                <w:color w:val="auto"/>
              </w:rPr>
            </w:pPr>
            <w:r>
              <w:rPr>
                <w:rFonts w:ascii="Times New Roman" w:cs="Times New Roman" w:eastAsia="Times New Roman" w:hAnsi="Times New Roman"/>
                <w:sz w:val="18"/>
                <w:szCs w:val="18"/>
                <w:color w:val="auto"/>
                <w:w w:val="97"/>
              </w:rPr>
              <w:t xml:space="preserve">Emerging growth company </w:t>
            </w:r>
            <w:r>
              <w:rPr>
                <w:rFonts w:ascii="MS PGothic" w:cs="MS PGothic" w:eastAsia="MS PGothic" w:hAnsi="MS PGothic"/>
                <w:sz w:val="18"/>
                <w:szCs w:val="18"/>
                <w:color w:val="auto"/>
                <w:w w:val="97"/>
              </w:rPr>
              <w:t>☐</w:t>
            </w:r>
          </w:p>
        </w:tc>
        <w:tc>
          <w:tcPr>
            <w:tcW w:w="0" w:type="dxa"/>
            <w:vAlign w:val="bottom"/>
          </w:tcPr>
          <w:p>
            <w:pPr>
              <w:spacing w:after="0"/>
              <w:rPr>
                <w:sz w:val="1"/>
                <w:szCs w:val="1"/>
                <w:color w:val="auto"/>
              </w:rPr>
            </w:pPr>
          </w:p>
        </w:tc>
      </w:tr>
      <w:tr>
        <w:trPr>
          <w:trHeight w:val="301"/>
        </w:trPr>
        <w:tc>
          <w:tcPr>
            <w:tcW w:w="282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tc>
        <w:tc>
          <w:tcPr>
            <w:tcW w:w="3940" w:type="dxa"/>
            <w:vAlign w:val="bottom"/>
          </w:tcPr>
          <w:p>
            <w:pPr>
              <w:ind w:left="1020"/>
              <w:spacing w:after="0" w:line="207"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MS PGothic" w:cs="MS PGothic" w:eastAsia="MS PGothic" w:hAnsi="MS PGothic"/>
                <w:sz w:val="18"/>
                <w:szCs w:val="18"/>
                <w:color w:val="auto"/>
              </w:rPr>
              <w:t>☐</w:t>
            </w:r>
          </w:p>
        </w:tc>
        <w:tc>
          <w:tcPr>
            <w:tcW w:w="2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4"/>
          <w:szCs w:val="24"/>
          <w:color w:val="auto"/>
        </w:rPr>
      </w:pPr>
    </w:p>
    <w:p>
      <w:pPr>
        <w:ind w:right="100"/>
        <w:spacing w:after="0" w:line="237"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6480" w:type="dxa"/>
            <w:vAlign w:val="bottom"/>
          </w:tcPr>
          <w:p>
            <w:pPr>
              <w:ind w:left="500"/>
              <w:spacing w:after="0"/>
              <w:rPr>
                <w:sz w:val="20"/>
                <w:szCs w:val="20"/>
                <w:color w:val="auto"/>
              </w:rPr>
            </w:pPr>
            <w:r>
              <w:rPr>
                <w:rFonts w:ascii="Times New Roman" w:cs="Times New Roman" w:eastAsia="Times New Roman" w:hAnsi="Times New Roman"/>
                <w:sz w:val="18"/>
                <w:szCs w:val="18"/>
                <w:i w:val="1"/>
                <w:iCs w:val="1"/>
                <w:color w:val="auto"/>
              </w:rPr>
              <w:t>Copies to:</w:t>
            </w:r>
          </w:p>
        </w:tc>
      </w:tr>
      <w:tr>
        <w:trPr>
          <w:trHeight w:val="404"/>
        </w:trPr>
        <w:tc>
          <w:tcPr>
            <w:tcW w:w="4760" w:type="dxa"/>
            <w:vAlign w:val="bottom"/>
          </w:tcPr>
          <w:p>
            <w:pPr>
              <w:jc w:val="center"/>
              <w:ind w:left="791"/>
              <w:spacing w:after="0"/>
              <w:rPr>
                <w:sz w:val="20"/>
                <w:szCs w:val="20"/>
                <w:color w:val="auto"/>
              </w:rPr>
            </w:pPr>
            <w:r>
              <w:rPr>
                <w:rFonts w:ascii="Times New Roman" w:cs="Times New Roman" w:eastAsia="Times New Roman" w:hAnsi="Times New Roman"/>
                <w:sz w:val="18"/>
                <w:szCs w:val="18"/>
                <w:b w:val="1"/>
                <w:bCs w:val="1"/>
                <w:color w:val="auto"/>
                <w:w w:val="99"/>
              </w:rPr>
              <w:t>Josephine Ngai</w:t>
            </w:r>
          </w:p>
        </w:tc>
        <w:tc>
          <w:tcPr>
            <w:tcW w:w="6480" w:type="dxa"/>
            <w:vAlign w:val="bottom"/>
          </w:tcPr>
          <w:p>
            <w:pPr>
              <w:jc w:val="center"/>
              <w:ind w:left="772"/>
              <w:spacing w:after="0"/>
              <w:rPr>
                <w:sz w:val="20"/>
                <w:szCs w:val="20"/>
                <w:color w:val="auto"/>
              </w:rPr>
            </w:pPr>
            <w:r>
              <w:rPr>
                <w:rFonts w:ascii="Times New Roman" w:cs="Times New Roman" w:eastAsia="Times New Roman" w:hAnsi="Times New Roman"/>
                <w:sz w:val="18"/>
                <w:szCs w:val="18"/>
                <w:b w:val="1"/>
                <w:bCs w:val="1"/>
                <w:color w:val="auto"/>
                <w:w w:val="97"/>
              </w:rPr>
              <w:t>Shuang Zhao, Esq.</w:t>
            </w:r>
          </w:p>
        </w:tc>
      </w:tr>
      <w:tr>
        <w:trPr>
          <w:trHeight w:val="213"/>
        </w:trPr>
        <w:tc>
          <w:tcPr>
            <w:tcW w:w="4760" w:type="dxa"/>
            <w:vAlign w:val="bottom"/>
          </w:tcPr>
          <w:p>
            <w:pPr>
              <w:jc w:val="center"/>
              <w:ind w:left="791"/>
              <w:spacing w:after="0"/>
              <w:rPr>
                <w:sz w:val="20"/>
                <w:szCs w:val="20"/>
                <w:color w:val="auto"/>
              </w:rPr>
            </w:pPr>
            <w:r>
              <w:rPr>
                <w:rFonts w:ascii="Times New Roman" w:cs="Times New Roman" w:eastAsia="Times New Roman" w:hAnsi="Times New Roman"/>
                <w:sz w:val="18"/>
                <w:szCs w:val="18"/>
                <w:b w:val="1"/>
                <w:bCs w:val="1"/>
                <w:color w:val="auto"/>
                <w:w w:val="98"/>
              </w:rPr>
              <w:t>Chief Financial Officer</w:t>
            </w:r>
          </w:p>
        </w:tc>
        <w:tc>
          <w:tcPr>
            <w:tcW w:w="6480" w:type="dxa"/>
            <w:vAlign w:val="bottom"/>
          </w:tcPr>
          <w:p>
            <w:pPr>
              <w:jc w:val="center"/>
              <w:ind w:left="772"/>
              <w:spacing w:after="0"/>
              <w:rPr>
                <w:sz w:val="20"/>
                <w:szCs w:val="20"/>
                <w:color w:val="auto"/>
              </w:rPr>
            </w:pPr>
            <w:r>
              <w:rPr>
                <w:rFonts w:ascii="Times New Roman" w:cs="Times New Roman" w:eastAsia="Times New Roman" w:hAnsi="Times New Roman"/>
                <w:sz w:val="18"/>
                <w:szCs w:val="18"/>
                <w:b w:val="1"/>
                <w:bCs w:val="1"/>
                <w:color w:val="auto"/>
                <w:w w:val="98"/>
              </w:rPr>
              <w:t>Cleary Gottlieb Steen &amp; Hamilton LLP</w:t>
            </w:r>
          </w:p>
        </w:tc>
      </w:tr>
      <w:tr>
        <w:trPr>
          <w:trHeight w:val="222"/>
        </w:trPr>
        <w:tc>
          <w:tcPr>
            <w:tcW w:w="4760" w:type="dxa"/>
            <w:vAlign w:val="bottom"/>
          </w:tcPr>
          <w:p>
            <w:pPr>
              <w:jc w:val="center"/>
              <w:ind w:left="791"/>
              <w:spacing w:after="0"/>
              <w:rPr>
                <w:sz w:val="20"/>
                <w:szCs w:val="20"/>
                <w:color w:val="auto"/>
              </w:rPr>
            </w:pPr>
            <w:r>
              <w:rPr>
                <w:rFonts w:ascii="Times New Roman" w:cs="Times New Roman" w:eastAsia="Times New Roman" w:hAnsi="Times New Roman"/>
                <w:sz w:val="18"/>
                <w:szCs w:val="18"/>
                <w:b w:val="1"/>
                <w:bCs w:val="1"/>
                <w:color w:val="auto"/>
                <w:w w:val="98"/>
              </w:rPr>
              <w:t>Amber International Holding Limited</w:t>
            </w:r>
          </w:p>
        </w:tc>
        <w:tc>
          <w:tcPr>
            <w:tcW w:w="6480" w:type="dxa"/>
            <w:vAlign w:val="bottom"/>
          </w:tcPr>
          <w:p>
            <w:pPr>
              <w:jc w:val="center"/>
              <w:ind w:left="792"/>
              <w:spacing w:after="0" w:line="222" w:lineRule="exact"/>
              <w:rPr>
                <w:sz w:val="20"/>
                <w:szCs w:val="20"/>
                <w:color w:val="auto"/>
              </w:rPr>
            </w:pPr>
            <w:r>
              <w:rPr>
                <w:rFonts w:ascii="Times New Roman" w:cs="Times New Roman" w:eastAsia="Times New Roman" w:hAnsi="Times New Roman"/>
                <w:sz w:val="16"/>
                <w:szCs w:val="16"/>
                <w:b w:val="1"/>
                <w:bCs w:val="1"/>
                <w:color w:val="auto"/>
              </w:rPr>
              <w:t>c/o 37</w:t>
            </w:r>
            <w:r>
              <w:rPr>
                <w:rFonts w:ascii="Times New Roman" w:cs="Times New Roman" w:eastAsia="Times New Roman" w:hAnsi="Times New Roman"/>
                <w:sz w:val="25"/>
                <w:szCs w:val="25"/>
                <w:b w:val="1"/>
                <w:bCs w:val="1"/>
                <w:color w:val="auto"/>
                <w:vertAlign w:val="superscript"/>
              </w:rPr>
              <w:t>th</w:t>
            </w:r>
            <w:r>
              <w:rPr>
                <w:rFonts w:ascii="Times New Roman" w:cs="Times New Roman" w:eastAsia="Times New Roman" w:hAnsi="Times New Roman"/>
                <w:sz w:val="16"/>
                <w:szCs w:val="16"/>
                <w:b w:val="1"/>
                <w:bCs w:val="1"/>
                <w:color w:val="auto"/>
              </w:rPr>
              <w:t xml:space="preserve"> Floor, Hysan Place</w:t>
            </w:r>
          </w:p>
        </w:tc>
      </w:tr>
      <w:tr>
        <w:trPr>
          <w:trHeight w:val="213"/>
        </w:trPr>
        <w:tc>
          <w:tcPr>
            <w:tcW w:w="4760" w:type="dxa"/>
            <w:vAlign w:val="bottom"/>
          </w:tcPr>
          <w:p>
            <w:pPr>
              <w:jc w:val="center"/>
              <w:ind w:left="771"/>
              <w:spacing w:after="0"/>
              <w:rPr>
                <w:sz w:val="20"/>
                <w:szCs w:val="20"/>
                <w:color w:val="auto"/>
              </w:rPr>
            </w:pPr>
            <w:r>
              <w:rPr>
                <w:rFonts w:ascii="Times New Roman" w:cs="Times New Roman" w:eastAsia="Times New Roman" w:hAnsi="Times New Roman"/>
                <w:sz w:val="18"/>
                <w:szCs w:val="18"/>
                <w:b w:val="1"/>
                <w:bCs w:val="1"/>
                <w:color w:val="auto"/>
                <w:w w:val="98"/>
              </w:rPr>
              <w:t>1 Wallich Street,</w:t>
            </w:r>
          </w:p>
        </w:tc>
        <w:tc>
          <w:tcPr>
            <w:tcW w:w="6480" w:type="dxa"/>
            <w:vAlign w:val="bottom"/>
          </w:tcPr>
          <w:p>
            <w:pPr>
              <w:jc w:val="center"/>
              <w:ind w:left="792"/>
              <w:spacing w:after="0"/>
              <w:rPr>
                <w:sz w:val="20"/>
                <w:szCs w:val="20"/>
                <w:color w:val="auto"/>
              </w:rPr>
            </w:pPr>
            <w:r>
              <w:rPr>
                <w:rFonts w:ascii="Times New Roman" w:cs="Times New Roman" w:eastAsia="Times New Roman" w:hAnsi="Times New Roman"/>
                <w:sz w:val="18"/>
                <w:szCs w:val="18"/>
                <w:b w:val="1"/>
                <w:bCs w:val="1"/>
                <w:color w:val="auto"/>
                <w:w w:val="98"/>
              </w:rPr>
              <w:t>500 Hennessy Road</w:t>
            </w:r>
          </w:p>
        </w:tc>
      </w:tr>
      <w:tr>
        <w:trPr>
          <w:trHeight w:val="213"/>
        </w:trPr>
        <w:tc>
          <w:tcPr>
            <w:tcW w:w="4760" w:type="dxa"/>
            <w:vAlign w:val="bottom"/>
          </w:tcPr>
          <w:p>
            <w:pPr>
              <w:jc w:val="center"/>
              <w:ind w:left="791"/>
              <w:spacing w:after="0"/>
              <w:rPr>
                <w:sz w:val="20"/>
                <w:szCs w:val="20"/>
                <w:color w:val="auto"/>
              </w:rPr>
            </w:pPr>
            <w:r>
              <w:rPr>
                <w:rFonts w:ascii="Times New Roman" w:cs="Times New Roman" w:eastAsia="Times New Roman" w:hAnsi="Times New Roman"/>
                <w:sz w:val="18"/>
                <w:szCs w:val="18"/>
                <w:b w:val="1"/>
                <w:bCs w:val="1"/>
                <w:color w:val="auto"/>
                <w:w w:val="97"/>
              </w:rPr>
              <w:t>#30-02 Guoco Tower,</w:t>
            </w:r>
          </w:p>
        </w:tc>
        <w:tc>
          <w:tcPr>
            <w:tcW w:w="6480" w:type="dxa"/>
            <w:vAlign w:val="bottom"/>
          </w:tcPr>
          <w:p>
            <w:pPr>
              <w:jc w:val="center"/>
              <w:ind w:left="772"/>
              <w:spacing w:after="0"/>
              <w:rPr>
                <w:sz w:val="20"/>
                <w:szCs w:val="20"/>
                <w:color w:val="auto"/>
              </w:rPr>
            </w:pPr>
            <w:r>
              <w:rPr>
                <w:rFonts w:ascii="Times New Roman" w:cs="Times New Roman" w:eastAsia="Times New Roman" w:hAnsi="Times New Roman"/>
                <w:sz w:val="18"/>
                <w:szCs w:val="18"/>
                <w:b w:val="1"/>
                <w:bCs w:val="1"/>
                <w:color w:val="auto"/>
                <w:w w:val="98"/>
              </w:rPr>
              <w:t>Causeway Bay, Hong Kong</w:t>
            </w:r>
          </w:p>
        </w:tc>
      </w:tr>
      <w:tr>
        <w:trPr>
          <w:trHeight w:val="213"/>
        </w:trPr>
        <w:tc>
          <w:tcPr>
            <w:tcW w:w="4760" w:type="dxa"/>
            <w:vAlign w:val="bottom"/>
          </w:tcPr>
          <w:p>
            <w:pPr>
              <w:jc w:val="center"/>
              <w:ind w:left="771"/>
              <w:spacing w:after="0"/>
              <w:rPr>
                <w:sz w:val="20"/>
                <w:szCs w:val="20"/>
                <w:color w:val="auto"/>
              </w:rPr>
            </w:pPr>
            <w:r>
              <w:rPr>
                <w:rFonts w:ascii="Times New Roman" w:cs="Times New Roman" w:eastAsia="Times New Roman" w:hAnsi="Times New Roman"/>
                <w:sz w:val="18"/>
                <w:szCs w:val="18"/>
                <w:b w:val="1"/>
                <w:bCs w:val="1"/>
                <w:color w:val="auto"/>
                <w:w w:val="98"/>
              </w:rPr>
              <w:t>Singapore 078881</w:t>
            </w:r>
          </w:p>
        </w:tc>
        <w:tc>
          <w:tcPr>
            <w:tcW w:w="6480" w:type="dxa"/>
            <w:vAlign w:val="bottom"/>
          </w:tcPr>
          <w:p>
            <w:pPr>
              <w:jc w:val="center"/>
              <w:ind w:left="772"/>
              <w:spacing w:after="0"/>
              <w:rPr>
                <w:sz w:val="20"/>
                <w:szCs w:val="20"/>
                <w:color w:val="auto"/>
              </w:rPr>
            </w:pPr>
            <w:r>
              <w:rPr>
                <w:rFonts w:ascii="Times New Roman" w:cs="Times New Roman" w:eastAsia="Times New Roman" w:hAnsi="Times New Roman"/>
                <w:sz w:val="18"/>
                <w:szCs w:val="18"/>
                <w:b w:val="1"/>
                <w:bCs w:val="1"/>
                <w:color w:val="auto"/>
                <w:w w:val="99"/>
              </w:rPr>
              <w:t>+852 2521 4122</w:t>
            </w:r>
          </w:p>
        </w:tc>
      </w:tr>
      <w:tr>
        <w:trPr>
          <w:trHeight w:val="236"/>
        </w:trPr>
        <w:tc>
          <w:tcPr>
            <w:tcW w:w="4760" w:type="dxa"/>
            <w:vAlign w:val="bottom"/>
          </w:tcPr>
          <w:p>
            <w:pPr>
              <w:jc w:val="center"/>
              <w:ind w:left="791"/>
              <w:spacing w:after="0"/>
              <w:rPr>
                <w:sz w:val="20"/>
                <w:szCs w:val="20"/>
                <w:color w:val="auto"/>
              </w:rPr>
            </w:pPr>
            <w:r>
              <w:rPr>
                <w:rFonts w:ascii="Times New Roman" w:cs="Times New Roman" w:eastAsia="Times New Roman" w:hAnsi="Times New Roman"/>
                <w:sz w:val="18"/>
                <w:szCs w:val="18"/>
                <w:b w:val="1"/>
                <w:bCs w:val="1"/>
                <w:color w:val="auto"/>
                <w:w w:val="99"/>
              </w:rPr>
              <w:t>+65 60220228</w:t>
            </w:r>
          </w:p>
        </w:tc>
        <w:tc>
          <w:tcPr>
            <w:tcW w:w="6480" w:type="dxa"/>
            <w:vAlign w:val="bottom"/>
          </w:tcPr>
          <w:p>
            <w:pPr>
              <w:spacing w:after="0"/>
              <w:rPr>
                <w:sz w:val="20"/>
                <w:szCs w:val="20"/>
                <w:color w:val="auto"/>
              </w:rPr>
            </w:pPr>
          </w:p>
        </w:tc>
      </w:tr>
      <w:tr>
        <w:trPr>
          <w:trHeight w:val="204"/>
        </w:trPr>
        <w:tc>
          <w:tcPr>
            <w:tcW w:w="4760" w:type="dxa"/>
            <w:vAlign w:val="bottom"/>
            <w:tcBorders>
              <w:bottom w:val="single" w:sz="8" w:color="auto"/>
            </w:tcBorders>
          </w:tcPr>
          <w:p>
            <w:pPr>
              <w:spacing w:after="0"/>
              <w:rPr>
                <w:sz w:val="17"/>
                <w:szCs w:val="17"/>
                <w:color w:val="auto"/>
              </w:rPr>
            </w:pPr>
          </w:p>
        </w:tc>
        <w:tc>
          <w:tcPr>
            <w:tcW w:w="6480" w:type="dxa"/>
            <w:vAlign w:val="bottom"/>
            <w:tcBorders>
              <w:bottom w:val="single" w:sz="8" w:color="auto"/>
            </w:tcBorders>
          </w:tcPr>
          <w:p>
            <w:pPr>
              <w:spacing w:after="0"/>
              <w:rPr>
                <w:sz w:val="17"/>
                <w:szCs w:val="17"/>
                <w:color w:val="auto"/>
              </w:rPr>
            </w:pPr>
          </w:p>
        </w:tc>
      </w:tr>
      <w:tr>
        <w:trPr>
          <w:trHeight w:val="27"/>
        </w:trPr>
        <w:tc>
          <w:tcPr>
            <w:tcW w:w="4760" w:type="dxa"/>
            <w:vAlign w:val="bottom"/>
            <w:tcBorders>
              <w:bottom w:val="single" w:sz="8" w:color="auto"/>
            </w:tcBorders>
          </w:tcPr>
          <w:p>
            <w:pPr>
              <w:spacing w:after="0"/>
              <w:rPr>
                <w:sz w:val="2"/>
                <w:szCs w:val="2"/>
                <w:color w:val="auto"/>
              </w:rPr>
            </w:pPr>
          </w:p>
        </w:tc>
        <w:tc>
          <w:tcPr>
            <w:tcW w:w="6480" w:type="dxa"/>
            <w:vAlign w:val="bottom"/>
            <w:tcBorders>
              <w:bottom w:val="single" w:sz="8" w:color="auto"/>
            </w:tcBorders>
          </w:tcPr>
          <w:p>
            <w:pPr>
              <w:spacing w:after="0"/>
              <w:rPr>
                <w:sz w:val="2"/>
                <w:szCs w:val="2"/>
                <w:color w:val="auto"/>
              </w:rPr>
            </w:pPr>
          </w:p>
        </w:tc>
      </w:tr>
      <w:tr>
        <w:trPr>
          <w:trHeight w:val="427"/>
        </w:trPr>
        <w:tc>
          <w:tcPr>
            <w:tcW w:w="476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64"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This registration statement on Form S-8 is filed pursuant to General Instruction E to Form S-8 for the purposes of registering an aggregate of 7,100,000 Class A ordinary shares of Amber International Holding Limited (the “Registrant”) that have been added to the award pool of the Post-IPO Share Incentive Plan. These 7,100,000 Class A ordinary shares are additional securities of the same class as other securities of the Company for which the S-8 Registration Statement was filed with the Commission on June 12, 2018 (file number: 333-225568) (the “Original S-8 Registration Statement”), and were not previously registered under the Original S-8 Registration Statement, the S-8 Registration Statement filed with the Commission on October 9, 2018 (file number: 333-227747), or the S-8 Registration Statement filed with the Commission on February 26, 2021 (file number: 333-253596) (the “Prior Registration Statements”).</w:t>
      </w:r>
    </w:p>
    <w:p>
      <w:pPr>
        <w:spacing w:after="0" w:line="17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Previously, an aggregate of 6,491,335 Class A ordinary shares of the Registrant were registered for issuance under the 2018 Share Incentive and the Post-IPO Share Incentive Plan pursuant to the Prior Registration Statements. In accordance with General Instruction E to Form S-8, the contents of the Prior Registration Statements are incorporated herein by reference, except as otherwise set forth herein.</w:t>
      </w:r>
    </w:p>
    <w:p>
      <w:pPr>
        <w:spacing w:after="0" w:line="176"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On December 31, 2021, the board of directors of the Registrant approved an increase of 1,500,000 Class A ordinary shares (the “2021 Second Amendment”) to the award pool under the Post-IPO Share Incentive Plan. On May 16, 2025, the board of directors of the Registrant further amended the Post-IPO Share Incentive Plan by increasing 5,000,000 Class A ordinary shares to the award pool (the “2025 Amendment” and as amended, the “2025 Post-IPO Share Incentive Plan”). The aggregate of newly added 6,500,000 Class A ordinary shares are being registered on this registration statement.</w:t>
      </w:r>
    </w:p>
    <w:p>
      <w:pPr>
        <w:spacing w:after="0" w:line="18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Under the 2025 Post-IPO Share Incentive Plan, the maximum aggregate number of Class A ordinary shares available for all awards will initially be 11,000,000 Class A ordinary shares, plus an annual increase for each fiscal year of the Registrant during the term of this 2025 Post-IPO Share Incentive Plan commencing with the fiscal year beginning January 1, 2026, by an amount equal to (i) 0.5% of the total number of Class A shares issued and outstanding on the last day of the immediately preceding fiscal year, or (ii) such number of Shares as may be determined by the Board, the size of the award pool to be equitably adjusted in the event of any share dividend, subdivision, reclassification, recapitalization, split, reverse split, combination, consolidation or similar transactions (the “Evergreen Provision”).</w:t>
      </w:r>
    </w:p>
    <w:p>
      <w:pPr>
        <w:spacing w:after="0" w:line="18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Pursuant to the Evergreen Provision, the maximum aggregate number of shares which may be issued under the Post-IPO Share Incentive Plan increased by an aggregate of 600,000 Class A ordinary shares in 2021, 2022, 2023 and 2024. The newly added 600,000 Class A ordinary shares pursuant to the Evergreen Provision are being registered on this registration statement.</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4" w:lineRule="exact"/>
        <w:rPr>
          <w:sz w:val="20"/>
          <w:szCs w:val="20"/>
          <w:color w:val="auto"/>
        </w:rPr>
      </w:pPr>
    </w:p>
    <w:p>
      <w:pPr>
        <w:ind w:right="400"/>
        <w:spacing w:after="0" w:line="277" w:lineRule="auto"/>
        <w:rPr>
          <w:sz w:val="20"/>
          <w:szCs w:val="20"/>
          <w:color w:val="auto"/>
        </w:rPr>
      </w:pPr>
      <w:r>
        <w:rPr>
          <w:rFonts w:ascii="Times New Roman" w:cs="Times New Roman" w:eastAsia="Times New Roman" w:hAnsi="Times New Roman"/>
          <w:sz w:val="18"/>
          <w:szCs w:val="18"/>
          <w:color w:val="auto"/>
        </w:rPr>
        <w:t>The Registrant is not filing or including in this Registration Statement the information called for in Part I of Form S-8 (by incorporation, by reference or otherwise) in accordance with the rules and regulations of the Securities and Exchange Commission (the “Commission”).</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Incorporation of Documents by Reference</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documents previously filed by the “Registrant” with the Commission are incorporated by reference herein:</w:t>
      </w:r>
    </w:p>
    <w:p>
      <w:pPr>
        <w:spacing w:after="0" w:line="220" w:lineRule="exact"/>
        <w:rPr>
          <w:sz w:val="20"/>
          <w:szCs w:val="20"/>
          <w:color w:val="auto"/>
        </w:rPr>
      </w:pPr>
    </w:p>
    <w:p>
      <w:pPr>
        <w:ind w:left="960" w:right="620" w:hanging="633"/>
        <w:spacing w:after="0" w:line="277" w:lineRule="auto"/>
        <w:tabs>
          <w:tab w:leader="none" w:pos="960" w:val="left"/>
        </w:tabs>
        <w:numPr>
          <w:ilvl w:val="0"/>
          <w:numId w:val="1"/>
        </w:numPr>
        <w:rPr>
          <w:rFonts w:ascii="Times New Roman" w:cs="Times New Roman" w:eastAsia="Times New Roman" w:hAnsi="Times New Roman"/>
          <w:sz w:val="18"/>
          <w:szCs w:val="18"/>
          <w:color w:val="0000EE"/>
        </w:rPr>
      </w:pPr>
      <w:hyperlink r:id="rId16">
        <w:r>
          <w:rPr>
            <w:rFonts w:ascii="Times New Roman" w:cs="Times New Roman" w:eastAsia="Times New Roman" w:hAnsi="Times New Roman"/>
            <w:sz w:val="18"/>
            <w:szCs w:val="18"/>
            <w:color w:val="auto"/>
          </w:rPr>
          <w:t xml:space="preserve">The Registrant’s annual report on </w:t>
        </w:r>
        <w:r>
          <w:rPr>
            <w:rFonts w:ascii="Times New Roman" w:cs="Times New Roman" w:eastAsia="Times New Roman" w:hAnsi="Times New Roman"/>
            <w:sz w:val="18"/>
            <w:szCs w:val="18"/>
            <w:u w:val="single" w:color="auto"/>
            <w:color w:val="0000EE"/>
          </w:rPr>
          <w:t>Form 20-F for the year ended December 31, 2024, filed with the Commission on April 29, 2025 (File</w:t>
        </w:r>
      </w:hyperlink>
      <w:r>
        <w:rPr>
          <w:rFonts w:ascii="Times New Roman" w:cs="Times New Roman" w:eastAsia="Times New Roman" w:hAnsi="Times New Roman"/>
          <w:sz w:val="18"/>
          <w:szCs w:val="18"/>
          <w:color w:val="auto"/>
        </w:rPr>
        <w:t xml:space="preserve"> </w:t>
      </w:r>
      <w:hyperlink r:id="rId16">
        <w:r>
          <w:rPr>
            <w:rFonts w:ascii="Times New Roman" w:cs="Times New Roman" w:eastAsia="Times New Roman" w:hAnsi="Times New Roman"/>
            <w:sz w:val="18"/>
            <w:szCs w:val="18"/>
            <w:u w:val="single" w:color="auto"/>
            <w:color w:val="0000EE"/>
          </w:rPr>
          <w:t>No. 001-38313)</w:t>
        </w:r>
        <w:r>
          <w:rPr>
            <w:rFonts w:ascii="Times New Roman" w:cs="Times New Roman" w:eastAsia="Times New Roman" w:hAnsi="Times New Roman"/>
            <w:sz w:val="18"/>
            <w:szCs w:val="18"/>
            <w:color w:val="000000"/>
          </w:rPr>
          <w:t>;</w:t>
        </w:r>
      </w:hyperlink>
    </w:p>
    <w:p>
      <w:pPr>
        <w:spacing w:after="0" w:line="162" w:lineRule="exact"/>
        <w:rPr>
          <w:rFonts w:ascii="Times New Roman" w:cs="Times New Roman" w:eastAsia="Times New Roman" w:hAnsi="Times New Roman"/>
          <w:sz w:val="18"/>
          <w:szCs w:val="18"/>
          <w:color w:val="0000EE"/>
        </w:rPr>
      </w:pPr>
    </w:p>
    <w:p>
      <w:pPr>
        <w:ind w:left="960" w:hanging="633"/>
        <w:spacing w:after="0" w:line="277" w:lineRule="auto"/>
        <w:tabs>
          <w:tab w:leader="none" w:pos="960" w:val="left"/>
        </w:tabs>
        <w:numPr>
          <w:ilvl w:val="0"/>
          <w:numId w:val="1"/>
        </w:numPr>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auto"/>
          </w:rPr>
          <w:t xml:space="preserve">The Registrant’s transition report on </w:t>
        </w:r>
        <w:r>
          <w:rPr>
            <w:rFonts w:ascii="Times New Roman" w:cs="Times New Roman" w:eastAsia="Times New Roman" w:hAnsi="Times New Roman"/>
            <w:sz w:val="18"/>
            <w:szCs w:val="18"/>
            <w:u w:val="single" w:color="auto"/>
            <w:color w:val="0000EE"/>
          </w:rPr>
          <w:t>Form 20-F for the transition period from July 1, 2024 to December 31, 2024, filed with the Commission on</w:t>
        </w:r>
      </w:hyperlink>
      <w:r>
        <w:rPr>
          <w:rFonts w:ascii="Times New Roman" w:cs="Times New Roman" w:eastAsia="Times New Roman" w:hAnsi="Times New Roman"/>
          <w:sz w:val="18"/>
          <w:szCs w:val="18"/>
          <w:color w:val="auto"/>
        </w:rPr>
        <w:t xml:space="preserve"> </w:t>
      </w:r>
      <w:hyperlink r:id="rId17">
        <w:r>
          <w:rPr>
            <w:rFonts w:ascii="Times New Roman" w:cs="Times New Roman" w:eastAsia="Times New Roman" w:hAnsi="Times New Roman"/>
            <w:sz w:val="18"/>
            <w:szCs w:val="18"/>
            <w:u w:val="single" w:color="auto"/>
            <w:color w:val="0000EE"/>
          </w:rPr>
          <w:t>June 12, 2025 (File No. 001-38313)</w:t>
        </w:r>
        <w:r>
          <w:rPr>
            <w:rFonts w:ascii="Times New Roman" w:cs="Times New Roman" w:eastAsia="Times New Roman" w:hAnsi="Times New Roman"/>
            <w:sz w:val="18"/>
            <w:szCs w:val="18"/>
            <w:color w:val="000000"/>
          </w:rPr>
          <w:t>;</w:t>
        </w:r>
      </w:hyperlink>
    </w:p>
    <w:p>
      <w:pPr>
        <w:spacing w:after="0" w:line="162" w:lineRule="exact"/>
        <w:rPr>
          <w:rFonts w:ascii="Times New Roman" w:cs="Times New Roman" w:eastAsia="Times New Roman" w:hAnsi="Times New Roman"/>
          <w:sz w:val="18"/>
          <w:szCs w:val="18"/>
          <w:color w:val="0000EE"/>
        </w:rPr>
      </w:pPr>
    </w:p>
    <w:p>
      <w:pPr>
        <w:ind w:left="960" w:right="120" w:hanging="633"/>
        <w:spacing w:after="0" w:line="277" w:lineRule="auto"/>
        <w:tabs>
          <w:tab w:leader="none" w:pos="960" w:val="left"/>
        </w:tabs>
        <w:numPr>
          <w:ilvl w:val="0"/>
          <w:numId w:val="1"/>
        </w:numPr>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auto"/>
          </w:rPr>
          <w:t xml:space="preserve">The proxy statement attached to the Registrant’s current report on </w:t>
        </w:r>
        <w:r>
          <w:rPr>
            <w:rFonts w:ascii="Times New Roman" w:cs="Times New Roman" w:eastAsia="Times New Roman" w:hAnsi="Times New Roman"/>
            <w:sz w:val="18"/>
            <w:szCs w:val="18"/>
            <w:u w:val="single" w:color="auto"/>
            <w:color w:val="0000EE"/>
          </w:rPr>
          <w:t>Form 6-K, filed with the Commission on December 19, 2024 (File No. 001-</w:t>
        </w:r>
      </w:hyperlink>
      <w:hyperlink r:id="rId18">
        <w:r>
          <w:rPr>
            <w:rFonts w:ascii="Times New Roman" w:cs="Times New Roman" w:eastAsia="Times New Roman" w:hAnsi="Times New Roman"/>
            <w:sz w:val="18"/>
            <w:szCs w:val="18"/>
            <w:u w:val="single" w:color="auto"/>
            <w:color w:val="0000EE"/>
          </w:rPr>
          <w:t>38313)</w:t>
        </w:r>
        <w:r>
          <w:rPr>
            <w:rFonts w:ascii="Times New Roman" w:cs="Times New Roman" w:eastAsia="Times New Roman" w:hAnsi="Times New Roman"/>
            <w:sz w:val="18"/>
            <w:szCs w:val="18"/>
            <w:color w:val="000000"/>
          </w:rPr>
          <w:t>;</w:t>
        </w:r>
      </w:hyperlink>
    </w:p>
    <w:p>
      <w:pPr>
        <w:spacing w:after="0" w:line="162" w:lineRule="exact"/>
        <w:rPr>
          <w:rFonts w:ascii="Times New Roman" w:cs="Times New Roman" w:eastAsia="Times New Roman" w:hAnsi="Times New Roman"/>
          <w:sz w:val="18"/>
          <w:szCs w:val="18"/>
          <w:color w:val="0000EE"/>
        </w:rPr>
      </w:pPr>
    </w:p>
    <w:p>
      <w:pPr>
        <w:ind w:left="960" w:right="840" w:hanging="633"/>
        <w:spacing w:after="0" w:line="277" w:lineRule="auto"/>
        <w:tabs>
          <w:tab w:leader="none" w:pos="960" w:val="left"/>
        </w:tabs>
        <w:numPr>
          <w:ilvl w:val="0"/>
          <w:numId w:val="1"/>
        </w:numPr>
        <w:rPr>
          <w:rFonts w:ascii="Times New Roman" w:cs="Times New Roman" w:eastAsia="Times New Roman" w:hAnsi="Times New Roman"/>
          <w:sz w:val="18"/>
          <w:szCs w:val="18"/>
          <w:u w:val="single" w:color="auto"/>
          <w:color w:val="0000EE"/>
        </w:rPr>
      </w:pPr>
      <w:hyperlink r:id="rId19">
        <w:r>
          <w:rPr>
            <w:rFonts w:ascii="Times New Roman" w:cs="Times New Roman" w:eastAsia="Times New Roman" w:hAnsi="Times New Roman"/>
            <w:sz w:val="18"/>
            <w:szCs w:val="18"/>
            <w:u w:val="single" w:color="auto"/>
            <w:color w:val="0000EE"/>
          </w:rPr>
          <w:t>The Registrant’s prospectus dated March 12, 2025 (File No. 333-221860) filed with the Commission on March 12, 2025 pursuant to</w:t>
        </w:r>
      </w:hyperlink>
      <w:r>
        <w:rPr>
          <w:rFonts w:ascii="Times New Roman" w:cs="Times New Roman" w:eastAsia="Times New Roman" w:hAnsi="Times New Roman"/>
          <w:sz w:val="18"/>
          <w:szCs w:val="18"/>
          <w:u w:val="single" w:color="auto"/>
          <w:color w:val="0000EE"/>
        </w:rPr>
        <w:t xml:space="preserve"> </w:t>
      </w:r>
      <w:hyperlink r:id="rId19">
        <w:r>
          <w:rPr>
            <w:rFonts w:ascii="Times New Roman" w:cs="Times New Roman" w:eastAsia="Times New Roman" w:hAnsi="Times New Roman"/>
            <w:sz w:val="18"/>
            <w:szCs w:val="18"/>
            <w:u w:val="single" w:color="auto"/>
            <w:color w:val="0000EE"/>
          </w:rPr>
          <w:t>Rule 424(b)(3) under the Securities Act;</w:t>
        </w:r>
      </w:hyperlink>
    </w:p>
    <w:p>
      <w:pPr>
        <w:spacing w:after="0" w:line="162" w:lineRule="exact"/>
        <w:rPr>
          <w:rFonts w:ascii="Times New Roman" w:cs="Times New Roman" w:eastAsia="Times New Roman" w:hAnsi="Times New Roman"/>
          <w:sz w:val="18"/>
          <w:szCs w:val="18"/>
          <w:u w:val="single" w:color="auto"/>
          <w:color w:val="0000EE"/>
        </w:rPr>
      </w:pPr>
    </w:p>
    <w:p>
      <w:pPr>
        <w:ind w:left="960" w:hanging="633"/>
        <w:spacing w:after="0" w:line="262" w:lineRule="auto"/>
        <w:tabs>
          <w:tab w:leader="none" w:pos="960" w:val="left"/>
        </w:tabs>
        <w:numPr>
          <w:ilvl w:val="0"/>
          <w:numId w:val="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description of the Registrant’s Class A ordinary shares and ADSs incorporated by reference in the Registrant’s registration statement on </w:t>
      </w:r>
      <w:hyperlink r:id="rId20">
        <w:r>
          <w:rPr>
            <w:rFonts w:ascii="Times New Roman" w:cs="Times New Roman" w:eastAsia="Times New Roman" w:hAnsi="Times New Roman"/>
            <w:sz w:val="18"/>
            <w:szCs w:val="18"/>
            <w:u w:val="single" w:color="auto"/>
            <w:color w:val="0000EE"/>
          </w:rPr>
          <w:t>Form 8-A filed with the Commission on December 1, 2017</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including any amendment and report subsequently filed for the purpose of updating</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that description (File No. 001-38313);</w:t>
      </w:r>
    </w:p>
    <w:p>
      <w:pPr>
        <w:spacing w:after="0" w:line="176" w:lineRule="exact"/>
        <w:rPr>
          <w:rFonts w:ascii="Times New Roman" w:cs="Times New Roman" w:eastAsia="Times New Roman" w:hAnsi="Times New Roman"/>
          <w:sz w:val="18"/>
          <w:szCs w:val="18"/>
          <w:color w:val="0000EE"/>
        </w:rPr>
      </w:pPr>
    </w:p>
    <w:p>
      <w:pPr>
        <w:ind w:left="960" w:hanging="633"/>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hyperlink r:id="rId21">
        <w:r>
          <w:rPr>
            <w:rFonts w:ascii="Times New Roman" w:cs="Times New Roman" w:eastAsia="Times New Roman" w:hAnsi="Times New Roman"/>
            <w:sz w:val="18"/>
            <w:szCs w:val="18"/>
            <w:u w:val="single" w:color="auto"/>
            <w:color w:val="0000EE"/>
          </w:rPr>
          <w:t>S-8 Registration Statement filed with the Commission on June 12, 2018 (File No. 333-225568)</w:t>
        </w:r>
      </w:hyperlink>
      <w:r>
        <w:rPr>
          <w:rFonts w:ascii="Times New Roman" w:cs="Times New Roman" w:eastAsia="Times New Roman" w:hAnsi="Times New Roman"/>
          <w:sz w:val="18"/>
          <w:szCs w:val="18"/>
          <w:color w:val="auto"/>
        </w:rPr>
        <w:t>;</w:t>
      </w:r>
    </w:p>
    <w:p>
      <w:pPr>
        <w:spacing w:after="0" w:line="219" w:lineRule="exact"/>
        <w:rPr>
          <w:rFonts w:ascii="Times New Roman" w:cs="Times New Roman" w:eastAsia="Times New Roman" w:hAnsi="Times New Roman"/>
          <w:sz w:val="18"/>
          <w:szCs w:val="18"/>
          <w:color w:val="auto"/>
        </w:rPr>
      </w:pPr>
    </w:p>
    <w:p>
      <w:pPr>
        <w:ind w:left="960" w:hanging="633"/>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hyperlink r:id="rId22">
        <w:r>
          <w:rPr>
            <w:rFonts w:ascii="Times New Roman" w:cs="Times New Roman" w:eastAsia="Times New Roman" w:hAnsi="Times New Roman"/>
            <w:sz w:val="18"/>
            <w:szCs w:val="18"/>
            <w:u w:val="single" w:color="auto"/>
            <w:color w:val="0000EE"/>
          </w:rPr>
          <w:t>S-8 Registration Statement filed with the Commission on October 9, 2018 (File No. 333-227747)</w:t>
        </w:r>
      </w:hyperlink>
      <w:r>
        <w:rPr>
          <w:rFonts w:ascii="Times New Roman" w:cs="Times New Roman" w:eastAsia="Times New Roman" w:hAnsi="Times New Roman"/>
          <w:sz w:val="18"/>
          <w:szCs w:val="18"/>
          <w:color w:val="auto"/>
        </w:rPr>
        <w:t>; and</w:t>
      </w:r>
    </w:p>
    <w:p>
      <w:pPr>
        <w:spacing w:after="0" w:line="219" w:lineRule="exact"/>
        <w:rPr>
          <w:rFonts w:ascii="Times New Roman" w:cs="Times New Roman" w:eastAsia="Times New Roman" w:hAnsi="Times New Roman"/>
          <w:sz w:val="18"/>
          <w:szCs w:val="18"/>
          <w:color w:val="auto"/>
        </w:rPr>
      </w:pPr>
    </w:p>
    <w:p>
      <w:pPr>
        <w:ind w:left="960" w:hanging="633"/>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hyperlink r:id="rId23">
        <w:r>
          <w:rPr>
            <w:rFonts w:ascii="Times New Roman" w:cs="Times New Roman" w:eastAsia="Times New Roman" w:hAnsi="Times New Roman"/>
            <w:sz w:val="18"/>
            <w:szCs w:val="18"/>
            <w:u w:val="single" w:color="auto"/>
            <w:color w:val="0000EE"/>
          </w:rPr>
          <w:t>S-8 Registration Statement filed with the Commission on February 26, 2021 (File No. 333-253596)</w:t>
        </w:r>
      </w:hyperlink>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color w:val="auto"/>
        </w:rPr>
      </w:pPr>
    </w:p>
    <w:p>
      <w:pPr>
        <w:ind w:right="120" w:firstLine="320"/>
        <w:spacing w:after="0" w:line="269" w:lineRule="auto"/>
        <w:rPr>
          <w:sz w:val="20"/>
          <w:szCs w:val="20"/>
          <w:color w:val="auto"/>
        </w:rPr>
      </w:pPr>
      <w:r>
        <w:rPr>
          <w:rFonts w:ascii="Times New Roman" w:cs="Times New Roman" w:eastAsia="Times New Roman" w:hAnsi="Times New Roman"/>
          <w:sz w:val="17"/>
          <w:szCs w:val="17"/>
          <w:color w:val="auto"/>
        </w:rPr>
        <w:t>All documents subsequently filed by the Registrant pursuant to Sections 13(a), 13(c), 14 or 15(d) of the Securities Exchange Act of 1934, as amended (the “Exchange Act”),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in this registration statement and to be part hereof from the date of filing of such documents. Any statement in a document incorporated or deemed to be incorporated by reference in this registration statement will be deemed to be modified or superseded to the extent that a statement contained in this registration statement or in any other later filed document that also is or is deemed to be incorporated by reference modifies or supersedes such statement. Any such statement so modified or superseded will not be deemed, except as so modified or superseded, to be a part of this registration statement.</w:t>
      </w:r>
    </w:p>
    <w:p>
      <w:pPr>
        <w:spacing w:after="0" w:line="170"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u w:val="single" w:color="auto"/>
          <w:color w:val="auto"/>
        </w:rPr>
        <w:t>Exhibits</w:t>
      </w:r>
    </w:p>
    <w:p>
      <w:pPr>
        <w:spacing w:after="0" w:line="224" w:lineRule="exact"/>
        <w:rPr>
          <w:rFonts w:ascii="Times New Roman" w:cs="Times New Roman" w:eastAsia="Times New Roman" w:hAnsi="Times New Roman"/>
          <w:sz w:val="18"/>
          <w:szCs w:val="18"/>
          <w:color w:val="auto"/>
        </w:rPr>
      </w:pPr>
    </w:p>
    <w:p>
      <w:pPr>
        <w:ind w:left="320"/>
        <w:spacing w:after="0"/>
        <w:rPr>
          <w:sz w:val="20"/>
          <w:szCs w:val="20"/>
          <w:color w:val="auto"/>
        </w:rPr>
      </w:pPr>
      <w:r>
        <w:rPr>
          <w:rFonts w:ascii="Times New Roman" w:cs="Times New Roman" w:eastAsia="Times New Roman" w:hAnsi="Times New Roman"/>
          <w:sz w:val="18"/>
          <w:szCs w:val="18"/>
          <w:color w:val="auto"/>
        </w:rPr>
        <w:t>See the Index to Exhibits attached hereto.</w:t>
      </w:r>
    </w:p>
    <w:p>
      <w:pPr>
        <w:spacing w:after="0" w:line="200" w:lineRule="exact"/>
        <w:rPr>
          <w:rFonts w:ascii="Times New Roman" w:cs="Times New Roman" w:eastAsia="Times New Roman" w:hAnsi="Times New Roman"/>
          <w:sz w:val="18"/>
          <w:szCs w:val="18"/>
          <w:color w:val="auto"/>
        </w:rPr>
      </w:pPr>
    </w:p>
    <w:p>
      <w:pPr>
        <w:spacing w:after="0" w:line="233"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6"/>
        </w:trPr>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80" w:type="dxa"/>
            <w:vAlign w:val="bottom"/>
            <w:gridSpan w:val="14"/>
          </w:tcPr>
          <w:p>
            <w:pPr>
              <w:ind w:left="3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86"/>
        </w:trPr>
        <w:tc>
          <w:tcPr>
            <w:tcW w:w="11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7"/>
              </w:rPr>
              <w:t>Exhibit Number</w:t>
            </w:r>
          </w:p>
        </w:tc>
        <w:tc>
          <w:tcPr>
            <w:tcW w:w="54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Description</w:t>
            </w:r>
          </w:p>
        </w:tc>
        <w:tc>
          <w:tcPr>
            <w:tcW w:w="8700" w:type="dxa"/>
            <w:vAlign w:val="bottom"/>
            <w:gridSpan w:val="21"/>
          </w:tcPr>
          <w:p>
            <w:pPr>
              <w:spacing w:after="0"/>
              <w:rPr>
                <w:sz w:val="24"/>
                <w:szCs w:val="24"/>
                <w:color w:val="auto"/>
              </w:rPr>
            </w:pPr>
          </w:p>
        </w:tc>
      </w:tr>
      <w:tr>
        <w:trPr>
          <w:trHeight w:val="407"/>
        </w:trPr>
        <w:tc>
          <w:tcPr>
            <w:tcW w:w="320" w:type="dxa"/>
            <w:vAlign w:val="bottom"/>
            <w:gridSpan w:val="2"/>
          </w:tcPr>
          <w:p>
            <w:pPr>
              <w:spacing w:after="0"/>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540" w:type="dxa"/>
            <w:vAlign w:val="bottom"/>
            <w:gridSpan w:val="22"/>
          </w:tcPr>
          <w:p>
            <w:pPr>
              <w:spacing w:after="0"/>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Tenth Amended and Restated Memorandum and Articles of Association of the Registrant (incorporated herein by reference to</w:t>
              </w:r>
            </w:hyperlink>
          </w:p>
        </w:tc>
      </w:tr>
      <w:tr>
        <w:trPr>
          <w:trHeight w:val="193"/>
        </w:trPr>
        <w:tc>
          <w:tcPr>
            <w:tcW w:w="22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960" w:type="dxa"/>
            <w:vAlign w:val="bottom"/>
            <w:tcBorders>
              <w:top w:val="single" w:sz="8" w:color="0000EE"/>
            </w:tcBorders>
            <w:gridSpan w:val="17"/>
          </w:tcPr>
          <w:p>
            <w:pPr>
              <w:spacing w:after="0" w:line="194" w:lineRule="exact"/>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Exhibit 1.1 to the annual report on Form 20-F for the year ended December 31, 2024, filed with the Securities and Exchange</w:t>
              </w:r>
            </w:hyperlink>
          </w:p>
        </w:tc>
        <w:tc>
          <w:tcPr>
            <w:tcW w:w="580" w:type="dxa"/>
            <w:vAlign w:val="bottom"/>
            <w:gridSpan w:val="5"/>
          </w:tcPr>
          <w:p>
            <w:pPr>
              <w:spacing w:after="0"/>
              <w:rPr>
                <w:sz w:val="16"/>
                <w:szCs w:val="16"/>
                <w:color w:val="auto"/>
              </w:rPr>
            </w:pPr>
          </w:p>
        </w:tc>
      </w:tr>
      <w:tr>
        <w:trPr>
          <w:trHeight w:val="193"/>
        </w:trPr>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60" w:type="dxa"/>
            <w:vAlign w:val="bottom"/>
            <w:tcBorders>
              <w:top w:val="single" w:sz="8" w:color="0000EE"/>
            </w:tcBorders>
            <w:gridSpan w:val="16"/>
          </w:tcPr>
          <w:p>
            <w:pPr>
              <w:spacing w:after="0" w:line="194"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Commission on April 29, 2025 (File No. 001-38313))</w:t>
              </w:r>
            </w:hyperlink>
          </w:p>
        </w:tc>
        <w:tc>
          <w:tcPr>
            <w:tcW w:w="680" w:type="dxa"/>
            <w:vAlign w:val="bottom"/>
            <w:gridSpan w:val="6"/>
          </w:tcPr>
          <w:p>
            <w:pPr>
              <w:spacing w:after="0"/>
              <w:rPr>
                <w:sz w:val="16"/>
                <w:szCs w:val="16"/>
                <w:color w:val="auto"/>
              </w:rPr>
            </w:pPr>
          </w:p>
        </w:tc>
      </w:tr>
      <w:tr>
        <w:trPr>
          <w:trHeight w:val="20"/>
        </w:trPr>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07"/>
        </w:trPr>
        <w:tc>
          <w:tcPr>
            <w:tcW w:w="320" w:type="dxa"/>
            <w:vAlign w:val="bottom"/>
            <w:gridSpan w:val="2"/>
          </w:tcPr>
          <w:p>
            <w:pPr>
              <w:spacing w:after="0"/>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hyperlink>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540" w:type="dxa"/>
            <w:vAlign w:val="bottom"/>
            <w:gridSpan w:val="22"/>
          </w:tcPr>
          <w:p>
            <w:pPr>
              <w:spacing w:after="0"/>
              <w:rPr>
                <w:rFonts w:ascii="Times New Roman" w:cs="Times New Roman" w:eastAsia="Times New Roman" w:hAnsi="Times New Roman"/>
                <w:sz w:val="18"/>
                <w:szCs w:val="18"/>
                <w:color w:val="0000EE"/>
                <w:w w:val="98"/>
              </w:rPr>
            </w:pPr>
            <w:hyperlink r:id="rId26">
              <w:r>
                <w:rPr>
                  <w:rFonts w:ascii="Times New Roman" w:cs="Times New Roman" w:eastAsia="Times New Roman" w:hAnsi="Times New Roman"/>
                  <w:sz w:val="18"/>
                  <w:szCs w:val="18"/>
                  <w:color w:val="0000EE"/>
                  <w:w w:val="98"/>
                </w:rPr>
                <w:t>Registrant’s Specimen Certificate for Class A Ordinary Shares (incorporated herein by reference to Exhibit 2.2 to the annual report on</w:t>
              </w:r>
            </w:hyperlink>
          </w:p>
        </w:tc>
      </w:tr>
      <w:tr>
        <w:trPr>
          <w:trHeight w:val="193"/>
        </w:trPr>
        <w:tc>
          <w:tcPr>
            <w:tcW w:w="22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540" w:type="dxa"/>
            <w:vAlign w:val="bottom"/>
            <w:tcBorders>
              <w:top w:val="single" w:sz="8" w:color="0000EE"/>
            </w:tcBorders>
            <w:gridSpan w:val="22"/>
          </w:tcPr>
          <w:p>
            <w:pPr>
              <w:spacing w:after="0" w:line="194"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Form 20-F for the year ended December 31, 2024, filed with the Securities and Exchange Commission on April 29, 2025 (File</w:t>
              </w:r>
            </w:hyperlink>
          </w:p>
        </w:tc>
      </w:tr>
      <w:tr>
        <w:trPr>
          <w:trHeight w:val="193"/>
        </w:trPr>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Borders>
              <w:top w:val="single" w:sz="8" w:color="0000EE"/>
              <w:bottom w:val="single" w:sz="8" w:color="0000EE"/>
            </w:tcBorders>
            <w:gridSpan w:val="4"/>
          </w:tcPr>
          <w:p>
            <w:pPr>
              <w:spacing w:after="0" w:line="194" w:lineRule="exact"/>
              <w:rPr>
                <w:rFonts w:ascii="Times New Roman" w:cs="Times New Roman" w:eastAsia="Times New Roman" w:hAnsi="Times New Roman"/>
                <w:sz w:val="18"/>
                <w:szCs w:val="18"/>
                <w:color w:val="0000EE"/>
                <w:w w:val="97"/>
              </w:rPr>
            </w:pPr>
            <w:hyperlink r:id="rId26">
              <w:r>
                <w:rPr>
                  <w:rFonts w:ascii="Times New Roman" w:cs="Times New Roman" w:eastAsia="Times New Roman" w:hAnsi="Times New Roman"/>
                  <w:sz w:val="18"/>
                  <w:szCs w:val="18"/>
                  <w:color w:val="0000EE"/>
                  <w:w w:val="97"/>
                </w:rPr>
                <w:t>No. 001-38313))</w:t>
              </w:r>
            </w:hyperlink>
          </w:p>
        </w:tc>
        <w:tc>
          <w:tcPr>
            <w:tcW w:w="7800" w:type="dxa"/>
            <w:vAlign w:val="bottom"/>
            <w:tcBorders>
              <w:top w:val="single" w:sz="8" w:color="0000EE"/>
            </w:tcBorders>
            <w:gridSpan w:val="14"/>
          </w:tcPr>
          <w:p>
            <w:pPr>
              <w:spacing w:after="0"/>
              <w:rPr>
                <w:sz w:val="16"/>
                <w:szCs w:val="16"/>
                <w:color w:val="auto"/>
              </w:rPr>
            </w:pPr>
          </w:p>
        </w:tc>
        <w:tc>
          <w:tcPr>
            <w:tcW w:w="540" w:type="dxa"/>
            <w:vAlign w:val="bottom"/>
            <w:gridSpan w:val="4"/>
          </w:tcPr>
          <w:p>
            <w:pPr>
              <w:spacing w:after="0"/>
              <w:rPr>
                <w:sz w:val="16"/>
                <w:szCs w:val="16"/>
                <w:color w:val="auto"/>
              </w:rPr>
            </w:pPr>
          </w:p>
        </w:tc>
      </w:tr>
      <w:tr>
        <w:trPr>
          <w:trHeight w:val="407"/>
        </w:trPr>
        <w:tc>
          <w:tcPr>
            <w:tcW w:w="320" w:type="dxa"/>
            <w:vAlign w:val="bottom"/>
            <w:gridSpan w:val="2"/>
          </w:tcPr>
          <w:p>
            <w:pPr>
              <w:spacing w:after="0"/>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w:t>
              </w:r>
            </w:hyperlink>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540" w:type="dxa"/>
            <w:vAlign w:val="bottom"/>
            <w:gridSpan w:val="22"/>
          </w:tcPr>
          <w:p>
            <w:pPr>
              <w:spacing w:after="0"/>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Form of Amended and Restated Deposit Agreement among the Registrant, the depositary and holders of the American Depositary</w:t>
              </w:r>
            </w:hyperlink>
          </w:p>
        </w:tc>
      </w:tr>
      <w:tr>
        <w:trPr>
          <w:trHeight w:val="193"/>
        </w:trPr>
        <w:tc>
          <w:tcPr>
            <w:tcW w:w="22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60" w:type="dxa"/>
            <w:vAlign w:val="bottom"/>
            <w:tcBorders>
              <w:top w:val="single" w:sz="8" w:color="0000EE"/>
            </w:tcBorders>
            <w:gridSpan w:val="20"/>
          </w:tcPr>
          <w:p>
            <w:pPr>
              <w:spacing w:after="0" w:line="194" w:lineRule="exact"/>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Receipts (incorporated by reference to Exhibit (a)(2) to the Form F-6 Registration Statement (file No. 333-288354) filed with the</w:t>
              </w:r>
            </w:hyperlink>
          </w:p>
        </w:tc>
        <w:tc>
          <w:tcPr>
            <w:tcW w:w="280" w:type="dxa"/>
            <w:vAlign w:val="bottom"/>
            <w:gridSpan w:val="2"/>
          </w:tcPr>
          <w:p>
            <w:pPr>
              <w:spacing w:after="0"/>
              <w:rPr>
                <w:sz w:val="16"/>
                <w:szCs w:val="16"/>
                <w:color w:val="auto"/>
              </w:rPr>
            </w:pPr>
          </w:p>
        </w:tc>
      </w:tr>
      <w:tr>
        <w:trPr>
          <w:trHeight w:val="193"/>
        </w:trPr>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20" w:type="dxa"/>
            <w:vAlign w:val="bottom"/>
            <w:tcBorders>
              <w:top w:val="single" w:sz="8" w:color="0000EE"/>
              <w:bottom w:val="single" w:sz="8" w:color="0000EE"/>
            </w:tcBorders>
            <w:gridSpan w:val="12"/>
          </w:tcPr>
          <w:p>
            <w:pPr>
              <w:spacing w:after="0" w:line="194" w:lineRule="exact"/>
              <w:rPr>
                <w:rFonts w:ascii="Times New Roman" w:cs="Times New Roman" w:eastAsia="Times New Roman" w:hAnsi="Times New Roman"/>
                <w:sz w:val="18"/>
                <w:szCs w:val="18"/>
                <w:color w:val="0000EE"/>
                <w:w w:val="98"/>
              </w:rPr>
            </w:pPr>
            <w:hyperlink r:id="rId27">
              <w:r>
                <w:rPr>
                  <w:rFonts w:ascii="Times New Roman" w:cs="Times New Roman" w:eastAsia="Times New Roman" w:hAnsi="Times New Roman"/>
                  <w:sz w:val="18"/>
                  <w:szCs w:val="18"/>
                  <w:color w:val="0000EE"/>
                  <w:w w:val="98"/>
                </w:rPr>
                <w:t>Securities and Exchange Commission on June 26, 2025)</w:t>
              </w:r>
            </w:hyperlink>
          </w:p>
        </w:tc>
        <w:tc>
          <w:tcPr>
            <w:tcW w:w="5160" w:type="dxa"/>
            <w:vAlign w:val="bottom"/>
            <w:tcBorders>
              <w:top w:val="single" w:sz="8" w:color="0000EE"/>
            </w:tcBorders>
            <w:gridSpan w:val="7"/>
          </w:tcPr>
          <w:p>
            <w:pPr>
              <w:spacing w:after="0"/>
              <w:rPr>
                <w:sz w:val="16"/>
                <w:szCs w:val="16"/>
                <w:color w:val="auto"/>
              </w:rPr>
            </w:pPr>
          </w:p>
        </w:tc>
        <w:tc>
          <w:tcPr>
            <w:tcW w:w="360" w:type="dxa"/>
            <w:vAlign w:val="bottom"/>
            <w:gridSpan w:val="3"/>
          </w:tcPr>
          <w:p>
            <w:pPr>
              <w:spacing w:after="0"/>
              <w:rPr>
                <w:sz w:val="16"/>
                <w:szCs w:val="16"/>
                <w:color w:val="auto"/>
              </w:rPr>
            </w:pPr>
          </w:p>
        </w:tc>
      </w:tr>
      <w:tr>
        <w:trPr>
          <w:trHeight w:val="407"/>
        </w:trPr>
        <w:tc>
          <w:tcPr>
            <w:tcW w:w="3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5"/>
              </w:rPr>
              <w:t>5.</w:t>
            </w:r>
            <w:r>
              <w:rPr>
                <w:rFonts w:ascii="Times New Roman" w:cs="Times New Roman" w:eastAsia="Times New Roman" w:hAnsi="Times New Roman"/>
                <w:sz w:val="18"/>
                <w:szCs w:val="18"/>
                <w:u w:val="single" w:color="auto"/>
                <w:color w:val="0000EE"/>
                <w:w w:val="95"/>
              </w:rPr>
              <w:t>1*</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2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8"/>
              </w:rPr>
              <w:t>Opinion of Travers Thorp Alberga Attorneys at Law, Cayman Islands counsel to the Registrant, regarding the legality of the Class A</w:t>
            </w:r>
          </w:p>
        </w:tc>
        <w:tc>
          <w:tcPr>
            <w:tcW w:w="120" w:type="dxa"/>
            <w:vAlign w:val="bottom"/>
          </w:tcPr>
          <w:p>
            <w:pPr>
              <w:spacing w:after="0"/>
              <w:rPr>
                <w:sz w:val="24"/>
                <w:szCs w:val="24"/>
                <w:color w:val="auto"/>
              </w:rPr>
            </w:pPr>
          </w:p>
        </w:tc>
      </w:tr>
      <w:tr>
        <w:trPr>
          <w:trHeight w:val="193"/>
        </w:trPr>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80" w:type="dxa"/>
            <w:vAlign w:val="bottom"/>
            <w:tcBorders>
              <w:bottom w:val="single" w:sz="8" w:color="0000EE"/>
            </w:tcBorders>
            <w:gridSpan w:val="6"/>
          </w:tcPr>
          <w:p>
            <w:pPr>
              <w:spacing w:after="0" w:line="194" w:lineRule="exact"/>
              <w:rPr>
                <w:sz w:val="20"/>
                <w:szCs w:val="20"/>
                <w:color w:val="auto"/>
              </w:rPr>
            </w:pPr>
            <w:r>
              <w:rPr>
                <w:rFonts w:ascii="Times New Roman" w:cs="Times New Roman" w:eastAsia="Times New Roman" w:hAnsi="Times New Roman"/>
                <w:sz w:val="18"/>
                <w:szCs w:val="18"/>
                <w:color w:val="0000EE"/>
                <w:w w:val="98"/>
              </w:rPr>
              <w:t>ordinary shares being registered</w:t>
            </w:r>
          </w:p>
        </w:tc>
        <w:tc>
          <w:tcPr>
            <w:tcW w:w="7260" w:type="dxa"/>
            <w:vAlign w:val="bottom"/>
            <w:gridSpan w:val="16"/>
          </w:tcPr>
          <w:p>
            <w:pPr>
              <w:spacing w:after="0"/>
              <w:rPr>
                <w:sz w:val="16"/>
                <w:szCs w:val="16"/>
                <w:color w:val="auto"/>
              </w:rPr>
            </w:pPr>
          </w:p>
        </w:tc>
      </w:tr>
      <w:tr>
        <w:trPr>
          <w:trHeight w:val="407"/>
        </w:trPr>
        <w:tc>
          <w:tcPr>
            <w:tcW w:w="4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88"/>
              </w:rPr>
              <w:t>10.</w:t>
            </w:r>
            <w:r>
              <w:rPr>
                <w:rFonts w:ascii="Times New Roman" w:cs="Times New Roman" w:eastAsia="Times New Roman" w:hAnsi="Times New Roman"/>
                <w:sz w:val="18"/>
                <w:szCs w:val="18"/>
                <w:u w:val="single" w:color="auto"/>
                <w:color w:val="0000EE"/>
                <w:w w:val="88"/>
              </w:rPr>
              <w:t>1*</w:t>
            </w: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2025 Post-IPO Share Incentive Plan of Amber International Holding Limited, as amended and restated on May 16, 2025</w:t>
            </w:r>
          </w:p>
        </w:tc>
      </w:tr>
      <w:tr>
        <w:trPr>
          <w:trHeight w:val="407"/>
        </w:trPr>
        <w:tc>
          <w:tcPr>
            <w:tcW w:w="4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88"/>
              </w:rPr>
              <w:t>23.</w:t>
            </w:r>
            <w:r>
              <w:rPr>
                <w:rFonts w:ascii="Times New Roman" w:cs="Times New Roman" w:eastAsia="Times New Roman" w:hAnsi="Times New Roman"/>
                <w:sz w:val="18"/>
                <w:szCs w:val="18"/>
                <w:u w:val="single" w:color="auto"/>
                <w:color w:val="0000EE"/>
                <w:w w:val="88"/>
              </w:rPr>
              <w:t>1*</w:t>
            </w: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40" w:type="dxa"/>
            <w:vAlign w:val="bottom"/>
            <w:tcBorders>
              <w:top w:val="single" w:sz="8" w:color="0000EE"/>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8"/>
              </w:rPr>
              <w:t>Consent of WWC, P.C., an independent registered public accounting firm</w:t>
            </w:r>
          </w:p>
        </w:tc>
        <w:tc>
          <w:tcPr>
            <w:tcW w:w="3320" w:type="dxa"/>
            <w:vAlign w:val="bottom"/>
            <w:tcBorders>
              <w:top w:val="single" w:sz="8" w:color="0000EE"/>
            </w:tcBorders>
            <w:gridSpan w:val="2"/>
          </w:tcPr>
          <w:p>
            <w:pPr>
              <w:spacing w:after="0"/>
              <w:rPr>
                <w:sz w:val="24"/>
                <w:szCs w:val="24"/>
                <w:color w:val="auto"/>
              </w:rPr>
            </w:pPr>
          </w:p>
        </w:tc>
        <w:tc>
          <w:tcPr>
            <w:tcW w:w="980" w:type="dxa"/>
            <w:vAlign w:val="bottom"/>
            <w:gridSpan w:val="7"/>
          </w:tcPr>
          <w:p>
            <w:pPr>
              <w:spacing w:after="0"/>
              <w:rPr>
                <w:sz w:val="24"/>
                <w:szCs w:val="24"/>
                <w:color w:val="auto"/>
              </w:rPr>
            </w:pPr>
          </w:p>
        </w:tc>
      </w:tr>
      <w:tr>
        <w:trPr>
          <w:trHeight w:val="407"/>
        </w:trPr>
        <w:tc>
          <w:tcPr>
            <w:tcW w:w="4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88"/>
              </w:rPr>
              <w:t>23.</w:t>
            </w:r>
            <w:r>
              <w:rPr>
                <w:rFonts w:ascii="Times New Roman" w:cs="Times New Roman" w:eastAsia="Times New Roman" w:hAnsi="Times New Roman"/>
                <w:sz w:val="18"/>
                <w:szCs w:val="18"/>
                <w:u w:val="single" w:color="auto"/>
                <w:color w:val="0000EE"/>
                <w:w w:val="88"/>
              </w:rPr>
              <w:t>3*</w:t>
            </w: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Consent of Travers Thorp Alberga Attorneys at Law (included in Exhibit 5.1)</w:t>
            </w:r>
          </w:p>
        </w:tc>
      </w:tr>
      <w:tr>
        <w:trPr>
          <w:trHeight w:val="407"/>
        </w:trPr>
        <w:tc>
          <w:tcPr>
            <w:tcW w:w="4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88"/>
              </w:rPr>
              <w:t>23.</w:t>
            </w:r>
            <w:r>
              <w:rPr>
                <w:rFonts w:ascii="Times New Roman" w:cs="Times New Roman" w:eastAsia="Times New Roman" w:hAnsi="Times New Roman"/>
                <w:sz w:val="18"/>
                <w:szCs w:val="18"/>
                <w:u w:val="single" w:color="auto"/>
                <w:color w:val="0000EE"/>
                <w:w w:val="88"/>
              </w:rPr>
              <w:t>4*</w:t>
            </w: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4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Consent of Jingtian &amp; Gongcheng</w:t>
            </w:r>
          </w:p>
        </w:tc>
        <w:tc>
          <w:tcPr>
            <w:tcW w:w="3080" w:type="dxa"/>
            <w:vAlign w:val="bottom"/>
            <w:tcBorders>
              <w:top w:val="single" w:sz="8" w:color="0000EE"/>
            </w:tcBorders>
            <w:gridSpan w:val="7"/>
          </w:tcPr>
          <w:p>
            <w:pPr>
              <w:spacing w:after="0"/>
              <w:rPr>
                <w:sz w:val="24"/>
                <w:szCs w:val="24"/>
                <w:color w:val="auto"/>
              </w:rPr>
            </w:pPr>
          </w:p>
        </w:tc>
        <w:tc>
          <w:tcPr>
            <w:tcW w:w="4020" w:type="dxa"/>
            <w:vAlign w:val="bottom"/>
            <w:gridSpan w:val="8"/>
          </w:tcPr>
          <w:p>
            <w:pPr>
              <w:spacing w:after="0"/>
              <w:rPr>
                <w:sz w:val="24"/>
                <w:szCs w:val="24"/>
                <w:color w:val="auto"/>
              </w:rPr>
            </w:pPr>
          </w:p>
        </w:tc>
      </w:tr>
      <w:tr>
        <w:trPr>
          <w:trHeight w:val="407"/>
        </w:trPr>
        <w:tc>
          <w:tcPr>
            <w:tcW w:w="4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88"/>
              </w:rPr>
              <w:t>23.</w:t>
            </w:r>
            <w:r>
              <w:rPr>
                <w:rFonts w:ascii="Times New Roman" w:cs="Times New Roman" w:eastAsia="Times New Roman" w:hAnsi="Times New Roman"/>
                <w:sz w:val="18"/>
                <w:szCs w:val="18"/>
                <w:u w:val="single" w:color="auto"/>
                <w:color w:val="0000EE"/>
                <w:w w:val="88"/>
              </w:rPr>
              <w:t>5*</w:t>
            </w: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Consent of Commerce &amp; Finance Law Offices</w:t>
            </w:r>
          </w:p>
        </w:tc>
        <w:tc>
          <w:tcPr>
            <w:tcW w:w="6220" w:type="dxa"/>
            <w:vAlign w:val="bottom"/>
            <w:gridSpan w:val="13"/>
          </w:tcPr>
          <w:p>
            <w:pPr>
              <w:spacing w:after="0"/>
              <w:rPr>
                <w:sz w:val="24"/>
                <w:szCs w:val="24"/>
                <w:color w:val="auto"/>
              </w:rPr>
            </w:pPr>
          </w:p>
        </w:tc>
      </w:tr>
      <w:tr>
        <w:trPr>
          <w:trHeight w:val="407"/>
        </w:trPr>
        <w:tc>
          <w:tcPr>
            <w:tcW w:w="4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88"/>
              </w:rPr>
              <w:t>23.</w:t>
            </w:r>
            <w:r>
              <w:rPr>
                <w:rFonts w:ascii="Times New Roman" w:cs="Times New Roman" w:eastAsia="Times New Roman" w:hAnsi="Times New Roman"/>
                <w:sz w:val="18"/>
                <w:szCs w:val="18"/>
                <w:u w:val="single" w:color="auto"/>
                <w:color w:val="0000EE"/>
                <w:w w:val="88"/>
              </w:rPr>
              <w:t>6*</w:t>
            </w: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Consent of Harry Elias Partnership LLP</w:t>
            </w:r>
          </w:p>
        </w:tc>
        <w:tc>
          <w:tcPr>
            <w:tcW w:w="6680" w:type="dxa"/>
            <w:vAlign w:val="bottom"/>
            <w:gridSpan w:val="14"/>
          </w:tcPr>
          <w:p>
            <w:pPr>
              <w:spacing w:after="0"/>
              <w:rPr>
                <w:sz w:val="24"/>
                <w:szCs w:val="24"/>
                <w:color w:val="auto"/>
              </w:rPr>
            </w:pPr>
          </w:p>
        </w:tc>
      </w:tr>
      <w:tr>
        <w:trPr>
          <w:trHeight w:val="407"/>
        </w:trPr>
        <w:tc>
          <w:tcPr>
            <w:tcW w:w="4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88"/>
              </w:rPr>
              <w:t>23.</w:t>
            </w:r>
            <w:r>
              <w:rPr>
                <w:rFonts w:ascii="Times New Roman" w:cs="Times New Roman" w:eastAsia="Times New Roman" w:hAnsi="Times New Roman"/>
                <w:sz w:val="18"/>
                <w:szCs w:val="18"/>
                <w:u w:val="single" w:color="auto"/>
                <w:color w:val="0000EE"/>
                <w:w w:val="88"/>
              </w:rPr>
              <w:t>7*</w:t>
            </w: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Consent of Taylor Wessing</w:t>
            </w:r>
          </w:p>
        </w:tc>
      </w:tr>
      <w:tr>
        <w:trPr>
          <w:trHeight w:val="20"/>
        </w:trPr>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960" w:type="dxa"/>
            <w:vAlign w:val="bottom"/>
            <w:gridSpan w:val="6"/>
          </w:tcPr>
          <w:p>
            <w:pPr>
              <w:spacing w:after="0" w:line="20" w:lineRule="exact"/>
              <w:rPr>
                <w:sz w:val="1"/>
                <w:szCs w:val="1"/>
                <w:color w:val="auto"/>
              </w:rPr>
            </w:pPr>
          </w:p>
        </w:tc>
        <w:tc>
          <w:tcPr>
            <w:tcW w:w="5660" w:type="dxa"/>
            <w:vAlign w:val="bottom"/>
            <w:gridSpan w:val="11"/>
          </w:tcPr>
          <w:p>
            <w:pPr>
              <w:spacing w:after="0" w:line="20" w:lineRule="exact"/>
              <w:rPr>
                <w:sz w:val="1"/>
                <w:szCs w:val="1"/>
                <w:color w:val="auto"/>
              </w:rPr>
            </w:pPr>
          </w:p>
        </w:tc>
      </w:tr>
      <w:tr>
        <w:trPr>
          <w:trHeight w:val="407"/>
        </w:trPr>
        <w:tc>
          <w:tcPr>
            <w:tcW w:w="4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88"/>
              </w:rPr>
              <w:t>24.</w:t>
            </w:r>
            <w:r>
              <w:rPr>
                <w:rFonts w:ascii="Times New Roman" w:cs="Times New Roman" w:eastAsia="Times New Roman" w:hAnsi="Times New Roman"/>
                <w:sz w:val="18"/>
                <w:szCs w:val="18"/>
                <w:u w:val="single" w:color="auto"/>
                <w:color w:val="0000EE"/>
                <w:w w:val="88"/>
              </w:rPr>
              <w:t>1*</w:t>
            </w: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Power of Attorney (included on signature page hereto)</w:t>
            </w:r>
          </w:p>
        </w:tc>
      </w:tr>
      <w:tr>
        <w:trPr>
          <w:trHeight w:val="407"/>
        </w:trPr>
        <w:tc>
          <w:tcPr>
            <w:tcW w:w="40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107*</w:t>
            </w: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8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Filing Fee Table</w:t>
            </w:r>
          </w:p>
        </w:tc>
        <w:tc>
          <w:tcPr>
            <w:tcW w:w="5660" w:type="dxa"/>
            <w:vAlign w:val="bottom"/>
            <w:gridSpan w:val="11"/>
          </w:tcPr>
          <w:p>
            <w:pPr>
              <w:spacing w:after="0"/>
              <w:rPr>
                <w:sz w:val="24"/>
                <w:szCs w:val="24"/>
                <w:color w:val="auto"/>
              </w:rPr>
            </w:pPr>
          </w:p>
        </w:tc>
      </w:tr>
      <w:tr>
        <w:trPr>
          <w:trHeight w:val="234"/>
        </w:trPr>
        <w:tc>
          <w:tcPr>
            <w:tcW w:w="220" w:type="dxa"/>
            <w:vAlign w:val="bottom"/>
            <w:tcBorders>
              <w:top w:val="single" w:sz="8" w:color="0000EE"/>
              <w:bottom w:val="single" w:sz="8" w:color="auto"/>
            </w:tcBorders>
          </w:tcPr>
          <w:p>
            <w:pPr>
              <w:spacing w:after="0"/>
              <w:rPr>
                <w:sz w:val="20"/>
                <w:szCs w:val="20"/>
                <w:color w:val="auto"/>
              </w:rPr>
            </w:pPr>
          </w:p>
        </w:tc>
        <w:tc>
          <w:tcPr>
            <w:tcW w:w="100" w:type="dxa"/>
            <w:vAlign w:val="bottom"/>
            <w:tcBorders>
              <w:top w:val="single" w:sz="8" w:color="0000EE"/>
              <w:bottom w:val="single" w:sz="8" w:color="auto"/>
            </w:tcBorders>
          </w:tcPr>
          <w:p>
            <w:pPr>
              <w:spacing w:after="0"/>
              <w:rPr>
                <w:sz w:val="20"/>
                <w:szCs w:val="20"/>
                <w:color w:val="auto"/>
              </w:rPr>
            </w:pPr>
          </w:p>
        </w:tc>
        <w:tc>
          <w:tcPr>
            <w:tcW w:w="80" w:type="dxa"/>
            <w:vAlign w:val="bottom"/>
            <w:tcBorders>
              <w:top w:val="single" w:sz="8" w:color="0000EE"/>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40" w:type="dxa"/>
            <w:vAlign w:val="bottom"/>
            <w:tcBorders>
              <w:top w:val="single" w:sz="8" w:color="0000EE"/>
              <w:bottom w:val="single" w:sz="8" w:color="auto"/>
            </w:tcBorders>
          </w:tcPr>
          <w:p>
            <w:pPr>
              <w:spacing w:after="0"/>
              <w:rPr>
                <w:sz w:val="20"/>
                <w:szCs w:val="20"/>
                <w:color w:val="auto"/>
              </w:rPr>
            </w:pPr>
          </w:p>
        </w:tc>
        <w:tc>
          <w:tcPr>
            <w:tcW w:w="280" w:type="dxa"/>
            <w:vAlign w:val="bottom"/>
            <w:tcBorders>
              <w:top w:val="single" w:sz="8" w:color="0000EE"/>
              <w:bottom w:val="single" w:sz="8" w:color="auto"/>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26"/>
        </w:trPr>
        <w:tc>
          <w:tcPr>
            <w:tcW w:w="1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Filed herewith.</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642"/>
        </w:trPr>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12"/>
          </w:tcPr>
          <w:p>
            <w:pPr>
              <w:ind w:left="3880"/>
              <w:spacing w:after="0"/>
              <w:rPr>
                <w:sz w:val="20"/>
                <w:szCs w:val="20"/>
                <w:color w:val="auto"/>
              </w:rPr>
            </w:pPr>
            <w:r>
              <w:rPr>
                <w:rFonts w:ascii="Times New Roman" w:cs="Times New Roman" w:eastAsia="Times New Roman" w:hAnsi="Times New Roman"/>
                <w:sz w:val="18"/>
                <w:szCs w:val="18"/>
                <w:color w:val="auto"/>
              </w:rPr>
              <w:t>4</w:t>
            </w:r>
          </w:p>
        </w:tc>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ind w:right="140" w:firstLine="640"/>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Hong Kong on June 27, 2025.</w:t>
      </w:r>
    </w:p>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/s/Josephine Ngai Yuk Chun</w:t>
            </w:r>
          </w:p>
        </w:tc>
      </w:tr>
      <w:tr>
        <w:trPr>
          <w:trHeight w:val="188"/>
        </w:trPr>
        <w:tc>
          <w:tcPr>
            <w:tcW w:w="6200" w:type="dxa"/>
            <w:vAlign w:val="bottom"/>
          </w:tcPr>
          <w:p>
            <w:pPr>
              <w:ind w:left="5640"/>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Josephine Ngai Yuk Chun</w:t>
            </w:r>
          </w:p>
        </w:tc>
      </w:tr>
      <w:tr>
        <w:trPr>
          <w:trHeight w:val="232"/>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40"/>
        </w:trPr>
        <w:tc>
          <w:tcPr>
            <w:tcW w:w="62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5</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4" w:lineRule="exact"/>
        <w:rPr>
          <w:sz w:val="20"/>
          <w:szCs w:val="20"/>
          <w:color w:val="auto"/>
        </w:rPr>
      </w:pPr>
    </w:p>
    <w:p>
      <w:pPr>
        <w:ind w:right="20" w:firstLine="320"/>
        <w:spacing w:after="0" w:line="252"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severally and not jointly, each of Wayne Huo and Josephine Ngai, with full power to act alone, as his or her true and lawful attorney-in-fact, with the power of substitution, for and in such person’s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each said attorney-in-fact full power and authority to do and perform each and every act and thing requisite and necessary to be done as fully to all intents and purposes as he or she might or could do in person, hereby ratifying and confirming all that each said attorney-in-fact may lawfully do or cause to be done by virtue hereof.</w:t>
      </w:r>
    </w:p>
    <w:p>
      <w:pPr>
        <w:spacing w:after="0" w:line="187" w:lineRule="exact"/>
        <w:rPr>
          <w:sz w:val="20"/>
          <w:szCs w:val="20"/>
          <w:color w:val="auto"/>
        </w:rPr>
      </w:pPr>
    </w:p>
    <w:p>
      <w:pPr>
        <w:ind w:right="80" w:firstLine="32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June 27, 2025.</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tcPr>
          <w:p>
            <w:pPr>
              <w:spacing w:after="0"/>
              <w:rPr>
                <w:sz w:val="17"/>
                <w:szCs w:val="17"/>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w w:val="95"/>
              </w:rPr>
              <w:t>Signature</w:t>
            </w:r>
          </w:p>
        </w:tc>
        <w:tc>
          <w:tcPr>
            <w:tcW w:w="1620" w:type="dxa"/>
            <w:vAlign w:val="bottom"/>
          </w:tcPr>
          <w:p>
            <w:pPr>
              <w:spacing w:after="0"/>
              <w:rPr>
                <w:sz w:val="17"/>
                <w:szCs w:val="17"/>
                <w:color w:val="auto"/>
              </w:rPr>
            </w:pPr>
          </w:p>
        </w:tc>
        <w:tc>
          <w:tcPr>
            <w:tcW w:w="46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3"/>
              </w:rPr>
              <w:t>Title</w:t>
            </w:r>
          </w:p>
        </w:tc>
        <w:tc>
          <w:tcPr>
            <w:tcW w:w="27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4"/>
              </w:rPr>
              <w:t>Date</w:t>
            </w:r>
          </w:p>
        </w:tc>
      </w:tr>
      <w:tr>
        <w:trPr>
          <w:trHeight w:val="20"/>
        </w:trPr>
        <w:tc>
          <w:tcPr>
            <w:tcW w:w="16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47"/>
        </w:trPr>
        <w:tc>
          <w:tcPr>
            <w:tcW w:w="1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/s/Michael Wu</w:t>
            </w:r>
          </w:p>
        </w:tc>
        <w:tc>
          <w:tcPr>
            <w:tcW w:w="6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6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Chairman of the Board</w:t>
            </w:r>
          </w:p>
        </w:tc>
        <w:tc>
          <w:tcPr>
            <w:tcW w:w="27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June 27, 2025</w:t>
            </w:r>
          </w:p>
        </w:tc>
      </w:tr>
      <w:tr>
        <w:trPr>
          <w:trHeight w:val="226"/>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Michael Wu</w:t>
            </w:r>
          </w:p>
        </w:tc>
        <w:tc>
          <w:tcPr>
            <w:tcW w:w="2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408"/>
        </w:trPr>
        <w:tc>
          <w:tcPr>
            <w:tcW w:w="39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/s/Wayne Huo</w:t>
            </w:r>
          </w:p>
        </w:tc>
        <w:tc>
          <w:tcPr>
            <w:tcW w:w="46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8"/>
              </w:rPr>
              <w:t>Chief Executive Officer and Director</w:t>
            </w:r>
          </w:p>
        </w:tc>
        <w:tc>
          <w:tcPr>
            <w:tcW w:w="27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June 27, 2025</w:t>
            </w:r>
          </w:p>
        </w:tc>
      </w:tr>
      <w:tr>
        <w:trPr>
          <w:trHeight w:val="226"/>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Wayne Huo</w:t>
            </w:r>
          </w:p>
        </w:tc>
        <w:tc>
          <w:tcPr>
            <w:tcW w:w="46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408"/>
        </w:trPr>
        <w:tc>
          <w:tcPr>
            <w:tcW w:w="39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/s/Wing Hong Sammy Hsieh</w:t>
            </w:r>
          </w:p>
        </w:tc>
        <w:tc>
          <w:tcPr>
            <w:tcW w:w="46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27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June 27, 2025</w:t>
            </w:r>
          </w:p>
        </w:tc>
      </w:tr>
      <w:tr>
        <w:trPr>
          <w:trHeight w:val="226"/>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Wing Hong Sammy Hsieh</w:t>
            </w:r>
          </w:p>
        </w:tc>
        <w:tc>
          <w:tcPr>
            <w:tcW w:w="2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408"/>
        </w:trPr>
        <w:tc>
          <w:tcPr>
            <w:tcW w:w="39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/s/Lub Bun Chong</w:t>
            </w:r>
          </w:p>
        </w:tc>
        <w:tc>
          <w:tcPr>
            <w:tcW w:w="46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Independent Director</w:t>
            </w:r>
          </w:p>
        </w:tc>
        <w:tc>
          <w:tcPr>
            <w:tcW w:w="27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June 27, 2025</w:t>
            </w:r>
          </w:p>
        </w:tc>
      </w:tr>
      <w:tr>
        <w:trPr>
          <w:trHeight w:val="226"/>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Lub Bun Chong</w:t>
            </w:r>
          </w:p>
        </w:tc>
        <w:tc>
          <w:tcPr>
            <w:tcW w:w="2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408"/>
        </w:trPr>
        <w:tc>
          <w:tcPr>
            <w:tcW w:w="39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/s/Philip Kan</w:t>
            </w:r>
          </w:p>
        </w:tc>
        <w:tc>
          <w:tcPr>
            <w:tcW w:w="46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Independent Director</w:t>
            </w:r>
          </w:p>
        </w:tc>
        <w:tc>
          <w:tcPr>
            <w:tcW w:w="27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June 27, 2025</w:t>
            </w:r>
          </w:p>
        </w:tc>
      </w:tr>
      <w:tr>
        <w:trPr>
          <w:trHeight w:val="226"/>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Philip Kan</w:t>
            </w:r>
          </w:p>
        </w:tc>
        <w:tc>
          <w:tcPr>
            <w:tcW w:w="2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408"/>
        </w:trPr>
        <w:tc>
          <w:tcPr>
            <w:tcW w:w="39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/s/Wing Wai Winson Ip</w:t>
            </w:r>
          </w:p>
        </w:tc>
        <w:tc>
          <w:tcPr>
            <w:tcW w:w="46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Independent Director</w:t>
            </w:r>
          </w:p>
        </w:tc>
        <w:tc>
          <w:tcPr>
            <w:tcW w:w="27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June 27, 2025</w:t>
            </w:r>
          </w:p>
        </w:tc>
      </w:tr>
      <w:tr>
        <w:trPr>
          <w:trHeight w:val="226"/>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Wing Wai Winson Ip</w:t>
            </w:r>
          </w:p>
        </w:tc>
        <w:tc>
          <w:tcPr>
            <w:tcW w:w="2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408"/>
        </w:trPr>
        <w:tc>
          <w:tcPr>
            <w:tcW w:w="39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/s/Josephine Ngai Yuk Chun</w:t>
            </w:r>
          </w:p>
        </w:tc>
        <w:tc>
          <w:tcPr>
            <w:tcW w:w="46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27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June 27, 2025</w:t>
            </w:r>
          </w:p>
        </w:tc>
      </w:tr>
      <w:tr>
        <w:trPr>
          <w:trHeight w:val="226"/>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Josephine Ngai Yuk Chun</w:t>
            </w:r>
          </w:p>
        </w:tc>
        <w:tc>
          <w:tcPr>
            <w:tcW w:w="46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(principal financial and accounting officer)</w:t>
            </w: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408"/>
        </w:trPr>
        <w:tc>
          <w:tcPr>
            <w:tcW w:w="1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6" w:name="page7"/>
    <w:bookmarkEnd w:id="6"/>
    <w:p>
      <w:pPr>
        <w:ind w:left="2460"/>
        <w:spacing w:after="0"/>
        <w:rPr>
          <w:sz w:val="20"/>
          <w:szCs w:val="20"/>
          <w:color w:val="auto"/>
        </w:rPr>
      </w:pPr>
      <w:r>
        <w:rPr>
          <w:rFonts w:ascii="Times New Roman" w:cs="Times New Roman" w:eastAsia="Times New Roman" w:hAnsi="Times New Roman"/>
          <w:sz w:val="18"/>
          <w:szCs w:val="18"/>
          <w:b w:val="1"/>
          <w:bCs w:val="1"/>
          <w:color w:val="auto"/>
        </w:rPr>
        <w:t>SIGNATURE OF AUTHORIZED REPRESENTATIVE IN THE UNITED STATES</w:t>
      </w:r>
    </w:p>
    <w:p>
      <w:pPr>
        <w:spacing w:after="0" w:line="224" w:lineRule="exact"/>
        <w:rPr>
          <w:sz w:val="20"/>
          <w:szCs w:val="20"/>
          <w:color w:val="auto"/>
        </w:rPr>
      </w:pPr>
    </w:p>
    <w:p>
      <w:pPr>
        <w:ind w:firstLine="640"/>
        <w:spacing w:after="0" w:line="277" w:lineRule="auto"/>
        <w:rPr>
          <w:sz w:val="20"/>
          <w:szCs w:val="20"/>
          <w:color w:val="auto"/>
        </w:rPr>
      </w:pPr>
      <w:r>
        <w:rPr>
          <w:rFonts w:ascii="Times New Roman" w:cs="Times New Roman" w:eastAsia="Times New Roman" w:hAnsi="Times New Roman"/>
          <w:sz w:val="18"/>
          <w:szCs w:val="18"/>
          <w:color w:val="auto"/>
        </w:rPr>
        <w:t>Pursuant to the Securities Act of 1933, the undersigned, the duly authorized representative in the United States of Amber International Holding Limited has signed this registration statement or amendment thereto in New York on June 27, 2025.</w:t>
      </w:r>
    </w:p>
    <w:p>
      <w:pPr>
        <w:spacing w:after="0" w:line="15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Authorized U.S. Representative</w:t>
      </w:r>
    </w:p>
    <w:p>
      <w:pPr>
        <w:spacing w:after="0" w:line="22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22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15875</wp:posOffset>
            </wp:positionV>
            <wp:extent cx="33464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spacing w:after="0" w:line="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Colleen A. De Vries</w:t>
      </w:r>
    </w:p>
    <w:p>
      <w:pPr>
        <w:spacing w:after="0" w:line="2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274955</wp:posOffset>
            </wp:positionV>
            <wp:extent cx="71342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840"/>
          </w:cols>
          <w:pgMar w:left="320" w:top="891" w:right="7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5867400</wp:posOffset>
            </wp:positionH>
            <wp:positionV relativeFrom="paragraph">
              <wp:posOffset>153670</wp:posOffset>
            </wp:positionV>
            <wp:extent cx="1270635" cy="7797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270635"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Office: </w:t>
      </w:r>
      <w:r>
        <w:rPr>
          <w:rFonts w:ascii="Times New Roman" w:cs="Times New Roman" w:eastAsia="Times New Roman" w:hAnsi="Times New Roman"/>
          <w:sz w:val="18"/>
          <w:szCs w:val="18"/>
          <w:color w:val="auto"/>
        </w:rPr>
        <w:t>+852 2801 6066</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Mobile: </w:t>
      </w:r>
      <w:r>
        <w:rPr>
          <w:rFonts w:ascii="Times New Roman" w:cs="Times New Roman" w:eastAsia="Times New Roman" w:hAnsi="Times New Roman"/>
          <w:sz w:val="18"/>
          <w:szCs w:val="18"/>
          <w:color w:val="auto"/>
        </w:rPr>
        <w:t>+852 9718 8740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Email:</w:t>
      </w:r>
      <w:r>
        <w:rPr>
          <w:rFonts w:ascii="Times New Roman" w:cs="Times New Roman" w:eastAsia="Times New Roman" w:hAnsi="Times New Roman"/>
          <w:sz w:val="18"/>
          <w:szCs w:val="18"/>
          <w:color w:val="auto"/>
        </w:rPr>
        <w:t>    rthorp@tta.lawyer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Amber International Holding Limited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Wallich Street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#30-02 Guoco Tower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 078881</w:t>
      </w:r>
    </w:p>
    <w:p>
      <w:pPr>
        <w:spacing w:after="0" w:line="201" w:lineRule="exact"/>
        <w:rPr>
          <w:sz w:val="20"/>
          <w:szCs w:val="20"/>
          <w:color w:val="auto"/>
        </w:rPr>
      </w:pPr>
    </w:p>
    <w:p>
      <w:pPr>
        <w:ind w:left="10300"/>
        <w:spacing w:after="0"/>
        <w:rPr>
          <w:sz w:val="20"/>
          <w:szCs w:val="20"/>
          <w:color w:val="auto"/>
        </w:rPr>
      </w:pPr>
      <w:r>
        <w:rPr>
          <w:rFonts w:ascii="Times New Roman" w:cs="Times New Roman" w:eastAsia="Times New Roman" w:hAnsi="Times New Roman"/>
          <w:sz w:val="17"/>
          <w:szCs w:val="17"/>
          <w:color w:val="auto"/>
        </w:rPr>
        <w:t>27 June 2025</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have examined the Registration Statement on Form S-8 to be filed by Amber International Holding Limited, a Cayman Islands exempted company incorporated with limited liability (the "</w:t>
      </w: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relating to the registration under the Securities Act of 1933, as amended, of an amount of Class A Ordinary Shares of the Registrant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for issuance pursuant to the 2025 Post-IPO Share Incentive Plan of Amber International Holding Limited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As Cayman Islands counsel to the Registrant, we have examined the corporate authorisations of the Registrant in connection with the Plan and the issue of the Shares by the Registrant and have assumed that the Shares will be issued in accordance with the Plan and the resolutions authorizing the issue.</w:t>
      </w:r>
    </w:p>
    <w:p>
      <w:pPr>
        <w:spacing w:after="0" w:line="1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It is our opinion that the Shares to be issued by the Registrant have been duly and validly authorised, and when issued, sold and paid for in the manner described in the Plan and in accordance with the relevant resolutions adopted by the Board of Directors of the Registrant (or any committee to whom the Board of Directors have delegated their powers with respect to administration of the Plan) and when appropriate entries have been made in the Register of Members of the Registrant, will be legally issued, fully paid and non-assessable.</w:t>
      </w:r>
    </w:p>
    <w:p>
      <w:pPr>
        <w:spacing w:after="0" w:line="1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We consent to the use of this opinion as an exhibit to the Registration Statement and further consent to all references to us in the Registration Statement and any amendments thereto.</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TRAVERS THORP ALBERGA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TRAVERS THORP ALBERGA</w:t>
      </w:r>
    </w:p>
    <w:p>
      <w:pPr>
        <w:spacing w:after="0" w:line="201" w:lineRule="exact"/>
        <w:rPr>
          <w:sz w:val="20"/>
          <w:szCs w:val="20"/>
          <w:color w:val="auto"/>
        </w:rPr>
      </w:pPr>
    </w:p>
    <w:tbl>
      <w:tblPr>
        <w:tblLayout w:type="fixed"/>
        <w:tblInd w:w="6640" w:type="dxa"/>
        <w:tblCellMar>
          <w:top w:w="0" w:type="dxa"/>
          <w:left w:w="0" w:type="dxa"/>
          <w:bottom w:w="0" w:type="dxa"/>
          <w:right w:w="0" w:type="dxa"/>
        </w:tblCellMar>
      </w:tblPr>
      <w:tr>
        <w:trPr>
          <w:trHeight w:val="213"/>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Tel:  +852 2801 6066</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3605-06 Tower Two</w:t>
            </w:r>
          </w:p>
        </w:tc>
      </w:tr>
      <w:tr>
        <w:trPr>
          <w:trHeight w:val="209"/>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Fax:  +852 2801 6767</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Lippo Centre, 89 Queensway</w:t>
            </w:r>
          </w:p>
        </w:tc>
      </w:tr>
      <w:tr>
        <w:trPr>
          <w:trHeight w:val="236"/>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www.traversthorpalberga.com</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HONG KONG</w:t>
            </w:r>
          </w:p>
        </w:tc>
      </w:tr>
    </w:tbl>
    <w:p>
      <w:pPr>
        <w:ind w:left="6640"/>
        <w:spacing w:after="0"/>
        <w:rPr>
          <w:sz w:val="20"/>
          <w:szCs w:val="20"/>
          <w:color w:val="auto"/>
        </w:rPr>
      </w:pPr>
      <w:r>
        <w:rPr>
          <w:rFonts w:ascii="Times New Roman" w:cs="Times New Roman" w:eastAsia="Times New Roman" w:hAnsi="Times New Roman"/>
          <w:sz w:val="18"/>
          <w:szCs w:val="18"/>
          <w:color w:val="auto"/>
        </w:rPr>
        <w:t>Cayman Islands &amp; British Virgin Islands Attorneys-at-Law</w:t>
      </w:r>
    </w:p>
    <w:p>
      <w:pPr>
        <w:spacing w:after="0" w:line="6"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b w:val="1"/>
          <w:bCs w:val="1"/>
          <w:color w:val="auto"/>
        </w:rPr>
        <w:t xml:space="preserve">Resident Hong Kong Partners: </w:t>
      </w:r>
      <w:r>
        <w:rPr>
          <w:rFonts w:ascii="Times New Roman" w:cs="Times New Roman" w:eastAsia="Times New Roman" w:hAnsi="Times New Roman"/>
          <w:sz w:val="18"/>
          <w:szCs w:val="18"/>
          <w:color w:val="auto"/>
        </w:rPr>
        <w:t>Anthony Travers OBE,</w:t>
      </w:r>
    </w:p>
    <w:p>
      <w:pPr>
        <w:spacing w:after="0" w:line="6"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Richard Thorp, Jos Briggs, Guy Connell, Ray Ng, James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274955</wp:posOffset>
            </wp:positionV>
            <wp:extent cx="71342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POST-IPO SHARE INCENTIVE PLAN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24"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The purpose of this Post IPO Share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is to promote the success and enhance the value of Amber International Holding Limited, an exempted company formed under the laws of the Cayman Islands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by linking the personal interests of the Directors, Employees, and Consultants to those of the Company’s shareholders and by providing such individuals with an incentive for outstanding performance to generate superior returns to the Company’s shareholders. The Plan is further intended to provide flexibility to the Company in its ability to motivate, attract, and retain the services of the Directors, Employees, and Consultants upon whose judgment, interest, and special effort the successful conduct of the Company’s operation is largely dependent.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AND CONSTRUCTION</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Wherever the following terms are used in the Plan they shall have the meanings specified below, unless the context clearly indicates otherwise. The singular pronoun shall include the plural where the context so indicates.</w:t>
      </w:r>
    </w:p>
    <w:p>
      <w:pPr>
        <w:spacing w:after="0" w:line="163" w:lineRule="exact"/>
        <w:rPr>
          <w:sz w:val="20"/>
          <w:szCs w:val="20"/>
          <w:color w:val="auto"/>
        </w:rPr>
      </w:pPr>
    </w:p>
    <w:p>
      <w:pPr>
        <w:jc w:val="both"/>
        <w:ind w:left="320" w:firstLine="640"/>
        <w:spacing w:after="0" w:line="262"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means the legal requirements relating to the Plan and the Awards under applicable provisions of the corporate, securities, tax and other laws, rules, regulations and government orders, and the rules of any applicable stock exchange or national market system, of any jurisdiction applicable to Awards granted to residents therein.</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an Option, Restricted Share or Restricted Share Unit award granted to a Participant pursuant to the Plan.</w:t>
      </w:r>
    </w:p>
    <w:p>
      <w:pPr>
        <w:spacing w:after="0" w:line="220" w:lineRule="exact"/>
        <w:rPr>
          <w:sz w:val="20"/>
          <w:szCs w:val="20"/>
          <w:color w:val="auto"/>
        </w:rPr>
      </w:pPr>
    </w:p>
    <w:p>
      <w:pPr>
        <w:jc w:val="both"/>
        <w:ind w:left="320" w:firstLine="640"/>
        <w:spacing w:after="0" w:line="277" w:lineRule="auto"/>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means any written agreement, contract, or other instrument or document evidencing an Award, including through electronic medium.</w:t>
      </w:r>
    </w:p>
    <w:p>
      <w:pPr>
        <w:spacing w:after="0" w:line="1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287020</wp:posOffset>
            </wp:positionV>
            <wp:extent cx="71342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9" w:name="page10"/>
    <w:bookmarkEnd w:id="9"/>
    <w:p>
      <w:pPr>
        <w:jc w:val="both"/>
        <w:ind w:left="320" w:firstLine="640"/>
        <w:spacing w:after="0" w:line="257" w:lineRule="auto"/>
        <w:rPr>
          <w:sz w:val="20"/>
          <w:szCs w:val="20"/>
          <w:color w:val="auto"/>
        </w:rPr>
      </w:pPr>
      <w:r>
        <w:rPr>
          <w:rFonts w:ascii="Times New Roman" w:cs="Times New Roman" w:eastAsia="Times New Roman" w:hAnsi="Times New Roman"/>
          <w:sz w:val="18"/>
          <w:szCs w:val="18"/>
          <w:color w:val="auto"/>
        </w:rPr>
        <w:t>2.5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with respect to a Participant means (unless otherwise expressly provided in the applicable Award Agreement, or another applicable contract with the Participant that defines such term for purposes of determining the effect that a “for cause” termination has on the Participant’s Awards) a termination of employment or service based upon a finding by the Service Recipient, acting in good faith and based on its reasonable belief at the time, that the Participant:</w:t>
      </w:r>
    </w:p>
    <w:p>
      <w:pPr>
        <w:spacing w:after="0" w:line="181" w:lineRule="exact"/>
        <w:rPr>
          <w:sz w:val="20"/>
          <w:szCs w:val="20"/>
          <w:color w:val="auto"/>
        </w:rPr>
      </w:pPr>
    </w:p>
    <w:p>
      <w:pPr>
        <w:ind w:firstLine="1601"/>
        <w:spacing w:after="0" w:line="277" w:lineRule="auto"/>
        <w:rPr>
          <w:sz w:val="20"/>
          <w:szCs w:val="20"/>
          <w:color w:val="auto"/>
        </w:rPr>
      </w:pPr>
      <w:r>
        <w:rPr>
          <w:rFonts w:ascii="Times New Roman" w:cs="Times New Roman" w:eastAsia="Times New Roman" w:hAnsi="Times New Roman"/>
          <w:sz w:val="18"/>
          <w:szCs w:val="18"/>
          <w:color w:val="auto"/>
        </w:rPr>
        <w:t>(a)      has been negligent in the discharge of his or her duties to the Service Recipient, has refused to perform stated or assigned duties or is incompetent in or (other than by reason of a disability or analogous condition) incapable of performing those duties;</w:t>
      </w:r>
    </w:p>
    <w:p>
      <w:pPr>
        <w:spacing w:after="0" w:line="163" w:lineRule="exact"/>
        <w:rPr>
          <w:sz w:val="20"/>
          <w:szCs w:val="20"/>
          <w:color w:val="auto"/>
        </w:rPr>
      </w:pPr>
    </w:p>
    <w:p>
      <w:pPr>
        <w:ind w:firstLine="1601"/>
        <w:spacing w:after="0" w:line="277" w:lineRule="auto"/>
        <w:rPr>
          <w:sz w:val="20"/>
          <w:szCs w:val="20"/>
          <w:color w:val="auto"/>
        </w:rPr>
      </w:pPr>
      <w:r>
        <w:rPr>
          <w:rFonts w:ascii="Times New Roman" w:cs="Times New Roman" w:eastAsia="Times New Roman" w:hAnsi="Times New Roman"/>
          <w:sz w:val="18"/>
          <w:szCs w:val="18"/>
          <w:color w:val="auto"/>
        </w:rPr>
        <w:t>(b)      has been dishonest or committed or engaged in an act of theft, embezzlement or fraud, a breach of confidentiality, an unauthorized disclosure or use of inside information, customer lists, trade secrets or other confidential information;</w:t>
      </w:r>
    </w:p>
    <w:p>
      <w:pPr>
        <w:spacing w:after="0" w:line="163" w:lineRule="exact"/>
        <w:rPr>
          <w:sz w:val="20"/>
          <w:szCs w:val="20"/>
          <w:color w:val="auto"/>
        </w:rPr>
      </w:pPr>
    </w:p>
    <w:p>
      <w:pPr>
        <w:ind w:right="20" w:firstLine="1601"/>
        <w:spacing w:after="0" w:line="277" w:lineRule="auto"/>
        <w:rPr>
          <w:sz w:val="20"/>
          <w:szCs w:val="20"/>
          <w:color w:val="auto"/>
        </w:rPr>
      </w:pPr>
      <w:r>
        <w:rPr>
          <w:rFonts w:ascii="Times New Roman" w:cs="Times New Roman" w:eastAsia="Times New Roman" w:hAnsi="Times New Roman"/>
          <w:sz w:val="18"/>
          <w:szCs w:val="18"/>
          <w:color w:val="auto"/>
        </w:rPr>
        <w:t>(c)      has breached a fiduciary duty, or willfully and materially violated any other duty, law, rule, regulation or policy of the Service Recipient; or has been convicted of, or plead guilty or nolo contendere to, a felony or misdemeanor (other than minor traffic violations or similar offenses);</w:t>
      </w:r>
    </w:p>
    <w:p>
      <w:pPr>
        <w:spacing w:after="0" w:line="16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(d)      has materially breached any of the provisions of any agreement with the Service Recipient;</w:t>
      </w:r>
    </w:p>
    <w:p>
      <w:pPr>
        <w:spacing w:after="0" w:line="220" w:lineRule="exact"/>
        <w:rPr>
          <w:sz w:val="20"/>
          <w:szCs w:val="20"/>
          <w:color w:val="auto"/>
        </w:rPr>
      </w:pPr>
    </w:p>
    <w:p>
      <w:pPr>
        <w:ind w:firstLine="1601"/>
        <w:spacing w:after="0" w:line="277" w:lineRule="auto"/>
        <w:rPr>
          <w:sz w:val="20"/>
          <w:szCs w:val="20"/>
          <w:color w:val="auto"/>
        </w:rPr>
      </w:pPr>
      <w:r>
        <w:rPr>
          <w:rFonts w:ascii="Times New Roman" w:cs="Times New Roman" w:eastAsia="Times New Roman" w:hAnsi="Times New Roman"/>
          <w:sz w:val="18"/>
          <w:szCs w:val="18"/>
          <w:color w:val="auto"/>
        </w:rPr>
        <w:t>(e)      has engaged in unfair competition with, or otherwise acted intentionally in a manner injurious to the reputation, business or assets of, the Service Recipient; or</w:t>
      </w:r>
    </w:p>
    <w:p>
      <w:pPr>
        <w:spacing w:after="0" w:line="163" w:lineRule="exact"/>
        <w:rPr>
          <w:sz w:val="20"/>
          <w:szCs w:val="20"/>
          <w:color w:val="auto"/>
        </w:rPr>
      </w:pPr>
    </w:p>
    <w:p>
      <w:pPr>
        <w:ind w:firstLine="1601"/>
        <w:spacing w:after="0" w:line="277" w:lineRule="auto"/>
        <w:rPr>
          <w:sz w:val="20"/>
          <w:szCs w:val="20"/>
          <w:color w:val="auto"/>
        </w:rPr>
      </w:pPr>
      <w:r>
        <w:rPr>
          <w:rFonts w:ascii="Times New Roman" w:cs="Times New Roman" w:eastAsia="Times New Roman" w:hAnsi="Times New Roman"/>
          <w:sz w:val="18"/>
          <w:szCs w:val="18"/>
          <w:color w:val="auto"/>
        </w:rPr>
        <w:t>(f)       has improperly induced a vendor or customer to break or terminate any contract with the Service Recipient or induced a principal for whom the Service Recipient acts as agent to terminate such agency relationship.</w:t>
      </w:r>
    </w:p>
    <w:p>
      <w:pPr>
        <w:spacing w:after="0" w:line="163" w:lineRule="exact"/>
        <w:rPr>
          <w:sz w:val="20"/>
          <w:szCs w:val="20"/>
          <w:color w:val="auto"/>
        </w:rPr>
      </w:pPr>
    </w:p>
    <w:p>
      <w:pPr>
        <w:ind w:firstLine="640"/>
        <w:spacing w:after="0" w:line="277" w:lineRule="auto"/>
        <w:rPr>
          <w:sz w:val="20"/>
          <w:szCs w:val="20"/>
          <w:color w:val="auto"/>
        </w:rPr>
      </w:pPr>
      <w:r>
        <w:rPr>
          <w:rFonts w:ascii="Times New Roman" w:cs="Times New Roman" w:eastAsia="Times New Roman" w:hAnsi="Times New Roman"/>
          <w:sz w:val="18"/>
          <w:szCs w:val="18"/>
          <w:color w:val="auto"/>
        </w:rPr>
        <w:t>A termination for Cause shall be deemed to occur (subject to reinstatement upon a contrary final determination by the Committee) on the date on which the Service Recipient first delivers written notice to the Participant of a finding of termination for Cause.</w:t>
      </w:r>
    </w:p>
    <w:p>
      <w:pPr>
        <w:spacing w:after="0" w:line="1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2.6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of the United States, as amended.</w:t>
      </w:r>
    </w:p>
    <w:p>
      <w:pPr>
        <w:spacing w:after="0" w:line="2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2.7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a committee of the Board described in Article 10.</w:t>
      </w:r>
    </w:p>
    <w:p>
      <w:pPr>
        <w:spacing w:after="0" w:line="220" w:lineRule="exact"/>
        <w:rPr>
          <w:sz w:val="20"/>
          <w:szCs w:val="20"/>
          <w:color w:val="auto"/>
        </w:rPr>
      </w:pPr>
    </w:p>
    <w:p>
      <w:pPr>
        <w:jc w:val="both"/>
        <w:ind w:left="320" w:firstLine="640"/>
        <w:spacing w:after="0" w:line="257" w:lineRule="auto"/>
        <w:rPr>
          <w:sz w:val="20"/>
          <w:szCs w:val="20"/>
          <w:color w:val="auto"/>
        </w:rPr>
      </w:pPr>
      <w:r>
        <w:rPr>
          <w:rFonts w:ascii="Times New Roman" w:cs="Times New Roman" w:eastAsia="Times New Roman" w:hAnsi="Times New Roman"/>
          <w:sz w:val="18"/>
          <w:szCs w:val="18"/>
          <w:color w:val="auto"/>
        </w:rPr>
        <w:t>2.8           “</w:t>
      </w:r>
      <w:r>
        <w:rPr>
          <w:rFonts w:ascii="Times New Roman" w:cs="Times New Roman" w:eastAsia="Times New Roman" w:hAnsi="Times New Roman"/>
          <w:sz w:val="18"/>
          <w:szCs w:val="18"/>
          <w:u w:val="single" w:color="auto"/>
          <w:color w:val="auto"/>
        </w:rPr>
        <w:t>Consultant</w:t>
      </w:r>
      <w:r>
        <w:rPr>
          <w:rFonts w:ascii="Times New Roman" w:cs="Times New Roman" w:eastAsia="Times New Roman" w:hAnsi="Times New Roman"/>
          <w:sz w:val="18"/>
          <w:szCs w:val="18"/>
          <w:color w:val="auto"/>
        </w:rPr>
        <w:t>” means any consultant or adviser if: (a) the consultant or adviser renders bona fide services to a Service Recipient; (b) the services rendered by the consultant or adviser are not in connection with the offer or sale of securities in a capital-raising transaction and do not directly or indirectly promote or maintain a market for the Company’s securities; and (c) the consultant or adviser is a natural person who has contracted directly with the Service Recipient to render such services.</w:t>
      </w:r>
    </w:p>
    <w:p>
      <w:pPr>
        <w:spacing w:after="0" w:line="181" w:lineRule="exact"/>
        <w:rPr>
          <w:sz w:val="20"/>
          <w:szCs w:val="20"/>
          <w:color w:val="auto"/>
        </w:rPr>
      </w:pPr>
    </w:p>
    <w:p>
      <w:pPr>
        <w:jc w:val="both"/>
        <w:ind w:left="320" w:firstLine="640"/>
        <w:spacing w:after="0" w:line="262" w:lineRule="auto"/>
        <w:rPr>
          <w:sz w:val="20"/>
          <w:szCs w:val="20"/>
          <w:color w:val="auto"/>
        </w:rPr>
      </w:pP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u w:val="single" w:color="auto"/>
          <w:color w:val="auto"/>
        </w:rPr>
        <w:t>Corporate Transaction</w:t>
      </w:r>
      <w:r>
        <w:rPr>
          <w:rFonts w:ascii="Times New Roman" w:cs="Times New Roman" w:eastAsia="Times New Roman" w:hAnsi="Times New Roman"/>
          <w:sz w:val="18"/>
          <w:szCs w:val="18"/>
          <w:color w:val="auto"/>
        </w:rPr>
        <w:t>”, unless otherwise defined in an Award Agreement, means any of the following transactions, provided, however, that the Committee shall determine under (d) and (e) whether multiple transactions are related, and its determination shall be final, binding and conclusive:</w:t>
      </w:r>
    </w:p>
    <w:p>
      <w:pPr>
        <w:spacing w:after="0" w:line="176" w:lineRule="exact"/>
        <w:rPr>
          <w:sz w:val="20"/>
          <w:szCs w:val="20"/>
          <w:color w:val="auto"/>
        </w:rPr>
      </w:pPr>
    </w:p>
    <w:p>
      <w:pPr>
        <w:jc w:val="both"/>
        <w:ind w:left="320" w:firstLine="1281"/>
        <w:spacing w:after="0" w:line="257" w:lineRule="auto"/>
        <w:rPr>
          <w:sz w:val="20"/>
          <w:szCs w:val="20"/>
          <w:color w:val="auto"/>
        </w:rPr>
      </w:pPr>
      <w:r>
        <w:rPr>
          <w:rFonts w:ascii="Times New Roman" w:cs="Times New Roman" w:eastAsia="Times New Roman" w:hAnsi="Times New Roman"/>
          <w:sz w:val="18"/>
          <w:szCs w:val="18"/>
          <w:color w:val="auto"/>
        </w:rPr>
        <w:t>(a)      an amalgamation, arrangement or consolidation or scheme of arrangement (i) in which the Company is not the surviving entity, except for a transaction the principal purpose of which is to change the jurisdiction in which the Company is incorporated or (ii) following which the holders of the voting securities of the Company do not continue to hold more than 50% of the combined voting power of the voting securities of the surviving entity;</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 w:name="page11"/>
    <w:bookmarkEnd w:id="10"/>
    <w:p>
      <w:pPr>
        <w:ind w:left="1280"/>
        <w:spacing w:after="0"/>
        <w:rPr>
          <w:sz w:val="20"/>
          <w:szCs w:val="20"/>
          <w:color w:val="auto"/>
        </w:rPr>
      </w:pPr>
      <w:r>
        <w:rPr>
          <w:rFonts w:ascii="Times New Roman" w:cs="Times New Roman" w:eastAsia="Times New Roman" w:hAnsi="Times New Roman"/>
          <w:sz w:val="18"/>
          <w:szCs w:val="18"/>
          <w:color w:val="auto"/>
        </w:rPr>
        <w:t>(b)      the sale, transfer or other disposition of all or substantially all of the assets of the Company;</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      the complete liquidation or dissolution of the Company;</w:t>
      </w:r>
    </w:p>
    <w:p>
      <w:pPr>
        <w:spacing w:after="0" w:line="220" w:lineRule="exact"/>
        <w:rPr>
          <w:sz w:val="20"/>
          <w:szCs w:val="20"/>
          <w:color w:val="auto"/>
        </w:rPr>
      </w:pPr>
    </w:p>
    <w:p>
      <w:pPr>
        <w:jc w:val="both"/>
        <w:ind w:firstLine="1281"/>
        <w:spacing w:after="0" w:line="271" w:lineRule="auto"/>
        <w:rPr>
          <w:sz w:val="20"/>
          <w:szCs w:val="20"/>
          <w:color w:val="auto"/>
        </w:rPr>
      </w:pPr>
      <w:r>
        <w:rPr>
          <w:rFonts w:ascii="Times New Roman" w:cs="Times New Roman" w:eastAsia="Times New Roman" w:hAnsi="Times New Roman"/>
          <w:sz w:val="17"/>
          <w:szCs w:val="17"/>
          <w:color w:val="auto"/>
        </w:rPr>
        <w:t>(d)      any reverse takeover or series of related transactions culminating in a reverse takeover (including, but not limited to, a tender offer followed by a reverse takeover) in which the Company is the surviving entity but (A) the Company’s equity securities outstanding immediately prior to such takeover are converted or exchanged by virtue of the takeover into other property, whether in the form of securities, cash or otherwise, or (B) in which securities possessing more than fifty percent (50%) of the total combined voting power of the Company’s outstanding securities are transferred to a person or persons different from those who held such securities immediately prior to such takeover or the initial transaction culminating in such takeover, but excluding any such transaction or series of related transactions that the Committee determines shall not be a Corporate Transaction; or</w:t>
      </w:r>
    </w:p>
    <w:p>
      <w:pPr>
        <w:spacing w:after="0" w:line="170" w:lineRule="exact"/>
        <w:rPr>
          <w:sz w:val="20"/>
          <w:szCs w:val="20"/>
          <w:color w:val="auto"/>
        </w:rPr>
      </w:pPr>
    </w:p>
    <w:p>
      <w:pPr>
        <w:jc w:val="both"/>
        <w:ind w:firstLine="1281"/>
        <w:spacing w:after="0" w:line="257" w:lineRule="auto"/>
        <w:rPr>
          <w:sz w:val="20"/>
          <w:szCs w:val="20"/>
          <w:color w:val="auto"/>
        </w:rPr>
      </w:pPr>
      <w:r>
        <w:rPr>
          <w:rFonts w:ascii="Times New Roman" w:cs="Times New Roman" w:eastAsia="Times New Roman" w:hAnsi="Times New Roman"/>
          <w:sz w:val="18"/>
          <w:szCs w:val="18"/>
          <w:color w:val="auto"/>
        </w:rPr>
        <w:t>(e)      acquisition in a single or series of related transactions by any person or related group of persons (other than the Company or by a Company-sponsored employee benefit plan) of beneficial ownership (within the meaning of Rule 13d-3 of the Exchange Act) of securities possessing more than fifty percent (50%) of the total combined voting power of the Company’s outstanding securities but excluding any such transaction or series of related transactions that the Committee determines shall not be a Corporate Transaction.</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2.10         “</w:t>
      </w:r>
      <w:r>
        <w:rPr>
          <w:rFonts w:ascii="Times New Roman" w:cs="Times New Roman" w:eastAsia="Times New Roman" w:hAnsi="Times New Roman"/>
          <w:sz w:val="18"/>
          <w:szCs w:val="18"/>
          <w:u w:val="single" w:color="auto"/>
          <w:color w:val="auto"/>
        </w:rPr>
        <w:t>Director”, means a member of the Board or a member of the board of directors of any Subsidiary of the Company.</w:t>
      </w:r>
    </w:p>
    <w:p>
      <w:pPr>
        <w:spacing w:after="0" w:line="220"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2.11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unless otherwise defined in an Award Agreement, means that the Participant qualifies to receive long-term disability payments under the Service Recipient’s long-term disability insurance program, as it may be amended from time to time, to which the Participant provides services regardless of whether the Participant is covered by such policy. If the Service Recipient to which the Participant provides service does not have a long-term disability plan in place, “Disability” means that a Participant is unable to carry out the responsibilities and functions of the position held by the Participant by reason of any medically determinable physical or mental impairment for a period of not less than ninety (90) consecutive days. A Participant will not be considered to have incurred a Disability unless he or she furnishes proof of such impairment sufficient to satisfy the Committee in its discretion.</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2.12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shall have the meaning set forth in Section 11.1.</w:t>
      </w:r>
    </w:p>
    <w:p>
      <w:pPr>
        <w:spacing w:after="0" w:line="220"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2.13        “</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means any person, including an officer or a Director, who is in the employment of a Service Recipient, subject to the control and direction of the Service Recipient as to both the work to be performed and the manner and method of performance. The payment of a director’s fee by a Service Recipient shall not be sufficient to constitute “employment” by the Service Recipient.</w:t>
      </w:r>
    </w:p>
    <w:p>
      <w:pPr>
        <w:spacing w:after="0" w:line="39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15875</wp:posOffset>
            </wp:positionV>
            <wp:extent cx="71342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920"/>
          </w:cols>
          <w:pgMar w:left="640" w:top="895" w:right="339" w:bottom="1440" w:gutter="0" w:footer="0" w:header="0"/>
        </w:sectPr>
      </w:pPr>
    </w:p>
    <w:bookmarkStart w:id="11" w:name="page12"/>
    <w:bookmarkEnd w:id="11"/>
    <w:p>
      <w:pPr>
        <w:ind w:left="640"/>
        <w:spacing w:after="0"/>
        <w:rPr>
          <w:sz w:val="20"/>
          <w:szCs w:val="20"/>
          <w:color w:val="auto"/>
        </w:rPr>
      </w:pPr>
      <w:r>
        <w:rPr>
          <w:rFonts w:ascii="Times New Roman" w:cs="Times New Roman" w:eastAsia="Times New Roman" w:hAnsi="Times New Roman"/>
          <w:sz w:val="18"/>
          <w:szCs w:val="18"/>
          <w:color w:val="auto"/>
        </w:rPr>
        <w:t>2.14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of the United States, as amended.</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2.15         “</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as of any date, the value of Shares determined as follows:</w:t>
      </w:r>
    </w:p>
    <w:p>
      <w:pPr>
        <w:spacing w:after="0" w:line="220" w:lineRule="exact"/>
        <w:rPr>
          <w:sz w:val="20"/>
          <w:szCs w:val="20"/>
          <w:color w:val="auto"/>
        </w:rPr>
      </w:pPr>
    </w:p>
    <w:p>
      <w:pPr>
        <w:jc w:val="both"/>
        <w:ind w:firstLine="1288"/>
        <w:spacing w:after="0" w:line="253" w:lineRule="auto"/>
        <w:tabs>
          <w:tab w:leader="none" w:pos="152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If the Shares are listed on one or more established stock exchanges or national market systems, including without limitation, the New York Stock Exchange or the NASDAQ Stock Market, its Fair Market Value shall be the closing sales price for such shares (or the closing bid, if no sales were reported) as quoted on the principal exchange or system on which the Shares are listed (as determined by the Committee) on the date of determination (or, if no closing sales price or closing bid was reported on that date, as applicable, on the last trading date such closing sales price or closing bid was reported), as reported on the website maintained by such exchange or market system or such other source as the Committee deems reliable;</w:t>
      </w:r>
    </w:p>
    <w:p>
      <w:pPr>
        <w:spacing w:after="0" w:line="185" w:lineRule="exact"/>
        <w:rPr>
          <w:sz w:val="20"/>
          <w:szCs w:val="20"/>
          <w:color w:val="auto"/>
        </w:rPr>
      </w:pPr>
    </w:p>
    <w:p>
      <w:pPr>
        <w:jc w:val="both"/>
        <w:ind w:firstLine="1281"/>
        <w:spacing w:after="0" w:line="254" w:lineRule="auto"/>
        <w:rPr>
          <w:sz w:val="20"/>
          <w:szCs w:val="20"/>
          <w:color w:val="auto"/>
        </w:rPr>
      </w:pPr>
      <w:r>
        <w:rPr>
          <w:rFonts w:ascii="Times New Roman" w:cs="Times New Roman" w:eastAsia="Times New Roman" w:hAnsi="Times New Roman"/>
          <w:sz w:val="18"/>
          <w:szCs w:val="18"/>
          <w:color w:val="auto"/>
        </w:rPr>
        <w:t>(b)      If the Shares are regularly quoted on an automated quotation system (including the OTC Bulletin Board) or by a recognized securities dealer, its Fair Market Value shall be the closing sales price for such Shares as quoted on such system or by such securities dealer on the date of determination, but if selling prices are not reported, the Fair Market Value of a Share shall be the mean between the high bid and low asked prices for the Shares on the date of determination (or, if no such prices were reported on that date, on the last date such prices were reported), as reported in The Wall Street Journal or such other source as the Committee deems reliable; or</w:t>
      </w:r>
    </w:p>
    <w:p>
      <w:pPr>
        <w:spacing w:after="0" w:line="186" w:lineRule="exact"/>
        <w:rPr>
          <w:sz w:val="20"/>
          <w:szCs w:val="20"/>
          <w:color w:val="auto"/>
        </w:rPr>
      </w:pPr>
    </w:p>
    <w:p>
      <w:pPr>
        <w:jc w:val="both"/>
        <w:ind w:firstLine="1281"/>
        <w:spacing w:after="0" w:line="269" w:lineRule="auto"/>
        <w:rPr>
          <w:sz w:val="20"/>
          <w:szCs w:val="20"/>
          <w:color w:val="auto"/>
        </w:rPr>
      </w:pPr>
      <w:r>
        <w:rPr>
          <w:rFonts w:ascii="Times New Roman" w:cs="Times New Roman" w:eastAsia="Times New Roman" w:hAnsi="Times New Roman"/>
          <w:sz w:val="17"/>
          <w:szCs w:val="17"/>
          <w:color w:val="auto"/>
        </w:rPr>
        <w:t>(c)      In the absence of an established market for the Shares of the type described in (a) and (b), above, the Fair Market Value thereof shall be determined by the Committee in good faith and in its discretion by reference to (i) the placing price of the latest private placement of the Shares and the development of the Company’s business operations and the general economic and market conditions since such latest private placement,</w:t>
      </w:r>
    </w:p>
    <w:p>
      <w:pPr>
        <w:spacing w:after="0" w:line="2" w:lineRule="exact"/>
        <w:rPr>
          <w:sz w:val="20"/>
          <w:szCs w:val="20"/>
          <w:color w:val="auto"/>
        </w:rPr>
      </w:pPr>
    </w:p>
    <w:p>
      <w:pPr>
        <w:jc w:val="both"/>
        <w:ind w:firstLine="7"/>
        <w:spacing w:after="0" w:line="251" w:lineRule="auto"/>
        <w:tabs>
          <w:tab w:leader="none" w:pos="27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third party transactions involving the Shares and the development of the Company’s business operation and the general economic and market conditions since such transaction, (iii) an independent valuation of the Shares, or (iv) such other methodologies or information as the Committee determines to be indicative of Fair Market Value.</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2.16         “</w:t>
      </w:r>
      <w:r>
        <w:rPr>
          <w:rFonts w:ascii="Times New Roman" w:cs="Times New Roman" w:eastAsia="Times New Roman" w:hAnsi="Times New Roman"/>
          <w:sz w:val="18"/>
          <w:szCs w:val="18"/>
          <w:u w:val="single" w:color="auto"/>
          <w:color w:val="auto"/>
        </w:rPr>
        <w:t>Group Entity” means any of the Company and Subsidiaries of the Company.</w:t>
      </w:r>
    </w:p>
    <w:p>
      <w:pPr>
        <w:spacing w:after="0" w:line="220"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2.17         “</w:t>
      </w:r>
      <w:r>
        <w:rPr>
          <w:rFonts w:ascii="Times New Roman" w:cs="Times New Roman" w:eastAsia="Times New Roman" w:hAnsi="Times New Roman"/>
          <w:sz w:val="18"/>
          <w:szCs w:val="18"/>
          <w:u w:val="single" w:color="auto"/>
          <w:color w:val="auto"/>
        </w:rPr>
        <w:t>Incentive Share Option</w:t>
      </w:r>
      <w:r>
        <w:rPr>
          <w:rFonts w:ascii="Times New Roman" w:cs="Times New Roman" w:eastAsia="Times New Roman" w:hAnsi="Times New Roman"/>
          <w:sz w:val="18"/>
          <w:szCs w:val="18"/>
          <w:color w:val="auto"/>
        </w:rPr>
        <w:t>” means an Option that is intended to meet the requirements of Section 422 of the Code or any successor provision thereto.</w:t>
      </w:r>
    </w:p>
    <w:p>
      <w:pPr>
        <w:spacing w:after="0" w:line="163" w:lineRule="exact"/>
        <w:rPr>
          <w:sz w:val="20"/>
          <w:szCs w:val="20"/>
          <w:color w:val="auto"/>
        </w:rPr>
      </w:pPr>
    </w:p>
    <w:p>
      <w:pPr>
        <w:jc w:val="both"/>
        <w:ind w:firstLine="640"/>
        <w:spacing w:after="0" w:line="284" w:lineRule="auto"/>
        <w:rPr>
          <w:sz w:val="20"/>
          <w:szCs w:val="20"/>
          <w:color w:val="auto"/>
        </w:rPr>
      </w:pPr>
      <w:r>
        <w:rPr>
          <w:rFonts w:ascii="Times New Roman" w:cs="Times New Roman" w:eastAsia="Times New Roman" w:hAnsi="Times New Roman"/>
          <w:sz w:val="17"/>
          <w:szCs w:val="17"/>
          <w:color w:val="auto"/>
        </w:rPr>
        <w:t>2.18         “</w:t>
      </w:r>
      <w:r>
        <w:rPr>
          <w:rFonts w:ascii="Times New Roman" w:cs="Times New Roman" w:eastAsia="Times New Roman" w:hAnsi="Times New Roman"/>
          <w:sz w:val="17"/>
          <w:szCs w:val="17"/>
          <w:u w:val="single" w:color="auto"/>
          <w:color w:val="auto"/>
        </w:rPr>
        <w:t>Independent Director</w:t>
      </w:r>
      <w:r>
        <w:rPr>
          <w:rFonts w:ascii="Times New Roman" w:cs="Times New Roman" w:eastAsia="Times New Roman" w:hAnsi="Times New Roman"/>
          <w:sz w:val="17"/>
          <w:szCs w:val="17"/>
          <w:color w:val="auto"/>
        </w:rPr>
        <w:t>” means (i) if the Shares or other securities representing the Shares are not listed on a stock exchange, a Director of the Company who is a Non-Employee Director; and (ii) if the Shares or other securities representing the Shares are listed on one or more stock exchange, a Director of the Company who meets the independence standards under the applicable corporate governance rules of the stock exchange(s).</w:t>
      </w:r>
    </w:p>
    <w:p>
      <w:pPr>
        <w:spacing w:after="0" w:line="37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15875</wp:posOffset>
            </wp:positionV>
            <wp:extent cx="71342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920"/>
          </w:cols>
          <w:pgMar w:left="640" w:top="895" w:right="339" w:bottom="1440" w:gutter="0" w:footer="0" w:header="0"/>
        </w:sectPr>
      </w:pPr>
    </w:p>
    <w:bookmarkStart w:id="12" w:name="page13"/>
    <w:bookmarkEnd w:id="12"/>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2.19         “</w:t>
      </w:r>
      <w:r>
        <w:rPr>
          <w:rFonts w:ascii="Times New Roman" w:cs="Times New Roman" w:eastAsia="Times New Roman" w:hAnsi="Times New Roman"/>
          <w:sz w:val="18"/>
          <w:szCs w:val="18"/>
          <w:u w:val="single" w:color="auto"/>
          <w:color w:val="auto"/>
        </w:rPr>
        <w:t>Non-Employee Director</w:t>
      </w:r>
      <w:r>
        <w:rPr>
          <w:rFonts w:ascii="Times New Roman" w:cs="Times New Roman" w:eastAsia="Times New Roman" w:hAnsi="Times New Roman"/>
          <w:sz w:val="18"/>
          <w:szCs w:val="18"/>
          <w:color w:val="auto"/>
        </w:rPr>
        <w:t>” means a member of the Board who qualifies as a “Non-Employee Director” as defined in Rule 16b-3(b)(3) of the Exchange Act, or any successor definition adopted by the Board.</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2.20         “</w:t>
      </w:r>
      <w:r>
        <w:rPr>
          <w:rFonts w:ascii="Times New Roman" w:cs="Times New Roman" w:eastAsia="Times New Roman" w:hAnsi="Times New Roman"/>
          <w:sz w:val="18"/>
          <w:szCs w:val="18"/>
          <w:u w:val="single" w:color="auto"/>
          <w:color w:val="auto"/>
        </w:rPr>
        <w:t>Non-Qualified Share Option</w:t>
      </w:r>
      <w:r>
        <w:rPr>
          <w:rFonts w:ascii="Times New Roman" w:cs="Times New Roman" w:eastAsia="Times New Roman" w:hAnsi="Times New Roman"/>
          <w:sz w:val="18"/>
          <w:szCs w:val="18"/>
          <w:color w:val="auto"/>
        </w:rPr>
        <w:t>” means an Option that is not intended to be an Incentive Share Option.</w:t>
      </w:r>
    </w:p>
    <w:p>
      <w:pPr>
        <w:spacing w:after="0" w:line="220"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2.21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means a right granted to a Participant pursuant to Article 5 of the Plan to purchase a specified number of Shares at a specified price during specified time periods. An Option may be either an Incentive Share Option or a Non-Qualified Share Option.</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2.22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a person who, as a Director, Consultant or Employee, has been granted an Award pursuant to the Plan.</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2.23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means a parent corporation under Section 424(e) of the Code.</w:t>
      </w:r>
    </w:p>
    <w:p>
      <w:pPr>
        <w:spacing w:after="0" w:line="220" w:lineRule="exact"/>
        <w:rPr>
          <w:sz w:val="20"/>
          <w:szCs w:val="20"/>
          <w:color w:val="auto"/>
        </w:rPr>
      </w:pPr>
    </w:p>
    <w:p>
      <w:pPr>
        <w:ind w:left="640"/>
        <w:spacing w:after="0" w:line="277" w:lineRule="auto"/>
        <w:rPr>
          <w:sz w:val="20"/>
          <w:szCs w:val="20"/>
          <w:color w:val="auto"/>
        </w:rPr>
      </w:pPr>
      <w:r>
        <w:rPr>
          <w:rFonts w:ascii="Times New Roman" w:cs="Times New Roman" w:eastAsia="Times New Roman" w:hAnsi="Times New Roman"/>
          <w:sz w:val="18"/>
          <w:szCs w:val="18"/>
          <w:color w:val="auto"/>
        </w:rPr>
        <w:t>2.24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this Post-IPO Share Incentive Plan of Amber International Holding Limited, as amended and/or restated from time to time.</w:t>
      </w:r>
    </w:p>
    <w:p>
      <w:pPr>
        <w:spacing w:after="0" w:line="163"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2.24         “</w:t>
      </w:r>
      <w:r>
        <w:rPr>
          <w:rFonts w:ascii="Times New Roman" w:cs="Times New Roman" w:eastAsia="Times New Roman" w:hAnsi="Times New Roman"/>
          <w:sz w:val="18"/>
          <w:szCs w:val="18"/>
          <w:u w:val="single" w:color="auto"/>
          <w:color w:val="auto"/>
        </w:rPr>
        <w:t>Related Entity</w:t>
      </w:r>
      <w:r>
        <w:rPr>
          <w:rFonts w:ascii="Times New Roman" w:cs="Times New Roman" w:eastAsia="Times New Roman" w:hAnsi="Times New Roman"/>
          <w:sz w:val="18"/>
          <w:szCs w:val="18"/>
          <w:color w:val="auto"/>
        </w:rPr>
        <w:t>” means any business, corporation, partnership, limited liability company or other entity in which the Company, a Parent or Subsidiary of the Company holds a substantial ownership interest, directly or indirectly, or controls through contractual arrangements and consolidates the financial results according to applicable accounting standards, but which is not a Subsidiary and which the Board designates as a Related Entity for purposes of the Plan.</w:t>
      </w:r>
    </w:p>
    <w:p>
      <w:pPr>
        <w:spacing w:after="0" w:line="181"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2.25         “</w:t>
      </w:r>
      <w:r>
        <w:rPr>
          <w:rFonts w:ascii="Times New Roman" w:cs="Times New Roman" w:eastAsia="Times New Roman" w:hAnsi="Times New Roman"/>
          <w:sz w:val="18"/>
          <w:szCs w:val="18"/>
          <w:u w:val="single" w:color="auto"/>
          <w:color w:val="auto"/>
        </w:rPr>
        <w:t>Restricted Share</w:t>
      </w:r>
      <w:r>
        <w:rPr>
          <w:rFonts w:ascii="Times New Roman" w:cs="Times New Roman" w:eastAsia="Times New Roman" w:hAnsi="Times New Roman"/>
          <w:sz w:val="18"/>
          <w:szCs w:val="18"/>
          <w:color w:val="auto"/>
        </w:rPr>
        <w:t>” means a Share awarded to a Participant pursuant to Article 6 that is subject to certain restrictions and may be subject to risk of forfeiture.</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2.26         “</w:t>
      </w:r>
      <w:r>
        <w:rPr>
          <w:rFonts w:ascii="Times New Roman" w:cs="Times New Roman" w:eastAsia="Times New Roman" w:hAnsi="Times New Roman"/>
          <w:sz w:val="18"/>
          <w:szCs w:val="18"/>
          <w:u w:val="single" w:color="auto"/>
          <w:color w:val="auto"/>
        </w:rPr>
        <w:t>Restricted Share Unit</w:t>
      </w:r>
      <w:r>
        <w:rPr>
          <w:rFonts w:ascii="Times New Roman" w:cs="Times New Roman" w:eastAsia="Times New Roman" w:hAnsi="Times New Roman"/>
          <w:sz w:val="18"/>
          <w:szCs w:val="18"/>
          <w:color w:val="auto"/>
        </w:rPr>
        <w:t>” means an Award granted pursuant to Article 7.</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2.27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of the United States, as amended.</w:t>
      </w:r>
    </w:p>
    <w:p>
      <w:pPr>
        <w:spacing w:after="0" w:line="220"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2.28         “</w:t>
      </w:r>
      <w:r>
        <w:rPr>
          <w:rFonts w:ascii="Times New Roman" w:cs="Times New Roman" w:eastAsia="Times New Roman" w:hAnsi="Times New Roman"/>
          <w:sz w:val="18"/>
          <w:szCs w:val="18"/>
          <w:u w:val="single" w:color="auto"/>
          <w:color w:val="auto"/>
        </w:rPr>
        <w:t>Service Recipient</w:t>
      </w:r>
      <w:r>
        <w:rPr>
          <w:rFonts w:ascii="Times New Roman" w:cs="Times New Roman" w:eastAsia="Times New Roman" w:hAnsi="Times New Roman"/>
          <w:sz w:val="18"/>
          <w:szCs w:val="18"/>
          <w:color w:val="auto"/>
        </w:rPr>
        <w:t>” means the Company or Subsidiary of the Company to which a Participant provides services as an Employee, a Consultant or a Director.</w:t>
      </w:r>
    </w:p>
    <w:p>
      <w:pPr>
        <w:spacing w:after="0" w:line="163"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2.29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means the Class A ordinary shares of the Company, par value US$0.001 per share, and such other securities of the Company that may be substituted for Shares pursuant to Article 9.</w:t>
      </w:r>
    </w:p>
    <w:p>
      <w:pPr>
        <w:spacing w:after="0" w:line="163"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2.30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corporation or other entity of which a majority of the outstanding voting shares or voting power is beneficially owned directly or indirectly by the Company.</w:t>
      </w:r>
    </w:p>
    <w:p>
      <w:pPr>
        <w:spacing w:after="0" w:line="163" w:lineRule="exact"/>
        <w:rPr>
          <w:sz w:val="20"/>
          <w:szCs w:val="20"/>
          <w:color w:val="auto"/>
        </w:rPr>
      </w:pPr>
    </w:p>
    <w:p>
      <w:pPr>
        <w:jc w:val="both"/>
        <w:ind w:right="20" w:firstLine="640"/>
        <w:spacing w:after="0" w:line="277" w:lineRule="auto"/>
        <w:rPr>
          <w:sz w:val="20"/>
          <w:szCs w:val="20"/>
          <w:color w:val="auto"/>
        </w:rPr>
      </w:pPr>
      <w:r>
        <w:rPr>
          <w:rFonts w:ascii="Times New Roman" w:cs="Times New Roman" w:eastAsia="Times New Roman" w:hAnsi="Times New Roman"/>
          <w:sz w:val="18"/>
          <w:szCs w:val="18"/>
          <w:color w:val="auto"/>
        </w:rPr>
        <w:t>2.31         “</w:t>
      </w:r>
      <w:r>
        <w:rPr>
          <w:rFonts w:ascii="Times New Roman" w:cs="Times New Roman" w:eastAsia="Times New Roman" w:hAnsi="Times New Roman"/>
          <w:sz w:val="18"/>
          <w:szCs w:val="18"/>
          <w:u w:val="single" w:color="auto"/>
          <w:color w:val="auto"/>
        </w:rPr>
        <w:t>Trading Date</w:t>
      </w:r>
      <w:r>
        <w:rPr>
          <w:rFonts w:ascii="Times New Roman" w:cs="Times New Roman" w:eastAsia="Times New Roman" w:hAnsi="Times New Roman"/>
          <w:sz w:val="18"/>
          <w:szCs w:val="18"/>
          <w:color w:val="auto"/>
        </w:rPr>
        <w:t>” means the closing of the first sale to the general public of the Shares pursuant to a registration statement filed with and declared effective by the U.S. Securities and Exchange Commission under the Securities Act.</w:t>
      </w:r>
    </w:p>
    <w:p>
      <w:pPr>
        <w:spacing w:after="0" w:line="37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15875</wp:posOffset>
            </wp:positionV>
            <wp:extent cx="71342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920"/>
          </w:cols>
          <w:pgMar w:left="640" w:top="895"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SHARES SUBJECT TO THE PLAN</w:t>
      </w:r>
    </w:p>
    <w:p>
      <w:pPr>
        <w:spacing w:after="0" w:line="22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3.1  </w:t>
      </w:r>
      <w:r>
        <w:rPr>
          <w:rFonts w:ascii="Times New Roman" w:cs="Times New Roman" w:eastAsia="Times New Roman" w:hAnsi="Times New Roman"/>
          <w:sz w:val="18"/>
          <w:szCs w:val="18"/>
          <w:u w:val="single" w:color="auto"/>
          <w:color w:val="auto"/>
        </w:rPr>
        <w:t>  Number of Shares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81"/>
        <w:spacing w:after="0" w:line="253" w:lineRule="auto"/>
        <w:rPr>
          <w:sz w:val="20"/>
          <w:szCs w:val="20"/>
          <w:color w:val="auto"/>
        </w:rPr>
      </w:pPr>
      <w:r>
        <w:rPr>
          <w:rFonts w:ascii="Times New Roman" w:cs="Times New Roman" w:eastAsia="Times New Roman" w:hAnsi="Times New Roman"/>
          <w:sz w:val="18"/>
          <w:szCs w:val="18"/>
          <w:color w:val="auto"/>
        </w:rPr>
        <w:t>(a)   Subject to the provisions of Article 9 and Section 3.1(b), the maximum aggregate number of Shares which may be issued pursuant to all Awards (including Incentive Share Options) (the “Award Pool”) shall initially be 11,000,000 Shares, plus an annual increase on the first day of each fiscal year of the Company during the term of this Plan commencing with the fiscal year beginning January 1, 2026, by an amount equal to the least of (i) 0.5% of the total number of Shares issued and outstanding on the last day of the immediately preceding fiscal year; or (ii) such number of Shares as may be determined by the Board, the size of the Award Pool to be equitably adjusted in the event of any share dividend, subdivision, reclassification, recapitalization, split, reverse split, combination, consolidation or similar transactions.</w:t>
      </w:r>
    </w:p>
    <w:p>
      <w:pPr>
        <w:spacing w:after="0" w:line="185" w:lineRule="exact"/>
        <w:rPr>
          <w:sz w:val="20"/>
          <w:szCs w:val="20"/>
          <w:color w:val="auto"/>
        </w:rPr>
      </w:pPr>
    </w:p>
    <w:p>
      <w:pPr>
        <w:jc w:val="both"/>
        <w:ind w:firstLine="1281"/>
        <w:spacing w:after="0" w:line="251" w:lineRule="auto"/>
        <w:rPr>
          <w:sz w:val="20"/>
          <w:szCs w:val="20"/>
          <w:color w:val="auto"/>
        </w:rPr>
      </w:pPr>
      <w:r>
        <w:rPr>
          <w:rFonts w:ascii="Times New Roman" w:cs="Times New Roman" w:eastAsia="Times New Roman" w:hAnsi="Times New Roman"/>
          <w:sz w:val="18"/>
          <w:szCs w:val="18"/>
          <w:color w:val="auto"/>
        </w:rPr>
        <w:t>(b)   To the extent that an Award terminates, expires, or lapses for any reason, any Shares subject to the Award shall again be available for the grant of an Award pursuant to the Plan. To the extent permitted by Applicable Laws, Shares issued in assumption of, or in substitution for, any outstanding awards of any entity acquired in any form or combination by a Group Entity shall not be counted against Shares available for grant pursuant to the Plan. Shares delivered by the Participant or withheld by the Company upon the exercise of any Award under the Plan, in payment of the exercise price thereof or tax withholding thereon, may again be optioned, granted or awarded hereunder, subject to the limitations of Section 3.1(a). If any Restricted Shares are forfeited by the Participant or repurchased by the Company, such Shares may again be optioned, granted or awarded hereunder, subject to the limitations of Section 3.1(a). Notwithstanding the provisions of this Section 3.1(b), no Shares may again be optioned, granted or awarded if such action would cause an Incentive Share Option to fail to qualify as an incentive share option under Section 422 of the Code.</w:t>
      </w:r>
    </w:p>
    <w:p>
      <w:pPr>
        <w:spacing w:after="0" w:line="190" w:lineRule="exact"/>
        <w:rPr>
          <w:sz w:val="20"/>
          <w:szCs w:val="20"/>
          <w:color w:val="auto"/>
        </w:rPr>
      </w:pPr>
    </w:p>
    <w:p>
      <w:pPr>
        <w:jc w:val="both"/>
        <w:ind w:firstLine="961"/>
        <w:spacing w:after="0" w:line="277" w:lineRule="auto"/>
        <w:rPr>
          <w:sz w:val="20"/>
          <w:szCs w:val="20"/>
          <w:color w:val="auto"/>
        </w:rPr>
      </w:pPr>
      <w:r>
        <w:rPr>
          <w:rFonts w:ascii="Times New Roman" w:cs="Times New Roman" w:eastAsia="Times New Roman" w:hAnsi="Times New Roman"/>
          <w:sz w:val="17"/>
          <w:szCs w:val="17"/>
          <w:color w:val="auto"/>
        </w:rPr>
        <w:t>3.2 </w:t>
      </w:r>
      <w:r>
        <w:rPr>
          <w:rFonts w:ascii="Times New Roman" w:cs="Times New Roman" w:eastAsia="Times New Roman" w:hAnsi="Times New Roman"/>
          <w:sz w:val="17"/>
          <w:szCs w:val="17"/>
          <w:u w:val="single" w:color="auto"/>
          <w:color w:val="auto"/>
        </w:rPr>
        <w:t>  Shares Distributed</w:t>
      </w:r>
      <w:r>
        <w:rPr>
          <w:rFonts w:ascii="Times New Roman" w:cs="Times New Roman" w:eastAsia="Times New Roman" w:hAnsi="Times New Roman"/>
          <w:sz w:val="17"/>
          <w:szCs w:val="17"/>
          <w:color w:val="auto"/>
        </w:rPr>
        <w:t>. Any Shares distributed pursuant to an Award may consist, in whole or in part, of authorized and unissued Shares, treasury Shares (subject to Applicable Laws) or Shares purchased on the open market. Additionally, at the discretion of the Committee, any Shares distributed pursuant to an Award may be represented by American Depository Shares. If the number of Shares represented by an American Depository Share is other than on a one-to-one basis, the limitations of Section 3.1 shall be adjusted to reflect the distribution of American Depository Shares in lieu of Shares.</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ELIGIBILITY AND PARTICIPATION</w:t>
      </w:r>
    </w:p>
    <w:p>
      <w:pPr>
        <w:spacing w:after="0" w:line="22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4.1 </w:t>
      </w:r>
      <w:r>
        <w:rPr>
          <w:rFonts w:ascii="Times New Roman" w:cs="Times New Roman" w:eastAsia="Times New Roman" w:hAnsi="Times New Roman"/>
          <w:sz w:val="18"/>
          <w:szCs w:val="18"/>
          <w:u w:val="single" w:color="auto"/>
          <w:color w:val="auto"/>
        </w:rPr>
        <w:t>  Eligibility</w:t>
      </w:r>
      <w:r>
        <w:rPr>
          <w:rFonts w:ascii="Times New Roman" w:cs="Times New Roman" w:eastAsia="Times New Roman" w:hAnsi="Times New Roman"/>
          <w:sz w:val="18"/>
          <w:szCs w:val="18"/>
          <w:color w:val="auto"/>
        </w:rPr>
        <w:t>. Persons eligible to participate in this Plan include Employees, Consultants, and Directors, as determined by the Committee.</w:t>
      </w:r>
    </w:p>
    <w:p>
      <w:pPr>
        <w:spacing w:after="0" w:line="220" w:lineRule="exact"/>
        <w:rPr>
          <w:sz w:val="20"/>
          <w:szCs w:val="20"/>
          <w:color w:val="auto"/>
        </w:rPr>
      </w:pPr>
    </w:p>
    <w:p>
      <w:pPr>
        <w:jc w:val="both"/>
        <w:ind w:firstLine="961"/>
        <w:spacing w:after="0" w:line="262" w:lineRule="auto"/>
        <w:rPr>
          <w:sz w:val="20"/>
          <w:szCs w:val="20"/>
          <w:color w:val="auto"/>
        </w:rPr>
      </w:pPr>
      <w:r>
        <w:rPr>
          <w:rFonts w:ascii="Times New Roman" w:cs="Times New Roman" w:eastAsia="Times New Roman" w:hAnsi="Times New Roman"/>
          <w:sz w:val="18"/>
          <w:szCs w:val="18"/>
          <w:color w:val="auto"/>
        </w:rPr>
        <w:t>4.2 </w:t>
      </w:r>
      <w:r>
        <w:rPr>
          <w:rFonts w:ascii="Times New Roman" w:cs="Times New Roman" w:eastAsia="Times New Roman" w:hAnsi="Times New Roman"/>
          <w:sz w:val="18"/>
          <w:szCs w:val="18"/>
          <w:u w:val="single" w:color="auto"/>
          <w:color w:val="auto"/>
        </w:rPr>
        <w:t>  Participation</w:t>
      </w:r>
      <w:r>
        <w:rPr>
          <w:rFonts w:ascii="Times New Roman" w:cs="Times New Roman" w:eastAsia="Times New Roman" w:hAnsi="Times New Roman"/>
          <w:sz w:val="18"/>
          <w:szCs w:val="18"/>
          <w:color w:val="auto"/>
        </w:rPr>
        <w:t>. Subject to the provisions of the Plan, the Committee may, from time to time, select from among all eligible individuals, those to whom Awards shall be granted and shall determine the nature and amount of each Award. No individual shall have any right to be granted an Award pursuant to this Plan.</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 w:name="page15"/>
    <w:bookmarkEnd w:id="14"/>
    <w:p>
      <w:pPr>
        <w:jc w:val="both"/>
        <w:ind w:firstLine="961"/>
        <w:spacing w:after="0" w:line="252" w:lineRule="auto"/>
        <w:rPr>
          <w:sz w:val="20"/>
          <w:szCs w:val="20"/>
          <w:color w:val="auto"/>
        </w:rPr>
      </w:pPr>
      <w:r>
        <w:rPr>
          <w:rFonts w:ascii="Times New Roman" w:cs="Times New Roman" w:eastAsia="Times New Roman" w:hAnsi="Times New Roman"/>
          <w:sz w:val="18"/>
          <w:szCs w:val="18"/>
          <w:color w:val="auto"/>
        </w:rPr>
        <w:t>4.3 </w:t>
      </w:r>
      <w:r>
        <w:rPr>
          <w:rFonts w:ascii="Times New Roman" w:cs="Times New Roman" w:eastAsia="Times New Roman" w:hAnsi="Times New Roman"/>
          <w:sz w:val="18"/>
          <w:szCs w:val="18"/>
          <w:u w:val="single" w:color="auto"/>
          <w:color w:val="auto"/>
        </w:rPr>
        <w:t>  Jurisdictions</w:t>
      </w:r>
      <w:r>
        <w:rPr>
          <w:rFonts w:ascii="Times New Roman" w:cs="Times New Roman" w:eastAsia="Times New Roman" w:hAnsi="Times New Roman"/>
          <w:sz w:val="18"/>
          <w:szCs w:val="18"/>
          <w:color w:val="auto"/>
        </w:rPr>
        <w:t xml:space="preserve">. In order to assure the viability of Awards granted to Participants employed in various jurisdictions, the Committee may provide for such special terms as it may consider necessary or appropriate to accommodate differences in local law, tax policy, or custom applicable in the jurisdiction in which the Participant resides, is employed, operates or is incorporated. Moreover, the Committee may approve such supplements to, or amendments, restatements, or alternative versions of, the Plan as it may consider necessary or appropriate for such purposes without thereby affecting the terms of the Plan as in effect for any other purpose;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such supplements, amendments, restatements, or alternative versions shall increase the share limitations contained in Section 3.1 of the Plan. Notwithstanding the foregoing, the Committee may not take any actions hereunder, and no Awards shall be granted, that would violate any Applicable Laws.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22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5.1 </w:t>
      </w:r>
      <w:r>
        <w:rPr>
          <w:rFonts w:ascii="Times New Roman" w:cs="Times New Roman" w:eastAsia="Times New Roman" w:hAnsi="Times New Roman"/>
          <w:sz w:val="18"/>
          <w:szCs w:val="18"/>
          <w:u w:val="single" w:color="auto"/>
          <w:color w:val="auto"/>
        </w:rPr>
        <w:t>  General.</w:t>
      </w:r>
      <w:r>
        <w:rPr>
          <w:rFonts w:ascii="Times New Roman" w:cs="Times New Roman" w:eastAsia="Times New Roman" w:hAnsi="Times New Roman"/>
          <w:sz w:val="18"/>
          <w:szCs w:val="18"/>
          <w:color w:val="auto"/>
        </w:rPr>
        <w:t>     The Committee is authorized to grant Options to Participants on the following terms and conditions:</w:t>
      </w:r>
    </w:p>
    <w:p>
      <w:pPr>
        <w:spacing w:after="0" w:line="220" w:lineRule="exact"/>
        <w:rPr>
          <w:sz w:val="20"/>
          <w:szCs w:val="20"/>
          <w:color w:val="auto"/>
        </w:rPr>
      </w:pPr>
    </w:p>
    <w:p>
      <w:pPr>
        <w:jc w:val="both"/>
        <w:ind w:firstLine="1281"/>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Exercise Price</w:t>
      </w:r>
      <w:r>
        <w:rPr>
          <w:rFonts w:ascii="Times New Roman" w:cs="Times New Roman" w:eastAsia="Times New Roman" w:hAnsi="Times New Roman"/>
          <w:sz w:val="18"/>
          <w:szCs w:val="18"/>
          <w:color w:val="auto"/>
        </w:rPr>
        <w:t>. The exercise price per Share subject to an Option shall be determined by the Committee and set forth in the Award Agreement which may be a fixed price or a variable price related to the Fair Market Value of the Shares. The exercise price per Share subject to an Option may be amended or adjusted in the absolute discretion of the Committee, the determination of which shall be final, binding and conclusive. For the avoidance of doubt, to the extent not prohibited by Applicable Laws or any exchange rule, a downward adjustment of the exercise prices of Options mentioned in the preceding sentence shall be effective without the approval of the Company’s shareholders or the approval of the affected Participants.</w:t>
      </w:r>
    </w:p>
    <w:p>
      <w:pPr>
        <w:spacing w:after="0" w:line="186" w:lineRule="exact"/>
        <w:rPr>
          <w:sz w:val="20"/>
          <w:szCs w:val="20"/>
          <w:color w:val="auto"/>
        </w:rPr>
      </w:pPr>
    </w:p>
    <w:p>
      <w:pPr>
        <w:jc w:val="both"/>
        <w:ind w:firstLine="1281"/>
        <w:spacing w:after="0" w:line="26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Time and Conditions of Exercise</w:t>
      </w:r>
      <w:r>
        <w:rPr>
          <w:rFonts w:ascii="Times New Roman" w:cs="Times New Roman" w:eastAsia="Times New Roman" w:hAnsi="Times New Roman"/>
          <w:sz w:val="18"/>
          <w:szCs w:val="18"/>
          <w:color w:val="auto"/>
        </w:rPr>
        <w:t xml:space="preserve">. The Committee shall determine the time or times at which an Option may be exercised in whole or in part, including exercise prior to vesting;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term of any Option granted under the Plan shall not exceed ten years, except as provided in Section 12.1. The Committee shall also determine any conditions, if any, that must be satisfied before all or part of an Option may be exercised.</w:t>
      </w:r>
    </w:p>
    <w:p>
      <w:pPr>
        <w:spacing w:after="0" w:line="176" w:lineRule="exact"/>
        <w:rPr>
          <w:sz w:val="20"/>
          <w:szCs w:val="20"/>
          <w:color w:val="auto"/>
        </w:rPr>
      </w:pPr>
    </w:p>
    <w:p>
      <w:pPr>
        <w:jc w:val="both"/>
        <w:ind w:firstLine="1281"/>
        <w:spacing w:after="0" w:line="250"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Payment</w:t>
      </w:r>
      <w:r>
        <w:rPr>
          <w:rFonts w:ascii="Times New Roman" w:cs="Times New Roman" w:eastAsia="Times New Roman" w:hAnsi="Times New Roman"/>
          <w:sz w:val="18"/>
          <w:szCs w:val="18"/>
          <w:color w:val="auto"/>
        </w:rPr>
        <w:t xml:space="preserve">. The Committee shall determine the methods by which the exercise price of an Option may be paid, the form of payment, including, without limitation (i) cash or check denominated in U.S. Dollars, (ii) to the extent permissible under the Applicable Laws, cash or check in Chinese Renminbi, (iii) cash or check denominated in any other local currency as approved by the Committee, (iv) Shares held for such period of time as may be required by the Committee in order to avoid adverse financial accounting consequences and having a Fair Market Value on the date of delivery equal to the aggregate exercise price of the Option or exercised portion thereof, (v) after the Trading Date the delivery of a notice that the Participant has placed a market sell order with a broker with respect to Shares then issuable upon exercise of the Option, and that the broker has been directed to pay a sufficient portion of the net proceeds of the sale to the Company in satisfaction of the Option exercise price;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payment of such proceeds is then made to the Company upon settlement of such sale, (vi) other property acceptable to the Committee with a Fair Market Value equal to the exercise price, or (vii) any combination of the foregoing. Notwithstanding any other provision of the Plan to the contrary, no Participant who is a member of the Board or an “executive officer” of the Company within the meaning of Section 13(k) of the Exchange Act shall be permitted to pay the exercise price of an Option in any method which would violate Section 13(k) of the Exchange Act.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 w:name="page16"/>
    <w:bookmarkEnd w:id="15"/>
    <w:p>
      <w:pPr>
        <w:jc w:val="both"/>
        <w:ind w:firstLine="1281"/>
        <w:spacing w:after="0" w:line="277"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Evidence of Grant</w:t>
      </w:r>
      <w:r>
        <w:rPr>
          <w:rFonts w:ascii="Times New Roman" w:cs="Times New Roman" w:eastAsia="Times New Roman" w:hAnsi="Times New Roman"/>
          <w:sz w:val="18"/>
          <w:szCs w:val="18"/>
          <w:color w:val="auto"/>
        </w:rPr>
        <w:t>. All Options shall be evidenced by an Award Agreement between the Company and the Participant. The Award Agreement shall include such additional provisions as may be specified by the Committee.</w:t>
      </w:r>
    </w:p>
    <w:p>
      <w:pPr>
        <w:spacing w:after="0" w:line="1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(e) </w:t>
      </w:r>
      <w:r>
        <w:rPr>
          <w:rFonts w:ascii="Times New Roman" w:cs="Times New Roman" w:eastAsia="Times New Roman" w:hAnsi="Times New Roman"/>
          <w:sz w:val="17"/>
          <w:szCs w:val="17"/>
          <w:u w:val="single" w:color="auto"/>
          <w:color w:val="auto"/>
        </w:rPr>
        <w:t>  Effects of Termination of Employment or Service on Options</w:t>
      </w:r>
      <w:r>
        <w:rPr>
          <w:rFonts w:ascii="Times New Roman" w:cs="Times New Roman" w:eastAsia="Times New Roman" w:hAnsi="Times New Roman"/>
          <w:sz w:val="17"/>
          <w:szCs w:val="17"/>
          <w:color w:val="auto"/>
        </w:rPr>
        <w:t>. Termination of employment or service shall have the following effects 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granted to the Participants:</w:t>
      </w:r>
    </w:p>
    <w:p>
      <w:pPr>
        <w:spacing w:after="0" w:line="201" w:lineRule="exact"/>
        <w:rPr>
          <w:sz w:val="20"/>
          <w:szCs w:val="20"/>
          <w:color w:val="auto"/>
        </w:rPr>
      </w:pPr>
    </w:p>
    <w:p>
      <w:pPr>
        <w:jc w:val="both"/>
        <w:ind w:firstLine="1921"/>
        <w:spacing w:after="0" w:line="262"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Dismissal for Cause</w:t>
      </w:r>
      <w:r>
        <w:rPr>
          <w:rFonts w:ascii="Times New Roman" w:cs="Times New Roman" w:eastAsia="Times New Roman" w:hAnsi="Times New Roman"/>
          <w:sz w:val="18"/>
          <w:szCs w:val="18"/>
          <w:color w:val="auto"/>
        </w:rPr>
        <w:t>. Unless otherwise provided in the Award Agreement, if a Participant’s employment by or service to the Service Recipient is terminated by the Service Recipient for Cause, the Participant’s Options will terminate upon such termination, whether or not the Option is then vested and/or exercisable;</w:t>
      </w:r>
    </w:p>
    <w:p>
      <w:pPr>
        <w:spacing w:after="0" w:line="17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7"/>
          <w:szCs w:val="17"/>
          <w:color w:val="auto"/>
        </w:rPr>
        <w:t>(ii)         </w:t>
      </w:r>
      <w:r>
        <w:rPr>
          <w:rFonts w:ascii="Times New Roman" w:cs="Times New Roman" w:eastAsia="Times New Roman" w:hAnsi="Times New Roman"/>
          <w:sz w:val="17"/>
          <w:szCs w:val="17"/>
          <w:u w:val="single" w:color="auto"/>
          <w:color w:val="auto"/>
        </w:rPr>
        <w:t>  Death or Disability</w:t>
      </w:r>
      <w:r>
        <w:rPr>
          <w:rFonts w:ascii="Times New Roman" w:cs="Times New Roman" w:eastAsia="Times New Roman" w:hAnsi="Times New Roman"/>
          <w:sz w:val="17"/>
          <w:szCs w:val="17"/>
          <w:color w:val="auto"/>
        </w:rPr>
        <w:t>. Unless otherwise provided in the Award Agreement, if a Participant’s employment by or service to the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 Recipient terminates as a result of the Participant’s death or Disability:</w:t>
      </w:r>
    </w:p>
    <w:p>
      <w:pPr>
        <w:spacing w:after="0" w:line="201" w:lineRule="exact"/>
        <w:rPr>
          <w:sz w:val="20"/>
          <w:szCs w:val="20"/>
          <w:color w:val="auto"/>
        </w:rPr>
      </w:pPr>
    </w:p>
    <w:p>
      <w:pPr>
        <w:jc w:val="both"/>
        <w:ind w:left="2560" w:hanging="632"/>
        <w:spacing w:after="0" w:line="257" w:lineRule="auto"/>
        <w:tabs>
          <w:tab w:leader="none" w:pos="2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(or his or her legal representative or beneficiary, in the case of the Participant’s Disability or death, respectively), will have until the date that is 12 months after the Participant’s termination of Employment to exercise the Participant’s Options (or portion thereof) to the extent that such Options were vested and exercisable on the date of the Participant’s termination of Employment on account of death or Disability;</w:t>
      </w:r>
    </w:p>
    <w:p>
      <w:pPr>
        <w:spacing w:after="0" w:line="180" w:lineRule="exact"/>
        <w:rPr>
          <w:rFonts w:ascii="Times New Roman" w:cs="Times New Roman" w:eastAsia="Times New Roman" w:hAnsi="Times New Roman"/>
          <w:sz w:val="18"/>
          <w:szCs w:val="18"/>
          <w:color w:val="auto"/>
        </w:rPr>
      </w:pPr>
    </w:p>
    <w:p>
      <w:pPr>
        <w:jc w:val="both"/>
        <w:ind w:left="2560" w:hanging="632"/>
        <w:spacing w:after="0" w:line="262" w:lineRule="auto"/>
        <w:tabs>
          <w:tab w:leader="none" w:pos="2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to the extent not vested and exercisable on the date of the Participant’s termination of Employment or service, shall terminate upon the Participant’s termination of Employment or service on account of death or Disability; and</w:t>
      </w:r>
    </w:p>
    <w:p>
      <w:pPr>
        <w:spacing w:after="0" w:line="176" w:lineRule="exact"/>
        <w:rPr>
          <w:rFonts w:ascii="Times New Roman" w:cs="Times New Roman" w:eastAsia="Times New Roman" w:hAnsi="Times New Roman"/>
          <w:sz w:val="18"/>
          <w:szCs w:val="18"/>
          <w:color w:val="auto"/>
        </w:rPr>
      </w:pPr>
    </w:p>
    <w:p>
      <w:pPr>
        <w:jc w:val="both"/>
        <w:ind w:left="2560" w:hanging="632"/>
        <w:spacing w:after="0" w:line="262" w:lineRule="auto"/>
        <w:tabs>
          <w:tab w:leader="none" w:pos="2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to the extent exercisable for the 12-month period following the Participant’s termination of Employment or service and not exercised during such period, shall terminate at the close of business on the last day of the 12-month period.</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6" w:name="page17"/>
    <w:bookmarkEnd w:id="16"/>
    <w:p>
      <w:pPr>
        <w:jc w:val="both"/>
        <w:ind w:firstLine="1921"/>
        <w:spacing w:after="0" w:line="262"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Other Terminations of Employment or Service</w:t>
      </w:r>
      <w:r>
        <w:rPr>
          <w:rFonts w:ascii="Times New Roman" w:cs="Times New Roman" w:eastAsia="Times New Roman" w:hAnsi="Times New Roman"/>
          <w:sz w:val="18"/>
          <w:szCs w:val="18"/>
          <w:color w:val="auto"/>
        </w:rPr>
        <w:t>. Unless otherwise provided in the Award Agreement, if a Participant’s employment by or service to the Service Recipient terminates for any reason other than a termination by the Service Recipient for Cause or because of the Participant’s death or Disability:</w:t>
      </w:r>
    </w:p>
    <w:p>
      <w:pPr>
        <w:spacing w:after="0" w:line="176" w:lineRule="exact"/>
        <w:rPr>
          <w:sz w:val="20"/>
          <w:szCs w:val="20"/>
          <w:color w:val="auto"/>
        </w:rPr>
      </w:pPr>
    </w:p>
    <w:p>
      <w:pPr>
        <w:jc w:val="both"/>
        <w:ind w:left="2560" w:hanging="632"/>
        <w:spacing w:after="0" w:line="262" w:lineRule="auto"/>
        <w:tabs>
          <w:tab w:leader="none" w:pos="2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will have until the date that is 90 days after the Participant’s termination of Employment or service to exercise his or her Options (or portion thereof) to the extent that such Options were vested and exercisable on the date of the Participant’s termination of Employment or service;</w:t>
      </w:r>
    </w:p>
    <w:p>
      <w:pPr>
        <w:spacing w:after="0" w:line="176" w:lineRule="exact"/>
        <w:rPr>
          <w:rFonts w:ascii="Times New Roman" w:cs="Times New Roman" w:eastAsia="Times New Roman" w:hAnsi="Times New Roman"/>
          <w:sz w:val="18"/>
          <w:szCs w:val="18"/>
          <w:color w:val="auto"/>
        </w:rPr>
      </w:pPr>
    </w:p>
    <w:p>
      <w:pPr>
        <w:ind w:left="2560" w:hanging="632"/>
        <w:spacing w:after="0" w:line="277" w:lineRule="auto"/>
        <w:tabs>
          <w:tab w:leader="none" w:pos="2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to the extent not vested and exercisable on the date of the Participant’s termination of Employment or service, shall terminate upon the Participant’s termination of Employment or service; and</w:t>
      </w:r>
    </w:p>
    <w:p>
      <w:pPr>
        <w:spacing w:after="0" w:line="162" w:lineRule="exact"/>
        <w:rPr>
          <w:rFonts w:ascii="Times New Roman" w:cs="Times New Roman" w:eastAsia="Times New Roman" w:hAnsi="Times New Roman"/>
          <w:sz w:val="18"/>
          <w:szCs w:val="18"/>
          <w:color w:val="auto"/>
        </w:rPr>
      </w:pPr>
    </w:p>
    <w:p>
      <w:pPr>
        <w:jc w:val="both"/>
        <w:ind w:left="2560" w:hanging="632"/>
        <w:spacing w:after="0" w:line="307" w:lineRule="auto"/>
        <w:tabs>
          <w:tab w:leader="none" w:pos="25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Options, to the extent exercisable for the 90-day period following the Participant’s termination of Employment or service and not exercised during such period, shall terminate at the close of business on the last day of the 90-day period.</w:t>
      </w:r>
    </w:p>
    <w:p>
      <w:pPr>
        <w:spacing w:after="0" w:line="140" w:lineRule="exact"/>
        <w:rPr>
          <w:sz w:val="20"/>
          <w:szCs w:val="20"/>
          <w:color w:val="auto"/>
        </w:rPr>
      </w:pPr>
    </w:p>
    <w:p>
      <w:pPr>
        <w:jc w:val="both"/>
        <w:ind w:left="320" w:firstLine="640"/>
        <w:spacing w:after="0" w:line="257" w:lineRule="auto"/>
        <w:rPr>
          <w:sz w:val="20"/>
          <w:szCs w:val="20"/>
          <w:color w:val="auto"/>
        </w:rPr>
      </w:pPr>
      <w:r>
        <w:rPr>
          <w:rFonts w:ascii="Times New Roman" w:cs="Times New Roman" w:eastAsia="Times New Roman" w:hAnsi="Times New Roman"/>
          <w:sz w:val="18"/>
          <w:szCs w:val="18"/>
          <w:color w:val="auto"/>
        </w:rPr>
        <w:t>5.2         </w:t>
      </w:r>
      <w:r>
        <w:rPr>
          <w:rFonts w:ascii="Times New Roman" w:cs="Times New Roman" w:eastAsia="Times New Roman" w:hAnsi="Times New Roman"/>
          <w:sz w:val="18"/>
          <w:szCs w:val="18"/>
          <w:u w:val="single" w:color="auto"/>
          <w:color w:val="auto"/>
        </w:rPr>
        <w:t>  Incentive Share Options</w:t>
      </w:r>
      <w:r>
        <w:rPr>
          <w:rFonts w:ascii="Times New Roman" w:cs="Times New Roman" w:eastAsia="Times New Roman" w:hAnsi="Times New Roman"/>
          <w:sz w:val="18"/>
          <w:szCs w:val="18"/>
          <w:color w:val="auto"/>
        </w:rPr>
        <w:t>. Incentive Share Options may be granted to Employees of the Company or a Subsidiary of the Company. Incentive Share Options may not be granted to employees of a Related Entity or to Independent Directors or Consultants. The terms of any Incentive Share Options granted pursuant to the Plan, in addition to the requirements of Section 5.1, must comply with the following additional provisions of this Section 5.2:</w:t>
      </w:r>
    </w:p>
    <w:p>
      <w:pPr>
        <w:spacing w:after="0" w:line="181" w:lineRule="exact"/>
        <w:rPr>
          <w:sz w:val="20"/>
          <w:szCs w:val="20"/>
          <w:color w:val="auto"/>
        </w:rPr>
      </w:pPr>
    </w:p>
    <w:p>
      <w:pPr>
        <w:jc w:val="both"/>
        <w:ind w:firstLine="1601"/>
        <w:spacing w:after="0" w:line="257"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Individual Dollar Limitation</w:t>
      </w:r>
      <w:r>
        <w:rPr>
          <w:rFonts w:ascii="Times New Roman" w:cs="Times New Roman" w:eastAsia="Times New Roman" w:hAnsi="Times New Roman"/>
          <w:sz w:val="18"/>
          <w:szCs w:val="18"/>
          <w:color w:val="auto"/>
        </w:rPr>
        <w:t>. The aggregate Fair Market Value (determined as of the time the Option is granted) of all Shares with respect to which Incentive Share Options are first exercisable by a Participant in any calendar year may not exceed $100,000 or such other limitation as imposed by Section 422(d) of the Code, or any successor provision. To the extent that Incentive Share Options are first exercisable by a Participant in excess of such limitation, the excess shall be considered Non-Qualified Share Options.</w:t>
      </w:r>
    </w:p>
    <w:p>
      <w:pPr>
        <w:spacing w:after="0" w:line="181" w:lineRule="exact"/>
        <w:rPr>
          <w:sz w:val="20"/>
          <w:szCs w:val="20"/>
          <w:color w:val="auto"/>
        </w:rPr>
      </w:pPr>
    </w:p>
    <w:p>
      <w:pPr>
        <w:jc w:val="both"/>
        <w:ind w:firstLine="1601"/>
        <w:spacing w:after="0" w:line="257"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of an Incentive Share Option shall be equal to the Fair Market Value on the date of grant. However, the exercise price of any Incentive Share Option granted to any individual who, at the date of grant, owns Shares possessing more than ten percent of the total combined voting power of all classes of shares of the Company or any Parent or Subsidiary of the Company may not be less than 110% of Fair Market Value on the date of grant and such Option may not be exercisable for more than five years from the date of grant.</w:t>
      </w:r>
    </w:p>
    <w:p>
      <w:pPr>
        <w:spacing w:after="0" w:line="181" w:lineRule="exact"/>
        <w:rPr>
          <w:sz w:val="20"/>
          <w:szCs w:val="20"/>
          <w:color w:val="auto"/>
        </w:rPr>
      </w:pPr>
    </w:p>
    <w:p>
      <w:pPr>
        <w:jc w:val="both"/>
        <w:ind w:firstLine="1601"/>
        <w:spacing w:after="0" w:line="26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Transfer Restriction</w:t>
      </w:r>
      <w:r>
        <w:rPr>
          <w:rFonts w:ascii="Times New Roman" w:cs="Times New Roman" w:eastAsia="Times New Roman" w:hAnsi="Times New Roman"/>
          <w:sz w:val="18"/>
          <w:szCs w:val="18"/>
          <w:color w:val="auto"/>
        </w:rPr>
        <w:t>. The Participant shall give the Company prompt notice of any disposition of Shares acquired by exercise of an Incentive Share Option within (i) two years from the date of grant of such Incentive Share Option or (ii) one year after the transfer of such Shares to the Participant.</w:t>
      </w:r>
    </w:p>
    <w:p>
      <w:pPr>
        <w:spacing w:after="0" w:line="176" w:lineRule="exact"/>
        <w:rPr>
          <w:sz w:val="20"/>
          <w:szCs w:val="20"/>
          <w:color w:val="auto"/>
        </w:rPr>
      </w:pPr>
    </w:p>
    <w:p>
      <w:pPr>
        <w:jc w:val="both"/>
        <w:ind w:firstLine="1601"/>
        <w:spacing w:after="0" w:line="277"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Expiration of Incentive Share Options</w:t>
      </w:r>
      <w:r>
        <w:rPr>
          <w:rFonts w:ascii="Times New Roman" w:cs="Times New Roman" w:eastAsia="Times New Roman" w:hAnsi="Times New Roman"/>
          <w:sz w:val="18"/>
          <w:szCs w:val="18"/>
          <w:color w:val="auto"/>
        </w:rPr>
        <w:t>. No Award of an Incentive Share Option may be made pursuant to this Plan after the tenth anniversary of the Effective Date.</w:t>
      </w:r>
    </w:p>
    <w:p>
      <w:pPr>
        <w:spacing w:after="0" w:line="16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Right to Exercise</w:t>
      </w:r>
      <w:r>
        <w:rPr>
          <w:rFonts w:ascii="Times New Roman" w:cs="Times New Roman" w:eastAsia="Times New Roman" w:hAnsi="Times New Roman"/>
          <w:sz w:val="18"/>
          <w:szCs w:val="18"/>
          <w:color w:val="auto"/>
        </w:rPr>
        <w:t>. During a Participant’s lifetime, an Incentive Share Option may be exercised only by the Participant.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7" w:name="page18"/>
    <w:bookmarkEnd w:id="17"/>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22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RESTRICTED SHARES</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6.1         </w:t>
      </w:r>
      <w:r>
        <w:rPr>
          <w:rFonts w:ascii="Times New Roman" w:cs="Times New Roman" w:eastAsia="Times New Roman" w:hAnsi="Times New Roman"/>
          <w:sz w:val="18"/>
          <w:szCs w:val="18"/>
          <w:u w:val="single" w:color="auto"/>
          <w:color w:val="auto"/>
        </w:rPr>
        <w:t>  Grant of Restricted Shares</w:t>
      </w:r>
      <w:r>
        <w:rPr>
          <w:rFonts w:ascii="Times New Roman" w:cs="Times New Roman" w:eastAsia="Times New Roman" w:hAnsi="Times New Roman"/>
          <w:sz w:val="18"/>
          <w:szCs w:val="18"/>
          <w:color w:val="auto"/>
        </w:rPr>
        <w:t>. The Committee, at any time and from time to time, may grant Restricted Shares to Participants as the Committee, in its sole discretion, shall determine. The Committee, in its sole discretion, shall determine the number of Restricted Shares to be granted to each Participant.</w:t>
      </w:r>
    </w:p>
    <w:p>
      <w:pPr>
        <w:spacing w:after="0" w:line="176"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Restricted Shares Award Agreement</w:t>
      </w:r>
      <w:r>
        <w:rPr>
          <w:rFonts w:ascii="Times New Roman" w:cs="Times New Roman" w:eastAsia="Times New Roman" w:hAnsi="Times New Roman"/>
          <w:sz w:val="18"/>
          <w:szCs w:val="18"/>
          <w:color w:val="auto"/>
        </w:rPr>
        <w:t>. Each Award of Restricted Shares shall be evidenced by an Award Agreement that shall specify the period of restriction, the number of Restricted Shares granted, and such other terms and conditions as the Committee, in its sole discretion, shall determine. Unless the Committee determines otherwise, Restricted Shares shall be held by the Company as escrow agent until the restrictions on such Restricted Shares have lapsed.</w:t>
      </w:r>
    </w:p>
    <w:p>
      <w:pPr>
        <w:spacing w:after="0" w:line="181"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6.3         </w:t>
      </w:r>
      <w:r>
        <w:rPr>
          <w:rFonts w:ascii="Times New Roman" w:cs="Times New Roman" w:eastAsia="Times New Roman" w:hAnsi="Times New Roman"/>
          <w:sz w:val="18"/>
          <w:szCs w:val="18"/>
          <w:u w:val="single" w:color="auto"/>
          <w:color w:val="auto"/>
        </w:rPr>
        <w:t>  Issuance and Restrictions</w:t>
      </w:r>
      <w:r>
        <w:rPr>
          <w:rFonts w:ascii="Times New Roman" w:cs="Times New Roman" w:eastAsia="Times New Roman" w:hAnsi="Times New Roman"/>
          <w:sz w:val="18"/>
          <w:szCs w:val="18"/>
          <w:color w:val="auto"/>
        </w:rPr>
        <w:t>. Restricted Shares shall be subject to such restrictions on transferability and other restrictions as the Committee may impose (including, without limitation, limitations on the right to vote Restricted Shares or the right to receive dividends on the Restricted Shares). These restrictions may lapse separately or in combination at such times, pursuant to such circumstances, in such installments, or otherwise, as the Committee determines at the time of the grant of the Award or thereafter.</w:t>
      </w:r>
    </w:p>
    <w:p>
      <w:pPr>
        <w:spacing w:after="0" w:line="181"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6.4        </w:t>
      </w:r>
      <w:r>
        <w:rPr>
          <w:rFonts w:ascii="Times New Roman" w:cs="Times New Roman" w:eastAsia="Times New Roman" w:hAnsi="Times New Roman"/>
          <w:sz w:val="18"/>
          <w:szCs w:val="18"/>
          <w:u w:val="single" w:color="auto"/>
          <w:color w:val="auto"/>
        </w:rPr>
        <w:t>  Forfeiture/Repurchase</w:t>
      </w:r>
      <w:r>
        <w:rPr>
          <w:rFonts w:ascii="Times New Roman" w:cs="Times New Roman" w:eastAsia="Times New Roman" w:hAnsi="Times New Roman"/>
          <w:sz w:val="18"/>
          <w:szCs w:val="18"/>
          <w:color w:val="auto"/>
        </w:rPr>
        <w:t xml:space="preserve">. Except as otherwise determined by the Committee at the time of the grant of the Award or thereafter, upon termination of employment or service during the applicable restriction period, Restricted Shares that are at that time subject to restrictions shall be forfeited or repurchased in accordance with the Award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the Committee may (a) provide in any Restricted Share Award Agreement that restrictions or forfeiture and repurchase conditions relating to Restricted Shares will be waived in whole or in part in the event of terminations resulting from specified causes, and (b) in other cases waive in whole or in part restrictions or forfeiture and repurchase conditions relating to Restricted Shares.</w:t>
      </w:r>
    </w:p>
    <w:p>
      <w:pPr>
        <w:spacing w:after="0" w:line="185"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 Certificates for Restricted Shares</w:t>
      </w:r>
      <w:r>
        <w:rPr>
          <w:rFonts w:ascii="Times New Roman" w:cs="Times New Roman" w:eastAsia="Times New Roman" w:hAnsi="Times New Roman"/>
          <w:sz w:val="18"/>
          <w:szCs w:val="18"/>
          <w:color w:val="auto"/>
        </w:rPr>
        <w:t>. Restricted Shares granted pursuant to the Plan may be evidenced in such manner as the Committee shall determine. If certificates representing Restricted Shares are registered in the name of the Participant, certificates must bear an appropriate legend referring to the terms, conditions, and restrictions applicable to such Restricted Shares, and the Company may, at its discretion, retain physical possession of the certificate until such time as all applicable restrictions lapse.</w:t>
      </w:r>
    </w:p>
    <w:p>
      <w:pPr>
        <w:spacing w:after="0" w:line="181"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6.6         </w:t>
      </w:r>
      <w:r>
        <w:rPr>
          <w:rFonts w:ascii="Times New Roman" w:cs="Times New Roman" w:eastAsia="Times New Roman" w:hAnsi="Times New Roman"/>
          <w:sz w:val="18"/>
          <w:szCs w:val="18"/>
          <w:u w:val="single" w:color="auto"/>
          <w:color w:val="auto"/>
        </w:rPr>
        <w:t>  Removal of Restrictions</w:t>
      </w:r>
      <w:r>
        <w:rPr>
          <w:rFonts w:ascii="Times New Roman" w:cs="Times New Roman" w:eastAsia="Times New Roman" w:hAnsi="Times New Roman"/>
          <w:sz w:val="18"/>
          <w:szCs w:val="18"/>
          <w:color w:val="auto"/>
        </w:rPr>
        <w:t>. Except as otherwise provided in this Article 6, Restricted Shares granted under the Plan shall be released from escrow as soon as practicable after the last day of the period of restriction. The Committee, in its discretion, may accelerate the time at which any restrictions shall lapse or be removed. After the restrictions have lapsed, the Participant shall be entitled to have any legend or legends under Section 6.5 removed from his or her Share certificate, and the Shares shall be freely transferable by the Participant, subject to applicable legal restrictions. The Committee (in its discretion) may establish procedures regarding the release of Shares from escrow and the removal of legends, as necessary or appropriate to minimize administrative burdens on the Company.</w:t>
      </w:r>
    </w:p>
    <w:p>
      <w:pPr>
        <w:spacing w:after="0" w:line="39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15875</wp:posOffset>
            </wp:positionV>
            <wp:extent cx="71342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920"/>
          </w:cols>
          <w:pgMar w:left="640" w:top="891" w:right="339" w:bottom="1440" w:gutter="0" w:footer="0" w:header="0"/>
        </w:sectPr>
      </w:pPr>
    </w:p>
    <w:bookmarkStart w:id="18" w:name="page19"/>
    <w:bookmarkEnd w:id="18"/>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22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RESTRICTED SHARE UNITS</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7.1         </w:t>
      </w:r>
      <w:r>
        <w:rPr>
          <w:rFonts w:ascii="Times New Roman" w:cs="Times New Roman" w:eastAsia="Times New Roman" w:hAnsi="Times New Roman"/>
          <w:sz w:val="18"/>
          <w:szCs w:val="18"/>
          <w:u w:val="single" w:color="auto"/>
          <w:color w:val="auto"/>
        </w:rPr>
        <w:t>  Grant of Restricted Share Units</w:t>
      </w:r>
      <w:r>
        <w:rPr>
          <w:rFonts w:ascii="Times New Roman" w:cs="Times New Roman" w:eastAsia="Times New Roman" w:hAnsi="Times New Roman"/>
          <w:sz w:val="18"/>
          <w:szCs w:val="18"/>
          <w:color w:val="auto"/>
        </w:rPr>
        <w:t>. The Committee, at any time and from time to time, may grant Restricted Share Units to Participants as the Committee, in its sole discretion, shall determine. The Committee, in its sole discretion, shall determine the number of Restricted Share Units to be granted to each Participant.</w:t>
      </w:r>
    </w:p>
    <w:p>
      <w:pPr>
        <w:spacing w:after="0" w:line="17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7.2         </w:t>
      </w:r>
      <w:r>
        <w:rPr>
          <w:rFonts w:ascii="Times New Roman" w:cs="Times New Roman" w:eastAsia="Times New Roman" w:hAnsi="Times New Roman"/>
          <w:sz w:val="18"/>
          <w:szCs w:val="18"/>
          <w:u w:val="single" w:color="auto"/>
          <w:color w:val="auto"/>
        </w:rPr>
        <w:t>  Restricted Share Units Award Agreement</w:t>
      </w:r>
      <w:r>
        <w:rPr>
          <w:rFonts w:ascii="Times New Roman" w:cs="Times New Roman" w:eastAsia="Times New Roman" w:hAnsi="Times New Roman"/>
          <w:sz w:val="18"/>
          <w:szCs w:val="18"/>
          <w:color w:val="auto"/>
        </w:rPr>
        <w:t>. Each Award of Restricted Share Units shall be evidenced by an Award Agreement that shall specify any vesting conditions, the number of Restricted Share Units granted, and such other terms and conditions as the Committee, in its sole discretion, shall determine.</w:t>
      </w:r>
    </w:p>
    <w:p>
      <w:pPr>
        <w:spacing w:after="0" w:line="17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7.3         </w:t>
      </w:r>
      <w:r>
        <w:rPr>
          <w:rFonts w:ascii="Times New Roman" w:cs="Times New Roman" w:eastAsia="Times New Roman" w:hAnsi="Times New Roman"/>
          <w:sz w:val="18"/>
          <w:szCs w:val="18"/>
          <w:u w:val="single" w:color="auto"/>
          <w:color w:val="auto"/>
        </w:rPr>
        <w:t>  Form and Timing of Payment of Restricted Share Units</w:t>
      </w:r>
      <w:r>
        <w:rPr>
          <w:rFonts w:ascii="Times New Roman" w:cs="Times New Roman" w:eastAsia="Times New Roman" w:hAnsi="Times New Roman"/>
          <w:sz w:val="18"/>
          <w:szCs w:val="18"/>
          <w:color w:val="auto"/>
        </w:rPr>
        <w:t>. At the time of grant, the Committee shall specify the date or dates on which the Restricted Share Units shall become fully vested and nonforfeitable. Upon vesting, the Committee, in its sole discretion, may pay Restricted Share Units in the form of cash, Shares or a combination thereof.</w:t>
      </w:r>
    </w:p>
    <w:p>
      <w:pPr>
        <w:spacing w:after="0" w:line="176"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7.4         </w:t>
      </w:r>
      <w:r>
        <w:rPr>
          <w:rFonts w:ascii="Times New Roman" w:cs="Times New Roman" w:eastAsia="Times New Roman" w:hAnsi="Times New Roman"/>
          <w:sz w:val="18"/>
          <w:szCs w:val="18"/>
          <w:u w:val="single" w:color="auto"/>
          <w:color w:val="auto"/>
        </w:rPr>
        <w:t>  Forfeiture/Repurchase</w:t>
      </w:r>
      <w:r>
        <w:rPr>
          <w:rFonts w:ascii="Times New Roman" w:cs="Times New Roman" w:eastAsia="Times New Roman" w:hAnsi="Times New Roman"/>
          <w:sz w:val="18"/>
          <w:szCs w:val="18"/>
          <w:color w:val="auto"/>
        </w:rPr>
        <w:t xml:space="preserve">. Except as otherwise determined by the Committee at the time of the grant of the Award or thereafter, upon termination of employment or service during the applicable restriction period, Restricted Share Units that are at that time unvested shall be forfeited or repurchased in accordance with the Award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the Committee may (a) provide in any Restricted Share Unit Award Agreement that restrictions or forfeiture and repurchase conditions relating to Restricted Share Units will be waived in whole or in part in the event of terminations resulting from specified causes, and (b) in other cases waive in whole or in part restrictions or forfeiture and repurchase conditions relating to Restricted Share Units.</w:t>
      </w:r>
    </w:p>
    <w:p>
      <w:pPr>
        <w:spacing w:after="0" w:line="18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22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PROVISIONS APPLICABLE TO AWARDS</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8.1         </w:t>
      </w:r>
      <w:r>
        <w:rPr>
          <w:rFonts w:ascii="Times New Roman" w:cs="Times New Roman" w:eastAsia="Times New Roman" w:hAnsi="Times New Roman"/>
          <w:sz w:val="18"/>
          <w:szCs w:val="18"/>
          <w:u w:val="single" w:color="auto"/>
          <w:color w:val="auto"/>
        </w:rPr>
        <w:t>  Award Agreement</w:t>
      </w:r>
      <w:r>
        <w:rPr>
          <w:rFonts w:ascii="Times New Roman" w:cs="Times New Roman" w:eastAsia="Times New Roman" w:hAnsi="Times New Roman"/>
          <w:sz w:val="18"/>
          <w:szCs w:val="18"/>
          <w:color w:val="auto"/>
        </w:rPr>
        <w:t>. Awards under the Plan shall be evidenced by Award Agreements that set forth the terms, conditions and limitations for each Award which may include the term of an Award, the provisions applicable in the event the Participant’s employment or service terminates, and the Company’s authority to unilaterally or bilaterally amend, modify, suspend, cancel or rescind an Award.</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8.2           No Transferability; Limited Exception to Transfer Restrictions.</w:t>
      </w:r>
    </w:p>
    <w:p>
      <w:pPr>
        <w:spacing w:after="0" w:line="200" w:lineRule="exact"/>
        <w:rPr>
          <w:sz w:val="20"/>
          <w:szCs w:val="20"/>
          <w:color w:val="auto"/>
        </w:rPr>
      </w:pPr>
    </w:p>
    <w:p>
      <w:pPr>
        <w:spacing w:after="0" w:line="23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15875</wp:posOffset>
            </wp:positionV>
            <wp:extent cx="71342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920"/>
          </w:cols>
          <w:pgMar w:left="640" w:top="891" w:right="339" w:bottom="1440" w:gutter="0" w:footer="0" w:header="0"/>
        </w:sectPr>
      </w:pPr>
    </w:p>
    <w:bookmarkStart w:id="19" w:name="page20"/>
    <w:bookmarkEnd w:id="19"/>
    <w:p>
      <w:pPr>
        <w:ind w:firstLine="1281"/>
        <w:spacing w:after="0" w:line="277" w:lineRule="auto"/>
        <w:rPr>
          <w:sz w:val="20"/>
          <w:szCs w:val="20"/>
          <w:color w:val="auto"/>
        </w:rPr>
      </w:pPr>
      <w:r>
        <w:rPr>
          <w:rFonts w:ascii="Times New Roman" w:cs="Times New Roman" w:eastAsia="Times New Roman" w:hAnsi="Times New Roman"/>
          <w:sz w:val="18"/>
          <w:szCs w:val="18"/>
          <w:color w:val="auto"/>
        </w:rPr>
        <w:t>8.2.1        Limits on Transfer. Unless otherwise expressly provided in (or pursuant to) this Section 8.2, by applicable law and by the Award Agreement, as the same may be amended:</w:t>
      </w:r>
    </w:p>
    <w:p>
      <w:pPr>
        <w:spacing w:after="0" w:line="163" w:lineRule="exact"/>
        <w:rPr>
          <w:sz w:val="20"/>
          <w:szCs w:val="20"/>
          <w:color w:val="auto"/>
        </w:rPr>
      </w:pPr>
    </w:p>
    <w:p>
      <w:pPr>
        <w:ind w:left="2560" w:hanging="632"/>
        <w:spacing w:after="0" w:line="277" w:lineRule="auto"/>
        <w:tabs>
          <w:tab w:leader="none" w:pos="2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Awards are non-transferable and will not be subject in any manner to sale, transfer, anticipation, alienation, assignment, pledge, encumbrance or charge;</w:t>
      </w:r>
    </w:p>
    <w:p>
      <w:pPr>
        <w:spacing w:after="0" w:line="162" w:lineRule="exact"/>
        <w:rPr>
          <w:rFonts w:ascii="Times New Roman" w:cs="Times New Roman" w:eastAsia="Times New Roman" w:hAnsi="Times New Roman"/>
          <w:sz w:val="18"/>
          <w:szCs w:val="18"/>
          <w:color w:val="auto"/>
        </w:rPr>
      </w:pPr>
    </w:p>
    <w:p>
      <w:pPr>
        <w:ind w:left="2560" w:hanging="632"/>
        <w:spacing w:after="0"/>
        <w:tabs>
          <w:tab w:leader="none" w:pos="2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will be exercised only by the Participant; and</w:t>
      </w:r>
    </w:p>
    <w:p>
      <w:pPr>
        <w:spacing w:after="0" w:line="219" w:lineRule="exact"/>
        <w:rPr>
          <w:rFonts w:ascii="Times New Roman" w:cs="Times New Roman" w:eastAsia="Times New Roman" w:hAnsi="Times New Roman"/>
          <w:sz w:val="18"/>
          <w:szCs w:val="18"/>
          <w:color w:val="auto"/>
        </w:rPr>
      </w:pPr>
    </w:p>
    <w:p>
      <w:pPr>
        <w:ind w:left="2560" w:hanging="632"/>
        <w:spacing w:after="0" w:line="277" w:lineRule="auto"/>
        <w:tabs>
          <w:tab w:leader="none" w:pos="2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payable or shares issuable pursuant to an Award will be delivered only to (or for the account of), and, in the case of Shares, registered in the name of, the Participant.</w:t>
      </w:r>
    </w:p>
    <w:p>
      <w:pPr>
        <w:spacing w:after="0" w:line="16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In addition, the shares shall be subject to the restrictions set forth in the applicable Award Agreement.</w:t>
      </w:r>
    </w:p>
    <w:p>
      <w:pPr>
        <w:spacing w:after="0" w:line="2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8.2.2      </w:t>
      </w:r>
      <w:r>
        <w:rPr>
          <w:rFonts w:ascii="Times New Roman" w:cs="Times New Roman" w:eastAsia="Times New Roman" w:hAnsi="Times New Roman"/>
          <w:sz w:val="18"/>
          <w:szCs w:val="18"/>
          <w:u w:val="single" w:color="auto"/>
          <w:color w:val="auto"/>
        </w:rPr>
        <w:t>  Further Exceptions to Limits on Transfer</w:t>
      </w:r>
      <w:r>
        <w:rPr>
          <w:rFonts w:ascii="Times New Roman" w:cs="Times New Roman" w:eastAsia="Times New Roman" w:hAnsi="Times New Roman"/>
          <w:sz w:val="18"/>
          <w:szCs w:val="18"/>
          <w:color w:val="auto"/>
        </w:rPr>
        <w:t>. The exercise and transfer restrictions in Section 8.2.1 will not apply to:</w:t>
      </w:r>
    </w:p>
    <w:p>
      <w:pPr>
        <w:spacing w:after="0" w:line="220" w:lineRule="exact"/>
        <w:rPr>
          <w:sz w:val="20"/>
          <w:szCs w:val="20"/>
          <w:color w:val="auto"/>
        </w:rPr>
      </w:pPr>
    </w:p>
    <w:p>
      <w:pPr>
        <w:ind w:left="2560" w:hanging="632"/>
        <w:spacing w:after="0"/>
        <w:tabs>
          <w:tab w:leader="none" w:pos="2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the Company or a Subsidiary;</w:t>
      </w:r>
    </w:p>
    <w:p>
      <w:pPr>
        <w:spacing w:after="0" w:line="219" w:lineRule="exact"/>
        <w:rPr>
          <w:rFonts w:ascii="Times New Roman" w:cs="Times New Roman" w:eastAsia="Times New Roman" w:hAnsi="Times New Roman"/>
          <w:sz w:val="18"/>
          <w:szCs w:val="18"/>
          <w:color w:val="auto"/>
        </w:rPr>
      </w:pPr>
    </w:p>
    <w:p>
      <w:pPr>
        <w:ind w:left="2560" w:hanging="632"/>
        <w:spacing w:after="0" w:line="277" w:lineRule="auto"/>
        <w:tabs>
          <w:tab w:leader="none" w:pos="2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by gift to “immediate family” as that term is defined in SEC Rule 16a-1(e) promulgated under the Exchange Act;</w:t>
      </w:r>
    </w:p>
    <w:p>
      <w:pPr>
        <w:spacing w:after="0" w:line="162" w:lineRule="exact"/>
        <w:rPr>
          <w:rFonts w:ascii="Times New Roman" w:cs="Times New Roman" w:eastAsia="Times New Roman" w:hAnsi="Times New Roman"/>
          <w:sz w:val="18"/>
          <w:szCs w:val="18"/>
          <w:color w:val="auto"/>
        </w:rPr>
      </w:pPr>
    </w:p>
    <w:p>
      <w:pPr>
        <w:jc w:val="both"/>
        <w:ind w:left="2560" w:hanging="632"/>
        <w:spacing w:after="0" w:line="262" w:lineRule="auto"/>
        <w:tabs>
          <w:tab w:leader="none" w:pos="2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a beneficiary to receive benefits if the Participant dies or, if the Participant has died, transfers to or exercises by the Participant’s beneficiary, or, in the absence of a validly designated beneficiary, transfers by will or the laws of descent and distribution; or</w:t>
      </w:r>
    </w:p>
    <w:p>
      <w:pPr>
        <w:spacing w:after="0" w:line="176" w:lineRule="exact"/>
        <w:rPr>
          <w:rFonts w:ascii="Times New Roman" w:cs="Times New Roman" w:eastAsia="Times New Roman" w:hAnsi="Times New Roman"/>
          <w:sz w:val="18"/>
          <w:szCs w:val="18"/>
          <w:color w:val="auto"/>
        </w:rPr>
      </w:pPr>
    </w:p>
    <w:p>
      <w:pPr>
        <w:ind w:left="2560" w:hanging="632"/>
        <w:spacing w:after="0" w:line="277" w:lineRule="auto"/>
        <w:tabs>
          <w:tab w:leader="none" w:pos="2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Participant has suffered a disability, permitted transfers or exercises on behalf of the Participant by the Participant’s duly authorized legal representative; or</w:t>
      </w:r>
    </w:p>
    <w:p>
      <w:pPr>
        <w:spacing w:after="0" w:line="162" w:lineRule="exact"/>
        <w:rPr>
          <w:rFonts w:ascii="Times New Roman" w:cs="Times New Roman" w:eastAsia="Times New Roman" w:hAnsi="Times New Roman"/>
          <w:sz w:val="18"/>
          <w:szCs w:val="18"/>
          <w:color w:val="auto"/>
        </w:rPr>
      </w:pPr>
    </w:p>
    <w:p>
      <w:pPr>
        <w:jc w:val="both"/>
        <w:ind w:left="2560" w:hanging="632"/>
        <w:spacing w:after="0" w:line="251" w:lineRule="auto"/>
        <w:tabs>
          <w:tab w:leader="none" w:pos="2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prior approval of the Committee or an executive officer or director of the Company authorized by the Committee, transfer to one or more natural persons who are the Participant’s family members or entities owned and controlled by the Participant and/or the Participant’s family members, including but not limited to trusts or other entities whose beneficiaries or beneficial owners are the Participant and/or the Participant’s family members, or to such other persons or entities as may be expressly approved by the Committee, pursuant to such conditions and procedures as the Committee or may establish. Any permitted transfer shall be subject to the condition that the Committee receives evidence satisfactory to it that the transfer is being made for estate and/or tax planning purposes and on a basis consistent with the Company’s lawful issue of securities.</w:t>
      </w:r>
    </w:p>
    <w:p>
      <w:pPr>
        <w:spacing w:after="0" w:line="190" w:lineRule="exact"/>
        <w:rPr>
          <w:sz w:val="20"/>
          <w:szCs w:val="20"/>
          <w:color w:val="auto"/>
        </w:rPr>
      </w:pPr>
    </w:p>
    <w:p>
      <w:pPr>
        <w:jc w:val="both"/>
        <w:ind w:left="1920"/>
        <w:spacing w:after="0" w:line="269" w:lineRule="auto"/>
        <w:rPr>
          <w:sz w:val="20"/>
          <w:szCs w:val="20"/>
          <w:color w:val="auto"/>
        </w:rPr>
      </w:pPr>
      <w:r>
        <w:rPr>
          <w:rFonts w:ascii="Times New Roman" w:cs="Times New Roman" w:eastAsia="Times New Roman" w:hAnsi="Times New Roman"/>
          <w:sz w:val="17"/>
          <w:szCs w:val="17"/>
          <w:color w:val="auto"/>
        </w:rPr>
        <w:t>Notwithstanding anything else in this Section 8.2.2 to the contrary, but subject to compliance with all Applicable Laws, Incentive Share Options, Restricted Shares and Restricted Share Units will be subject to any and all transfer restrictions under the Code applicable to such Awards or necessary to maintain the intended tax consequences of such Awards. Notwithstanding clause</w:t>
      </w:r>
    </w:p>
    <w:p>
      <w:pPr>
        <w:spacing w:after="0" w:line="2" w:lineRule="exact"/>
        <w:rPr>
          <w:sz w:val="20"/>
          <w:szCs w:val="20"/>
          <w:color w:val="auto"/>
        </w:rPr>
      </w:pPr>
    </w:p>
    <w:p>
      <w:pPr>
        <w:jc w:val="both"/>
        <w:ind w:left="1920" w:firstLine="8"/>
        <w:spacing w:after="0" w:line="251" w:lineRule="auto"/>
        <w:tabs>
          <w:tab w:leader="none" w:pos="220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but subject to compliance with all Applicable Laws, any contemplated transfer by gift to “immediate family” as referenced in clause (b) above is subject to the condition precedent that the transfer be approved by the Administrator in order for it to be effective.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 w:name="page21"/>
    <w:bookmarkEnd w:id="20"/>
    <w:p>
      <w:pPr>
        <w:jc w:val="both"/>
        <w:ind w:left="320" w:firstLine="640"/>
        <w:spacing w:after="0" w:line="251" w:lineRule="auto"/>
        <w:rPr>
          <w:sz w:val="20"/>
          <w:szCs w:val="20"/>
          <w:color w:val="auto"/>
        </w:rPr>
      </w:pPr>
      <w:r>
        <w:rPr>
          <w:rFonts w:ascii="Times New Roman" w:cs="Times New Roman" w:eastAsia="Times New Roman" w:hAnsi="Times New Roman"/>
          <w:sz w:val="18"/>
          <w:szCs w:val="18"/>
          <w:color w:val="auto"/>
        </w:rPr>
        <w:t>8.3         </w:t>
      </w:r>
      <w:r>
        <w:rPr>
          <w:rFonts w:ascii="Times New Roman" w:cs="Times New Roman" w:eastAsia="Times New Roman" w:hAnsi="Times New Roman"/>
          <w:sz w:val="18"/>
          <w:szCs w:val="18"/>
          <w:u w:val="single" w:color="auto"/>
          <w:color w:val="auto"/>
        </w:rPr>
        <w:t>  Beneficiaries</w:t>
      </w:r>
      <w:r>
        <w:rPr>
          <w:rFonts w:ascii="Times New Roman" w:cs="Times New Roman" w:eastAsia="Times New Roman" w:hAnsi="Times New Roman"/>
          <w:sz w:val="18"/>
          <w:szCs w:val="18"/>
          <w:color w:val="auto"/>
        </w:rPr>
        <w:t>. Notwithstanding Section 8.2, a Participant may, in the manner determined by the Committee, designate a beneficiary to exercise the rights of the Participant and to receive any distribution with respect to any Award upon the Participant’s death. A beneficiary, legal guardian, legal representative, or other person claiming any rights pursuant to the Plan is subject to all terms and conditions of the Plan and any Award Agreement applicable to the Participant, except to the extent the Plan and Award Agreement otherwise provide, and to any additional restrictions deemed necessary or appropriate by the Committee. If the Participant is married and resides in a community property state, a designation of a person other than the Participant’s spouse as his or her beneficiary with respect to more than 50% of the Participant’s interest in the Award shall not be effective without the prior written consent of the Participant’s spouse. If no beneficiary has been designated or survives the Participant, payment shall be made to the person entitled thereto pursuant to the Participant’s will or the laws of descent and distribution. Subject to the foregoing, a beneficiary designation may be changed or revoked by a Participant at any time provided the change or revocation is filed with the Committee.</w:t>
      </w:r>
    </w:p>
    <w:p>
      <w:pPr>
        <w:spacing w:after="0" w:line="187" w:lineRule="exact"/>
        <w:rPr>
          <w:sz w:val="20"/>
          <w:szCs w:val="20"/>
          <w:color w:val="auto"/>
        </w:rPr>
      </w:pPr>
    </w:p>
    <w:p>
      <w:pPr>
        <w:jc w:val="both"/>
        <w:ind w:left="320" w:firstLine="640"/>
        <w:spacing w:after="0" w:line="262" w:lineRule="auto"/>
        <w:rPr>
          <w:sz w:val="20"/>
          <w:szCs w:val="20"/>
          <w:color w:val="auto"/>
        </w:rPr>
      </w:pPr>
      <w:r>
        <w:rPr>
          <w:rFonts w:ascii="Times New Roman" w:cs="Times New Roman" w:eastAsia="Times New Roman" w:hAnsi="Times New Roman"/>
          <w:sz w:val="18"/>
          <w:szCs w:val="18"/>
          <w:color w:val="auto"/>
        </w:rPr>
        <w:t>8.4         </w:t>
      </w:r>
      <w:r>
        <w:rPr>
          <w:rFonts w:ascii="Times New Roman" w:cs="Times New Roman" w:eastAsia="Times New Roman" w:hAnsi="Times New Roman"/>
          <w:sz w:val="18"/>
          <w:szCs w:val="18"/>
          <w:u w:val="single" w:color="auto"/>
          <w:color w:val="auto"/>
        </w:rPr>
        <w:t>  Performance Objectives and Other Terms</w:t>
      </w:r>
      <w:r>
        <w:rPr>
          <w:rFonts w:ascii="Times New Roman" w:cs="Times New Roman" w:eastAsia="Times New Roman" w:hAnsi="Times New Roman"/>
          <w:sz w:val="18"/>
          <w:szCs w:val="18"/>
          <w:color w:val="auto"/>
        </w:rPr>
        <w:t>. The Committee, in its discretion, shall set performance objectives or other vesting criteria which, depending on the extent to which they are met, will determine the number or value of the Awards that will be granted or paid out to the Participants.</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Share Certificates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601"/>
        <w:spacing w:after="0" w:line="250" w:lineRule="auto"/>
        <w:rPr>
          <w:sz w:val="20"/>
          <w:szCs w:val="20"/>
          <w:color w:val="auto"/>
        </w:rPr>
      </w:pPr>
      <w:r>
        <w:rPr>
          <w:rFonts w:ascii="Times New Roman" w:cs="Times New Roman" w:eastAsia="Times New Roman" w:hAnsi="Times New Roman"/>
          <w:sz w:val="18"/>
          <w:szCs w:val="18"/>
          <w:color w:val="auto"/>
        </w:rPr>
        <w:t>(a)      Notwithstanding anything herein to the contrary, the Company shall not be required to issue or deliver any certificates evidencing the Shares pursuant to the exercise of any Award, unless and until the Committee has determined, with advice of counsel, that the issuance and delivery of such certificates is in compliance with all Applicable Laws, regulations of governmental authorities and, if applicable, the requirements of any exchange on which the Shares are listed or traded. All Share certificates delivered pursuant to the Plan are subject to any stop-transfer orders and other restrictions as the Committee deems necessary or advisable to comply with all Applicable Laws, and the rules of any national securities exchange or automated quotation system on which the Shares are listed, quoted, or traded. The Committee may place legends on any Share certificate to reference restrictions applicable to the Shares. In addition to the terms and conditions provided herein, the Committee may require that a Participant make such reasonable covenants, agreements, and representations as the Committee, in its discretion, deems advisable in order to comply with any such laws, regulations, or requirements. The Committee shall have the right to require any Participant to comply with any timing or other restrictions with respect to the settlement or exercise of any Award, including a window-period limitation, as may be imposed in the discretion of the Committee.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1" w:name="page22"/>
    <w:bookmarkEnd w:id="21"/>
    <w:p>
      <w:pPr>
        <w:jc w:val="both"/>
        <w:ind w:firstLine="1601"/>
        <w:spacing w:after="0" w:line="262" w:lineRule="auto"/>
        <w:rPr>
          <w:sz w:val="20"/>
          <w:szCs w:val="20"/>
          <w:color w:val="auto"/>
        </w:rPr>
      </w:pPr>
      <w:r>
        <w:rPr>
          <w:rFonts w:ascii="Times New Roman" w:cs="Times New Roman" w:eastAsia="Times New Roman" w:hAnsi="Times New Roman"/>
          <w:sz w:val="18"/>
          <w:szCs w:val="18"/>
          <w:color w:val="auto"/>
        </w:rPr>
        <w:t>(b)      Notwithstanding anything herein to the contrary, unless otherwise determined by the Committee or required by Applicable Laws, the Company shall not deliver to any Participant certificates evidencing Shares issued in connection with any Award and instead such Shares shall be recorded on the books of the Company or, as applicable, its transfer agent or share plan administrator.</w:t>
      </w:r>
    </w:p>
    <w:p>
      <w:pPr>
        <w:spacing w:after="0" w:line="176" w:lineRule="exact"/>
        <w:rPr>
          <w:sz w:val="20"/>
          <w:szCs w:val="20"/>
          <w:color w:val="auto"/>
        </w:rPr>
      </w:pPr>
    </w:p>
    <w:p>
      <w:pPr>
        <w:jc w:val="both"/>
        <w:ind w:left="320" w:firstLine="640"/>
        <w:spacing w:after="0" w:line="277" w:lineRule="auto"/>
        <w:rPr>
          <w:sz w:val="20"/>
          <w:szCs w:val="20"/>
          <w:color w:val="auto"/>
        </w:rPr>
      </w:pPr>
      <w:r>
        <w:rPr>
          <w:rFonts w:ascii="Times New Roman" w:cs="Times New Roman" w:eastAsia="Times New Roman" w:hAnsi="Times New Roman"/>
          <w:sz w:val="18"/>
          <w:szCs w:val="18"/>
          <w:color w:val="auto"/>
        </w:rPr>
        <w:t>8.6         </w:t>
      </w:r>
      <w:r>
        <w:rPr>
          <w:rFonts w:ascii="Times New Roman" w:cs="Times New Roman" w:eastAsia="Times New Roman" w:hAnsi="Times New Roman"/>
          <w:sz w:val="18"/>
          <w:szCs w:val="18"/>
          <w:u w:val="single" w:color="auto"/>
          <w:color w:val="auto"/>
        </w:rPr>
        <w:t>  Paperless Administration</w:t>
      </w:r>
      <w:r>
        <w:rPr>
          <w:rFonts w:ascii="Times New Roman" w:cs="Times New Roman" w:eastAsia="Times New Roman" w:hAnsi="Times New Roman"/>
          <w:sz w:val="18"/>
          <w:szCs w:val="18"/>
          <w:color w:val="auto"/>
        </w:rPr>
        <w:t>. Subject to Applicable Laws, the Committee may make Awards and provide applicable disclosure and procedures for exercise of Awards by an internet website or interactive voice response system for the paperless administration of Awards.</w:t>
      </w:r>
    </w:p>
    <w:p>
      <w:pPr>
        <w:spacing w:after="0" w:line="163" w:lineRule="exact"/>
        <w:rPr>
          <w:sz w:val="20"/>
          <w:szCs w:val="20"/>
          <w:color w:val="auto"/>
        </w:rPr>
      </w:pPr>
    </w:p>
    <w:p>
      <w:pPr>
        <w:jc w:val="both"/>
        <w:ind w:left="320" w:firstLine="640"/>
        <w:spacing w:after="0" w:line="273" w:lineRule="auto"/>
        <w:rPr>
          <w:sz w:val="20"/>
          <w:szCs w:val="20"/>
          <w:color w:val="auto"/>
        </w:rPr>
      </w:pPr>
      <w:r>
        <w:rPr>
          <w:rFonts w:ascii="Times New Roman" w:cs="Times New Roman" w:eastAsia="Times New Roman" w:hAnsi="Times New Roman"/>
          <w:sz w:val="17"/>
          <w:szCs w:val="17"/>
          <w:color w:val="auto"/>
        </w:rPr>
        <w:t>8.7          </w:t>
      </w:r>
      <w:r>
        <w:rPr>
          <w:rFonts w:ascii="Times New Roman" w:cs="Times New Roman" w:eastAsia="Times New Roman" w:hAnsi="Times New Roman"/>
          <w:sz w:val="17"/>
          <w:szCs w:val="17"/>
          <w:u w:val="single" w:color="auto"/>
          <w:color w:val="auto"/>
        </w:rPr>
        <w:t> Foreign Currency</w:t>
      </w:r>
      <w:r>
        <w:rPr>
          <w:rFonts w:ascii="Times New Roman" w:cs="Times New Roman" w:eastAsia="Times New Roman" w:hAnsi="Times New Roman"/>
          <w:sz w:val="17"/>
          <w:szCs w:val="17"/>
          <w:color w:val="auto"/>
        </w:rPr>
        <w:t>. A Participant may be required to provide evidence that any currency used to pay the exercise price of any Award was acquired and taken out of the jurisdiction in which the Participant resides in accordance with Applicable Laws, including foreign exchange control laws and regulations. In the event the exercise price for an Award is paid in Chinese Renminbi or other foreign currency, as permitted by the Committee, the amount payable will be determined by conversion from U.S. dollars at the official rate promulgated by the People’s Bank of China for Chinese Renminbi, or for jurisdictions other than the People’s Republic of China, the exchange rate as selected by the Committee on the date of exercise.</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CHANGES IN CAPITAL STRUCTURE</w:t>
      </w:r>
    </w:p>
    <w:p>
      <w:pPr>
        <w:spacing w:after="0" w:line="224" w:lineRule="exact"/>
        <w:rPr>
          <w:sz w:val="20"/>
          <w:szCs w:val="20"/>
          <w:color w:val="auto"/>
        </w:rPr>
      </w:pPr>
    </w:p>
    <w:p>
      <w:pPr>
        <w:jc w:val="both"/>
        <w:ind w:left="320" w:firstLine="640"/>
        <w:spacing w:after="0" w:line="271" w:lineRule="auto"/>
        <w:rPr>
          <w:sz w:val="20"/>
          <w:szCs w:val="20"/>
          <w:color w:val="auto"/>
        </w:rPr>
      </w:pPr>
      <w:r>
        <w:rPr>
          <w:rFonts w:ascii="Times New Roman" w:cs="Times New Roman" w:eastAsia="Times New Roman" w:hAnsi="Times New Roman"/>
          <w:sz w:val="17"/>
          <w:szCs w:val="17"/>
          <w:color w:val="auto"/>
        </w:rPr>
        <w:t>9.1         </w:t>
      </w:r>
      <w:r>
        <w:rPr>
          <w:rFonts w:ascii="Times New Roman" w:cs="Times New Roman" w:eastAsia="Times New Roman" w:hAnsi="Times New Roman"/>
          <w:sz w:val="17"/>
          <w:szCs w:val="17"/>
          <w:u w:val="single" w:color="auto"/>
          <w:color w:val="auto"/>
        </w:rPr>
        <w:t>  Adjustments</w:t>
      </w:r>
      <w:r>
        <w:rPr>
          <w:rFonts w:ascii="Times New Roman" w:cs="Times New Roman" w:eastAsia="Times New Roman" w:hAnsi="Times New Roman"/>
          <w:sz w:val="17"/>
          <w:szCs w:val="17"/>
          <w:color w:val="auto"/>
        </w:rPr>
        <w:t>. In the event of any dividend, share split, combination or exchange of Shares, amalgamation, arrangement or consolidation, spin-off, recapitalization or other distribution (other than normal cash dividends) of Company assets to its shareholders, or any other change affecting the shares of Shares or the share price of a Share, the Committee shall make such proportionate adjustments, if any, as the Committee in its discretion may deem appropriate to reflect such change with respect to (a) the aggregate number and type of shares that may be issued under the Plan (including, but not limited to, adjustments of the limitations in Section 3.1); (b) the terms and conditions of any outstanding Awards (including, without limitation, any applicable performance targets or criteria with respect thereto); and (c) the grant or exercise price per share for any outstanding Awards under the Plan.</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2" w:name="page23"/>
    <w:bookmarkEnd w:id="22"/>
    <w:p>
      <w:pPr>
        <w:jc w:val="both"/>
        <w:ind w:firstLine="640"/>
        <w:spacing w:after="0" w:line="266" w:lineRule="auto"/>
        <w:rPr>
          <w:sz w:val="20"/>
          <w:szCs w:val="20"/>
          <w:color w:val="auto"/>
        </w:rPr>
      </w:pPr>
      <w:r>
        <w:rPr>
          <w:rFonts w:ascii="Times New Roman" w:cs="Times New Roman" w:eastAsia="Times New Roman" w:hAnsi="Times New Roman"/>
          <w:sz w:val="17"/>
          <w:szCs w:val="17"/>
          <w:color w:val="auto"/>
        </w:rPr>
        <w:t>9.2         </w:t>
      </w:r>
      <w:r>
        <w:rPr>
          <w:rFonts w:ascii="Times New Roman" w:cs="Times New Roman" w:eastAsia="Times New Roman" w:hAnsi="Times New Roman"/>
          <w:sz w:val="17"/>
          <w:szCs w:val="17"/>
          <w:u w:val="single" w:color="auto"/>
          <w:color w:val="auto"/>
        </w:rPr>
        <w:t>  Corporate Transactions</w:t>
      </w:r>
      <w:r>
        <w:rPr>
          <w:rFonts w:ascii="Times New Roman" w:cs="Times New Roman" w:eastAsia="Times New Roman" w:hAnsi="Times New Roman"/>
          <w:sz w:val="17"/>
          <w:szCs w:val="17"/>
          <w:color w:val="auto"/>
        </w:rPr>
        <w:t>. Except as may otherwise be provided in any Award Agreement or any other written agreement entered into by and between the Company and a Participant, if the Committee anticipates the occurrence, or upon the occurrence, of a Corporate Transaction, the Committee may, in its sole discretion, provide for (i) any and all Awards outstanding hereunder to terminate at a specific time in the future and shall give each Participant the right to exercise the vested portion of such Awards during a period of time as the Committee shall determine, or (ii) the purchase of any Award for an amount of cash equal to the amount that could have been attained upon the exercise of such Award (and, for the avoidance of doubt, if as of such date the Committee determines in good faith that no amount would have been attained upon the exercise of such Award, then such Award may be terminated by the Company without payment), or (iii) the replacement of such Award with other rights or property selected by the Committee in its sole discretion or the assumption of or substitution of such Award by the successor or surviving corporation, or a Parent or Subsidiary thereof, with appropriate adjustments as to the number and kind of Shares and prices, or (iv) payment of such Award in cash based on the value of Shares on the date of the Corporate Transaction plus reasonable interest on the Award through the date as determined by the Committee when such Award would otherwise be vested or have been paid in accordance with its original terms, if necessary to comply with Section 409A of the Code.</w:t>
      </w:r>
    </w:p>
    <w:p>
      <w:pPr>
        <w:spacing w:after="0" w:line="179"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9.3         </w:t>
      </w:r>
      <w:r>
        <w:rPr>
          <w:rFonts w:ascii="Times New Roman" w:cs="Times New Roman" w:eastAsia="Times New Roman" w:hAnsi="Times New Roman"/>
          <w:sz w:val="18"/>
          <w:szCs w:val="18"/>
          <w:u w:val="single" w:color="auto"/>
          <w:color w:val="auto"/>
        </w:rPr>
        <w:t>  Outstanding Awards – Other Changes</w:t>
      </w:r>
      <w:r>
        <w:rPr>
          <w:rFonts w:ascii="Times New Roman" w:cs="Times New Roman" w:eastAsia="Times New Roman" w:hAnsi="Times New Roman"/>
          <w:sz w:val="18"/>
          <w:szCs w:val="18"/>
          <w:color w:val="auto"/>
        </w:rPr>
        <w:t>. In the event of any other change in the capitalization of the Company or corporate change other than those specifically referred to in this Article 9, the Committee may, in its absolute discretion, make such adjustments in the number and class of shares subject to Awards outstanding on the date on which such change occurs and in the per share grant or exercise price of each Award as the Committee may consider appropriate to prevent dilution or enlargement of rights.</w:t>
      </w:r>
    </w:p>
    <w:p>
      <w:pPr>
        <w:spacing w:after="0" w:line="181"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9.4         </w:t>
      </w:r>
      <w:r>
        <w:rPr>
          <w:rFonts w:ascii="Times New Roman" w:cs="Times New Roman" w:eastAsia="Times New Roman" w:hAnsi="Times New Roman"/>
          <w:sz w:val="18"/>
          <w:szCs w:val="18"/>
          <w:u w:val="single" w:color="auto"/>
          <w:color w:val="auto"/>
        </w:rPr>
        <w:t>  No Other Rights</w:t>
      </w:r>
      <w:r>
        <w:rPr>
          <w:rFonts w:ascii="Times New Roman" w:cs="Times New Roman" w:eastAsia="Times New Roman" w:hAnsi="Times New Roman"/>
          <w:sz w:val="18"/>
          <w:szCs w:val="18"/>
          <w:color w:val="auto"/>
        </w:rPr>
        <w:t>. Except as expressly provided in the Plan, no Participant shall have any rights by reason of any subdivision or consolidation of Shares of any class, the payment of any dividend, any increase or decrease in the number of shares of any class or any dissolution, liquidation, merger, or consolidation of the Company or any other corporation. Except as expressly provided in the Plan or pursuant to action of the Committee under the Plan, and no issuance by the Company of shares of any class, or securities convertible into shares of any class, shall affect, and no adjustment by reason thereof shall be made with respect to, the number of Shares subject to an Award or the grant or exercise price of any Award.</w:t>
      </w:r>
    </w:p>
    <w:p>
      <w:pPr>
        <w:spacing w:after="0" w:line="18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22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224"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 Committee</w:t>
      </w:r>
      <w:r>
        <w:rPr>
          <w:rFonts w:ascii="Times New Roman" w:cs="Times New Roman" w:eastAsia="Times New Roman" w:hAnsi="Times New Roman"/>
          <w:sz w:val="18"/>
          <w:szCs w:val="18"/>
          <w:color w:val="auto"/>
        </w:rPr>
        <w:t>. The Plan shall be administered by the Board or a committee of one or more members of the Board (the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to whom the Board shall delegate the authority to grant or amend Awards to Participants other than any of the Committee members, Independent Directors and executive officers of the Company. Reference to the Committee shall refer to the Board in absence of the Committee. Notwithstanding the foregoing, the full Board, acting by majority of its members in office, shall conduct the general administration of the Plan if required by Applicable Laws, and with respect to Awards granted to the Committee members, Independent Directors and executive officers of the Company and for purposes of such Awards, the term “Committee” as used in the Plan shall be deemed to refer to the Board.</w:t>
      </w:r>
    </w:p>
    <w:p>
      <w:pPr>
        <w:spacing w:after="0" w:line="185"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10.2      </w:t>
      </w:r>
      <w:r>
        <w:rPr>
          <w:rFonts w:ascii="Times New Roman" w:cs="Times New Roman" w:eastAsia="Times New Roman" w:hAnsi="Times New Roman"/>
          <w:sz w:val="18"/>
          <w:szCs w:val="18"/>
          <w:u w:val="single" w:color="auto"/>
          <w:color w:val="auto"/>
        </w:rPr>
        <w:t>  Action by the Committee</w:t>
      </w:r>
      <w:r>
        <w:rPr>
          <w:rFonts w:ascii="Times New Roman" w:cs="Times New Roman" w:eastAsia="Times New Roman" w:hAnsi="Times New Roman"/>
          <w:sz w:val="18"/>
          <w:szCs w:val="18"/>
          <w:color w:val="auto"/>
        </w:rPr>
        <w:t>. A majority of the Committee shall constitute a quorum. The acts of a majority of the members present at any meeting at which a quorum is present, and acts approved unanimously in writing by all members of the Committee in lieu of a meeting, shall be deemed the acts of the Committee. Each member of the Committee is entitled to, in good faith, rely or act upon any report or other information furnished to that member by any officer or other employee of a Group Entity, the Company’s independent certified public accountants, or any executive compensation consultant or other professional retained by the Company to assist in the administration of the Plan.</w:t>
      </w:r>
    </w:p>
    <w:p>
      <w:pPr>
        <w:spacing w:after="0" w:line="39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15875</wp:posOffset>
            </wp:positionV>
            <wp:extent cx="71342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920"/>
          </w:cols>
          <w:pgMar w:left="640" w:top="895" w:right="339" w:bottom="1440" w:gutter="0" w:footer="0" w:header="0"/>
        </w:sectPr>
      </w:pPr>
    </w:p>
    <w:bookmarkStart w:id="23" w:name="page24"/>
    <w:bookmarkEnd w:id="23"/>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10.3       </w:t>
      </w:r>
      <w:r>
        <w:rPr>
          <w:rFonts w:ascii="Times New Roman" w:cs="Times New Roman" w:eastAsia="Times New Roman" w:hAnsi="Times New Roman"/>
          <w:sz w:val="18"/>
          <w:szCs w:val="18"/>
          <w:u w:val="single" w:color="auto"/>
          <w:color w:val="auto"/>
        </w:rPr>
        <w:t>  Authority of the Committee</w:t>
      </w:r>
      <w:r>
        <w:rPr>
          <w:rFonts w:ascii="Times New Roman" w:cs="Times New Roman" w:eastAsia="Times New Roman" w:hAnsi="Times New Roman"/>
          <w:sz w:val="18"/>
          <w:szCs w:val="18"/>
          <w:color w:val="auto"/>
        </w:rPr>
        <w:t>.      Subject to any specific designation in the Plan, the Committee has the exclusive power, authority and discretion to:</w:t>
      </w:r>
    </w:p>
    <w:p>
      <w:pPr>
        <w:spacing w:after="0" w:line="1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      designate Participants to receive Awards;</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(b)      determine the type or types of Awards to be granted to each Participant;</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       determine the number of Awards to be granted and the number of Shares to which an Award will relate;</w:t>
      </w:r>
    </w:p>
    <w:p>
      <w:pPr>
        <w:spacing w:after="0" w:line="220" w:lineRule="exact"/>
        <w:rPr>
          <w:sz w:val="20"/>
          <w:szCs w:val="20"/>
          <w:color w:val="auto"/>
        </w:rPr>
      </w:pPr>
    </w:p>
    <w:p>
      <w:pPr>
        <w:jc w:val="both"/>
        <w:ind w:firstLine="1281"/>
        <w:spacing w:after="0" w:line="257" w:lineRule="auto"/>
        <w:rPr>
          <w:sz w:val="20"/>
          <w:szCs w:val="20"/>
          <w:color w:val="auto"/>
        </w:rPr>
      </w:pPr>
      <w:r>
        <w:rPr>
          <w:rFonts w:ascii="Times New Roman" w:cs="Times New Roman" w:eastAsia="Times New Roman" w:hAnsi="Times New Roman"/>
          <w:sz w:val="18"/>
          <w:szCs w:val="18"/>
          <w:color w:val="auto"/>
        </w:rPr>
        <w:t>(d)      determine the terms and conditions of any Award granted pursuant to the Plan, including, but not limited to, the exercise price, grant price, or purchase price, any restrictions or limitations on the Award, any schedule for lapse of forfeiture restrictions or restrictions on the exercisability of an Award, and accelerations or waivers thereof, and any provisions related to non-competition and recapture of gain on an Award, based in each case on such considerations as the Committee in its sole discretion determines;</w:t>
      </w:r>
    </w:p>
    <w:p>
      <w:pPr>
        <w:spacing w:after="0" w:line="181" w:lineRule="exact"/>
        <w:rPr>
          <w:sz w:val="20"/>
          <w:szCs w:val="20"/>
          <w:color w:val="auto"/>
        </w:rPr>
      </w:pPr>
    </w:p>
    <w:p>
      <w:pPr>
        <w:jc w:val="both"/>
        <w:ind w:firstLine="1281"/>
        <w:spacing w:after="0" w:line="277" w:lineRule="auto"/>
        <w:rPr>
          <w:sz w:val="20"/>
          <w:szCs w:val="20"/>
          <w:color w:val="auto"/>
        </w:rPr>
      </w:pPr>
      <w:r>
        <w:rPr>
          <w:rFonts w:ascii="Times New Roman" w:cs="Times New Roman" w:eastAsia="Times New Roman" w:hAnsi="Times New Roman"/>
          <w:sz w:val="18"/>
          <w:szCs w:val="18"/>
          <w:color w:val="auto"/>
        </w:rPr>
        <w:t>(e)      determine whether, to what extent, and pursuant to what circumstances an Award may be settled in, or the exercise price of an Award may be paid in, cash, Shares, other Awards, or other property, or an Award may be canceled, forfeited, or surrendered;</w:t>
      </w:r>
    </w:p>
    <w:p>
      <w:pPr>
        <w:spacing w:after="0" w:line="1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(f)       prescribe the form of each Award Agreement, which need not be identical for each Participant;</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(g)      decide all other matters that must be determined in connection with an Award;</w:t>
      </w:r>
    </w:p>
    <w:p>
      <w:pPr>
        <w:spacing w:after="0" w:line="220" w:lineRule="exact"/>
        <w:rPr>
          <w:sz w:val="20"/>
          <w:szCs w:val="20"/>
          <w:color w:val="auto"/>
        </w:rPr>
      </w:pPr>
    </w:p>
    <w:p>
      <w:pPr>
        <w:ind w:left="1280" w:right="1220" w:firstLine="8"/>
        <w:spacing w:after="0" w:line="495" w:lineRule="auto"/>
        <w:tabs>
          <w:tab w:leader="none" w:pos="153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establish, adopt, or revise any rules and regulations as it may deem necessary or advisable to administer the Plan; (i)       interpret the terms of, and any matter arising pursuant to, the Plan or any Award Agreement;</w:t>
      </w:r>
    </w:p>
    <w:p>
      <w:pPr>
        <w:ind w:left="1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       amend terms and conditions of Award Agreements; and</w:t>
      </w:r>
    </w:p>
    <w:p>
      <w:pPr>
        <w:spacing w:after="0" w:line="220" w:lineRule="exact"/>
        <w:rPr>
          <w:sz w:val="20"/>
          <w:szCs w:val="20"/>
          <w:color w:val="auto"/>
        </w:rPr>
      </w:pPr>
    </w:p>
    <w:p>
      <w:pPr>
        <w:ind w:firstLine="1281"/>
        <w:spacing w:after="0" w:line="277" w:lineRule="auto"/>
        <w:rPr>
          <w:sz w:val="20"/>
          <w:szCs w:val="20"/>
          <w:color w:val="auto"/>
        </w:rPr>
      </w:pPr>
      <w:r>
        <w:rPr>
          <w:rFonts w:ascii="Times New Roman" w:cs="Times New Roman" w:eastAsia="Times New Roman" w:hAnsi="Times New Roman"/>
          <w:sz w:val="18"/>
          <w:szCs w:val="18"/>
          <w:color w:val="auto"/>
        </w:rPr>
        <w:t>(k)      make all other decisions and determinations that may be required pursuant to the Plan or as the Committee deems necessary or advisable to administer the Plan, including design and adopt from time to time new types of Awards that are in compliance with Applicable Laws.</w:t>
      </w:r>
    </w:p>
    <w:p>
      <w:pPr>
        <w:spacing w:after="0" w:line="163" w:lineRule="exact"/>
        <w:rPr>
          <w:sz w:val="20"/>
          <w:szCs w:val="20"/>
          <w:color w:val="auto"/>
        </w:rPr>
      </w:pPr>
    </w:p>
    <w:p>
      <w:pPr>
        <w:ind w:firstLine="640"/>
        <w:spacing w:after="0" w:line="277" w:lineRule="auto"/>
        <w:rPr>
          <w:sz w:val="20"/>
          <w:szCs w:val="20"/>
          <w:color w:val="auto"/>
        </w:rPr>
      </w:pPr>
      <w:r>
        <w:rPr>
          <w:rFonts w:ascii="Times New Roman" w:cs="Times New Roman" w:eastAsia="Times New Roman" w:hAnsi="Times New Roman"/>
          <w:sz w:val="18"/>
          <w:szCs w:val="18"/>
          <w:color w:val="auto"/>
        </w:rPr>
        <w:t>10.4       </w:t>
      </w:r>
      <w:r>
        <w:rPr>
          <w:rFonts w:ascii="Times New Roman" w:cs="Times New Roman" w:eastAsia="Times New Roman" w:hAnsi="Times New Roman"/>
          <w:sz w:val="18"/>
          <w:szCs w:val="18"/>
          <w:u w:val="single" w:color="auto"/>
          <w:color w:val="auto"/>
        </w:rPr>
        <w:t>  Decisions Binding</w:t>
      </w:r>
      <w:r>
        <w:rPr>
          <w:rFonts w:ascii="Times New Roman" w:cs="Times New Roman" w:eastAsia="Times New Roman" w:hAnsi="Times New Roman"/>
          <w:sz w:val="18"/>
          <w:szCs w:val="18"/>
          <w:color w:val="auto"/>
        </w:rPr>
        <w:t>. The Committee’s interpretation of the Plan, any Awards granted pursuant to the Plan, any Award Agreement and all decisions and determinations by the Committee with respect to the Plan are final, binding, and conclusive on all parties.</w:t>
      </w:r>
    </w:p>
    <w:p>
      <w:pPr>
        <w:spacing w:after="0" w:line="37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15875</wp:posOffset>
            </wp:positionV>
            <wp:extent cx="71342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920"/>
          </w:cols>
          <w:pgMar w:left="640" w:top="895" w:right="339" w:bottom="1440" w:gutter="0" w:footer="0" w:header="0"/>
        </w:sectPr>
      </w:pPr>
    </w:p>
    <w:bookmarkStart w:id="24" w:name="page25"/>
    <w:bookmarkEnd w:id="24"/>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22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EFFECTIVE AND EXPIRATION DATE</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u w:val="single" w:color="auto"/>
          <w:color w:val="auto"/>
        </w:rPr>
        <w:t>  Effective Date</w:t>
      </w:r>
      <w:r>
        <w:rPr>
          <w:rFonts w:ascii="Times New Roman" w:cs="Times New Roman" w:eastAsia="Times New Roman" w:hAnsi="Times New Roman"/>
          <w:sz w:val="18"/>
          <w:szCs w:val="18"/>
          <w:color w:val="auto"/>
        </w:rPr>
        <w:t>. The Plan shall become effective as of the date on which the Board adopts the Plan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The Plan shall be ratified by the shareholders of the Company by written resolutions or at a meeting duly held in accordance with the applicable provisions of the Company’s Memorandum of Association and Articles of Association within 12 months of the Effective Date.</w:t>
      </w:r>
    </w:p>
    <w:p>
      <w:pPr>
        <w:spacing w:after="0" w:line="17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u w:val="single" w:color="auto"/>
          <w:color w:val="auto"/>
        </w:rPr>
        <w:t>  Expiration Date</w:t>
      </w:r>
      <w:r>
        <w:rPr>
          <w:rFonts w:ascii="Times New Roman" w:cs="Times New Roman" w:eastAsia="Times New Roman" w:hAnsi="Times New Roman"/>
          <w:sz w:val="18"/>
          <w:szCs w:val="18"/>
          <w:color w:val="auto"/>
        </w:rPr>
        <w:t>. The Plan will expire on, and no Award may be granted pursuant to the Plan after, the tenth anniversary of the Effective Date. Any Awards that are outstanding on the tenth anniversary of the Effective Date shall remain in force according to the terms of the Plan and the applicable Award Agreement.</w:t>
      </w:r>
    </w:p>
    <w:p>
      <w:pPr>
        <w:spacing w:after="0" w:line="17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22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AMENDMENT, MODIFICATION, AND TERMINATION</w:t>
      </w:r>
    </w:p>
    <w:p>
      <w:pPr>
        <w:spacing w:after="0" w:line="224" w:lineRule="exact"/>
        <w:rPr>
          <w:sz w:val="20"/>
          <w:szCs w:val="20"/>
          <w:color w:val="auto"/>
        </w:rPr>
      </w:pPr>
    </w:p>
    <w:p>
      <w:pPr>
        <w:jc w:val="both"/>
        <w:ind w:firstLine="640"/>
        <w:spacing w:after="0" w:line="267" w:lineRule="auto"/>
        <w:rPr>
          <w:sz w:val="20"/>
          <w:szCs w:val="20"/>
          <w:color w:val="auto"/>
        </w:rPr>
      </w:pPr>
      <w:r>
        <w:rPr>
          <w:rFonts w:ascii="Times New Roman" w:cs="Times New Roman" w:eastAsia="Times New Roman" w:hAnsi="Times New Roman"/>
          <w:sz w:val="17"/>
          <w:szCs w:val="17"/>
          <w:color w:val="auto"/>
        </w:rPr>
        <w:t>12.1       </w:t>
      </w:r>
      <w:r>
        <w:rPr>
          <w:rFonts w:ascii="Times New Roman" w:cs="Times New Roman" w:eastAsia="Times New Roman" w:hAnsi="Times New Roman"/>
          <w:sz w:val="17"/>
          <w:szCs w:val="17"/>
          <w:u w:val="single" w:color="auto"/>
          <w:color w:val="auto"/>
        </w:rPr>
        <w:t>  Amendment, Modification, and Termination</w:t>
      </w:r>
      <w:r>
        <w:rPr>
          <w:rFonts w:ascii="Times New Roman" w:cs="Times New Roman" w:eastAsia="Times New Roman" w:hAnsi="Times New Roman"/>
          <w:sz w:val="17"/>
          <w:szCs w:val="17"/>
          <w:color w:val="auto"/>
        </w:rPr>
        <w:t xml:space="preserve">. At any time and from time to time, the Board may terminate, amend or modify the Plan;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(a) to the extent necessary and desirable to comply with Applicable Laws or stock exchange rules, the Company shall obtain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shareholder approval of any Plan amendment in such a manner and to such a degree as required, unless the Company decides to follow home country practice, and (b) unless the Company decides to follow home country practice, shareholder approval is required for any amendment to the Plan that</w:t>
      </w:r>
    </w:p>
    <w:p>
      <w:pPr>
        <w:spacing w:after="0" w:line="3" w:lineRule="exact"/>
        <w:rPr>
          <w:sz w:val="20"/>
          <w:szCs w:val="20"/>
          <w:color w:val="auto"/>
        </w:rPr>
      </w:pPr>
    </w:p>
    <w:p>
      <w:pPr>
        <w:ind w:firstLine="7"/>
        <w:spacing w:after="0" w:line="255" w:lineRule="auto"/>
        <w:tabs>
          <w:tab w:leader="none" w:pos="2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the number of Shares available under the Plan (other than any adjustment as provided by Article 9), or (ii) permits the Committee to extend the term of the Plan or the exercise period for an Option beyond ten years from the date of grant.</w:t>
      </w:r>
    </w:p>
    <w:p>
      <w:pPr>
        <w:spacing w:after="0" w:line="182"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12.2       </w:t>
      </w:r>
      <w:r>
        <w:rPr>
          <w:rFonts w:ascii="Times New Roman" w:cs="Times New Roman" w:eastAsia="Times New Roman" w:hAnsi="Times New Roman"/>
          <w:sz w:val="18"/>
          <w:szCs w:val="18"/>
          <w:u w:val="single" w:color="auto"/>
          <w:color w:val="auto"/>
        </w:rPr>
        <w:t>  Awards Previously Granted</w:t>
      </w:r>
      <w:r>
        <w:rPr>
          <w:rFonts w:ascii="Times New Roman" w:cs="Times New Roman" w:eastAsia="Times New Roman" w:hAnsi="Times New Roman"/>
          <w:sz w:val="18"/>
          <w:szCs w:val="18"/>
          <w:color w:val="auto"/>
        </w:rPr>
        <w:t>. Except with respect to amendments made pursuant to Section 12.1, no termination, amendment, or modification of the Plan shall adversely affect in any material way any Award previously granted pursuant to the Plan without the prior written consent of the Participant.</w:t>
      </w:r>
    </w:p>
    <w:p>
      <w:pPr>
        <w:spacing w:after="0" w:line="17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ARTICLE 13</w:t>
      </w:r>
    </w:p>
    <w:p>
      <w:pPr>
        <w:spacing w:after="0" w:line="22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13.1       </w:t>
      </w:r>
      <w:r>
        <w:rPr>
          <w:rFonts w:ascii="Times New Roman" w:cs="Times New Roman" w:eastAsia="Times New Roman" w:hAnsi="Times New Roman"/>
          <w:sz w:val="18"/>
          <w:szCs w:val="18"/>
          <w:u w:val="single" w:color="auto"/>
          <w:color w:val="auto"/>
        </w:rPr>
        <w:t>  No Rights to Awards</w:t>
      </w:r>
      <w:r>
        <w:rPr>
          <w:rFonts w:ascii="Times New Roman" w:cs="Times New Roman" w:eastAsia="Times New Roman" w:hAnsi="Times New Roman"/>
          <w:sz w:val="18"/>
          <w:szCs w:val="18"/>
          <w:color w:val="auto"/>
        </w:rPr>
        <w:t>. No Participant, employee, or other person shall have any claim to be granted any Award pursuant to the Plan, and neither the Company nor the Committee is obligated to treat Participants, employees, and other persons uniformly.</w:t>
      </w:r>
    </w:p>
    <w:p>
      <w:pPr>
        <w:spacing w:after="0" w:line="163"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No Shareholders Rights</w:t>
      </w:r>
      <w:r>
        <w:rPr>
          <w:rFonts w:ascii="Times New Roman" w:cs="Times New Roman" w:eastAsia="Times New Roman" w:hAnsi="Times New Roman"/>
          <w:sz w:val="18"/>
          <w:szCs w:val="18"/>
          <w:color w:val="auto"/>
        </w:rPr>
        <w:t>. No Award gives the Participant any of the rights of a shareholder of the Company unless and until Shares are in fact issued to such person in connection with such Award.</w:t>
      </w:r>
    </w:p>
    <w:p>
      <w:pPr>
        <w:spacing w:after="0" w:line="37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15875</wp:posOffset>
            </wp:positionV>
            <wp:extent cx="71342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920"/>
          </w:cols>
          <w:pgMar w:left="640" w:top="891" w:right="339" w:bottom="1440" w:gutter="0" w:footer="0" w:header="0"/>
        </w:sectPr>
      </w:pPr>
    </w:p>
    <w:bookmarkStart w:id="25" w:name="page26"/>
    <w:bookmarkEnd w:id="25"/>
    <w:p>
      <w:pPr>
        <w:jc w:val="both"/>
        <w:ind w:firstLine="640"/>
        <w:spacing w:after="0" w:line="266" w:lineRule="auto"/>
        <w:rPr>
          <w:sz w:val="20"/>
          <w:szCs w:val="20"/>
          <w:color w:val="auto"/>
        </w:rPr>
      </w:pPr>
      <w:r>
        <w:rPr>
          <w:rFonts w:ascii="Times New Roman" w:cs="Times New Roman" w:eastAsia="Times New Roman" w:hAnsi="Times New Roman"/>
          <w:sz w:val="17"/>
          <w:szCs w:val="17"/>
          <w:color w:val="auto"/>
        </w:rPr>
        <w:t>13.3       </w:t>
      </w:r>
      <w:r>
        <w:rPr>
          <w:rFonts w:ascii="Times New Roman" w:cs="Times New Roman" w:eastAsia="Times New Roman" w:hAnsi="Times New Roman"/>
          <w:sz w:val="17"/>
          <w:szCs w:val="17"/>
          <w:u w:val="single" w:color="auto"/>
          <w:color w:val="auto"/>
        </w:rPr>
        <w:t>  Taxes</w:t>
      </w:r>
      <w:r>
        <w:rPr>
          <w:rFonts w:ascii="Times New Roman" w:cs="Times New Roman" w:eastAsia="Times New Roman" w:hAnsi="Times New Roman"/>
          <w:sz w:val="17"/>
          <w:szCs w:val="17"/>
          <w:color w:val="auto"/>
        </w:rPr>
        <w:t>. No Shares shall be delivered under the Plan to any Participant until such Participant has made arrangements acceptable to the Committee for the satisfaction of any income and employment tax withholding obligations under Applicable Laws. The Company or any Subsidiary shall have the authority and the right to deduct or withhold, or require a Participant to remit to the Company, an amount sufficient to satisfy all applicable taxes (including the Participant’s payroll tax obligations) required or permitted by Applicable Laws to be withheld with respect to any taxable event concerning a Participant arising as a result of this Plan. The Committee may in its discretion and in satisfaction of the foregoing requirement allow a Participant to elect to have the Company withhold Shares otherwise issuable under an Award (or allow the return of Shares) having a Fair Market Value equal to the sums required to be withheld. Notwithstanding any other provision of the Plan, the number of Shares which may be withheld with respect to the issuance, vesting, exercise or payment of any Award (or which may be repurchased from the Participant of such Award after such Shares were acquired by the Participant from the Company) in order to satisfy any income and payroll tax liabilities applicable to the Participant with respect to the issuance, vesting, exercise or payment of the Award shall, unless specifically approved by the Committee, be limited to the number of Shares which have a Fair Market Value on the date of withholding or repurchase equal to the aggregate amount of such liabilities based on the minimum statutory withholding rates for the applicable income and payroll tax purposes that are applicable to such supplemental taxable income.</w:t>
      </w:r>
    </w:p>
    <w:p>
      <w:pPr>
        <w:spacing w:after="0" w:line="175"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13.4       </w:t>
      </w:r>
      <w:r>
        <w:rPr>
          <w:rFonts w:ascii="Times New Roman" w:cs="Times New Roman" w:eastAsia="Times New Roman" w:hAnsi="Times New Roman"/>
          <w:sz w:val="18"/>
          <w:szCs w:val="18"/>
          <w:u w:val="single" w:color="auto"/>
          <w:color w:val="auto"/>
        </w:rPr>
        <w:t>  No Right to Employment or Services</w:t>
      </w:r>
      <w:r>
        <w:rPr>
          <w:rFonts w:ascii="Times New Roman" w:cs="Times New Roman" w:eastAsia="Times New Roman" w:hAnsi="Times New Roman"/>
          <w:sz w:val="18"/>
          <w:szCs w:val="18"/>
          <w:color w:val="auto"/>
        </w:rPr>
        <w:t>. Nothing in the Plan or any Award Agreement shall interfere with or limit in any way the right of the Service Recipient to terminate any Participant’s employment or services at any time, nor confer upon any Participant any right to continue in the employment or services of any Service Recipient.</w:t>
      </w:r>
    </w:p>
    <w:p>
      <w:pPr>
        <w:spacing w:after="0" w:line="17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13.5       </w:t>
      </w:r>
      <w:r>
        <w:rPr>
          <w:rFonts w:ascii="Times New Roman" w:cs="Times New Roman" w:eastAsia="Times New Roman" w:hAnsi="Times New Roman"/>
          <w:sz w:val="18"/>
          <w:szCs w:val="18"/>
          <w:u w:val="single" w:color="auto"/>
          <w:color w:val="auto"/>
        </w:rPr>
        <w:t>  Unfunded Status of Awards</w:t>
      </w:r>
      <w:r>
        <w:rPr>
          <w:rFonts w:ascii="Times New Roman" w:cs="Times New Roman" w:eastAsia="Times New Roman" w:hAnsi="Times New Roman"/>
          <w:sz w:val="18"/>
          <w:szCs w:val="18"/>
          <w:color w:val="auto"/>
        </w:rPr>
        <w:t>. The Plan is intended to be an “unfunded” plan for incentive compensation. With respect to any payments not yet made to a Participant pursuant to an Award, nothing contained in the Plan or any Award Agreement shall give the Participant any rights that are greater than those of a general creditor of the relevant Group Entity.</w:t>
      </w:r>
    </w:p>
    <w:p>
      <w:pPr>
        <w:spacing w:after="0" w:line="176"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13.6       </w:t>
      </w:r>
      <w:r>
        <w:rPr>
          <w:rFonts w:ascii="Times New Roman" w:cs="Times New Roman" w:eastAsia="Times New Roman" w:hAnsi="Times New Roman"/>
          <w:sz w:val="18"/>
          <w:szCs w:val="18"/>
          <w:u w:val="single" w:color="auto"/>
          <w:color w:val="auto"/>
        </w:rPr>
        <w:t>  Indemnification</w:t>
      </w:r>
      <w:r>
        <w:rPr>
          <w:rFonts w:ascii="Times New Roman" w:cs="Times New Roman" w:eastAsia="Times New Roman" w:hAnsi="Times New Roman"/>
          <w:sz w:val="18"/>
          <w:szCs w:val="18"/>
          <w:color w:val="auto"/>
        </w:rPr>
        <w:t xml:space="preserve">. To the extent allowable pursuant to Applicable Laws, each member of the Committee or of the Board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Company’s Memorandum of Association and Articles of Association, as a matter of law, or otherwise, or any power that the Company may have to indemnify them or hold them harmless.</w:t>
      </w:r>
    </w:p>
    <w:p>
      <w:pPr>
        <w:spacing w:after="0" w:line="200" w:lineRule="exact"/>
        <w:rPr>
          <w:sz w:val="20"/>
          <w:szCs w:val="20"/>
          <w:color w:val="auto"/>
        </w:rPr>
      </w:pPr>
    </w:p>
    <w:p>
      <w:pPr>
        <w:spacing w:after="0" w:line="20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15875</wp:posOffset>
            </wp:positionV>
            <wp:extent cx="71342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920"/>
          </w:cols>
          <w:pgMar w:left="640" w:top="895" w:right="339" w:bottom="1440" w:gutter="0" w:footer="0" w:header="0"/>
        </w:sectPr>
      </w:pPr>
    </w:p>
    <w:bookmarkStart w:id="26" w:name="page27"/>
    <w:bookmarkEnd w:id="26"/>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13.7       </w:t>
      </w:r>
      <w:r>
        <w:rPr>
          <w:rFonts w:ascii="Times New Roman" w:cs="Times New Roman" w:eastAsia="Times New Roman" w:hAnsi="Times New Roman"/>
          <w:sz w:val="18"/>
          <w:szCs w:val="18"/>
          <w:u w:val="single" w:color="auto"/>
          <w:color w:val="auto"/>
        </w:rPr>
        <w:t>  Relationship to Other Benefits</w:t>
      </w:r>
      <w:r>
        <w:rPr>
          <w:rFonts w:ascii="Times New Roman" w:cs="Times New Roman" w:eastAsia="Times New Roman" w:hAnsi="Times New Roman"/>
          <w:sz w:val="18"/>
          <w:szCs w:val="18"/>
          <w:color w:val="auto"/>
        </w:rPr>
        <w:t>. No payment pursuant to the Plan shall be taken into account in determining any benefits pursuant to any pension, retirement, savings, profit sharing, group insurance, welfare or other benefit plan of the any Group Entity except to the extent otherwise expressly provided in writing in such other plan or an agreement thereunder.</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13.8       </w:t>
      </w:r>
      <w:r>
        <w:rPr>
          <w:rFonts w:ascii="Times New Roman" w:cs="Times New Roman" w:eastAsia="Times New Roman" w:hAnsi="Times New Roman"/>
          <w:sz w:val="18"/>
          <w:szCs w:val="18"/>
          <w:u w:val="single" w:color="auto"/>
          <w:color w:val="auto"/>
        </w:rPr>
        <w:t>  Expenses</w:t>
      </w:r>
      <w:r>
        <w:rPr>
          <w:rFonts w:ascii="Times New Roman" w:cs="Times New Roman" w:eastAsia="Times New Roman" w:hAnsi="Times New Roman"/>
          <w:sz w:val="18"/>
          <w:szCs w:val="18"/>
          <w:color w:val="auto"/>
        </w:rPr>
        <w:t>. The expenses of administering the Plan shall be borne by the Group Entities.</w:t>
      </w:r>
    </w:p>
    <w:p>
      <w:pPr>
        <w:spacing w:after="0" w:line="220"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13.9       </w:t>
      </w:r>
      <w:r>
        <w:rPr>
          <w:rFonts w:ascii="Times New Roman" w:cs="Times New Roman" w:eastAsia="Times New Roman" w:hAnsi="Times New Roman"/>
          <w:sz w:val="18"/>
          <w:szCs w:val="18"/>
          <w:u w:val="single" w:color="auto"/>
          <w:color w:val="auto"/>
        </w:rPr>
        <w:t>  Titles and Headings</w:t>
      </w:r>
      <w:r>
        <w:rPr>
          <w:rFonts w:ascii="Times New Roman" w:cs="Times New Roman" w:eastAsia="Times New Roman" w:hAnsi="Times New Roman"/>
          <w:sz w:val="18"/>
          <w:szCs w:val="18"/>
          <w:color w:val="auto"/>
        </w:rPr>
        <w:t>. The titles and headings of the Sections in the Plan are for convenience of reference only and, in the event of any conflict, the text of the Plan, rather than such titles or headings, shall control.</w:t>
      </w:r>
    </w:p>
    <w:p>
      <w:pPr>
        <w:spacing w:after="0" w:line="163"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13.10     </w:t>
      </w:r>
      <w:r>
        <w:rPr>
          <w:rFonts w:ascii="Times New Roman" w:cs="Times New Roman" w:eastAsia="Times New Roman" w:hAnsi="Times New Roman"/>
          <w:sz w:val="18"/>
          <w:szCs w:val="18"/>
          <w:u w:val="single" w:color="auto"/>
          <w:color w:val="auto"/>
        </w:rPr>
        <w:t>  Fractional Shares</w:t>
      </w:r>
      <w:r>
        <w:rPr>
          <w:rFonts w:ascii="Times New Roman" w:cs="Times New Roman" w:eastAsia="Times New Roman" w:hAnsi="Times New Roman"/>
          <w:sz w:val="18"/>
          <w:szCs w:val="18"/>
          <w:color w:val="auto"/>
        </w:rPr>
        <w:t>. No fractional Shares shall be issued and the Committee shall determine, in its discretion, whether cash shall be given in lieu of fractional Shares or whether such fractional Shares shall be eliminated by rounding up or down as appropriate.</w:t>
      </w:r>
    </w:p>
    <w:p>
      <w:pPr>
        <w:spacing w:after="0" w:line="163"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13.11     </w:t>
      </w:r>
      <w:r>
        <w:rPr>
          <w:rFonts w:ascii="Times New Roman" w:cs="Times New Roman" w:eastAsia="Times New Roman" w:hAnsi="Times New Roman"/>
          <w:sz w:val="18"/>
          <w:szCs w:val="18"/>
          <w:u w:val="single" w:color="auto"/>
          <w:color w:val="auto"/>
        </w:rPr>
        <w:t>  Limitations Applicable to Section 16 Persons</w:t>
      </w:r>
      <w:r>
        <w:rPr>
          <w:rFonts w:ascii="Times New Roman" w:cs="Times New Roman" w:eastAsia="Times New Roman" w:hAnsi="Times New Roman"/>
          <w:sz w:val="18"/>
          <w:szCs w:val="18"/>
          <w:color w:val="auto"/>
        </w:rPr>
        <w:t>. Notwithstanding anything herein to the contrary, the Plan, and any Award granted or awarded to any Participant who is then subject to Section 16 of the Exchange Act, shall be subject to any additional limitations set forth in any applicable exemptive rule under Section 16 of the Exchange Act (including any amendment to Rule 16b-3 of the Exchange Act) that are requirements for the application of such exemptive rule. To the extent permitted by the Applicable Laws, the Plan and Awards granted or awarded hereunder shall be deemed amended to the extent necessary to conform to such applicable exemptive rule.</w:t>
      </w:r>
    </w:p>
    <w:p>
      <w:pPr>
        <w:spacing w:after="0" w:line="186"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13.12     </w:t>
      </w:r>
      <w:r>
        <w:rPr>
          <w:rFonts w:ascii="Times New Roman" w:cs="Times New Roman" w:eastAsia="Times New Roman" w:hAnsi="Times New Roman"/>
          <w:sz w:val="18"/>
          <w:szCs w:val="18"/>
          <w:u w:val="single" w:color="auto"/>
          <w:color w:val="auto"/>
        </w:rPr>
        <w:t>  Government and Other Regulations</w:t>
      </w:r>
      <w:r>
        <w:rPr>
          <w:rFonts w:ascii="Times New Roman" w:cs="Times New Roman" w:eastAsia="Times New Roman" w:hAnsi="Times New Roman"/>
          <w:sz w:val="18"/>
          <w:szCs w:val="18"/>
          <w:color w:val="auto"/>
        </w:rPr>
        <w:t>. The obligation of the Company to make payment of awards in Shares or otherwise shall be subject to all Applicable Laws, and to such approvals by government agencies as may be required. The Company shall be under no obligation to register any of the Shares paid pursuant to the Plan under the Securities Act or any other similar law in any applicable jurisdiction. If the Shares paid pursuant to the Plan may in certain circumstances be exempt from registration pursuant to the Securities Act or other Applicable Laws, the Company may restrict the transfer of such Shares in such manner as it deems advisable to ensure the availability of any such exemption.</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13.13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The Plan and all Award Agreements shall be construed in accordance with and governed by the laws of the Cayman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Islands.</w:t>
      </w:r>
    </w:p>
    <w:p>
      <w:pPr>
        <w:spacing w:after="0" w:line="201"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13.14     </w:t>
      </w:r>
      <w:r>
        <w:rPr>
          <w:rFonts w:ascii="Times New Roman" w:cs="Times New Roman" w:eastAsia="Times New Roman" w:hAnsi="Times New Roman"/>
          <w:sz w:val="18"/>
          <w:szCs w:val="18"/>
          <w:u w:val="single" w:color="auto"/>
          <w:color w:val="auto"/>
        </w:rPr>
        <w:t>  Section 409A</w:t>
      </w:r>
      <w:r>
        <w:rPr>
          <w:rFonts w:ascii="Times New Roman" w:cs="Times New Roman" w:eastAsia="Times New Roman" w:hAnsi="Times New Roman"/>
          <w:sz w:val="18"/>
          <w:szCs w:val="18"/>
          <w:color w:val="auto"/>
        </w:rPr>
        <w:t>. To the extent that the Committee determines that any Award granted under the Plan is or may become subject to Section 409A of the Code, the Award Agreement evidencing such Award shall incorporate the terms and conditions required by Section 409A of the Code. To the extent applicable, the Plan and the Award Agreements shall be interpreted in accordance with Section 409A of the Code and the U.S. Department of Treasury regulations and other interpretative guidance issued thereunder, including without limitation any such regulation or other guidance that may be issued after the Effective Date. Notwithstanding any provision of the Plan to the contrary, in the event that following the Effective Date the Committee determines that any Award may be subject to Section 409A of the Code and related Department of Treasury guidance (including such Department of Treasury guidance as may be issued after the Effective Date), the Committee may adopt such amendments to the Plan and the applicable Award agreement or adopt other policies and procedures (including amendments, policies and procedures with retroactive effect), or take any other actions, that the Committee determines are necessary or appropriate to (a) exempt the Award from Section 409A of the Code and/or preserve the intended tax treatment of the benefits provided with respect to the Award, or (b) comply with the requirements of Section 409A of the Code and related U.S. Department of Treasury guidance.</w:t>
      </w:r>
    </w:p>
    <w:p>
      <w:pPr>
        <w:spacing w:after="0" w:line="190"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13.15     </w:t>
      </w:r>
      <w:r>
        <w:rPr>
          <w:rFonts w:ascii="Times New Roman" w:cs="Times New Roman" w:eastAsia="Times New Roman" w:hAnsi="Times New Roman"/>
          <w:sz w:val="18"/>
          <w:szCs w:val="18"/>
          <w:u w:val="single" w:color="auto"/>
          <w:color w:val="auto"/>
        </w:rPr>
        <w:t>  Appendices</w:t>
      </w:r>
      <w:r>
        <w:rPr>
          <w:rFonts w:ascii="Times New Roman" w:cs="Times New Roman" w:eastAsia="Times New Roman" w:hAnsi="Times New Roman"/>
          <w:sz w:val="18"/>
          <w:szCs w:val="18"/>
          <w:color w:val="auto"/>
        </w:rPr>
        <w:t>. Subject to Section 12.1, the Committee may approve such supplements, amendments or appendices to the Plan as it may consider necessary or appropriate for purposes of compliance with Applicable Laws or otherwise and such supplements, amendments or appendices shall be considered a part of the Plan; provided, however, that no such supplements shall increase the share limitation contained in Section 3.1 of the Plan without the approval of the Board.</w:t>
      </w:r>
    </w:p>
    <w:p>
      <w:pPr>
        <w:spacing w:after="0" w:line="39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15875</wp:posOffset>
            </wp:positionV>
            <wp:extent cx="71342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920"/>
          </w:cols>
          <w:pgMar w:left="640" w:top="895"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153670</wp:posOffset>
            </wp:positionV>
            <wp:extent cx="7196455" cy="11779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7196455" cy="1177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2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Amber International Holding Limited (the “Company”) of our following reports:</w:t>
      </w:r>
    </w:p>
    <w:p>
      <w:pPr>
        <w:spacing w:after="0" w:line="163" w:lineRule="exact"/>
        <w:rPr>
          <w:sz w:val="20"/>
          <w:szCs w:val="20"/>
          <w:color w:val="auto"/>
        </w:rPr>
      </w:pPr>
    </w:p>
    <w:p>
      <w:pPr>
        <w:jc w:val="both"/>
        <w:ind w:left="960" w:hanging="633"/>
        <w:spacing w:after="0" w:line="262"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report dated December 19, 2024 relating to the consolidated financial statements of Amber DWM Holding Limited and its subsidiaries, which appeared in Exhibit 99.2 to the Proxy Statement of iClick Interactive Asia Group Limited’s current report on Form 6-K filed on December 19, 2024; and</w:t>
      </w:r>
    </w:p>
    <w:p>
      <w:pPr>
        <w:spacing w:after="0" w:line="176" w:lineRule="exact"/>
        <w:rPr>
          <w:rFonts w:ascii="Times New Roman" w:cs="Times New Roman" w:eastAsia="Times New Roman" w:hAnsi="Times New Roman"/>
          <w:sz w:val="18"/>
          <w:szCs w:val="18"/>
          <w:color w:val="auto"/>
        </w:rPr>
      </w:pPr>
    </w:p>
    <w:p>
      <w:pPr>
        <w:jc w:val="both"/>
        <w:ind w:left="960" w:hanging="633"/>
        <w:spacing w:after="0" w:line="262"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report dated April 29, 2025 relating to the consolidated financial statements of Amber International Holding Limited and its subsidiaries (previously known as iClick Interactive Asia Group Limited and its subsidiaries), which appeared in Amber International Holding Limited’s Annual Report on Form 20-F for the year ended December 31, 2024; and</w:t>
      </w:r>
    </w:p>
    <w:p>
      <w:pPr>
        <w:spacing w:after="0" w:line="176" w:lineRule="exact"/>
        <w:rPr>
          <w:rFonts w:ascii="Times New Roman" w:cs="Times New Roman" w:eastAsia="Times New Roman" w:hAnsi="Times New Roman"/>
          <w:sz w:val="18"/>
          <w:szCs w:val="18"/>
          <w:color w:val="auto"/>
        </w:rPr>
      </w:pPr>
    </w:p>
    <w:p>
      <w:pPr>
        <w:ind w:left="960" w:hanging="633"/>
        <w:spacing w:after="0" w:line="277"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report dated June 12, 2025 relating to the consolidated financial statements of Amber DWM Holding Limited and its subsidiaries, which appeared in Amber International Holding Limited’s Transition Report on Form 20-F for the period from July 1, 2024 to December 31, 2024.</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80" w:type="dxa"/>
            <w:vAlign w:val="bottom"/>
          </w:tcPr>
          <w:p>
            <w:pPr>
              <w:spacing w:after="0"/>
              <w:rPr>
                <w:sz w:val="18"/>
                <w:szCs w:val="18"/>
                <w:color w:val="auto"/>
              </w:rPr>
            </w:pPr>
          </w:p>
        </w:tc>
        <w:tc>
          <w:tcPr>
            <w:tcW w:w="706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/s/ WWC, P.C.</w:t>
            </w:r>
          </w:p>
        </w:tc>
      </w:tr>
      <w:tr>
        <w:trPr>
          <w:trHeight w:val="213"/>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San Mateo, California</w:t>
            </w:r>
          </w:p>
        </w:tc>
        <w:tc>
          <w:tcPr>
            <w:tcW w:w="706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WWC, P.C.</w:t>
            </w:r>
          </w:p>
        </w:tc>
      </w:tr>
      <w:tr>
        <w:trPr>
          <w:trHeight w:val="213"/>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June 27, 2025</w:t>
            </w:r>
          </w:p>
        </w:tc>
        <w:tc>
          <w:tcPr>
            <w:tcW w:w="706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Certified Public Accountants</w:t>
            </w:r>
          </w:p>
        </w:tc>
      </w:tr>
      <w:tr>
        <w:trPr>
          <w:trHeight w:val="232"/>
        </w:trPr>
        <w:tc>
          <w:tcPr>
            <w:tcW w:w="4180" w:type="dxa"/>
            <w:vAlign w:val="bottom"/>
          </w:tcPr>
          <w:p>
            <w:pPr>
              <w:spacing w:after="0"/>
              <w:rPr>
                <w:sz w:val="20"/>
                <w:szCs w:val="20"/>
                <w:color w:val="auto"/>
              </w:rPr>
            </w:pPr>
          </w:p>
        </w:tc>
        <w:tc>
          <w:tcPr>
            <w:tcW w:w="706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PCAOB ID: 1171</w:t>
            </w:r>
          </w:p>
        </w:tc>
      </w:tr>
      <w:tr>
        <w:trPr>
          <w:trHeight w:val="1547"/>
        </w:trPr>
        <w:tc>
          <w:tcPr>
            <w:tcW w:w="4180" w:type="dxa"/>
            <w:vAlign w:val="bottom"/>
            <w:tcBorders>
              <w:bottom w:val="single" w:sz="8" w:color="auto"/>
            </w:tcBorders>
          </w:tcPr>
          <w:p>
            <w:pPr>
              <w:spacing w:after="0"/>
              <w:rPr>
                <w:sz w:val="24"/>
                <w:szCs w:val="24"/>
                <w:color w:val="auto"/>
              </w:rPr>
            </w:pPr>
          </w:p>
        </w:tc>
        <w:tc>
          <w:tcPr>
            <w:tcW w:w="70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-855345</wp:posOffset>
            </wp:positionV>
            <wp:extent cx="7196455" cy="423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7196455" cy="423545"/>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21"/>
          <w:szCs w:val="21"/>
          <w:b w:val="1"/>
          <w:bCs w:val="1"/>
          <w:color w:val="auto"/>
        </w:rPr>
        <w:t>Exhibit 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172085</wp:posOffset>
            </wp:positionV>
            <wp:extent cx="3007995" cy="1169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3007995" cy="1169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27, 2025</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Amber International Holding Limited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Wallich Street,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#30-02 Guoco Tower,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Singaporei</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Sir/Madam:</w:t>
      </w:r>
    </w:p>
    <w:p>
      <w:pPr>
        <w:spacing w:after="0" w:line="2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We have acted as legal advisers as to the laws of PRC to Amber International Holding Limited, a Cayman Islands exempted company incorporated with limited liability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hereby consent to reference our name in the Annual Report of the Company on Form 20-F for the year ended December 31, 2024, which was incorporated by reference into the Company’s Registration Statement on Form S-8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and the Registration Statement will be filed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the date hereof. We also consent to the filing of this consent letter with the SEC as an exhibit to the Registration Statement.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Jingtian &amp; Gongcheng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35667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3566795"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Jingtian &amp; Gongcheng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452755</wp:posOffset>
            </wp:positionV>
            <wp:extent cx="71342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21"/>
          <w:szCs w:val="21"/>
          <w:b w:val="1"/>
          <w:bCs w:val="1"/>
          <w:color w:val="auto"/>
        </w:rPr>
        <w:t>Exhibit 23.5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27, 2025</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Amber International Holding Limited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1 Wallich Street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#30-02, Guoco Tower</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Singapore 078881</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Sir/Madam:</w:t>
      </w:r>
    </w:p>
    <w:p>
      <w:pPr>
        <w:spacing w:after="0" w:line="220" w:lineRule="exact"/>
        <w:rPr>
          <w:sz w:val="20"/>
          <w:szCs w:val="20"/>
          <w:color w:val="auto"/>
        </w:rPr>
      </w:pPr>
    </w:p>
    <w:p>
      <w:pPr>
        <w:ind w:right="20" w:firstLine="7"/>
        <w:spacing w:after="0" w:line="277" w:lineRule="auto"/>
        <w:rPr>
          <w:sz w:val="20"/>
          <w:szCs w:val="20"/>
          <w:color w:val="auto"/>
        </w:rPr>
      </w:pPr>
      <w:r>
        <w:rPr>
          <w:rFonts w:ascii="Times New Roman" w:cs="Times New Roman" w:eastAsia="Times New Roman" w:hAnsi="Times New Roman"/>
          <w:sz w:val="18"/>
          <w:szCs w:val="18"/>
          <w:color w:val="auto"/>
        </w:rPr>
        <w:t xml:space="preserve">We have acted as special legal advisers as to the laws of PRC to Amber International Holding Limited, a Cayman Islands exempted company incorporated with limited liability (the </w:t>
      </w:r>
      <w:r>
        <w:rPr>
          <w:rFonts w:ascii="Times New Roman" w:cs="Times New Roman" w:eastAsia="Times New Roman" w:hAnsi="Times New Roman"/>
          <w:sz w:val="18"/>
          <w:szCs w:val="18"/>
          <w:b w:val="1"/>
          <w:bCs w:val="1"/>
          <w:color w:val="auto"/>
        </w:rPr>
        <w:t>“Company”).</w:t>
      </w:r>
    </w:p>
    <w:p>
      <w:pPr>
        <w:spacing w:after="0" w:line="163" w:lineRule="exact"/>
        <w:rPr>
          <w:sz w:val="20"/>
          <w:szCs w:val="20"/>
          <w:color w:val="auto"/>
        </w:rPr>
      </w:pPr>
    </w:p>
    <w:p>
      <w:pPr>
        <w:ind w:right="20" w:firstLine="13"/>
        <w:spacing w:after="0" w:line="277" w:lineRule="auto"/>
        <w:rPr>
          <w:sz w:val="20"/>
          <w:szCs w:val="20"/>
          <w:color w:val="auto"/>
        </w:rPr>
      </w:pPr>
      <w:r>
        <w:rPr>
          <w:rFonts w:ascii="Times New Roman" w:cs="Times New Roman" w:eastAsia="Times New Roman" w:hAnsi="Times New Roman"/>
          <w:sz w:val="18"/>
          <w:szCs w:val="18"/>
          <w:color w:val="auto"/>
        </w:rPr>
        <w:t xml:space="preserve">We hereby consent to reference our name in the Company's Registration Statement on Form S-8, including the documents incorporated by reference therein (the </w:t>
      </w:r>
      <w:r>
        <w:rPr>
          <w:rFonts w:ascii="Times New Roman" w:cs="Times New Roman" w:eastAsia="Times New Roman" w:hAnsi="Times New Roman"/>
          <w:sz w:val="18"/>
          <w:szCs w:val="18"/>
          <w:b w:val="1"/>
          <w:bCs w:val="1"/>
          <w:color w:val="auto"/>
        </w:rPr>
        <w:t>“S-8 Registration Statement”),</w:t>
      </w:r>
      <w:r>
        <w:rPr>
          <w:rFonts w:ascii="Times New Roman" w:cs="Times New Roman" w:eastAsia="Times New Roman" w:hAnsi="Times New Roman"/>
          <w:sz w:val="18"/>
          <w:szCs w:val="18"/>
          <w:color w:val="auto"/>
        </w:rPr>
        <w:t xml:space="preserve"> which will be filed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the date hereof.</w:t>
      </w:r>
    </w:p>
    <w:p>
      <w:pPr>
        <w:spacing w:after="0" w:line="1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 also consent to the filing of this consent letter with the SEC as an exhibit to the S-8 Registration Statement.</w:t>
      </w:r>
    </w:p>
    <w:p>
      <w:pPr>
        <w:spacing w:after="0" w:line="220" w:lineRule="exact"/>
        <w:rPr>
          <w:sz w:val="20"/>
          <w:szCs w:val="20"/>
          <w:color w:val="auto"/>
        </w:rPr>
      </w:pPr>
    </w:p>
    <w:p>
      <w:pPr>
        <w:ind w:hanging="1"/>
        <w:spacing w:after="0" w:line="277" w:lineRule="auto"/>
        <w:rPr>
          <w:sz w:val="20"/>
          <w:szCs w:val="20"/>
          <w:color w:val="auto"/>
        </w:rPr>
      </w:pPr>
      <w:r>
        <w:rPr>
          <w:rFonts w:ascii="Times New Roman" w:cs="Times New Roman" w:eastAsia="Times New Roman" w:hAnsi="Times New Roman"/>
          <w:sz w:val="18"/>
          <w:szCs w:val="18"/>
          <w:color w:val="auto"/>
        </w:rPr>
        <w:t>In giving such consent, we do not hereby admit that we come within the category of persons whose consent is required under Section 7 of the Securities Act of 1933, or under the Securities Exchange Act of 1934, in each case, as amended, or the regulations promulgated thereunder.</w:t>
      </w:r>
    </w:p>
    <w:p>
      <w:pPr>
        <w:spacing w:after="0" w:line="1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Commerce &amp; Finance Law Offices</w:t>
      </w:r>
    </w:p>
    <w:p>
      <w:pPr>
        <w:spacing w:after="0" w:line="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Commerce &amp; Finance Law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274955</wp:posOffset>
            </wp:positionV>
            <wp:extent cx="71342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153670</wp:posOffset>
            </wp:positionV>
            <wp:extent cx="2431415" cy="3644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2431415" cy="364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7"/>
          <w:szCs w:val="17"/>
          <w:b w:val="1"/>
          <w:bCs w:val="1"/>
          <w:color w:val="auto"/>
        </w:rPr>
        <w:t>Harry Elias Partnership LLP</w:t>
      </w:r>
    </w:p>
    <w:p>
      <w:pPr>
        <w:spacing w:after="0" w:line="41"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8"/>
          <w:szCs w:val="18"/>
          <w:color w:val="auto"/>
        </w:rPr>
        <w:t>SGX Centre 2, #17-01</w:t>
      </w:r>
    </w:p>
    <w:p>
      <w:pPr>
        <w:spacing w:after="0" w:line="6"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8"/>
          <w:szCs w:val="18"/>
          <w:color w:val="auto"/>
        </w:rPr>
        <w:t>4 Shenton Way</w:t>
      </w:r>
    </w:p>
    <w:p>
      <w:pPr>
        <w:spacing w:after="0" w:line="6"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8"/>
          <w:szCs w:val="18"/>
          <w:color w:val="auto"/>
        </w:rPr>
        <w:t>Singapore 068807</w:t>
      </w:r>
    </w:p>
    <w:p>
      <w:pPr>
        <w:spacing w:after="0" w:line="201"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8"/>
          <w:szCs w:val="18"/>
          <w:color w:val="auto"/>
        </w:rPr>
        <w:t>T: +65 6535 0550</w:t>
      </w:r>
    </w:p>
    <w:p>
      <w:pPr>
        <w:spacing w:after="0" w:line="25"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8"/>
          <w:szCs w:val="18"/>
          <w:color w:val="auto"/>
        </w:rPr>
        <w:t>F: +65 6438 0550</w:t>
      </w:r>
    </w:p>
    <w:p>
      <w:pPr>
        <w:spacing w:after="0" w:line="6"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8"/>
          <w:szCs w:val="18"/>
          <w:color w:val="auto"/>
        </w:rPr>
        <w:t>www.harryelias.com</w:t>
      </w:r>
    </w:p>
    <w:p>
      <w:pPr>
        <w:spacing w:after="0" w:line="201"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8"/>
          <w:szCs w:val="18"/>
          <w:color w:val="auto"/>
        </w:rPr>
        <w:t>We do not accept service of</w:t>
      </w:r>
    </w:p>
    <w:p>
      <w:pPr>
        <w:spacing w:after="0" w:line="25"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8"/>
          <w:szCs w:val="18"/>
          <w:color w:val="auto"/>
        </w:rPr>
        <w:t>court documents by fax</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attention of Board of Directors</w:t>
            </w:r>
          </w:p>
        </w:tc>
        <w:tc>
          <w:tcPr>
            <w:tcW w:w="190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27 June 2025</w:t>
            </w:r>
          </w:p>
        </w:tc>
      </w:tr>
      <w:tr>
        <w:trPr>
          <w:trHeight w:val="213"/>
        </w:trPr>
        <w:tc>
          <w:tcPr>
            <w:tcW w:w="3720" w:type="dxa"/>
            <w:vAlign w:val="bottom"/>
          </w:tcPr>
          <w:p>
            <w:pPr>
              <w:spacing w:after="0"/>
              <w:rPr>
                <w:sz w:val="18"/>
                <w:szCs w:val="18"/>
                <w:color w:val="auto"/>
              </w:rPr>
            </w:pPr>
          </w:p>
        </w:tc>
        <w:tc>
          <w:tcPr>
            <w:tcW w:w="190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Your ref:</w:t>
            </w:r>
          </w:p>
        </w:tc>
        <w:tc>
          <w:tcPr>
            <w:tcW w:w="1960" w:type="dxa"/>
            <w:vAlign w:val="bottom"/>
          </w:tcPr>
          <w:p>
            <w:pPr>
              <w:spacing w:after="0"/>
              <w:rPr>
                <w:sz w:val="18"/>
                <w:szCs w:val="18"/>
                <w:color w:val="auto"/>
              </w:rPr>
            </w:pPr>
          </w:p>
        </w:tc>
      </w:tr>
      <w:tr>
        <w:trPr>
          <w:trHeight w:val="213"/>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tc>
        <w:tc>
          <w:tcPr>
            <w:tcW w:w="190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Our ref:</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2025.044314.CT</w:t>
            </w:r>
          </w:p>
        </w:tc>
      </w:tr>
      <w:tr>
        <w:trPr>
          <w:trHeight w:val="21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c/o 1 Wallich Street</w:t>
            </w:r>
          </w:p>
        </w:tc>
        <w:tc>
          <w:tcPr>
            <w:tcW w:w="190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Direct:</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+65 6361 9392 / 863</w:t>
            </w:r>
          </w:p>
        </w:tc>
      </w:tr>
      <w:tr>
        <w:trPr>
          <w:trHeight w:val="196"/>
        </w:trPr>
        <w:tc>
          <w:tcPr>
            <w:tcW w:w="37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#30-02, Guoco Tower</w:t>
            </w:r>
          </w:p>
        </w:tc>
        <w:tc>
          <w:tcPr>
            <w:tcW w:w="1900" w:type="dxa"/>
            <w:vAlign w:val="bottom"/>
          </w:tcPr>
          <w:p>
            <w:pPr>
              <w:ind w:left="780"/>
              <w:spacing w:after="0" w:line="196" w:lineRule="exact"/>
              <w:rPr>
                <w:sz w:val="20"/>
                <w:szCs w:val="20"/>
                <w:color w:val="auto"/>
              </w:rPr>
            </w:pPr>
            <w:r>
              <w:rPr>
                <w:rFonts w:ascii="Times New Roman" w:cs="Times New Roman" w:eastAsia="Times New Roman" w:hAnsi="Times New Roman"/>
                <w:sz w:val="18"/>
                <w:szCs w:val="18"/>
                <w:b w:val="1"/>
                <w:bCs w:val="1"/>
                <w:color w:val="auto"/>
              </w:rPr>
              <w:t>Email:</w:t>
            </w:r>
          </w:p>
        </w:tc>
        <w:tc>
          <w:tcPr>
            <w:tcW w:w="196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98"/>
              </w:rPr>
              <w:t>claudiateo@harryelias.com</w:t>
            </w:r>
          </w:p>
        </w:tc>
      </w:tr>
      <w:tr>
        <w:trPr>
          <w:trHeight w:val="193"/>
        </w:trPr>
        <w:tc>
          <w:tcPr>
            <w:tcW w:w="37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Singapore 078881</w:t>
            </w:r>
          </w:p>
        </w:tc>
        <w:tc>
          <w:tcPr>
            <w:tcW w:w="1900" w:type="dxa"/>
            <w:vAlign w:val="bottom"/>
          </w:tcPr>
          <w:p>
            <w:pPr>
              <w:spacing w:after="0"/>
              <w:rPr>
                <w:sz w:val="16"/>
                <w:szCs w:val="16"/>
                <w:color w:val="auto"/>
              </w:rPr>
            </w:pPr>
          </w:p>
        </w:tc>
        <w:tc>
          <w:tcPr>
            <w:tcW w:w="196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7"/>
              </w:rPr>
              <w:t>tienweitan@harryelias.com</w:t>
            </w:r>
          </w:p>
        </w:tc>
      </w:tr>
      <w:tr>
        <w:trPr>
          <w:trHeight w:val="448"/>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By email only</w:t>
            </w:r>
          </w:p>
        </w:tc>
        <w:tc>
          <w:tcPr>
            <w:tcW w:w="190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427"/>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Dear Sirs,</w:t>
            </w:r>
          </w:p>
        </w:tc>
        <w:tc>
          <w:tcPr>
            <w:tcW w:w="1900" w:type="dxa"/>
            <w:vAlign w:val="bottom"/>
          </w:tcPr>
          <w:p>
            <w:pPr>
              <w:spacing w:after="0"/>
              <w:rPr>
                <w:sz w:val="24"/>
                <w:szCs w:val="24"/>
                <w:color w:val="auto"/>
              </w:rPr>
            </w:pPr>
          </w:p>
        </w:tc>
        <w:tc>
          <w:tcPr>
            <w:tcW w:w="1960" w:type="dxa"/>
            <w:vAlign w:val="bottom"/>
          </w:tcPr>
          <w:p>
            <w:pPr>
              <w:spacing w:after="0"/>
              <w:rPr>
                <w:sz w:val="24"/>
                <w:szCs w:val="24"/>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 – FORM S-8</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capitalised terms used in this letter shall have the same meaning as defined in the Form S-8.</w:t>
      </w:r>
    </w:p>
    <w:p>
      <w:pPr>
        <w:spacing w:after="0" w:line="21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 xml:space="preserve">We, </w:t>
      </w:r>
      <w:r>
        <w:rPr>
          <w:rFonts w:ascii="Times New Roman" w:cs="Times New Roman" w:eastAsia="Times New Roman" w:hAnsi="Times New Roman"/>
          <w:sz w:val="18"/>
          <w:szCs w:val="18"/>
          <w:b w:val="1"/>
          <w:bCs w:val="1"/>
          <w:color w:val="auto"/>
        </w:rPr>
        <w:t>Harry Elias Partnership LLP</w:t>
      </w:r>
      <w:r>
        <w:rPr>
          <w:rFonts w:ascii="Times New Roman" w:cs="Times New Roman" w:eastAsia="Times New Roman" w:hAnsi="Times New Roman"/>
          <w:sz w:val="18"/>
          <w:szCs w:val="18"/>
          <w:color w:val="auto"/>
        </w:rPr>
        <w:t>, have acted as legal advisers as to the laws of Singapore to Amber International Holding Limited, a Cayman Islands exempted company incorporated with limited liability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hereby consent to reference our name in the Company’s Registration Statement on Form S-8, including the documents incorporated by reference therein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which will be filed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the date hereof. We also consent to the filing of this consent letter with the SEC as an exhibit to the Registration Statement.</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Save for the matters opined in Form 20-F and Form S-8 only, we do not make, or purport to make, any statement in the Form 20-F or Form S-8 and are not aware of any statement in the Form 20-F or Form S-8 which purports to be based on a statement made by us, and we make no representation, express or implied, regarding, and to the extent permitted by law, take no responsibility for, any statement in or omission from the Form 20-F or Form S-8.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Claudia Teo</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14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440" w:type="dxa"/>
            <w:vAlign w:val="bottom"/>
            <w:tcBorders>
              <w:top w:val="single" w:sz="8" w:color="auto"/>
            </w:tcBorders>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40" w:type="dxa"/>
            <w:vAlign w:val="bottom"/>
            <w:tcBorders>
              <w:top w:val="single" w:sz="8" w:color="auto"/>
            </w:tcBorders>
          </w:tcPr>
          <w:p>
            <w:pPr>
              <w:ind w:left="120"/>
              <w:spacing w:after="0" w:line="189" w:lineRule="exact"/>
              <w:rPr>
                <w:sz w:val="20"/>
                <w:szCs w:val="20"/>
                <w:color w:val="auto"/>
              </w:rPr>
            </w:pPr>
            <w:r>
              <w:rPr>
                <w:rFonts w:ascii="Times New Roman" w:cs="Times New Roman" w:eastAsia="Times New Roman" w:hAnsi="Times New Roman"/>
                <w:sz w:val="18"/>
                <w:szCs w:val="18"/>
                <w:color w:val="auto"/>
              </w:rPr>
              <w:t>Claudia Teo</w:t>
            </w:r>
          </w:p>
        </w:tc>
      </w:tr>
      <w:tr>
        <w:trPr>
          <w:trHeight w:val="23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Designation</w:t>
            </w:r>
          </w:p>
        </w:tc>
        <w:tc>
          <w:tcPr>
            <w:tcW w:w="4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Partner</w:t>
            </w:r>
          </w:p>
        </w:tc>
      </w:tr>
    </w:tbl>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Harry Elias Partnership LLP</w:t>
      </w:r>
    </w:p>
    <w:p>
      <w:pPr>
        <w:spacing w:after="0" w:line="1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Harry Elias Partnership LLP </w:t>
      </w:r>
      <w:r>
        <w:rPr>
          <w:rFonts w:ascii="Times New Roman" w:cs="Times New Roman" w:eastAsia="Times New Roman" w:hAnsi="Times New Roman"/>
          <w:sz w:val="18"/>
          <w:szCs w:val="18"/>
          <w:color w:val="auto"/>
        </w:rPr>
        <w:t>is a limited liability partnership registered in Singapore under the Limited Liability Partnerships Act 2005, UEN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T10LL0175E and with our registered place of business at 4 Shenton Way #17-01 SGX Centre 2 Singapore 068807. We are regulated by the Law Society of Singapore and the Legal Services Regulatory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342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21"/>
          <w:szCs w:val="21"/>
          <w:b w:val="1"/>
          <w:bCs w:val="1"/>
          <w:color w:val="auto"/>
        </w:rPr>
        <w:t>Exhibit 23.7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5393055</wp:posOffset>
            </wp:positionH>
            <wp:positionV relativeFrom="paragraph">
              <wp:posOffset>171450</wp:posOffset>
            </wp:positionV>
            <wp:extent cx="1745615" cy="3302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745615" cy="330200"/>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27 June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21st Floor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 Queen’s Road Central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+852 3700 4000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+852 3700 4099</w:t>
      </w:r>
    </w:p>
    <w:p>
      <w:pPr>
        <w:spacing w:after="0" w:line="200" w:lineRule="exact"/>
        <w:rPr>
          <w:sz w:val="20"/>
          <w:szCs w:val="20"/>
          <w:color w:val="auto"/>
        </w:rPr>
      </w:pPr>
    </w:p>
    <w:p>
      <w:pPr>
        <w:sectPr>
          <w:pgSz w:w="11900" w:h="16838" w:orient="portrait"/>
          <w:cols w:equalWidth="0" w:num="2">
            <w:col w:w="8280" w:space="720"/>
            <w:col w:w="2240"/>
          </w:cols>
          <w:pgMar w:left="320" w:top="348" w:right="339" w:bottom="1440" w:gutter="0" w:footer="0" w:header="0"/>
          <w:type w:val="continuous"/>
        </w:sectPr>
      </w:pPr>
    </w:p>
    <w:p>
      <w:pPr>
        <w:spacing w:after="0" w:line="1"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7"/>
          <w:szCs w:val="17"/>
          <w:color w:val="auto"/>
        </w:rPr>
        <w:t>Partners</w:t>
      </w:r>
    </w:p>
    <w:p>
      <w:pPr>
        <w:sectPr>
          <w:pgSz w:w="11900" w:h="16838" w:orient="portrait"/>
          <w:cols w:equalWidth="0" w:num="1">
            <w:col w:w="11240"/>
          </w:cols>
          <w:pgMar w:left="320" w:top="348" w:right="339" w:bottom="144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Amber International Holding Limited</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Wallich Street</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 Ho Ming</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 Tak Yi</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Lau Yeung Yeung</w:t>
      </w:r>
    </w:p>
    <w:p>
      <w:pPr>
        <w:spacing w:after="0" w:line="17" w:lineRule="exact"/>
        <w:rPr>
          <w:sz w:val="20"/>
          <w:szCs w:val="20"/>
          <w:color w:val="auto"/>
        </w:rPr>
      </w:pPr>
    </w:p>
    <w:p>
      <w:pPr>
        <w:sectPr>
          <w:pgSz w:w="11900" w:h="16838" w:orient="portrait"/>
          <w:cols w:equalWidth="0" w:num="2">
            <w:col w:w="8280" w:space="720"/>
            <w:col w:w="2240"/>
          </w:cols>
          <w:pgMar w:left="320" w:top="34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#30-02 Guoco Tower</w:t>
      </w:r>
    </w:p>
    <w:p>
      <w:pPr>
        <w:sectPr>
          <w:pgSz w:w="11900" w:h="16838" w:orient="portrait"/>
          <w:cols w:equalWidth="0" w:num="1">
            <w:col w:w="11240"/>
          </w:cols>
          <w:pgMar w:left="320" w:top="348" w:right="33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Singapore 078881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www.taylorwessing.com</w:t>
      </w:r>
    </w:p>
    <w:p>
      <w:pPr>
        <w:spacing w:after="0" w:line="200" w:lineRule="exact"/>
        <w:rPr>
          <w:sz w:val="20"/>
          <w:szCs w:val="20"/>
          <w:color w:val="auto"/>
        </w:rPr>
      </w:pPr>
    </w:p>
    <w:p>
      <w:pPr>
        <w:sectPr>
          <w:pgSz w:w="11900" w:h="16838" w:orient="portrait"/>
          <w:cols w:equalWidth="0" w:num="2">
            <w:col w:w="8280" w:space="720"/>
            <w:col w:w="2240"/>
          </w:cols>
          <w:pgMar w:left="320" w:top="348" w:right="339" w:bottom="1440" w:gutter="0" w:footer="0" w:header="0"/>
          <w:type w:val="continuous"/>
        </w:sectPr>
      </w:pPr>
    </w:p>
    <w:p>
      <w:pPr>
        <w:spacing w:after="0" w:line="12"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7"/>
          <w:szCs w:val="17"/>
          <w:color w:val="auto"/>
        </w:rPr>
        <w:t>Our Ref.: HMC102-035.MC</w:t>
      </w: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Dear Sirs,</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Form S-8 of Amber International Holding Limited</w:t>
      </w:r>
    </w:p>
    <w:p>
      <w:pPr>
        <w:sectPr>
          <w:pgSz w:w="11900" w:h="16838" w:orient="portrait"/>
          <w:cols w:equalWidth="0" w:num="1">
            <w:col w:w="11240"/>
          </w:cols>
          <w:pgMar w:left="320" w:top="348" w:right="339" w:bottom="1440" w:gutter="0" w:footer="0" w:header="0"/>
          <w:type w:val="continuous"/>
        </w:sectPr>
      </w:pPr>
    </w:p>
    <w:p>
      <w:pPr>
        <w:spacing w:after="0" w:line="224" w:lineRule="exact"/>
        <w:rPr>
          <w:sz w:val="20"/>
          <w:szCs w:val="20"/>
          <w:color w:val="auto"/>
        </w:rPr>
      </w:pPr>
    </w:p>
    <w:p>
      <w:pPr>
        <w:jc w:val="both"/>
        <w:ind w:right="20" w:hanging="1"/>
        <w:spacing w:after="0" w:line="277" w:lineRule="auto"/>
        <w:rPr>
          <w:sz w:val="20"/>
          <w:szCs w:val="20"/>
          <w:color w:val="auto"/>
        </w:rPr>
      </w:pPr>
      <w:r>
        <w:rPr>
          <w:rFonts w:ascii="Times New Roman" w:cs="Times New Roman" w:eastAsia="Times New Roman" w:hAnsi="Times New Roman"/>
          <w:sz w:val="18"/>
          <w:szCs w:val="18"/>
          <w:color w:val="auto"/>
        </w:rPr>
        <w:t xml:space="preserve">We have acted as legal advisers as to the laws of Hong Kong to Amber International Holding Limited, a Cayman Islands exempted company incorporated with limited liability (the </w:t>
      </w:r>
      <w:r>
        <w:rPr>
          <w:rFonts w:ascii="Times New Roman" w:cs="Times New Roman" w:eastAsia="Times New Roman" w:hAnsi="Times New Roman"/>
          <w:sz w:val="18"/>
          <w:szCs w:val="18"/>
          <w:b w:val="1"/>
          <w:bCs w:val="1"/>
          <w:color w:val="auto"/>
        </w:rPr>
        <w:t>“Company”).</w:t>
      </w:r>
    </w:p>
    <w:p>
      <w:pPr>
        <w:spacing w:after="0" w:line="1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We hereby consent to reference our name in the Company’s Registration Statement on Form S-8, including the documents incorporated by reference therein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xml:space="preserve"> which will be filed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xml:space="preserve"> on the date hereof. We also consent to the filing of this consent letter with the SEC as an exhibit to the Registration Statement. Save for the above, our consent is not to be read as extending, by implication or otherwise, to any other matter.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Taylor Wessing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349948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3499485"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Taylor Wessing</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Taylor Wessing is a firm of Hong Kong solicitors regulated by the Law Society of Hong Kong and practising Hong Kong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456565</wp:posOffset>
            </wp:positionV>
            <wp:extent cx="71342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type w:val="continuous"/>
        </w:sectPr>
      </w:pPr>
    </w:p>
    <w:bookmarkStart w:id="32" w:name="page33"/>
    <w:bookmarkEnd w:id="32"/>
    <w:p>
      <w:pPr>
        <w:ind w:left="10200"/>
        <w:spacing w:after="0"/>
        <w:rPr>
          <w:sz w:val="20"/>
          <w:szCs w:val="20"/>
          <w:color w:val="auto"/>
        </w:rPr>
      </w:pPr>
      <w:r>
        <w:rPr>
          <w:rFonts w:ascii="Times New Roman" w:cs="Times New Roman" w:eastAsia="Times New Roman" w:hAnsi="Times New Roman"/>
          <w:sz w:val="21"/>
          <w:szCs w:val="21"/>
          <w:b w:val="1"/>
          <w:bCs w:val="1"/>
          <w:color w:val="auto"/>
        </w:rPr>
        <w:t>Exhibit 107</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S-8</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1: Newly Registered Securities</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285"/>
        </w:trPr>
        <w:tc>
          <w:tcPr>
            <w:tcW w:w="900" w:type="dxa"/>
            <w:vAlign w:val="bottom"/>
            <w:tcBorders>
              <w:top w:val="single" w:sz="8" w:color="auto"/>
              <w:left w:val="single" w:sz="8" w:color="auto"/>
              <w:right w:val="single" w:sz="8" w:color="auto"/>
            </w:tcBorders>
          </w:tcPr>
          <w:p>
            <w:pPr>
              <w:spacing w:after="0"/>
              <w:rPr>
                <w:sz w:val="24"/>
                <w:szCs w:val="24"/>
                <w:color w:val="auto"/>
              </w:rPr>
            </w:pPr>
          </w:p>
        </w:tc>
        <w:tc>
          <w:tcPr>
            <w:tcW w:w="2340" w:type="dxa"/>
            <w:vAlign w:val="bottom"/>
            <w:tcBorders>
              <w:top w:val="single" w:sz="8" w:color="auto"/>
              <w:right w:val="single" w:sz="8" w:color="auto"/>
            </w:tcBorders>
          </w:tcPr>
          <w:p>
            <w:pPr>
              <w:spacing w:after="0"/>
              <w:rPr>
                <w:sz w:val="24"/>
                <w:szCs w:val="24"/>
                <w:color w:val="auto"/>
              </w:rPr>
            </w:pPr>
          </w:p>
        </w:tc>
        <w:tc>
          <w:tcPr>
            <w:tcW w:w="1420" w:type="dxa"/>
            <w:vAlign w:val="bottom"/>
            <w:tcBorders>
              <w:top w:val="single" w:sz="8" w:color="auto"/>
              <w:right w:val="single" w:sz="8" w:color="auto"/>
            </w:tcBorders>
          </w:tcPr>
          <w:p>
            <w:pPr>
              <w:spacing w:after="0"/>
              <w:rPr>
                <w:sz w:val="24"/>
                <w:szCs w:val="24"/>
                <w:color w:val="auto"/>
              </w:rPr>
            </w:pPr>
          </w:p>
        </w:tc>
        <w:tc>
          <w:tcPr>
            <w:tcW w:w="1340" w:type="dxa"/>
            <w:vAlign w:val="bottom"/>
            <w:tcBorders>
              <w:top w:val="single" w:sz="8" w:color="auto"/>
              <w:right w:val="single" w:sz="8" w:color="auto"/>
            </w:tcBorders>
          </w:tcPr>
          <w:p>
            <w:pPr>
              <w:spacing w:after="0"/>
              <w:rPr>
                <w:sz w:val="24"/>
                <w:szCs w:val="24"/>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Proposed</w:t>
            </w:r>
          </w:p>
        </w:tc>
        <w:tc>
          <w:tcPr>
            <w:tcW w:w="1560" w:type="dxa"/>
            <w:vAlign w:val="bottom"/>
            <w:tcBorders>
              <w:top w:val="single" w:sz="8" w:color="auto"/>
              <w:right w:val="single" w:sz="8" w:color="auto"/>
            </w:tcBorders>
          </w:tcPr>
          <w:p>
            <w:pPr>
              <w:spacing w:after="0"/>
              <w:rPr>
                <w:sz w:val="24"/>
                <w:szCs w:val="24"/>
                <w:color w:val="auto"/>
              </w:rPr>
            </w:pPr>
          </w:p>
        </w:tc>
        <w:tc>
          <w:tcPr>
            <w:tcW w:w="1240" w:type="dxa"/>
            <w:vAlign w:val="bottom"/>
            <w:tcBorders>
              <w:top w:val="single" w:sz="8" w:color="auto"/>
              <w:right w:val="single" w:sz="8" w:color="auto"/>
            </w:tcBorders>
          </w:tcPr>
          <w:p>
            <w:pPr>
              <w:spacing w:after="0"/>
              <w:rPr>
                <w:sz w:val="24"/>
                <w:szCs w:val="24"/>
                <w:color w:val="auto"/>
              </w:rPr>
            </w:pPr>
          </w:p>
        </w:tc>
        <w:tc>
          <w:tcPr>
            <w:tcW w:w="13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90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Maximum</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Proposed</w:t>
            </w:r>
          </w:p>
        </w:tc>
        <w:tc>
          <w:tcPr>
            <w:tcW w:w="124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0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Fee</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Maximum</w:t>
            </w:r>
          </w:p>
        </w:tc>
        <w:tc>
          <w:tcPr>
            <w:tcW w:w="124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0" w:type="dxa"/>
            <w:vAlign w:val="bottom"/>
          </w:tcPr>
          <w:p>
            <w:pPr>
              <w:spacing w:after="0"/>
              <w:rPr>
                <w:sz w:val="1"/>
                <w:szCs w:val="1"/>
                <w:color w:val="auto"/>
              </w:rPr>
            </w:pPr>
          </w:p>
        </w:tc>
      </w:tr>
      <w:tr>
        <w:trPr>
          <w:trHeight w:val="182"/>
        </w:trPr>
        <w:tc>
          <w:tcPr>
            <w:tcW w:w="900" w:type="dxa"/>
            <w:vAlign w:val="bottom"/>
            <w:tcBorders>
              <w:left w:val="single" w:sz="8" w:color="auto"/>
              <w:right w:val="single" w:sz="8" w:color="auto"/>
            </w:tcBorders>
          </w:tcPr>
          <w:p>
            <w:pPr>
              <w:ind w:left="140"/>
              <w:spacing w:after="0" w:line="182" w:lineRule="exact"/>
              <w:rPr>
                <w:sz w:val="20"/>
                <w:szCs w:val="20"/>
                <w:color w:val="auto"/>
              </w:rPr>
            </w:pPr>
            <w:r>
              <w:rPr>
                <w:rFonts w:ascii="Times New Roman" w:cs="Times New Roman" w:eastAsia="Times New Roman" w:hAnsi="Times New Roman"/>
                <w:sz w:val="18"/>
                <w:szCs w:val="18"/>
                <w:b w:val="1"/>
                <w:bCs w:val="1"/>
                <w:color w:val="auto"/>
              </w:rPr>
              <w:t>Security</w:t>
            </w:r>
          </w:p>
        </w:tc>
        <w:tc>
          <w:tcPr>
            <w:tcW w:w="234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w w:val="98"/>
              </w:rPr>
              <w:t>Calculation</w:t>
            </w:r>
          </w:p>
        </w:tc>
        <w:tc>
          <w:tcPr>
            <w:tcW w:w="1340" w:type="dxa"/>
            <w:vAlign w:val="bottom"/>
            <w:tcBorders>
              <w:right w:val="single" w:sz="8" w:color="auto"/>
            </w:tcBorders>
            <w:vMerge w:val="continue"/>
          </w:tcPr>
          <w:p>
            <w:pPr>
              <w:spacing w:after="0"/>
              <w:rPr>
                <w:sz w:val="15"/>
                <w:szCs w:val="15"/>
                <w:color w:val="auto"/>
              </w:rPr>
            </w:pPr>
          </w:p>
        </w:tc>
        <w:tc>
          <w:tcPr>
            <w:tcW w:w="112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w w:val="97"/>
              </w:rPr>
              <w:t>Price Per</w:t>
            </w:r>
          </w:p>
        </w:tc>
        <w:tc>
          <w:tcPr>
            <w:tcW w:w="156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w w:val="98"/>
              </w:rPr>
              <w:t>Aggregate</w:t>
            </w:r>
          </w:p>
        </w:tc>
        <w:tc>
          <w:tcPr>
            <w:tcW w:w="124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w w:val="98"/>
              </w:rPr>
              <w:t>Registration</w:t>
            </w:r>
          </w:p>
        </w:tc>
        <w:tc>
          <w:tcPr>
            <w:tcW w:w="0" w:type="dxa"/>
            <w:vAlign w:val="bottom"/>
          </w:tcPr>
          <w:p>
            <w:pPr>
              <w:spacing w:after="0"/>
              <w:rPr>
                <w:sz w:val="1"/>
                <w:szCs w:val="1"/>
                <w:color w:val="auto"/>
              </w:rPr>
            </w:pPr>
          </w:p>
        </w:tc>
      </w:tr>
      <w:tr>
        <w:trPr>
          <w:trHeight w:val="294"/>
        </w:trPr>
        <w:tc>
          <w:tcPr>
            <w:tcW w:w="900" w:type="dxa"/>
            <w:vAlign w:val="bottom"/>
            <w:tcBorders>
              <w:left w:val="single" w:sz="8" w:color="auto"/>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Type</w:t>
            </w:r>
          </w:p>
        </w:tc>
        <w:tc>
          <w:tcPr>
            <w:tcW w:w="2340" w:type="dxa"/>
            <w:vAlign w:val="bottom"/>
            <w:tcBorders>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Security Class Title</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340" w:type="dxa"/>
            <w:vAlign w:val="bottom"/>
            <w:tcBorders>
              <w:bottom w:val="single" w:sz="8" w:color="auto"/>
              <w:right w:val="single" w:sz="8" w:color="auto"/>
            </w:tcBorders>
          </w:tcPr>
          <w:p>
            <w:pPr>
              <w:jc w:val="center"/>
              <w:spacing w:after="0" w:line="294" w:lineRule="exact"/>
              <w:rPr>
                <w:sz w:val="20"/>
                <w:szCs w:val="20"/>
                <w:color w:val="auto"/>
              </w:rPr>
            </w:pPr>
            <w:r>
              <w:rPr>
                <w:rFonts w:ascii="Times New Roman" w:cs="Times New Roman" w:eastAsia="Times New Roman" w:hAnsi="Times New Roman"/>
                <w:sz w:val="18"/>
                <w:szCs w:val="18"/>
                <w:b w:val="1"/>
                <w:bCs w:val="1"/>
                <w:color w:val="auto"/>
                <w:w w:val="93"/>
              </w:rPr>
              <w:t xml:space="preserve">Registered </w:t>
            </w:r>
            <w:r>
              <w:rPr>
                <w:rFonts w:ascii="Times New Roman" w:cs="Times New Roman" w:eastAsia="Times New Roman" w:hAnsi="Times New Roman"/>
                <w:sz w:val="29"/>
                <w:szCs w:val="29"/>
                <w:b w:val="1"/>
                <w:bCs w:val="1"/>
                <w:color w:val="auto"/>
                <w:w w:val="93"/>
                <w:vertAlign w:val="superscript"/>
              </w:rPr>
              <w:t>(2)</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 Price</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Fee Rate</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Fee</w:t>
            </w:r>
          </w:p>
        </w:tc>
        <w:tc>
          <w:tcPr>
            <w:tcW w:w="0" w:type="dxa"/>
            <w:vAlign w:val="bottom"/>
          </w:tcPr>
          <w:p>
            <w:pPr>
              <w:spacing w:after="0"/>
              <w:rPr>
                <w:sz w:val="1"/>
                <w:szCs w:val="1"/>
                <w:color w:val="auto"/>
              </w:rPr>
            </w:pPr>
          </w:p>
        </w:tc>
      </w:tr>
      <w:tr>
        <w:trPr>
          <w:trHeight w:val="274"/>
        </w:trPr>
        <w:tc>
          <w:tcPr>
            <w:tcW w:w="9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Equity</w:t>
            </w:r>
          </w:p>
        </w:tc>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Class A Ordinary Shares, par</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Rules 457(c) and</w:t>
            </w:r>
          </w:p>
        </w:tc>
        <w:tc>
          <w:tcPr>
            <w:tcW w:w="1340" w:type="dxa"/>
            <w:vAlign w:val="bottom"/>
            <w:tcBorders>
              <w:right w:val="single" w:sz="8" w:color="auto"/>
            </w:tcBorders>
          </w:tcPr>
          <w:p>
            <w:pPr>
              <w:jc w:val="center"/>
              <w:spacing w:after="0" w:line="273" w:lineRule="exact"/>
              <w:rPr>
                <w:sz w:val="20"/>
                <w:szCs w:val="20"/>
                <w:color w:val="auto"/>
              </w:rPr>
            </w:pPr>
            <w:r>
              <w:rPr>
                <w:rFonts w:ascii="Times New Roman" w:cs="Times New Roman" w:eastAsia="Times New Roman" w:hAnsi="Times New Roman"/>
                <w:sz w:val="18"/>
                <w:szCs w:val="18"/>
                <w:color w:val="auto"/>
                <w:w w:val="92"/>
              </w:rPr>
              <w:t xml:space="preserve">1,500,000 </w:t>
            </w:r>
            <w:r>
              <w:rPr>
                <w:rFonts w:ascii="Times New Roman" w:cs="Times New Roman" w:eastAsia="Times New Roman" w:hAnsi="Times New Roman"/>
                <w:sz w:val="29"/>
                <w:szCs w:val="29"/>
                <w:color w:val="auto"/>
                <w:w w:val="92"/>
                <w:vertAlign w:val="superscript"/>
              </w:rPr>
              <w:t>(3)</w:t>
            </w:r>
          </w:p>
        </w:tc>
        <w:tc>
          <w:tcPr>
            <w:tcW w:w="1120" w:type="dxa"/>
            <w:vAlign w:val="bottom"/>
            <w:tcBorders>
              <w:right w:val="single" w:sz="8" w:color="auto"/>
            </w:tcBorders>
          </w:tcPr>
          <w:p>
            <w:pPr>
              <w:jc w:val="center"/>
              <w:spacing w:after="0" w:line="273" w:lineRule="exact"/>
              <w:rPr>
                <w:sz w:val="20"/>
                <w:szCs w:val="20"/>
                <w:color w:val="auto"/>
              </w:rPr>
            </w:pPr>
            <w:r>
              <w:rPr>
                <w:rFonts w:ascii="Times New Roman" w:cs="Times New Roman" w:eastAsia="Times New Roman" w:hAnsi="Times New Roman"/>
                <w:sz w:val="18"/>
                <w:szCs w:val="18"/>
                <w:color w:val="auto"/>
                <w:w w:val="91"/>
              </w:rPr>
              <w:t>$2.195</w:t>
            </w:r>
            <w:r>
              <w:rPr>
                <w:rFonts w:ascii="Times New Roman" w:cs="Times New Roman" w:eastAsia="Times New Roman" w:hAnsi="Times New Roman"/>
                <w:sz w:val="29"/>
                <w:szCs w:val="29"/>
                <w:color w:val="auto"/>
                <w:w w:val="91"/>
                <w:vertAlign w:val="superscript"/>
              </w:rPr>
              <w:t>(6)</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$3,292,500</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$0.00015310</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$504.08</w:t>
            </w:r>
          </w:p>
        </w:tc>
        <w:tc>
          <w:tcPr>
            <w:tcW w:w="0" w:type="dxa"/>
            <w:vAlign w:val="bottom"/>
          </w:tcPr>
          <w:p>
            <w:pPr>
              <w:spacing w:after="0"/>
              <w:rPr>
                <w:sz w:val="1"/>
                <w:szCs w:val="1"/>
                <w:color w:val="auto"/>
              </w:rPr>
            </w:pPr>
          </w:p>
        </w:tc>
      </w:tr>
      <w:tr>
        <w:trPr>
          <w:trHeight w:val="294"/>
        </w:trPr>
        <w:tc>
          <w:tcPr>
            <w:tcW w:w="900" w:type="dxa"/>
            <w:vAlign w:val="bottom"/>
            <w:tcBorders>
              <w:left w:val="single" w:sz="8" w:color="auto"/>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ind w:left="100"/>
              <w:spacing w:after="0" w:line="294" w:lineRule="exact"/>
              <w:rPr>
                <w:sz w:val="20"/>
                <w:szCs w:val="20"/>
                <w:color w:val="auto"/>
              </w:rPr>
            </w:pPr>
            <w:r>
              <w:rPr>
                <w:rFonts w:ascii="Times New Roman" w:cs="Times New Roman" w:eastAsia="Times New Roman" w:hAnsi="Times New Roman"/>
                <w:sz w:val="18"/>
                <w:szCs w:val="18"/>
                <w:color w:val="auto"/>
              </w:rPr>
              <w:t>value $0.001 per share</w:t>
            </w:r>
            <w:r>
              <w:rPr>
                <w:rFonts w:ascii="Times New Roman" w:cs="Times New Roman" w:eastAsia="Times New Roman" w:hAnsi="Times New Roman"/>
                <w:sz w:val="29"/>
                <w:szCs w:val="29"/>
                <w:b w:val="1"/>
                <w:bCs w:val="1"/>
                <w:color w:val="auto"/>
                <w:vertAlign w:val="superscript"/>
              </w:rPr>
              <w:t>(1)</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457(h)</w:t>
            </w:r>
          </w:p>
        </w:tc>
        <w:tc>
          <w:tcPr>
            <w:tcW w:w="13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9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Equity</w:t>
            </w:r>
          </w:p>
        </w:tc>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Class A Ordinary Shares, par</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Rules 457(c) and</w:t>
            </w:r>
          </w:p>
        </w:tc>
        <w:tc>
          <w:tcPr>
            <w:tcW w:w="1340" w:type="dxa"/>
            <w:vAlign w:val="bottom"/>
            <w:tcBorders>
              <w:right w:val="single" w:sz="8" w:color="auto"/>
            </w:tcBorders>
          </w:tcPr>
          <w:p>
            <w:pPr>
              <w:jc w:val="center"/>
              <w:spacing w:after="0" w:line="273" w:lineRule="exact"/>
              <w:rPr>
                <w:sz w:val="20"/>
                <w:szCs w:val="20"/>
                <w:color w:val="auto"/>
              </w:rPr>
            </w:pPr>
            <w:r>
              <w:rPr>
                <w:rFonts w:ascii="Times New Roman" w:cs="Times New Roman" w:eastAsia="Times New Roman" w:hAnsi="Times New Roman"/>
                <w:sz w:val="18"/>
                <w:szCs w:val="18"/>
                <w:color w:val="auto"/>
                <w:w w:val="93"/>
              </w:rPr>
              <w:t xml:space="preserve">150,000 </w:t>
            </w:r>
            <w:r>
              <w:rPr>
                <w:rFonts w:ascii="Times New Roman" w:cs="Times New Roman" w:eastAsia="Times New Roman" w:hAnsi="Times New Roman"/>
                <w:sz w:val="29"/>
                <w:szCs w:val="29"/>
                <w:color w:val="auto"/>
                <w:w w:val="93"/>
                <w:vertAlign w:val="superscript"/>
              </w:rPr>
              <w:t>(4)</w:t>
            </w:r>
          </w:p>
        </w:tc>
        <w:tc>
          <w:tcPr>
            <w:tcW w:w="1120" w:type="dxa"/>
            <w:vAlign w:val="bottom"/>
            <w:tcBorders>
              <w:right w:val="single" w:sz="8" w:color="auto"/>
            </w:tcBorders>
          </w:tcPr>
          <w:p>
            <w:pPr>
              <w:jc w:val="center"/>
              <w:spacing w:after="0" w:line="273" w:lineRule="exact"/>
              <w:rPr>
                <w:sz w:val="20"/>
                <w:szCs w:val="20"/>
                <w:color w:val="auto"/>
              </w:rPr>
            </w:pPr>
            <w:r>
              <w:rPr>
                <w:rFonts w:ascii="Times New Roman" w:cs="Times New Roman" w:eastAsia="Times New Roman" w:hAnsi="Times New Roman"/>
                <w:sz w:val="18"/>
                <w:szCs w:val="18"/>
                <w:color w:val="auto"/>
                <w:w w:val="91"/>
              </w:rPr>
              <w:t>$2.195</w:t>
            </w:r>
            <w:r>
              <w:rPr>
                <w:rFonts w:ascii="Times New Roman" w:cs="Times New Roman" w:eastAsia="Times New Roman" w:hAnsi="Times New Roman"/>
                <w:sz w:val="29"/>
                <w:szCs w:val="29"/>
                <w:color w:val="auto"/>
                <w:w w:val="91"/>
                <w:vertAlign w:val="superscript"/>
              </w:rPr>
              <w:t>(6)</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$329,250</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$0.00015310</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$50.41</w:t>
            </w:r>
          </w:p>
        </w:tc>
        <w:tc>
          <w:tcPr>
            <w:tcW w:w="0" w:type="dxa"/>
            <w:vAlign w:val="bottom"/>
          </w:tcPr>
          <w:p>
            <w:pPr>
              <w:spacing w:after="0"/>
              <w:rPr>
                <w:sz w:val="1"/>
                <w:szCs w:val="1"/>
                <w:color w:val="auto"/>
              </w:rPr>
            </w:pPr>
          </w:p>
        </w:tc>
      </w:tr>
      <w:tr>
        <w:trPr>
          <w:trHeight w:val="294"/>
        </w:trPr>
        <w:tc>
          <w:tcPr>
            <w:tcW w:w="900" w:type="dxa"/>
            <w:vAlign w:val="bottom"/>
            <w:tcBorders>
              <w:left w:val="single" w:sz="8" w:color="auto"/>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ind w:left="100"/>
              <w:spacing w:after="0" w:line="294" w:lineRule="exact"/>
              <w:rPr>
                <w:sz w:val="20"/>
                <w:szCs w:val="20"/>
                <w:color w:val="auto"/>
              </w:rPr>
            </w:pPr>
            <w:r>
              <w:rPr>
                <w:rFonts w:ascii="Times New Roman" w:cs="Times New Roman" w:eastAsia="Times New Roman" w:hAnsi="Times New Roman"/>
                <w:sz w:val="18"/>
                <w:szCs w:val="18"/>
                <w:color w:val="auto"/>
              </w:rPr>
              <w:t>value $0.001 per share</w:t>
            </w:r>
            <w:r>
              <w:rPr>
                <w:rFonts w:ascii="Times New Roman" w:cs="Times New Roman" w:eastAsia="Times New Roman" w:hAnsi="Times New Roman"/>
                <w:sz w:val="29"/>
                <w:szCs w:val="29"/>
                <w:b w:val="1"/>
                <w:bCs w:val="1"/>
                <w:color w:val="auto"/>
                <w:vertAlign w:val="superscript"/>
              </w:rPr>
              <w:t>(1)</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457(h)</w:t>
            </w:r>
          </w:p>
        </w:tc>
        <w:tc>
          <w:tcPr>
            <w:tcW w:w="13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9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Equity</w:t>
            </w:r>
          </w:p>
        </w:tc>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Class A Ordinary Shares, par</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Rules 457(c) and</w:t>
            </w:r>
          </w:p>
        </w:tc>
        <w:tc>
          <w:tcPr>
            <w:tcW w:w="1340" w:type="dxa"/>
            <w:vAlign w:val="bottom"/>
            <w:tcBorders>
              <w:right w:val="single" w:sz="8" w:color="auto"/>
            </w:tcBorders>
          </w:tcPr>
          <w:p>
            <w:pPr>
              <w:jc w:val="center"/>
              <w:spacing w:after="0" w:line="273" w:lineRule="exact"/>
              <w:rPr>
                <w:sz w:val="20"/>
                <w:szCs w:val="20"/>
                <w:color w:val="auto"/>
              </w:rPr>
            </w:pPr>
            <w:r>
              <w:rPr>
                <w:rFonts w:ascii="Times New Roman" w:cs="Times New Roman" w:eastAsia="Times New Roman" w:hAnsi="Times New Roman"/>
                <w:sz w:val="18"/>
                <w:szCs w:val="18"/>
                <w:color w:val="auto"/>
                <w:w w:val="93"/>
              </w:rPr>
              <w:t xml:space="preserve">150,000 </w:t>
            </w:r>
            <w:r>
              <w:rPr>
                <w:rFonts w:ascii="Times New Roman" w:cs="Times New Roman" w:eastAsia="Times New Roman" w:hAnsi="Times New Roman"/>
                <w:sz w:val="29"/>
                <w:szCs w:val="29"/>
                <w:color w:val="auto"/>
                <w:w w:val="93"/>
                <w:vertAlign w:val="superscript"/>
              </w:rPr>
              <w:t>(4)</w:t>
            </w:r>
          </w:p>
        </w:tc>
        <w:tc>
          <w:tcPr>
            <w:tcW w:w="1120" w:type="dxa"/>
            <w:vAlign w:val="bottom"/>
            <w:tcBorders>
              <w:right w:val="single" w:sz="8" w:color="auto"/>
            </w:tcBorders>
          </w:tcPr>
          <w:p>
            <w:pPr>
              <w:jc w:val="center"/>
              <w:spacing w:after="0" w:line="273" w:lineRule="exact"/>
              <w:rPr>
                <w:sz w:val="20"/>
                <w:szCs w:val="20"/>
                <w:color w:val="auto"/>
              </w:rPr>
            </w:pPr>
            <w:r>
              <w:rPr>
                <w:rFonts w:ascii="Times New Roman" w:cs="Times New Roman" w:eastAsia="Times New Roman" w:hAnsi="Times New Roman"/>
                <w:sz w:val="18"/>
                <w:szCs w:val="18"/>
                <w:color w:val="auto"/>
                <w:w w:val="91"/>
              </w:rPr>
              <w:t>$2.195</w:t>
            </w:r>
            <w:r>
              <w:rPr>
                <w:rFonts w:ascii="Times New Roman" w:cs="Times New Roman" w:eastAsia="Times New Roman" w:hAnsi="Times New Roman"/>
                <w:sz w:val="29"/>
                <w:szCs w:val="29"/>
                <w:color w:val="auto"/>
                <w:w w:val="91"/>
                <w:vertAlign w:val="superscript"/>
              </w:rPr>
              <w:t>(6)</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$329,250</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$0.00015310</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$50.41</w:t>
            </w:r>
          </w:p>
        </w:tc>
        <w:tc>
          <w:tcPr>
            <w:tcW w:w="0" w:type="dxa"/>
            <w:vAlign w:val="bottom"/>
          </w:tcPr>
          <w:p>
            <w:pPr>
              <w:spacing w:after="0"/>
              <w:rPr>
                <w:sz w:val="1"/>
                <w:szCs w:val="1"/>
                <w:color w:val="auto"/>
              </w:rPr>
            </w:pPr>
          </w:p>
        </w:tc>
      </w:tr>
      <w:tr>
        <w:trPr>
          <w:trHeight w:val="294"/>
        </w:trPr>
        <w:tc>
          <w:tcPr>
            <w:tcW w:w="900" w:type="dxa"/>
            <w:vAlign w:val="bottom"/>
            <w:tcBorders>
              <w:left w:val="single" w:sz="8" w:color="auto"/>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ind w:left="100"/>
              <w:spacing w:after="0" w:line="294" w:lineRule="exact"/>
              <w:rPr>
                <w:sz w:val="20"/>
                <w:szCs w:val="20"/>
                <w:color w:val="auto"/>
              </w:rPr>
            </w:pPr>
            <w:r>
              <w:rPr>
                <w:rFonts w:ascii="Times New Roman" w:cs="Times New Roman" w:eastAsia="Times New Roman" w:hAnsi="Times New Roman"/>
                <w:sz w:val="18"/>
                <w:szCs w:val="18"/>
                <w:color w:val="auto"/>
              </w:rPr>
              <w:t>value $0.001 per share</w:t>
            </w:r>
            <w:r>
              <w:rPr>
                <w:rFonts w:ascii="Times New Roman" w:cs="Times New Roman" w:eastAsia="Times New Roman" w:hAnsi="Times New Roman"/>
                <w:sz w:val="29"/>
                <w:szCs w:val="29"/>
                <w:b w:val="1"/>
                <w:bCs w:val="1"/>
                <w:color w:val="auto"/>
                <w:vertAlign w:val="superscript"/>
              </w:rPr>
              <w:t>(1)</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457(h)</w:t>
            </w:r>
          </w:p>
        </w:tc>
        <w:tc>
          <w:tcPr>
            <w:tcW w:w="13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9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Equity</w:t>
            </w:r>
          </w:p>
        </w:tc>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Class A Ordinary Shares, par</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Rules 457(c) and</w:t>
            </w:r>
          </w:p>
        </w:tc>
        <w:tc>
          <w:tcPr>
            <w:tcW w:w="1340" w:type="dxa"/>
            <w:vAlign w:val="bottom"/>
            <w:tcBorders>
              <w:right w:val="single" w:sz="8" w:color="auto"/>
            </w:tcBorders>
          </w:tcPr>
          <w:p>
            <w:pPr>
              <w:jc w:val="center"/>
              <w:spacing w:after="0" w:line="273" w:lineRule="exact"/>
              <w:rPr>
                <w:sz w:val="20"/>
                <w:szCs w:val="20"/>
                <w:color w:val="auto"/>
              </w:rPr>
            </w:pPr>
            <w:r>
              <w:rPr>
                <w:rFonts w:ascii="Times New Roman" w:cs="Times New Roman" w:eastAsia="Times New Roman" w:hAnsi="Times New Roman"/>
                <w:sz w:val="18"/>
                <w:szCs w:val="18"/>
                <w:color w:val="auto"/>
                <w:w w:val="93"/>
              </w:rPr>
              <w:t xml:space="preserve">150,000 </w:t>
            </w:r>
            <w:r>
              <w:rPr>
                <w:rFonts w:ascii="Times New Roman" w:cs="Times New Roman" w:eastAsia="Times New Roman" w:hAnsi="Times New Roman"/>
                <w:sz w:val="29"/>
                <w:szCs w:val="29"/>
                <w:color w:val="auto"/>
                <w:w w:val="93"/>
                <w:vertAlign w:val="superscript"/>
              </w:rPr>
              <w:t>(4)</w:t>
            </w:r>
          </w:p>
        </w:tc>
        <w:tc>
          <w:tcPr>
            <w:tcW w:w="1120" w:type="dxa"/>
            <w:vAlign w:val="bottom"/>
            <w:tcBorders>
              <w:right w:val="single" w:sz="8" w:color="auto"/>
            </w:tcBorders>
          </w:tcPr>
          <w:p>
            <w:pPr>
              <w:jc w:val="center"/>
              <w:spacing w:after="0" w:line="273" w:lineRule="exact"/>
              <w:rPr>
                <w:sz w:val="20"/>
                <w:szCs w:val="20"/>
                <w:color w:val="auto"/>
              </w:rPr>
            </w:pPr>
            <w:r>
              <w:rPr>
                <w:rFonts w:ascii="Times New Roman" w:cs="Times New Roman" w:eastAsia="Times New Roman" w:hAnsi="Times New Roman"/>
                <w:sz w:val="18"/>
                <w:szCs w:val="18"/>
                <w:color w:val="auto"/>
                <w:w w:val="91"/>
              </w:rPr>
              <w:t>$2.195</w:t>
            </w:r>
            <w:r>
              <w:rPr>
                <w:rFonts w:ascii="Times New Roman" w:cs="Times New Roman" w:eastAsia="Times New Roman" w:hAnsi="Times New Roman"/>
                <w:sz w:val="29"/>
                <w:szCs w:val="29"/>
                <w:color w:val="auto"/>
                <w:w w:val="91"/>
                <w:vertAlign w:val="superscript"/>
              </w:rPr>
              <w:t>(6)</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$329,250</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$0.00015310</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$50.41</w:t>
            </w:r>
          </w:p>
        </w:tc>
        <w:tc>
          <w:tcPr>
            <w:tcW w:w="0" w:type="dxa"/>
            <w:vAlign w:val="bottom"/>
          </w:tcPr>
          <w:p>
            <w:pPr>
              <w:spacing w:after="0"/>
              <w:rPr>
                <w:sz w:val="1"/>
                <w:szCs w:val="1"/>
                <w:color w:val="auto"/>
              </w:rPr>
            </w:pPr>
          </w:p>
        </w:tc>
      </w:tr>
      <w:tr>
        <w:trPr>
          <w:trHeight w:val="294"/>
        </w:trPr>
        <w:tc>
          <w:tcPr>
            <w:tcW w:w="900" w:type="dxa"/>
            <w:vAlign w:val="bottom"/>
            <w:tcBorders>
              <w:left w:val="single" w:sz="8" w:color="auto"/>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ind w:left="100"/>
              <w:spacing w:after="0" w:line="294" w:lineRule="exact"/>
              <w:rPr>
                <w:sz w:val="20"/>
                <w:szCs w:val="20"/>
                <w:color w:val="auto"/>
              </w:rPr>
            </w:pPr>
            <w:r>
              <w:rPr>
                <w:rFonts w:ascii="Times New Roman" w:cs="Times New Roman" w:eastAsia="Times New Roman" w:hAnsi="Times New Roman"/>
                <w:sz w:val="18"/>
                <w:szCs w:val="18"/>
                <w:color w:val="auto"/>
              </w:rPr>
              <w:t>value $0.001 per share</w:t>
            </w:r>
            <w:r>
              <w:rPr>
                <w:rFonts w:ascii="Times New Roman" w:cs="Times New Roman" w:eastAsia="Times New Roman" w:hAnsi="Times New Roman"/>
                <w:sz w:val="29"/>
                <w:szCs w:val="29"/>
                <w:b w:val="1"/>
                <w:bCs w:val="1"/>
                <w:color w:val="auto"/>
                <w:vertAlign w:val="superscript"/>
              </w:rPr>
              <w:t>(1)</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457(h)</w:t>
            </w:r>
          </w:p>
        </w:tc>
        <w:tc>
          <w:tcPr>
            <w:tcW w:w="13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9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Equity</w:t>
            </w:r>
          </w:p>
        </w:tc>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Class A Ordinary Shares, par</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Rules 457(c) and</w:t>
            </w:r>
          </w:p>
        </w:tc>
        <w:tc>
          <w:tcPr>
            <w:tcW w:w="1340" w:type="dxa"/>
            <w:vAlign w:val="bottom"/>
            <w:tcBorders>
              <w:right w:val="single" w:sz="8" w:color="auto"/>
            </w:tcBorders>
          </w:tcPr>
          <w:p>
            <w:pPr>
              <w:jc w:val="center"/>
              <w:spacing w:after="0" w:line="273" w:lineRule="exact"/>
              <w:rPr>
                <w:sz w:val="20"/>
                <w:szCs w:val="20"/>
                <w:color w:val="auto"/>
              </w:rPr>
            </w:pPr>
            <w:r>
              <w:rPr>
                <w:rFonts w:ascii="Times New Roman" w:cs="Times New Roman" w:eastAsia="Times New Roman" w:hAnsi="Times New Roman"/>
                <w:sz w:val="18"/>
                <w:szCs w:val="18"/>
                <w:color w:val="auto"/>
                <w:w w:val="93"/>
              </w:rPr>
              <w:t xml:space="preserve">150,000 </w:t>
            </w:r>
            <w:r>
              <w:rPr>
                <w:rFonts w:ascii="Times New Roman" w:cs="Times New Roman" w:eastAsia="Times New Roman" w:hAnsi="Times New Roman"/>
                <w:sz w:val="29"/>
                <w:szCs w:val="29"/>
                <w:color w:val="auto"/>
                <w:w w:val="93"/>
                <w:vertAlign w:val="superscript"/>
              </w:rPr>
              <w:t>(4)</w:t>
            </w:r>
          </w:p>
        </w:tc>
        <w:tc>
          <w:tcPr>
            <w:tcW w:w="1120" w:type="dxa"/>
            <w:vAlign w:val="bottom"/>
            <w:tcBorders>
              <w:right w:val="single" w:sz="8" w:color="auto"/>
            </w:tcBorders>
          </w:tcPr>
          <w:p>
            <w:pPr>
              <w:jc w:val="center"/>
              <w:spacing w:after="0" w:line="273" w:lineRule="exact"/>
              <w:rPr>
                <w:sz w:val="20"/>
                <w:szCs w:val="20"/>
                <w:color w:val="auto"/>
              </w:rPr>
            </w:pPr>
            <w:r>
              <w:rPr>
                <w:rFonts w:ascii="Times New Roman" w:cs="Times New Roman" w:eastAsia="Times New Roman" w:hAnsi="Times New Roman"/>
                <w:sz w:val="18"/>
                <w:szCs w:val="18"/>
                <w:color w:val="auto"/>
                <w:w w:val="91"/>
              </w:rPr>
              <w:t>$2.195</w:t>
            </w:r>
            <w:r>
              <w:rPr>
                <w:rFonts w:ascii="Times New Roman" w:cs="Times New Roman" w:eastAsia="Times New Roman" w:hAnsi="Times New Roman"/>
                <w:sz w:val="29"/>
                <w:szCs w:val="29"/>
                <w:color w:val="auto"/>
                <w:w w:val="91"/>
                <w:vertAlign w:val="superscript"/>
              </w:rPr>
              <w:t>(6)</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$329,250</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$0.00015310</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$50.41</w:t>
            </w:r>
          </w:p>
        </w:tc>
        <w:tc>
          <w:tcPr>
            <w:tcW w:w="0" w:type="dxa"/>
            <w:vAlign w:val="bottom"/>
          </w:tcPr>
          <w:p>
            <w:pPr>
              <w:spacing w:after="0"/>
              <w:rPr>
                <w:sz w:val="1"/>
                <w:szCs w:val="1"/>
                <w:color w:val="auto"/>
              </w:rPr>
            </w:pPr>
          </w:p>
        </w:tc>
      </w:tr>
      <w:tr>
        <w:trPr>
          <w:trHeight w:val="294"/>
        </w:trPr>
        <w:tc>
          <w:tcPr>
            <w:tcW w:w="900" w:type="dxa"/>
            <w:vAlign w:val="bottom"/>
            <w:tcBorders>
              <w:left w:val="single" w:sz="8" w:color="auto"/>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ind w:left="100"/>
              <w:spacing w:after="0" w:line="294" w:lineRule="exact"/>
              <w:rPr>
                <w:sz w:val="20"/>
                <w:szCs w:val="20"/>
                <w:color w:val="auto"/>
              </w:rPr>
            </w:pPr>
            <w:r>
              <w:rPr>
                <w:rFonts w:ascii="Times New Roman" w:cs="Times New Roman" w:eastAsia="Times New Roman" w:hAnsi="Times New Roman"/>
                <w:sz w:val="18"/>
                <w:szCs w:val="18"/>
                <w:color w:val="auto"/>
              </w:rPr>
              <w:t>value $0.001 per share</w:t>
            </w:r>
            <w:r>
              <w:rPr>
                <w:rFonts w:ascii="Times New Roman" w:cs="Times New Roman" w:eastAsia="Times New Roman" w:hAnsi="Times New Roman"/>
                <w:sz w:val="29"/>
                <w:szCs w:val="29"/>
                <w:b w:val="1"/>
                <w:bCs w:val="1"/>
                <w:color w:val="auto"/>
                <w:vertAlign w:val="superscript"/>
              </w:rPr>
              <w:t>(1)</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457(h)</w:t>
            </w:r>
          </w:p>
        </w:tc>
        <w:tc>
          <w:tcPr>
            <w:tcW w:w="13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9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Equity</w:t>
            </w:r>
          </w:p>
        </w:tc>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Class A Ordinary Shares, par</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Rules 457(c) and</w:t>
            </w:r>
          </w:p>
        </w:tc>
        <w:tc>
          <w:tcPr>
            <w:tcW w:w="1340" w:type="dxa"/>
            <w:vAlign w:val="bottom"/>
            <w:tcBorders>
              <w:right w:val="single" w:sz="8" w:color="auto"/>
            </w:tcBorders>
          </w:tcPr>
          <w:p>
            <w:pPr>
              <w:jc w:val="center"/>
              <w:spacing w:after="0" w:line="273" w:lineRule="exact"/>
              <w:rPr>
                <w:sz w:val="20"/>
                <w:szCs w:val="20"/>
                <w:color w:val="auto"/>
              </w:rPr>
            </w:pPr>
            <w:r>
              <w:rPr>
                <w:rFonts w:ascii="Times New Roman" w:cs="Times New Roman" w:eastAsia="Times New Roman" w:hAnsi="Times New Roman"/>
                <w:sz w:val="18"/>
                <w:szCs w:val="18"/>
                <w:color w:val="auto"/>
                <w:w w:val="92"/>
              </w:rPr>
              <w:t xml:space="preserve">5,000,000 </w:t>
            </w:r>
            <w:r>
              <w:rPr>
                <w:rFonts w:ascii="Times New Roman" w:cs="Times New Roman" w:eastAsia="Times New Roman" w:hAnsi="Times New Roman"/>
                <w:sz w:val="29"/>
                <w:szCs w:val="29"/>
                <w:color w:val="auto"/>
                <w:w w:val="92"/>
                <w:vertAlign w:val="superscript"/>
              </w:rPr>
              <w:t>(5)</w:t>
            </w:r>
          </w:p>
        </w:tc>
        <w:tc>
          <w:tcPr>
            <w:tcW w:w="1120" w:type="dxa"/>
            <w:vAlign w:val="bottom"/>
            <w:tcBorders>
              <w:right w:val="single" w:sz="8" w:color="auto"/>
            </w:tcBorders>
          </w:tcPr>
          <w:p>
            <w:pPr>
              <w:jc w:val="center"/>
              <w:spacing w:after="0" w:line="273" w:lineRule="exact"/>
              <w:rPr>
                <w:sz w:val="20"/>
                <w:szCs w:val="20"/>
                <w:color w:val="auto"/>
              </w:rPr>
            </w:pPr>
            <w:r>
              <w:rPr>
                <w:rFonts w:ascii="Times New Roman" w:cs="Times New Roman" w:eastAsia="Times New Roman" w:hAnsi="Times New Roman"/>
                <w:sz w:val="18"/>
                <w:szCs w:val="18"/>
                <w:color w:val="auto"/>
                <w:w w:val="91"/>
              </w:rPr>
              <w:t>$2.195</w:t>
            </w:r>
            <w:r>
              <w:rPr>
                <w:rFonts w:ascii="Times New Roman" w:cs="Times New Roman" w:eastAsia="Times New Roman" w:hAnsi="Times New Roman"/>
                <w:sz w:val="29"/>
                <w:szCs w:val="29"/>
                <w:color w:val="auto"/>
                <w:w w:val="91"/>
                <w:vertAlign w:val="superscript"/>
              </w:rPr>
              <w:t>(6)</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$10,975,000</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$0.00015310</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$1,680.27</w:t>
            </w:r>
          </w:p>
        </w:tc>
        <w:tc>
          <w:tcPr>
            <w:tcW w:w="0" w:type="dxa"/>
            <w:vAlign w:val="bottom"/>
          </w:tcPr>
          <w:p>
            <w:pPr>
              <w:spacing w:after="0"/>
              <w:rPr>
                <w:sz w:val="1"/>
                <w:szCs w:val="1"/>
                <w:color w:val="auto"/>
              </w:rPr>
            </w:pPr>
          </w:p>
        </w:tc>
      </w:tr>
      <w:tr>
        <w:trPr>
          <w:trHeight w:val="294"/>
        </w:trPr>
        <w:tc>
          <w:tcPr>
            <w:tcW w:w="900" w:type="dxa"/>
            <w:vAlign w:val="bottom"/>
            <w:tcBorders>
              <w:left w:val="single" w:sz="8" w:color="auto"/>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ind w:left="100"/>
              <w:spacing w:after="0" w:line="294" w:lineRule="exact"/>
              <w:rPr>
                <w:sz w:val="20"/>
                <w:szCs w:val="20"/>
                <w:color w:val="auto"/>
              </w:rPr>
            </w:pPr>
            <w:r>
              <w:rPr>
                <w:rFonts w:ascii="Times New Roman" w:cs="Times New Roman" w:eastAsia="Times New Roman" w:hAnsi="Times New Roman"/>
                <w:sz w:val="18"/>
                <w:szCs w:val="18"/>
                <w:color w:val="auto"/>
              </w:rPr>
              <w:t>value $0.001 per share</w:t>
            </w:r>
            <w:r>
              <w:rPr>
                <w:rFonts w:ascii="Times New Roman" w:cs="Times New Roman" w:eastAsia="Times New Roman" w:hAnsi="Times New Roman"/>
                <w:sz w:val="29"/>
                <w:szCs w:val="29"/>
                <w:b w:val="1"/>
                <w:bCs w:val="1"/>
                <w:color w:val="auto"/>
                <w:vertAlign w:val="superscript"/>
              </w:rPr>
              <w:t>(1)</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457(h)</w:t>
            </w:r>
          </w:p>
        </w:tc>
        <w:tc>
          <w:tcPr>
            <w:tcW w:w="13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900" w:type="dxa"/>
            <w:vAlign w:val="bottom"/>
            <w:tcBorders>
              <w:left w:val="single" w:sz="8" w:color="auto"/>
              <w:right w:val="single" w:sz="8" w:color="auto"/>
            </w:tcBorders>
          </w:tcPr>
          <w:p>
            <w:pPr>
              <w:spacing w:after="0"/>
              <w:rPr>
                <w:sz w:val="24"/>
                <w:szCs w:val="24"/>
                <w:color w:val="auto"/>
              </w:rPr>
            </w:pPr>
          </w:p>
        </w:tc>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Total Offering Amount</w:t>
            </w:r>
          </w:p>
        </w:tc>
        <w:tc>
          <w:tcPr>
            <w:tcW w:w="1420" w:type="dxa"/>
            <w:vAlign w:val="bottom"/>
            <w:tcBorders>
              <w:right w:val="single" w:sz="8" w:color="auto"/>
            </w:tcBorders>
          </w:tcPr>
          <w:p>
            <w:pPr>
              <w:spacing w:after="0"/>
              <w:rPr>
                <w:sz w:val="24"/>
                <w:szCs w:val="24"/>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7,100,000</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$15,584,500</w:t>
            </w:r>
          </w:p>
        </w:tc>
        <w:tc>
          <w:tcPr>
            <w:tcW w:w="1240" w:type="dxa"/>
            <w:vAlign w:val="bottom"/>
            <w:tcBorders>
              <w:right w:val="single" w:sz="8" w:color="auto"/>
            </w:tcBorders>
          </w:tcPr>
          <w:p>
            <w:pPr>
              <w:spacing w:after="0"/>
              <w:rPr>
                <w:sz w:val="24"/>
                <w:szCs w:val="24"/>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$2,385.99</w:t>
            </w:r>
          </w:p>
        </w:tc>
        <w:tc>
          <w:tcPr>
            <w:tcW w:w="0" w:type="dxa"/>
            <w:vAlign w:val="bottom"/>
          </w:tcPr>
          <w:p>
            <w:pPr>
              <w:spacing w:after="0"/>
              <w:rPr>
                <w:sz w:val="1"/>
                <w:szCs w:val="1"/>
                <w:color w:val="auto"/>
              </w:rPr>
            </w:pPr>
          </w:p>
        </w:tc>
      </w:tr>
      <w:tr>
        <w:trPr>
          <w:trHeight w:val="26"/>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900" w:type="dxa"/>
            <w:vAlign w:val="bottom"/>
            <w:tcBorders>
              <w:left w:val="single" w:sz="8" w:color="auto"/>
              <w:right w:val="single" w:sz="8" w:color="auto"/>
            </w:tcBorders>
          </w:tcPr>
          <w:p>
            <w:pPr>
              <w:spacing w:after="0"/>
              <w:rPr>
                <w:sz w:val="24"/>
                <w:szCs w:val="24"/>
                <w:color w:val="auto"/>
              </w:rPr>
            </w:pPr>
          </w:p>
        </w:tc>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Total Fee Offsets</w:t>
            </w:r>
          </w:p>
        </w:tc>
        <w:tc>
          <w:tcPr>
            <w:tcW w:w="1420" w:type="dxa"/>
            <w:vAlign w:val="bottom"/>
            <w:tcBorders>
              <w:right w:val="single" w:sz="8" w:color="auto"/>
            </w:tcBorders>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1560" w:type="dxa"/>
            <w:vAlign w:val="bottom"/>
            <w:tcBorders>
              <w:right w:val="single" w:sz="8" w:color="auto"/>
            </w:tcBorders>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900" w:type="dxa"/>
            <w:vAlign w:val="bottom"/>
            <w:tcBorders>
              <w:left w:val="single" w:sz="8" w:color="auto"/>
              <w:right w:val="single" w:sz="8" w:color="auto"/>
            </w:tcBorders>
          </w:tcPr>
          <w:p>
            <w:pPr>
              <w:spacing w:after="0"/>
              <w:rPr>
                <w:sz w:val="24"/>
                <w:szCs w:val="24"/>
                <w:color w:val="auto"/>
              </w:rPr>
            </w:pPr>
          </w:p>
        </w:tc>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Net Fee Due</w:t>
            </w:r>
          </w:p>
        </w:tc>
        <w:tc>
          <w:tcPr>
            <w:tcW w:w="1420" w:type="dxa"/>
            <w:vAlign w:val="bottom"/>
            <w:tcBorders>
              <w:right w:val="single" w:sz="8" w:color="auto"/>
            </w:tcBorders>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1560" w:type="dxa"/>
            <w:vAlign w:val="bottom"/>
            <w:tcBorders>
              <w:right w:val="single" w:sz="8" w:color="auto"/>
            </w:tcBorders>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$2,385.99</w:t>
            </w:r>
          </w:p>
        </w:tc>
        <w:tc>
          <w:tcPr>
            <w:tcW w:w="0" w:type="dxa"/>
            <w:vAlign w:val="bottom"/>
          </w:tcPr>
          <w:p>
            <w:pPr>
              <w:spacing w:after="0"/>
              <w:rPr>
                <w:sz w:val="1"/>
                <w:szCs w:val="1"/>
                <w:color w:val="auto"/>
              </w:rPr>
            </w:pPr>
          </w:p>
        </w:tc>
      </w:tr>
      <w:tr>
        <w:trPr>
          <w:trHeight w:val="26"/>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480" w:right="180" w:hanging="473"/>
        <w:spacing w:after="0" w:line="254" w:lineRule="auto"/>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may be represented by American deposit shares (“ADSs”) of Amber International Holding Limited (the “Registrant”), one ADS representing five Class A ordinary shares. The Registrant’s ADSs issuable upon deposit of the Class A ordinary shares registered hereby have been registered under a separate registration statement on to the Amended and Restated Deposit Agreement among the Registrant, the depositary and holders of the American Depositary Receipts (incorporated by reference to Exhibit (a) to the Form F-6 Registration Statement (file No. 333-288354) filed with the Securities and Exchange Commission on June 26, 2025).</w:t>
      </w:r>
    </w:p>
    <w:p>
      <w:pPr>
        <w:spacing w:after="0" w:line="118" w:lineRule="exact"/>
        <w:rPr>
          <w:rFonts w:ascii="Times New Roman" w:cs="Times New Roman" w:eastAsia="Times New Roman" w:hAnsi="Times New Roman"/>
          <w:sz w:val="18"/>
          <w:szCs w:val="18"/>
          <w:color w:val="auto"/>
        </w:rPr>
      </w:pPr>
    </w:p>
    <w:p>
      <w:pPr>
        <w:ind w:left="480" w:hanging="473"/>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Class A ordinary shares issuable upon exercise of share awards granted under the Post-IPO Share Incentive Plan. Pursuant to</w:t>
      </w:r>
    </w:p>
    <w:p>
      <w:pPr>
        <w:spacing w:after="0" w:line="25" w:lineRule="exact"/>
        <w:rPr>
          <w:rFonts w:ascii="Times New Roman" w:cs="Times New Roman" w:eastAsia="Times New Roman" w:hAnsi="Times New Roman"/>
          <w:sz w:val="18"/>
          <w:szCs w:val="18"/>
          <w:color w:val="auto"/>
        </w:rPr>
      </w:pPr>
    </w:p>
    <w:p>
      <w:pPr>
        <w:ind w:left="480" w:right="40"/>
        <w:spacing w:after="0" w:line="26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Rule 416(a) under the Securities Act of 1933, as amended (the “Securities Act”), this registration statement also covers an indeterminate number of additional shares which may be offered and issued to prevent dilution from share splits, share dividends or similar transactions as provided in the Plan. Any ordinary shares covered by an award granted under the Plan (or portion of an award) that terminates, expires or lapses for any reason will be deemed not to have been issued for purposes of determining the maximum aggregate number of ordinary shares that may be issued under the Plan.</w:t>
      </w:r>
    </w:p>
    <w:p>
      <w:pPr>
        <w:spacing w:after="0" w:line="105" w:lineRule="exact"/>
        <w:rPr>
          <w:rFonts w:ascii="Times New Roman" w:cs="Times New Roman" w:eastAsia="Times New Roman" w:hAnsi="Times New Roman"/>
          <w:sz w:val="18"/>
          <w:szCs w:val="18"/>
          <w:color w:val="auto"/>
        </w:rPr>
      </w:pPr>
    </w:p>
    <w:p>
      <w:pPr>
        <w:ind w:left="480" w:right="80" w:hanging="473"/>
        <w:spacing w:after="0" w:line="277" w:lineRule="auto"/>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1,500,000 Class A ordinary shares that have been added to the Post-IPO Share Incentive Plan pursuant to the 2021 Second Amendment, as defined on explanatory note. All of these shares are reserved for future award grants.</w:t>
      </w:r>
    </w:p>
    <w:p>
      <w:pPr>
        <w:spacing w:after="0" w:line="95" w:lineRule="exact"/>
        <w:rPr>
          <w:rFonts w:ascii="Times New Roman" w:cs="Times New Roman" w:eastAsia="Times New Roman" w:hAnsi="Times New Roman"/>
          <w:sz w:val="18"/>
          <w:szCs w:val="18"/>
          <w:color w:val="auto"/>
        </w:rPr>
      </w:pPr>
    </w:p>
    <w:p>
      <w:pPr>
        <w:ind w:left="480" w:right="40" w:hanging="473"/>
        <w:spacing w:after="0" w:line="262" w:lineRule="auto"/>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150,000 Class A ordinary shares that have been added to the Post-IPO Share Incentive Plan, as last amended and restated on December 31, 2021, in each of 2021, 2022, 2023 and 2024, respectively, pursuant to the evergreen provision, included in the Post-IPO Share Incentive Plan. All of these shares are reserved for future award grants.</w:t>
      </w:r>
    </w:p>
    <w:p>
      <w:pPr>
        <w:spacing w:after="0" w:line="109" w:lineRule="exact"/>
        <w:rPr>
          <w:rFonts w:ascii="Times New Roman" w:cs="Times New Roman" w:eastAsia="Times New Roman" w:hAnsi="Times New Roman"/>
          <w:sz w:val="18"/>
          <w:szCs w:val="18"/>
          <w:color w:val="auto"/>
        </w:rPr>
      </w:pPr>
    </w:p>
    <w:p>
      <w:pPr>
        <w:ind w:left="480" w:right="60" w:hanging="473"/>
        <w:spacing w:after="0" w:line="277" w:lineRule="auto"/>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5,000,000 Class A ordinary shares that have been added to the Post-IPO Share Incentive Plan pursuant to the 2025 Amendment, as defined on explanatory note. All of these shares are reserved for future award grants.</w:t>
      </w:r>
    </w:p>
    <w:p>
      <w:pPr>
        <w:spacing w:after="0" w:line="95" w:lineRule="exact"/>
        <w:rPr>
          <w:rFonts w:ascii="Times New Roman" w:cs="Times New Roman" w:eastAsia="Times New Roman" w:hAnsi="Times New Roman"/>
          <w:sz w:val="18"/>
          <w:szCs w:val="18"/>
          <w:color w:val="auto"/>
        </w:rPr>
      </w:pPr>
    </w:p>
    <w:p>
      <w:pPr>
        <w:ind w:left="480" w:right="80" w:hanging="473"/>
        <w:spacing w:after="0" w:line="262" w:lineRule="auto"/>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purposes of calculating the registration fee under Rule 457(h) and Rule 457(c) under the Securities Act, is based on $10.975 per ADS, the average of the high and low prices for the Registrant’s ADSs, as quoted on the Nasdaq Global Market on June 25, 2025, which is within five (5) business days prior to the date of this registration statement, and adjusted for the ordinary share-to-ADS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411480</wp:posOffset>
            </wp:positionV>
            <wp:extent cx="71342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lowerLetter"/>
      <w:start w:val="1"/>
    </w:lvl>
  </w:abstractNum>
  <w:abstractNum w:abstractNumId="1">
    <w:nsid w:val="41B71EFB"/>
    <w:multiLevelType w:val="hybridMultilevel"/>
    <w:lvl w:ilvl="0">
      <w:lvlJc w:val="left"/>
      <w:lvlText w:val="(%1)"/>
      <w:numFmt w:val="lowerLetter"/>
      <w:start w:val="1"/>
    </w:lvl>
  </w:abstractNum>
  <w:abstractNum w:abstractNumId="2">
    <w:nsid w:val="79E2A9E3"/>
    <w:multiLevelType w:val="hybridMultilevel"/>
    <w:lvl w:ilvl="0">
      <w:lvlJc w:val="left"/>
      <w:lvlText w:val="(%1)"/>
      <w:numFmt w:val="lowerRoman"/>
      <w:start w:val="2"/>
    </w:lvl>
  </w:abstractNum>
  <w:abstractNum w:abstractNumId="3">
    <w:nsid w:val="7545E146"/>
    <w:multiLevelType w:val="hybridMultilevel"/>
    <w:lvl w:ilvl="0">
      <w:lvlJc w:val="left"/>
      <w:lvlText w:val="(%1)"/>
      <w:numFmt w:val="lowerLetter"/>
      <w:start w:val="1"/>
    </w:lvl>
  </w:abstractNum>
  <w:abstractNum w:abstractNumId="4">
    <w:nsid w:val="515F007C"/>
    <w:multiLevelType w:val="hybridMultilevel"/>
    <w:lvl w:ilvl="0">
      <w:lvlJc w:val="left"/>
      <w:lvlText w:val="(%1)"/>
      <w:numFmt w:val="lowerLetter"/>
      <w:start w:val="1"/>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2"/>
    </w:lvl>
  </w:abstractNum>
  <w:abstractNum w:abstractNumId="8">
    <w:nsid w:val="216231B"/>
    <w:multiLevelType w:val="hybridMultilevel"/>
    <w:lvl w:ilvl="0">
      <w:lvlJc w:val="left"/>
      <w:lvlText w:val="(%1)"/>
      <w:numFmt w:val="lowerLetter"/>
      <w:start w:val="8"/>
    </w:lvl>
  </w:abstractNum>
  <w:abstractNum w:abstractNumId="9">
    <w:nsid w:val="1F16E9E8"/>
    <w:multiLevelType w:val="hybridMultilevel"/>
    <w:lvl w:ilvl="0">
      <w:lvlJc w:val="left"/>
      <w:lvlText w:val="(%1)"/>
      <w:numFmt w:val="lowerRoman"/>
      <w:start w:val="1"/>
    </w:lvl>
  </w:abstractNum>
  <w:abstractNum w:abstractNumId="10">
    <w:nsid w:val="1190CDE7"/>
    <w:multiLevelType w:val="hybridMultilevel"/>
    <w:lvl w:ilvl="0">
      <w:lvlJc w:val="left"/>
      <w:lvlText w:val="(%1)"/>
      <w:numFmt w:val="lowerRoman"/>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24"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jpe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jpeg"/><Relationship Id="rId52" Type="http://schemas.openxmlformats.org/officeDocument/2006/relationships/image" Target="media/image34.jpeg"/><Relationship Id="rId53" Type="http://schemas.openxmlformats.org/officeDocument/2006/relationships/image" Target="media/image35.jpe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jpeg"/><Relationship Id="rId58" Type="http://schemas.openxmlformats.org/officeDocument/2006/relationships/image" Target="media/image40.png"/><Relationship Id="rId59" Type="http://schemas.openxmlformats.org/officeDocument/2006/relationships/image" Target="media/image41.jpe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16" Type="http://schemas.openxmlformats.org/officeDocument/2006/relationships/hyperlink" Target="https://www.sec.gov/ix?doc=/Archives/edgar/data/1697818/000141057825000996/ambr-20241231x20f.htm" TargetMode="External"/><Relationship Id="rId17" Type="http://schemas.openxmlformats.org/officeDocument/2006/relationships/hyperlink" Target="https://www.sec.gov/ix?doc=/Archives/edgar/data/1697818/000141057825001405/ambr-20241231x20f.htm" TargetMode="External"/><Relationship Id="rId18" Type="http://schemas.openxmlformats.org/officeDocument/2006/relationships/hyperlink" Target="https://www.sec.gov/Archives/edgar/data/1697818/000110465924129903/tm2431462d1_6k.htm" TargetMode="External"/><Relationship Id="rId19" Type="http://schemas.openxmlformats.org/officeDocument/2006/relationships/hyperlink" Target="https://www.sec.gov/Archives/edgar/data/1697818/000119380525000292/e664265_424b3-iclickiag.htm" TargetMode="External"/><Relationship Id="rId20" Type="http://schemas.openxmlformats.org/officeDocument/2006/relationships/hyperlink" Target="https://www.sec.gov/Archives/edgar/data/1697818/000119312517358777/d488906d8a12b.htm" TargetMode="External"/><Relationship Id="rId21" Type="http://schemas.openxmlformats.org/officeDocument/2006/relationships/hyperlink" Target="https://www.sec.gov/Archives/edgar/data/1697818/000119312518190073/d600917ds8.htm" TargetMode="External"/><Relationship Id="rId22" Type="http://schemas.openxmlformats.org/officeDocument/2006/relationships/hyperlink" Target="https://www.sec.gov/Archives/edgar/data/1697818/000110465918061085/a18-36354_1s8.htm" TargetMode="External"/><Relationship Id="rId23" Type="http://schemas.openxmlformats.org/officeDocument/2006/relationships/hyperlink" Target="https://www.sec.gov/Archives/edgar/data/1697818/000156459021009407/iclk-s8.htm" TargetMode="External"/><Relationship Id="rId25" Type="http://schemas.openxmlformats.org/officeDocument/2006/relationships/hyperlink" Target="https://www.sec.gov/Archives/edgar/data/1697818/000141057825000996/ambr-20241231xex1d1.htm" TargetMode="External"/><Relationship Id="rId26" Type="http://schemas.openxmlformats.org/officeDocument/2006/relationships/hyperlink" Target="https://www.sec.gov/Archives/edgar/data/1697818/000141057825000996/ambr-20241231xex2d2.htm" TargetMode="External"/><Relationship Id="rId27" Type="http://schemas.openxmlformats.org/officeDocument/2006/relationships/hyperlink" Target="https://www.sec.gov/Archives/edgar/data/1474274/000119380525000933/e664653_ex99-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2025-06-27T15:22:08Z</dcterms:created>
  <dcterms:modified xsi:type="dcterms:W3CDTF">2025-06-27T15:22:08Z</dcterms:modified>
</cp:coreProperties>
</file>