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As confidentially submitted to the Securities and Exchange Commission on August 18, 2017.</w:t>
      </w:r>
    </w:p>
    <w:p>
      <w:pPr>
        <w:spacing w:after="0" w:line="6" w:lineRule="exact"/>
        <w:rPr>
          <w:sz w:val="24"/>
          <w:szCs w:val="24"/>
          <w:color w:val="auto"/>
        </w:rPr>
      </w:pPr>
    </w:p>
    <w:p>
      <w:pPr>
        <w:ind w:left="8880"/>
        <w:spacing w:after="0"/>
        <w:rPr>
          <w:sz w:val="20"/>
          <w:szCs w:val="20"/>
          <w:color w:val="auto"/>
        </w:rPr>
      </w:pPr>
      <w:r>
        <w:rPr>
          <w:rFonts w:ascii="Times New Roman" w:cs="Times New Roman" w:eastAsia="Times New Roman" w:hAnsi="Times New Roman"/>
          <w:sz w:val="14"/>
          <w:szCs w:val="14"/>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Washington, D.C.20549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FORM F-1</w:t>
      </w:r>
    </w:p>
    <w:p>
      <w:pPr>
        <w:spacing w:after="0" w:line="4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REGISTRATION STATEMENT</w:t>
      </w:r>
    </w:p>
    <w:p>
      <w:pPr>
        <w:spacing w:after="0" w:line="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9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0"/>
          <w:szCs w:val="40"/>
          <w:b w:val="1"/>
          <w:bCs w:val="1"/>
          <w:color w:val="auto"/>
        </w:rPr>
        <w:t>iClick Interactive Asia Group Limited</w:t>
      </w:r>
    </w:p>
    <w:p>
      <w:pPr>
        <w:spacing w:after="0" w:line="3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20"/>
          </w:cols>
          <w:pgMar w:left="240" w:top="226" w:right="339" w:bottom="1440" w:gutter="0" w:footer="0" w:header="0"/>
        </w:sectPr>
      </w:pPr>
    </w:p>
    <w:p>
      <w:pPr>
        <w:spacing w:after="0" w:line="384"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6"/>
          <w:szCs w:val="16"/>
          <w:b w:val="1"/>
          <w:bCs w:val="1"/>
          <w:color w:val="auto"/>
        </w:rPr>
        <w:t>7372</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5" w:lineRule="exact"/>
        <w:rPr>
          <w:sz w:val="24"/>
          <w:szCs w:val="24"/>
          <w:color w:val="auto"/>
        </w:rPr>
      </w:pPr>
    </w:p>
    <w:p>
      <w:pPr>
        <w:sectPr>
          <w:pgSz w:w="11900" w:h="16838" w:orient="portrait"/>
          <w:cols w:equalWidth="0" w:num="3">
            <w:col w:w="4960" w:space="720"/>
            <w:col w:w="2680" w:space="720"/>
            <w:col w:w="2240"/>
          </w:cols>
          <w:pgMar w:left="240" w:top="226" w:right="3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(Primary Standard Industrial</w:t>
      </w:r>
    </w:p>
    <w:p>
      <w:pPr>
        <w:ind w:left="40"/>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91" w:lineRule="exact"/>
        <w:rPr>
          <w:sz w:val="24"/>
          <w:szCs w:val="24"/>
          <w:color w:val="auto"/>
        </w:rPr>
      </w:pPr>
    </w:p>
    <w:p>
      <w:pPr>
        <w:sectPr>
          <w:pgSz w:w="11900" w:h="16838" w:orient="portrait"/>
          <w:cols w:equalWidth="0" w:num="3">
            <w:col w:w="4200" w:space="720"/>
            <w:col w:w="3400" w:space="720"/>
            <w:col w:w="2280"/>
          </w:cols>
          <w:pgMar w:left="240" w:top="226" w:right="339" w:bottom="1440" w:gutter="0" w:footer="0" w:header="0"/>
          <w:type w:val="continuous"/>
        </w:sectPr>
      </w:pPr>
    </w:p>
    <w:p>
      <w:pPr>
        <w:ind w:left="5580"/>
        <w:spacing w:after="0"/>
        <w:rPr>
          <w:sz w:val="20"/>
          <w:szCs w:val="20"/>
          <w:color w:val="auto"/>
        </w:rPr>
      </w:pPr>
      <w:r>
        <w:rPr>
          <w:rFonts w:ascii="Times New Roman" w:cs="Times New Roman" w:eastAsia="Times New Roman" w:hAnsi="Times New Roman"/>
          <w:sz w:val="14"/>
          <w:szCs w:val="14"/>
          <w:b w:val="1"/>
          <w:bCs w:val="1"/>
          <w:color w:val="auto"/>
        </w:rPr>
        <w:t>15/F</w:t>
      </w:r>
    </w:p>
    <w:p>
      <w:pPr>
        <w:ind w:left="4900"/>
        <w:spacing w:after="0" w:line="229" w:lineRule="auto"/>
        <w:rPr>
          <w:sz w:val="20"/>
          <w:szCs w:val="20"/>
          <w:color w:val="auto"/>
        </w:rPr>
      </w:pPr>
      <w:r>
        <w:rPr>
          <w:rFonts w:ascii="Times New Roman" w:cs="Times New Roman" w:eastAsia="Times New Roman" w:hAnsi="Times New Roman"/>
          <w:sz w:val="14"/>
          <w:szCs w:val="14"/>
          <w:b w:val="1"/>
          <w:bCs w:val="1"/>
          <w:color w:val="auto"/>
        </w:rPr>
        <w:t>Prosperity Millennia Plaza</w:t>
      </w:r>
    </w:p>
    <w:p>
      <w:pPr>
        <w:ind w:left="4800"/>
        <w:spacing w:after="0" w:line="222" w:lineRule="auto"/>
        <w:rPr>
          <w:sz w:val="20"/>
          <w:szCs w:val="20"/>
          <w:color w:val="auto"/>
        </w:rPr>
      </w:pPr>
      <w:r>
        <w:rPr>
          <w:rFonts w:ascii="Times New Roman" w:cs="Times New Roman" w:eastAsia="Times New Roman" w:hAnsi="Times New Roman"/>
          <w:sz w:val="14"/>
          <w:szCs w:val="14"/>
          <w:b w:val="1"/>
          <w:bCs w:val="1"/>
          <w:color w:val="auto"/>
        </w:rPr>
        <w:t>663 King’s Road, Quarry Bay</w:t>
      </w:r>
    </w:p>
    <w:p>
      <w:pPr>
        <w:ind w:left="4280"/>
        <w:spacing w:after="0" w:line="221" w:lineRule="auto"/>
        <w:rPr>
          <w:sz w:val="20"/>
          <w:szCs w:val="20"/>
          <w:color w:val="auto"/>
        </w:rPr>
      </w:pPr>
      <w:r>
        <w:rPr>
          <w:rFonts w:ascii="Times New Roman" w:cs="Times New Roman" w:eastAsia="Times New Roman" w:hAnsi="Times New Roman"/>
          <w:sz w:val="14"/>
          <w:szCs w:val="14"/>
          <w:b w:val="1"/>
          <w:bCs w:val="1"/>
          <w:color w:val="auto"/>
        </w:rPr>
        <w:t>Hong Kong S.A.R., People’s Republic of China</w:t>
      </w:r>
    </w:p>
    <w:p>
      <w:pPr>
        <w:ind w:left="5100"/>
        <w:spacing w:after="0"/>
        <w:rPr>
          <w:sz w:val="20"/>
          <w:szCs w:val="20"/>
          <w:color w:val="auto"/>
        </w:rPr>
      </w:pPr>
      <w:r>
        <w:rPr>
          <w:rFonts w:ascii="Times New Roman" w:cs="Times New Roman" w:eastAsia="Times New Roman" w:hAnsi="Times New Roman"/>
          <w:sz w:val="14"/>
          <w:szCs w:val="14"/>
          <w:b w:val="1"/>
          <w:bCs w:val="1"/>
          <w:color w:val="auto"/>
        </w:rPr>
        <w:t>Tel: +852 3700 9000</w:t>
      </w:r>
    </w:p>
    <w:p>
      <w:pPr>
        <w:sectPr>
          <w:pgSz w:w="11900" w:h="16838" w:orient="portrait"/>
          <w:cols w:equalWidth="0" w:num="1">
            <w:col w:w="11320"/>
          </w:cols>
          <w:pgMar w:left="240" w:top="226" w:right="339" w:bottom="1440" w:gutter="0" w:footer="0" w:header="0"/>
          <w:type w:val="continuous"/>
        </w:sectPr>
      </w:pPr>
    </w:p>
    <w:p>
      <w:pPr>
        <w:jc w:val="center"/>
        <w:ind w:right="-99"/>
        <w:spacing w:after="0" w:line="238" w:lineRule="auto"/>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143510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Law Debenture Corporate Services, Inc.</w:t>
      </w:r>
    </w:p>
    <w:p>
      <w:pPr>
        <w:jc w:val="center"/>
        <w:ind w:right="-99"/>
        <w:spacing w:after="0" w:line="229" w:lineRule="auto"/>
        <w:rPr>
          <w:sz w:val="20"/>
          <w:szCs w:val="20"/>
          <w:color w:val="auto"/>
        </w:rPr>
      </w:pPr>
      <w:r>
        <w:rPr>
          <w:rFonts w:ascii="Times New Roman" w:cs="Times New Roman" w:eastAsia="Times New Roman" w:hAnsi="Times New Roman"/>
          <w:sz w:val="14"/>
          <w:szCs w:val="14"/>
          <w:b w:val="1"/>
          <w:bCs w:val="1"/>
          <w:color w:val="auto"/>
        </w:rPr>
        <w:t>4th Floor, 400 Madison Avenue</w:t>
      </w:r>
    </w:p>
    <w:p>
      <w:pPr>
        <w:jc w:val="center"/>
        <w:ind w:right="-99"/>
        <w:spacing w:after="0" w:line="222" w:lineRule="auto"/>
        <w:rPr>
          <w:sz w:val="20"/>
          <w:szCs w:val="20"/>
          <w:color w:val="auto"/>
        </w:rPr>
      </w:pPr>
      <w:r>
        <w:rPr>
          <w:rFonts w:ascii="Times New Roman" w:cs="Times New Roman" w:eastAsia="Times New Roman" w:hAnsi="Times New Roman"/>
          <w:sz w:val="14"/>
          <w:szCs w:val="14"/>
          <w:b w:val="1"/>
          <w:bCs w:val="1"/>
          <w:color w:val="auto"/>
        </w:rPr>
        <w:t>New York, New York 10017</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(212) 750-6474</w:t>
      </w: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9" w:lineRule="exact"/>
        <w:rPr>
          <w:sz w:val="24"/>
          <w:szCs w:val="24"/>
          <w:color w:val="auto"/>
        </w:rPr>
      </w:pPr>
    </w:p>
    <w:tbl>
      <w:tblPr>
        <w:tblLayout w:type="fixed"/>
        <w:tblInd w:w="140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5020" w:type="dxa"/>
            <w:vAlign w:val="bottom"/>
          </w:tcPr>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228"/>
        </w:trPr>
        <w:tc>
          <w:tcPr>
            <w:tcW w:w="3480" w:type="dxa"/>
            <w:vAlign w:val="bottom"/>
          </w:tcPr>
          <w:p>
            <w:pPr>
              <w:jc w:val="center"/>
              <w:ind w:right="488"/>
              <w:spacing w:after="0"/>
              <w:rPr>
                <w:sz w:val="20"/>
                <w:szCs w:val="20"/>
                <w:color w:val="auto"/>
              </w:rPr>
            </w:pPr>
            <w:r>
              <w:rPr>
                <w:rFonts w:ascii="Times New Roman" w:cs="Times New Roman" w:eastAsia="Times New Roman" w:hAnsi="Times New Roman"/>
                <w:sz w:val="14"/>
                <w:szCs w:val="14"/>
                <w:b w:val="1"/>
                <w:bCs w:val="1"/>
                <w:color w:val="auto"/>
              </w:rPr>
              <w:t>Shuang Zhao, Esq.</w:t>
            </w:r>
          </w:p>
        </w:tc>
        <w:tc>
          <w:tcPr>
            <w:tcW w:w="5020" w:type="dxa"/>
            <w:vAlign w:val="bottom"/>
          </w:tcPr>
          <w:p>
            <w:pPr>
              <w:jc w:val="center"/>
              <w:ind w:left="2508"/>
              <w:spacing w:after="0"/>
              <w:rPr>
                <w:sz w:val="20"/>
                <w:szCs w:val="20"/>
                <w:color w:val="auto"/>
              </w:rPr>
            </w:pPr>
            <w:r>
              <w:rPr>
                <w:rFonts w:ascii="Times New Roman" w:cs="Times New Roman" w:eastAsia="Times New Roman" w:hAnsi="Times New Roman"/>
                <w:sz w:val="14"/>
                <w:szCs w:val="14"/>
                <w:b w:val="1"/>
                <w:bCs w:val="1"/>
                <w:color w:val="auto"/>
              </w:rPr>
              <w:t>James C. Lin, Esq.</w:t>
            </w:r>
          </w:p>
        </w:tc>
      </w:tr>
      <w:tr>
        <w:trPr>
          <w:trHeight w:val="149"/>
        </w:trPr>
        <w:tc>
          <w:tcPr>
            <w:tcW w:w="3480" w:type="dxa"/>
            <w:vAlign w:val="bottom"/>
          </w:tcPr>
          <w:p>
            <w:pPr>
              <w:jc w:val="center"/>
              <w:ind w:right="468"/>
              <w:spacing w:after="0" w:line="149" w:lineRule="exact"/>
              <w:rPr>
                <w:sz w:val="20"/>
                <w:szCs w:val="20"/>
                <w:color w:val="auto"/>
              </w:rPr>
            </w:pPr>
            <w:r>
              <w:rPr>
                <w:rFonts w:ascii="Times New Roman" w:cs="Times New Roman" w:eastAsia="Times New Roman" w:hAnsi="Times New Roman"/>
                <w:sz w:val="14"/>
                <w:szCs w:val="14"/>
                <w:b w:val="1"/>
                <w:bCs w:val="1"/>
                <w:color w:val="auto"/>
              </w:rPr>
              <w:t>Cleary Gottlieb Steen &amp; Hamilton LLP</w:t>
            </w:r>
          </w:p>
        </w:tc>
        <w:tc>
          <w:tcPr>
            <w:tcW w:w="5020" w:type="dxa"/>
            <w:vAlign w:val="bottom"/>
          </w:tcPr>
          <w:p>
            <w:pPr>
              <w:jc w:val="center"/>
              <w:ind w:left="2508"/>
              <w:spacing w:after="0" w:line="149" w:lineRule="exact"/>
              <w:rPr>
                <w:sz w:val="20"/>
                <w:szCs w:val="20"/>
                <w:color w:val="auto"/>
              </w:rPr>
            </w:pPr>
            <w:r>
              <w:rPr>
                <w:rFonts w:ascii="Times New Roman" w:cs="Times New Roman" w:eastAsia="Times New Roman" w:hAnsi="Times New Roman"/>
                <w:sz w:val="14"/>
                <w:szCs w:val="14"/>
                <w:b w:val="1"/>
                <w:bCs w:val="1"/>
                <w:color w:val="auto"/>
              </w:rPr>
              <w:t>Davis Polk &amp; Wardwell LLP</w:t>
            </w:r>
          </w:p>
        </w:tc>
      </w:tr>
      <w:tr>
        <w:trPr>
          <w:trHeight w:val="149"/>
        </w:trPr>
        <w:tc>
          <w:tcPr>
            <w:tcW w:w="3480" w:type="dxa"/>
            <w:vAlign w:val="bottom"/>
          </w:tcPr>
          <w:p>
            <w:pPr>
              <w:jc w:val="center"/>
              <w:ind w:right="488"/>
              <w:spacing w:after="0" w:line="149" w:lineRule="exact"/>
              <w:rPr>
                <w:sz w:val="20"/>
                <w:szCs w:val="20"/>
                <w:color w:val="auto"/>
              </w:rPr>
            </w:pPr>
            <w:r>
              <w:rPr>
                <w:rFonts w:ascii="Times New Roman" w:cs="Times New Roman" w:eastAsia="Times New Roman" w:hAnsi="Times New Roman"/>
                <w:sz w:val="14"/>
                <w:szCs w:val="14"/>
                <w:b w:val="1"/>
                <w:bCs w:val="1"/>
                <w:color w:val="auto"/>
              </w:rPr>
              <w:t>c/o 37</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4"/>
                <w:szCs w:val="14"/>
                <w:b w:val="1"/>
                <w:bCs w:val="1"/>
                <w:color w:val="auto"/>
              </w:rPr>
              <w:t xml:space="preserve"> Floor, Hysan Place</w:t>
            </w:r>
          </w:p>
        </w:tc>
        <w:tc>
          <w:tcPr>
            <w:tcW w:w="5020" w:type="dxa"/>
            <w:vAlign w:val="bottom"/>
          </w:tcPr>
          <w:p>
            <w:pPr>
              <w:jc w:val="center"/>
              <w:ind w:left="2508"/>
              <w:spacing w:after="0" w:line="149" w:lineRule="exact"/>
              <w:rPr>
                <w:sz w:val="20"/>
                <w:szCs w:val="20"/>
                <w:color w:val="auto"/>
              </w:rPr>
            </w:pPr>
            <w:r>
              <w:rPr>
                <w:rFonts w:ascii="Times New Roman" w:cs="Times New Roman" w:eastAsia="Times New Roman" w:hAnsi="Times New Roman"/>
                <w:sz w:val="14"/>
                <w:szCs w:val="14"/>
                <w:b w:val="1"/>
                <w:bCs w:val="1"/>
                <w:color w:val="auto"/>
              </w:rPr>
              <w:t>c/o 18/F, The Hong Kong Club Building</w:t>
            </w:r>
          </w:p>
        </w:tc>
      </w:tr>
      <w:tr>
        <w:trPr>
          <w:trHeight w:val="149"/>
        </w:trPr>
        <w:tc>
          <w:tcPr>
            <w:tcW w:w="3480" w:type="dxa"/>
            <w:vAlign w:val="bottom"/>
          </w:tcPr>
          <w:p>
            <w:pPr>
              <w:jc w:val="center"/>
              <w:ind w:right="468"/>
              <w:spacing w:after="0" w:line="149" w:lineRule="exact"/>
              <w:rPr>
                <w:sz w:val="20"/>
                <w:szCs w:val="20"/>
                <w:color w:val="auto"/>
              </w:rPr>
            </w:pPr>
            <w:r>
              <w:rPr>
                <w:rFonts w:ascii="Times New Roman" w:cs="Times New Roman" w:eastAsia="Times New Roman" w:hAnsi="Times New Roman"/>
                <w:sz w:val="14"/>
                <w:szCs w:val="14"/>
                <w:b w:val="1"/>
                <w:bCs w:val="1"/>
                <w:color w:val="auto"/>
              </w:rPr>
              <w:t>500 Hennessy Road, Causeway Bay, Hong Kong</w:t>
            </w:r>
          </w:p>
        </w:tc>
        <w:tc>
          <w:tcPr>
            <w:tcW w:w="5020" w:type="dxa"/>
            <w:vAlign w:val="bottom"/>
          </w:tcPr>
          <w:p>
            <w:pPr>
              <w:jc w:val="center"/>
              <w:ind w:left="2508"/>
              <w:spacing w:after="0" w:line="149" w:lineRule="exact"/>
              <w:rPr>
                <w:sz w:val="20"/>
                <w:szCs w:val="20"/>
                <w:color w:val="auto"/>
              </w:rPr>
            </w:pPr>
            <w:r>
              <w:rPr>
                <w:rFonts w:ascii="Times New Roman" w:cs="Times New Roman" w:eastAsia="Times New Roman" w:hAnsi="Times New Roman"/>
                <w:sz w:val="14"/>
                <w:szCs w:val="14"/>
                <w:b w:val="1"/>
                <w:bCs w:val="1"/>
                <w:color w:val="auto"/>
              </w:rPr>
              <w:t>3A Chater Road, Central, Hong Kong</w:t>
            </w:r>
          </w:p>
        </w:tc>
      </w:tr>
      <w:tr>
        <w:trPr>
          <w:trHeight w:val="190"/>
        </w:trPr>
        <w:tc>
          <w:tcPr>
            <w:tcW w:w="3480" w:type="dxa"/>
            <w:vAlign w:val="bottom"/>
          </w:tcPr>
          <w:p>
            <w:pPr>
              <w:jc w:val="center"/>
              <w:ind w:right="488"/>
              <w:spacing w:after="0"/>
              <w:rPr>
                <w:sz w:val="20"/>
                <w:szCs w:val="20"/>
                <w:color w:val="auto"/>
              </w:rPr>
            </w:pPr>
            <w:r>
              <w:rPr>
                <w:rFonts w:ascii="Times New Roman" w:cs="Times New Roman" w:eastAsia="Times New Roman" w:hAnsi="Times New Roman"/>
                <w:sz w:val="14"/>
                <w:szCs w:val="14"/>
                <w:b w:val="1"/>
                <w:bCs w:val="1"/>
                <w:color w:val="auto"/>
              </w:rPr>
              <w:t>(852) 2521 4122</w:t>
            </w:r>
          </w:p>
        </w:tc>
        <w:tc>
          <w:tcPr>
            <w:tcW w:w="5020" w:type="dxa"/>
            <w:vAlign w:val="bottom"/>
          </w:tcPr>
          <w:p>
            <w:pPr>
              <w:jc w:val="center"/>
              <w:ind w:left="2508"/>
              <w:spacing w:after="0"/>
              <w:rPr>
                <w:sz w:val="20"/>
                <w:szCs w:val="20"/>
                <w:color w:val="auto"/>
              </w:rPr>
            </w:pPr>
            <w:r>
              <w:rPr>
                <w:rFonts w:ascii="Times New Roman" w:cs="Times New Roman" w:eastAsia="Times New Roman" w:hAnsi="Times New Roman"/>
                <w:sz w:val="14"/>
                <w:szCs w:val="14"/>
                <w:b w:val="1"/>
                <w:bCs w:val="1"/>
                <w:color w:val="auto"/>
              </w:rPr>
              <w:t>(852) 2533 3368</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143510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3"/>
          <w:szCs w:val="13"/>
          <w:b w:val="1"/>
          <w:bCs w:val="1"/>
          <w:color w:val="auto"/>
        </w:rPr>
        <w:t>Approximate date of commencement of proposed sale to the public: As soon as practicable after this Registration Statement becomes effective.</w:t>
      </w:r>
    </w:p>
    <w:p>
      <w:pPr>
        <w:spacing w:after="0" w:line="88" w:lineRule="exact"/>
        <w:rPr>
          <w:sz w:val="24"/>
          <w:szCs w:val="24"/>
          <w:color w:val="auto"/>
        </w:rPr>
      </w:pPr>
    </w:p>
    <w:p>
      <w:pPr>
        <w:ind w:left="360"/>
        <w:spacing w:after="0" w:line="150"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14" w:lineRule="exact"/>
        <w:rPr>
          <w:sz w:val="24"/>
          <w:szCs w:val="24"/>
          <w:color w:val="auto"/>
        </w:rPr>
      </w:pPr>
    </w:p>
    <w:p>
      <w:pPr>
        <w:ind w:right="340" w:firstLine="342"/>
        <w:spacing w:after="0" w:line="164"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5" w:lineRule="exact"/>
        <w:rPr>
          <w:sz w:val="24"/>
          <w:szCs w:val="24"/>
          <w:color w:val="auto"/>
        </w:rPr>
      </w:pPr>
    </w:p>
    <w:p>
      <w:pPr>
        <w:ind w:right="200" w:firstLine="342"/>
        <w:spacing w:after="0" w:line="164"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5" w:lineRule="exact"/>
        <w:rPr>
          <w:sz w:val="24"/>
          <w:szCs w:val="24"/>
          <w:color w:val="auto"/>
        </w:rPr>
      </w:pPr>
    </w:p>
    <w:p>
      <w:pPr>
        <w:ind w:right="180" w:firstLine="342"/>
        <w:spacing w:after="0" w:line="164"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8" w:lineRule="exact"/>
        <w:rPr>
          <w:sz w:val="24"/>
          <w:szCs w:val="24"/>
          <w:color w:val="auto"/>
        </w:rPr>
      </w:pPr>
    </w:p>
    <w:p>
      <w:pPr>
        <w:ind w:left="3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3"/>
          <w:szCs w:val="13"/>
          <w:color w:val="auto"/>
        </w:rPr>
        <w:t>☒</w:t>
      </w:r>
    </w:p>
    <w:p>
      <w:pPr>
        <w:spacing w:after="0" w:line="114" w:lineRule="exact"/>
        <w:rPr>
          <w:sz w:val="24"/>
          <w:szCs w:val="24"/>
          <w:color w:val="auto"/>
        </w:rPr>
      </w:pPr>
    </w:p>
    <w:p>
      <w:pPr>
        <w:ind w:firstLine="342"/>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The term “new or revised financial accounting standard” refers to any update issued by the Financial Accounting Standards Board to its Accounting Standards Codification after April 5, 2012.</w:t>
      </w:r>
    </w:p>
    <w:p>
      <w:pPr>
        <w:sectPr>
          <w:pgSz w:w="11900" w:h="16838" w:orient="portrait"/>
          <w:cols w:equalWidth="0" w:num="1">
            <w:col w:w="11320"/>
          </w:cols>
          <w:pgMar w:left="240" w:top="226"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3021965</wp:posOffset>
            </wp:positionH>
            <wp:positionV relativeFrom="page">
              <wp:posOffset>234950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t>CALCULATION OF REGISTRATION FEE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2260" w:type="dxa"/>
            <w:vAlign w:val="bottom"/>
            <w:tcBorders>
              <w:top w:val="single" w:sz="8" w:color="auto"/>
              <w:bottom w:val="single" w:sz="8" w:color="auto"/>
            </w:tcBorders>
          </w:tcPr>
          <w:p>
            <w:pPr>
              <w:spacing w:after="0"/>
              <w:rPr>
                <w:sz w:val="3"/>
                <w:szCs w:val="3"/>
                <w:color w:val="auto"/>
              </w:rPr>
            </w:pPr>
          </w:p>
        </w:tc>
        <w:tc>
          <w:tcPr>
            <w:tcW w:w="5280" w:type="dxa"/>
            <w:vAlign w:val="bottom"/>
            <w:tcBorders>
              <w:top w:val="single" w:sz="8" w:color="auto"/>
              <w:bottom w:val="single" w:sz="8" w:color="auto"/>
            </w:tcBorders>
          </w:tcPr>
          <w:p>
            <w:pPr>
              <w:spacing w:after="0"/>
              <w:rPr>
                <w:sz w:val="3"/>
                <w:szCs w:val="3"/>
                <w:color w:val="auto"/>
              </w:rPr>
            </w:pPr>
          </w:p>
        </w:tc>
        <w:tc>
          <w:tcPr>
            <w:tcW w:w="184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1240" w:type="dxa"/>
            <w:vAlign w:val="bottom"/>
            <w:tcBorders>
              <w:top w:val="single" w:sz="8" w:color="auto"/>
              <w:bottom w:val="single" w:sz="8" w:color="auto"/>
            </w:tcBorders>
          </w:tcPr>
          <w:p>
            <w:pPr>
              <w:spacing w:after="0"/>
              <w:rPr>
                <w:sz w:val="3"/>
                <w:szCs w:val="3"/>
                <w:color w:val="auto"/>
              </w:rPr>
            </w:pPr>
          </w:p>
        </w:tc>
      </w:tr>
      <w:tr>
        <w:trPr>
          <w:trHeight w:val="86"/>
        </w:trPr>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60" w:type="dxa"/>
            <w:vAlign w:val="bottom"/>
          </w:tcPr>
          <w:p>
            <w:pPr>
              <w:spacing w:after="0"/>
              <w:rPr>
                <w:sz w:val="7"/>
                <w:szCs w:val="7"/>
                <w:color w:val="auto"/>
              </w:rPr>
            </w:pPr>
          </w:p>
        </w:tc>
        <w:tc>
          <w:tcPr>
            <w:tcW w:w="5280" w:type="dxa"/>
            <w:vAlign w:val="bottom"/>
            <w:tcBorders>
              <w:right w:val="single" w:sz="8" w:color="auto"/>
            </w:tcBorders>
          </w:tcPr>
          <w:p>
            <w:pPr>
              <w:spacing w:after="0"/>
              <w:rPr>
                <w:sz w:val="7"/>
                <w:szCs w:val="7"/>
                <w:color w:val="auto"/>
              </w:rPr>
            </w:pPr>
          </w:p>
        </w:tc>
        <w:tc>
          <w:tcPr>
            <w:tcW w:w="1840" w:type="dxa"/>
            <w:vAlign w:val="bottom"/>
            <w:tcBorders>
              <w:right w:val="single" w:sz="8" w:color="auto"/>
            </w:tcBorders>
          </w:tcPr>
          <w:p>
            <w:pPr>
              <w:jc w:val="center"/>
              <w:ind w:left="5"/>
              <w:spacing w:after="0" w:line="87" w:lineRule="exact"/>
              <w:rPr>
                <w:sz w:val="20"/>
                <w:szCs w:val="20"/>
                <w:color w:val="auto"/>
              </w:rPr>
            </w:pPr>
            <w:r>
              <w:rPr>
                <w:rFonts w:ascii="Times New Roman" w:cs="Times New Roman" w:eastAsia="Times New Roman" w:hAnsi="Times New Roman"/>
                <w:sz w:val="10"/>
                <w:szCs w:val="10"/>
                <w:b w:val="1"/>
                <w:bCs w:val="1"/>
                <w:color w:val="auto"/>
              </w:rPr>
              <w:t>Proposed</w:t>
            </w:r>
          </w:p>
        </w:tc>
        <w:tc>
          <w:tcPr>
            <w:tcW w:w="54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122"/>
        </w:trPr>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528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jc w:val="center"/>
              <w:ind w:left="25"/>
              <w:spacing w:after="0" w:line="122" w:lineRule="exact"/>
              <w:rPr>
                <w:sz w:val="20"/>
                <w:szCs w:val="20"/>
                <w:color w:val="auto"/>
              </w:rPr>
            </w:pPr>
            <w:r>
              <w:rPr>
                <w:rFonts w:ascii="Times New Roman" w:cs="Times New Roman" w:eastAsia="Times New Roman" w:hAnsi="Times New Roman"/>
                <w:sz w:val="11"/>
                <w:szCs w:val="11"/>
                <w:b w:val="1"/>
                <w:bCs w:val="1"/>
                <w:color w:val="auto"/>
                <w:w w:val="98"/>
              </w:rPr>
              <w:t>Maximum</w:t>
            </w:r>
          </w:p>
        </w:tc>
        <w:tc>
          <w:tcPr>
            <w:tcW w:w="54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5280" w:type="dxa"/>
            <w:vAlign w:val="bottom"/>
            <w:tcBorders>
              <w:right w:val="single" w:sz="8" w:color="auto"/>
            </w:tcBorders>
          </w:tcPr>
          <w:p>
            <w:pPr>
              <w:jc w:val="center"/>
              <w:ind w:right="2483"/>
              <w:spacing w:after="0" w:line="122" w:lineRule="exact"/>
              <w:rPr>
                <w:sz w:val="20"/>
                <w:szCs w:val="20"/>
                <w:color w:val="auto"/>
              </w:rPr>
            </w:pPr>
            <w:r>
              <w:rPr>
                <w:rFonts w:ascii="Times New Roman" w:cs="Times New Roman" w:eastAsia="Times New Roman" w:hAnsi="Times New Roman"/>
                <w:sz w:val="11"/>
                <w:szCs w:val="11"/>
                <w:b w:val="1"/>
                <w:bCs w:val="1"/>
                <w:color w:val="auto"/>
                <w:w w:val="97"/>
              </w:rPr>
              <w:t>Title of Each Class of</w:t>
            </w:r>
          </w:p>
        </w:tc>
        <w:tc>
          <w:tcPr>
            <w:tcW w:w="1840" w:type="dxa"/>
            <w:vAlign w:val="bottom"/>
            <w:tcBorders>
              <w:right w:val="single" w:sz="8" w:color="auto"/>
            </w:tcBorders>
          </w:tcPr>
          <w:p>
            <w:pPr>
              <w:jc w:val="center"/>
              <w:ind w:left="5"/>
              <w:spacing w:after="0" w:line="122" w:lineRule="exact"/>
              <w:rPr>
                <w:sz w:val="20"/>
                <w:szCs w:val="20"/>
                <w:color w:val="auto"/>
              </w:rPr>
            </w:pPr>
            <w:r>
              <w:rPr>
                <w:rFonts w:ascii="Times New Roman" w:cs="Times New Roman" w:eastAsia="Times New Roman" w:hAnsi="Times New Roman"/>
                <w:sz w:val="11"/>
                <w:szCs w:val="11"/>
                <w:b w:val="1"/>
                <w:bCs w:val="1"/>
                <w:color w:val="auto"/>
                <w:w w:val="95"/>
              </w:rPr>
              <w:t>Aggregate</w:t>
            </w:r>
          </w:p>
        </w:tc>
        <w:tc>
          <w:tcPr>
            <w:tcW w:w="540" w:type="dxa"/>
            <w:vAlign w:val="bottom"/>
          </w:tcPr>
          <w:p>
            <w:pPr>
              <w:spacing w:after="0"/>
              <w:rPr>
                <w:sz w:val="10"/>
                <w:szCs w:val="10"/>
                <w:color w:val="auto"/>
              </w:rPr>
            </w:pPr>
          </w:p>
        </w:tc>
        <w:tc>
          <w:tcPr>
            <w:tcW w:w="1240" w:type="dxa"/>
            <w:vAlign w:val="bottom"/>
          </w:tcPr>
          <w:p>
            <w:pPr>
              <w:jc w:val="center"/>
              <w:ind w:right="403"/>
              <w:spacing w:after="0" w:line="122" w:lineRule="exact"/>
              <w:rPr>
                <w:sz w:val="20"/>
                <w:szCs w:val="20"/>
                <w:color w:val="auto"/>
              </w:rPr>
            </w:pPr>
            <w:r>
              <w:rPr>
                <w:rFonts w:ascii="Times New Roman" w:cs="Times New Roman" w:eastAsia="Times New Roman" w:hAnsi="Times New Roman"/>
                <w:sz w:val="11"/>
                <w:szCs w:val="11"/>
                <w:b w:val="1"/>
                <w:bCs w:val="1"/>
                <w:color w:val="auto"/>
                <w:w w:val="99"/>
              </w:rPr>
              <w:t>Amount of</w:t>
            </w:r>
          </w:p>
        </w:tc>
      </w:tr>
      <w:tr>
        <w:trPr>
          <w:trHeight w:val="144"/>
        </w:trPr>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5280" w:type="dxa"/>
            <w:vAlign w:val="bottom"/>
            <w:tcBorders>
              <w:bottom w:val="single" w:sz="8" w:color="auto"/>
              <w:right w:val="single" w:sz="8" w:color="auto"/>
            </w:tcBorders>
          </w:tcPr>
          <w:p>
            <w:pPr>
              <w:jc w:val="center"/>
              <w:ind w:right="2483"/>
              <w:spacing w:after="0"/>
              <w:rPr>
                <w:sz w:val="20"/>
                <w:szCs w:val="20"/>
                <w:color w:val="auto"/>
              </w:rPr>
            </w:pPr>
            <w:r>
              <w:rPr>
                <w:rFonts w:ascii="Times New Roman" w:cs="Times New Roman" w:eastAsia="Times New Roman" w:hAnsi="Times New Roman"/>
                <w:sz w:val="11"/>
                <w:szCs w:val="11"/>
                <w:b w:val="1"/>
                <w:bCs w:val="1"/>
                <w:color w:val="auto"/>
                <w:w w:val="97"/>
              </w:rPr>
              <w:t>Securities to Be Registered</w:t>
            </w:r>
          </w:p>
        </w:tc>
        <w:tc>
          <w:tcPr>
            <w:tcW w:w="1840" w:type="dxa"/>
            <w:vAlign w:val="bottom"/>
            <w:tcBorders>
              <w:bottom w:val="single" w:sz="8" w:color="auto"/>
              <w:right w:val="single" w:sz="8" w:color="auto"/>
            </w:tcBorders>
          </w:tcPr>
          <w:p>
            <w:pPr>
              <w:jc w:val="center"/>
              <w:ind w:left="25"/>
              <w:spacing w:after="0"/>
              <w:rPr>
                <w:sz w:val="20"/>
                <w:szCs w:val="20"/>
                <w:color w:val="auto"/>
              </w:rPr>
            </w:pPr>
            <w:r>
              <w:rPr>
                <w:rFonts w:ascii="Times New Roman" w:cs="Times New Roman" w:eastAsia="Times New Roman" w:hAnsi="Times New Roman"/>
                <w:sz w:val="11"/>
                <w:szCs w:val="11"/>
                <w:b w:val="1"/>
                <w:bCs w:val="1"/>
                <w:color w:val="auto"/>
                <w:w w:val="99"/>
              </w:rPr>
              <w:t>Offering Price</w:t>
            </w:r>
            <w:r>
              <w:rPr>
                <w:rFonts w:ascii="Times New Roman" w:cs="Times New Roman" w:eastAsia="Times New Roman" w:hAnsi="Times New Roman"/>
                <w:sz w:val="9"/>
                <w:szCs w:val="9"/>
                <w:b w:val="1"/>
                <w:bCs w:val="1"/>
                <w:color w:val="auto"/>
                <w:w w:val="99"/>
              </w:rPr>
              <w:t>(2)(3)</w:t>
            </w:r>
          </w:p>
        </w:tc>
        <w:tc>
          <w:tcPr>
            <w:tcW w:w="5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423"/>
              <w:spacing w:after="0"/>
              <w:rPr>
                <w:sz w:val="20"/>
                <w:szCs w:val="20"/>
                <w:color w:val="auto"/>
              </w:rPr>
            </w:pPr>
            <w:r>
              <w:rPr>
                <w:rFonts w:ascii="Times New Roman" w:cs="Times New Roman" w:eastAsia="Times New Roman" w:hAnsi="Times New Roman"/>
                <w:sz w:val="11"/>
                <w:szCs w:val="11"/>
                <w:b w:val="1"/>
                <w:bCs w:val="1"/>
                <w:color w:val="auto"/>
                <w:w w:val="98"/>
              </w:rPr>
              <w:t>Registration Fee</w:t>
            </w:r>
          </w:p>
        </w:tc>
      </w:tr>
      <w:tr>
        <w:trPr>
          <w:trHeight w:val="135"/>
        </w:trPr>
        <w:tc>
          <w:tcPr>
            <w:tcW w:w="20" w:type="dxa"/>
            <w:vAlign w:val="bottom"/>
            <w:tcBorders>
              <w:bottom w:val="single" w:sz="8" w:color="auto"/>
            </w:tcBorders>
          </w:tcPr>
          <w:p>
            <w:pPr>
              <w:spacing w:after="0"/>
              <w:rPr>
                <w:sz w:val="11"/>
                <w:szCs w:val="11"/>
                <w:color w:val="auto"/>
              </w:rPr>
            </w:pPr>
          </w:p>
        </w:tc>
        <w:tc>
          <w:tcPr>
            <w:tcW w:w="7780" w:type="dxa"/>
            <w:vAlign w:val="bottom"/>
            <w:tcBorders>
              <w:bottom w:val="single" w:sz="8" w:color="auto"/>
              <w:right w:val="single" w:sz="8" w:color="auto"/>
            </w:tcBorders>
            <w:gridSpan w:val="3"/>
          </w:tcPr>
          <w:p>
            <w:pPr>
              <w:spacing w:after="0" w:line="135" w:lineRule="exact"/>
              <w:rPr>
                <w:sz w:val="20"/>
                <w:szCs w:val="20"/>
                <w:color w:val="auto"/>
              </w:rPr>
            </w:pPr>
            <w:r>
              <w:rPr>
                <w:rFonts w:ascii="Times New Roman" w:cs="Times New Roman" w:eastAsia="Times New Roman" w:hAnsi="Times New Roman"/>
                <w:sz w:val="13"/>
                <w:szCs w:val="13"/>
                <w:color w:val="auto"/>
              </w:rPr>
              <w:t>Class A Ordinary Shares, par value US$0.001 per share</w:t>
            </w:r>
            <w:r>
              <w:rPr>
                <w:rFonts w:ascii="Times New Roman" w:cs="Times New Roman" w:eastAsia="Times New Roman" w:hAnsi="Times New Roman"/>
                <w:sz w:val="10"/>
                <w:szCs w:val="10"/>
                <w:color w:val="auto"/>
              </w:rPr>
              <w:t>(1)</w:t>
            </w:r>
          </w:p>
        </w:tc>
        <w:tc>
          <w:tcPr>
            <w:tcW w:w="1840" w:type="dxa"/>
            <w:vAlign w:val="bottom"/>
            <w:tcBorders>
              <w:bottom w:val="single" w:sz="8" w:color="auto"/>
              <w:right w:val="single" w:sz="8" w:color="auto"/>
            </w:tcBorders>
          </w:tcPr>
          <w:p>
            <w:pPr>
              <w:ind w:left="660"/>
              <w:spacing w:after="0" w:line="135" w:lineRule="exact"/>
              <w:rPr>
                <w:sz w:val="20"/>
                <w:szCs w:val="20"/>
                <w:color w:val="auto"/>
              </w:rPr>
            </w:pPr>
            <w:r>
              <w:rPr>
                <w:rFonts w:ascii="Times New Roman" w:cs="Times New Roman" w:eastAsia="Times New Roman" w:hAnsi="Times New Roman"/>
                <w:sz w:val="13"/>
                <w:szCs w:val="13"/>
                <w:color w:val="auto"/>
              </w:rPr>
              <w:t>US$</w:t>
            </w:r>
          </w:p>
        </w:tc>
        <w:tc>
          <w:tcPr>
            <w:tcW w:w="5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ind w:left="80"/>
              <w:spacing w:after="0" w:line="135" w:lineRule="exact"/>
              <w:rPr>
                <w:sz w:val="20"/>
                <w:szCs w:val="20"/>
                <w:color w:val="auto"/>
              </w:rPr>
            </w:pPr>
            <w:r>
              <w:rPr>
                <w:rFonts w:ascii="Times New Roman" w:cs="Times New Roman" w:eastAsia="Times New Roman" w:hAnsi="Times New Roman"/>
                <w:sz w:val="13"/>
                <w:szCs w:val="13"/>
                <w:color w:val="auto"/>
              </w:rPr>
              <w:t>US$</w:t>
            </w:r>
          </w:p>
        </w:tc>
      </w:tr>
      <w:tr>
        <w:trPr>
          <w:trHeight w:val="20"/>
        </w:trPr>
        <w:tc>
          <w:tcPr>
            <w:tcW w:w="260" w:type="dxa"/>
            <w:vAlign w:val="bottom"/>
            <w:gridSpan w:val="2"/>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240" w:type="dxa"/>
            <w:vAlign w:val="bottom"/>
            <w:tcBorders>
              <w:top w:val="single" w:sz="8" w:color="auto"/>
            </w:tcBorders>
          </w:tcPr>
          <w:p>
            <w:pPr>
              <w:spacing w:after="0" w:line="111" w:lineRule="exact"/>
              <w:rPr>
                <w:sz w:val="20"/>
                <w:szCs w:val="20"/>
                <w:color w:val="auto"/>
              </w:rPr>
            </w:pPr>
            <w:r>
              <w:rPr>
                <w:rFonts w:ascii="Times New Roman" w:cs="Times New Roman" w:eastAsia="Times New Roman" w:hAnsi="Times New Roman"/>
                <w:sz w:val="12"/>
                <w:szCs w:val="12"/>
                <w:color w:val="auto"/>
              </w:rPr>
              <w:t>(1)</w:t>
            </w:r>
          </w:p>
        </w:tc>
        <w:tc>
          <w:tcPr>
            <w:tcW w:w="9920" w:type="dxa"/>
            <w:vAlign w:val="bottom"/>
            <w:tcBorders>
              <w:top w:val="single" w:sz="8" w:color="auto"/>
            </w:tcBorders>
            <w:gridSpan w:val="4"/>
          </w:tcPr>
          <w:p>
            <w:pPr>
              <w:ind w:left="80"/>
              <w:spacing w:after="0" w:line="111" w:lineRule="exact"/>
              <w:rPr>
                <w:sz w:val="20"/>
                <w:szCs w:val="20"/>
                <w:color w:val="auto"/>
              </w:rPr>
            </w:pPr>
            <w:r>
              <w:rPr>
                <w:rFonts w:ascii="Times New Roman" w:cs="Times New Roman" w:eastAsia="Times New Roman" w:hAnsi="Times New Roman"/>
                <w:sz w:val="12"/>
                <w:szCs w:val="12"/>
                <w:color w:val="auto"/>
              </w:rPr>
              <w:t>American depositary shares issuable upon deposit of the Class A ordinary shares registered hereby have been registered under a separate registration statement on Form F-6 (Registration No.333-</w:t>
            </w:r>
          </w:p>
        </w:tc>
        <w:tc>
          <w:tcPr>
            <w:tcW w:w="1240" w:type="dxa"/>
            <w:vAlign w:val="bottom"/>
            <w:tcBorders>
              <w:top w:val="single" w:sz="8" w:color="auto"/>
            </w:tcBorders>
          </w:tcPr>
          <w:p>
            <w:pPr>
              <w:ind w:left="480"/>
              <w:spacing w:after="0" w:line="111" w:lineRule="exact"/>
              <w:rPr>
                <w:sz w:val="20"/>
                <w:szCs w:val="20"/>
                <w:color w:val="auto"/>
              </w:rPr>
            </w:pPr>
            <w:r>
              <w:rPr>
                <w:rFonts w:ascii="Times New Roman" w:cs="Times New Roman" w:eastAsia="Times New Roman" w:hAnsi="Times New Roman"/>
                <w:sz w:val="12"/>
                <w:szCs w:val="12"/>
                <w:color w:val="auto"/>
              </w:rPr>
              <w:t>). Each</w:t>
            </w:r>
          </w:p>
        </w:tc>
      </w:tr>
      <w:tr>
        <w:trPr>
          <w:trHeight w:val="149"/>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American depositary share represents</w:t>
            </w:r>
          </w:p>
        </w:tc>
        <w:tc>
          <w:tcPr>
            <w:tcW w:w="5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Class A ordinary shares.</w:t>
            </w:r>
          </w:p>
        </w:tc>
        <w:tc>
          <w:tcPr>
            <w:tcW w:w="1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spacing w:after="0"/>
              <w:rPr>
                <w:sz w:val="12"/>
                <w:szCs w:val="12"/>
                <w:color w:val="auto"/>
              </w:rPr>
            </w:pPr>
          </w:p>
        </w:tc>
      </w:tr>
    </w:tbl>
    <w:p>
      <w:pPr>
        <w:ind w:left="340" w:right="80" w:hanging="332"/>
        <w:spacing w:after="0" w:line="216" w:lineRule="auto"/>
        <w:tabs>
          <w:tab w:leader="none" w:pos="3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(i) Class A ordinary shares that may be purchased by the underwriters pursuant to an over-allotment option and (ii) Class A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These Class A ordinary shares are not being registered for the purposes of sales outside of the United States.</w:t>
      </w:r>
    </w:p>
    <w:p>
      <w:pPr>
        <w:spacing w:after="0" w:line="1" w:lineRule="exact"/>
        <w:rPr>
          <w:rFonts w:ascii="Times New Roman" w:cs="Times New Roman" w:eastAsia="Times New Roman" w:hAnsi="Times New Roman"/>
          <w:sz w:val="13"/>
          <w:szCs w:val="13"/>
          <w:color w:val="auto"/>
        </w:rPr>
      </w:pPr>
    </w:p>
    <w:p>
      <w:pPr>
        <w:ind w:left="340" w:hanging="332"/>
        <w:spacing w:after="0"/>
        <w:tabs>
          <w:tab w:leader="none" w:pos="3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Estimated solely for the purpose of determining the amount of registration fee in accordance with Rule 457(o)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147955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4" w:lineRule="exact"/>
        <w:rPr>
          <w:sz w:val="20"/>
          <w:szCs w:val="20"/>
          <w:color w:val="auto"/>
        </w:rPr>
      </w:pPr>
    </w:p>
    <w:p>
      <w:pPr>
        <w:ind w:right="40" w:firstLine="342"/>
        <w:spacing w:after="0" w:line="233"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such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EB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03" w:lineRule="exact"/>
        <w:rPr>
          <w:sz w:val="20"/>
          <w:szCs w:val="20"/>
          <w:color w:val="auto"/>
        </w:rPr>
      </w:pPr>
    </w:p>
    <w:tbl>
      <w:tblPr>
        <w:tblLayout w:type="fixed"/>
        <w:tblInd w:w="3480" w:type="dxa"/>
        <w:tblCellMar>
          <w:top w:w="0" w:type="dxa"/>
          <w:left w:w="0" w:type="dxa"/>
          <w:bottom w:w="0" w:type="dxa"/>
          <w:right w:w="0" w:type="dxa"/>
        </w:tblCellMar>
      </w:tblP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EB0029"/>
              </w:rPr>
              <w:t>SUBJECT TO COMPLETION, DATED</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EB0029"/>
              </w:rPr>
              <w:t>, 2017</w:t>
            </w:r>
          </w:p>
        </w:tc>
      </w:tr>
      <w:tr>
        <w:trPr>
          <w:trHeight w:val="238"/>
        </w:trPr>
        <w:tc>
          <w:tcPr>
            <w:tcW w:w="376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EB0029"/>
              </w:rPr>
              <w:t>PRELIMINARY PROSPECTUS</w:t>
            </w:r>
          </w:p>
        </w:tc>
        <w:tc>
          <w:tcPr>
            <w:tcW w:w="700" w:type="dxa"/>
            <w:vAlign w:val="bottom"/>
          </w:tcPr>
          <w:p>
            <w:pPr>
              <w:spacing w:after="0"/>
              <w:rPr>
                <w:sz w:val="20"/>
                <w:szCs w:val="20"/>
                <w:color w:val="auto"/>
              </w:rPr>
            </w:pPr>
          </w:p>
        </w:tc>
      </w:tr>
    </w:tbl>
    <w:p>
      <w:pPr>
        <w:spacing w:after="0" w:line="38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32"/>
          <w:szCs w:val="32"/>
          <w:b w:val="1"/>
          <w:b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182245</wp:posOffset>
            </wp:positionV>
            <wp:extent cx="1372235" cy="548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223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iClick Interactive Asia Group Limited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335"/>
        </w:trPr>
        <w:tc>
          <w:tcPr>
            <w:tcW w:w="5200" w:type="dxa"/>
            <w:vAlign w:val="bottom"/>
            <w:gridSpan w:val="2"/>
          </w:tcPr>
          <w:p>
            <w:pPr>
              <w:ind w:left="3220"/>
              <w:spacing w:after="0"/>
              <w:rPr>
                <w:sz w:val="20"/>
                <w:szCs w:val="20"/>
                <w:color w:val="auto"/>
              </w:rPr>
            </w:pPr>
            <w:r>
              <w:rPr>
                <w:rFonts w:ascii="Times New Roman" w:cs="Times New Roman" w:eastAsia="Times New Roman" w:hAnsi="Times New Roman"/>
                <w:sz w:val="25"/>
                <w:szCs w:val="25"/>
                <w:b w:val="1"/>
                <w:bCs w:val="1"/>
                <w:color w:val="auto"/>
              </w:rPr>
              <w:t>Representing</w:t>
            </w:r>
          </w:p>
        </w:tc>
        <w:tc>
          <w:tcPr>
            <w:tcW w:w="4320" w:type="dxa"/>
            <w:vAlign w:val="bottom"/>
            <w:gridSpan w:val="3"/>
          </w:tcPr>
          <w:p>
            <w:pPr>
              <w:ind w:left="320"/>
              <w:spacing w:after="0"/>
              <w:rPr>
                <w:sz w:val="20"/>
                <w:szCs w:val="20"/>
                <w:color w:val="auto"/>
              </w:rPr>
            </w:pPr>
            <w:r>
              <w:rPr>
                <w:rFonts w:ascii="Times New Roman" w:cs="Times New Roman" w:eastAsia="Times New Roman" w:hAnsi="Times New Roman"/>
                <w:sz w:val="25"/>
                <w:szCs w:val="25"/>
                <w:b w:val="1"/>
                <w:bCs w:val="1"/>
                <w:color w:val="auto"/>
              </w:rPr>
              <w:t>Class A Ordinary Shares</w:t>
            </w: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22"/>
        </w:trPr>
        <w:tc>
          <w:tcPr>
            <w:tcW w:w="4520" w:type="dxa"/>
            <w:vAlign w:val="bottom"/>
          </w:tcPr>
          <w:p>
            <w:pPr>
              <w:spacing w:after="0"/>
              <w:rPr>
                <w:sz w:val="24"/>
                <w:szCs w:val="24"/>
                <w:color w:val="auto"/>
              </w:rPr>
            </w:pPr>
          </w:p>
        </w:tc>
        <w:tc>
          <w:tcPr>
            <w:tcW w:w="2380" w:type="dxa"/>
            <w:vAlign w:val="bottom"/>
            <w:tcBorders>
              <w:bottom w:val="single" w:sz="8" w:color="auto"/>
            </w:tcBorders>
            <w:gridSpan w:val="2"/>
          </w:tcPr>
          <w:p>
            <w:pPr>
              <w:spacing w:after="0"/>
              <w:rPr>
                <w:sz w:val="24"/>
                <w:szCs w:val="24"/>
                <w:color w:val="auto"/>
              </w:rPr>
            </w:pPr>
          </w:p>
        </w:tc>
        <w:tc>
          <w:tcPr>
            <w:tcW w:w="720" w:type="dxa"/>
            <w:vAlign w:val="bottom"/>
          </w:tcPr>
          <w:p>
            <w:pPr>
              <w:spacing w:after="0"/>
              <w:rPr>
                <w:sz w:val="24"/>
                <w:szCs w:val="24"/>
                <w:color w:val="auto"/>
              </w:rPr>
            </w:pPr>
          </w:p>
        </w:tc>
        <w:tc>
          <w:tcPr>
            <w:tcW w:w="310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r>
      <w:tr>
        <w:trPr>
          <w:trHeight w:val="407"/>
        </w:trPr>
        <w:tc>
          <w:tcPr>
            <w:tcW w:w="762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This is the initial public offering of our American Depositary Shares, or ADSs. We are selling</w:t>
            </w:r>
          </w:p>
        </w:tc>
        <w:tc>
          <w:tcPr>
            <w:tcW w:w="31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ADSs. Each ADS represents</w:t>
            </w: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of our</w:t>
            </w:r>
          </w:p>
        </w:tc>
      </w:tr>
      <w:tr>
        <w:trPr>
          <w:trHeight w:val="216"/>
        </w:trPr>
        <w:tc>
          <w:tcPr>
            <w:tcW w:w="9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Class A ordinary shares, par value US$0.001 per share. We currently expect the initial public offering price to be between US$</w:t>
            </w:r>
          </w:p>
        </w:tc>
        <w:tc>
          <w:tcPr>
            <w:tcW w:w="1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US$</w:t>
            </w:r>
          </w:p>
        </w:tc>
        <w:tc>
          <w:tcPr>
            <w:tcW w:w="620" w:type="dxa"/>
            <w:vAlign w:val="bottom"/>
          </w:tcPr>
          <w:p>
            <w:pPr>
              <w:spacing w:after="0"/>
              <w:rPr>
                <w:sz w:val="18"/>
                <w:szCs w:val="18"/>
                <w:color w:val="auto"/>
              </w:rPr>
            </w:pP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 ADS.</w:t>
            </w:r>
          </w:p>
        </w:tc>
        <w:tc>
          <w:tcPr>
            <w:tcW w:w="1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2"/>
        </w:trPr>
        <w:tc>
          <w:tcPr>
            <w:tcW w:w="52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We have granted the underwriters an option to purchase up to</w:t>
            </w:r>
          </w:p>
        </w:tc>
        <w:tc>
          <w:tcPr>
            <w:tcW w:w="43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additional ADSs to cover over-allotments.</w:t>
            </w: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98"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ADSs or our ordinary shares. We will apply to have the ADSs listed on the NASDAQ Global Market under the symbol “ICLK”</w:t>
      </w:r>
    </w:p>
    <w:p>
      <w:pPr>
        <w:spacing w:after="0" w:line="162" w:lineRule="exact"/>
        <w:rPr>
          <w:sz w:val="20"/>
          <w:szCs w:val="20"/>
          <w:color w:val="auto"/>
        </w:rPr>
      </w:pPr>
    </w:p>
    <w:p>
      <w:pPr>
        <w:ind w:right="880" w:firstLine="456"/>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under applicable U.S. Federal securities laws and are eligible for reduced public company reporting requirements.</w:t>
      </w:r>
    </w:p>
    <w:p>
      <w:pPr>
        <w:spacing w:after="0" w:line="149" w:lineRule="exact"/>
        <w:rPr>
          <w:sz w:val="20"/>
          <w:szCs w:val="20"/>
          <w:color w:val="auto"/>
        </w:rPr>
      </w:pPr>
    </w:p>
    <w:p>
      <w:pPr>
        <w:ind w:left="4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the ADSs involves risks. See “</w:t>
      </w:r>
      <w:hyperlink w:anchor="page23">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beginning on page 18.</w:t>
      </w:r>
    </w:p>
    <w:p>
      <w:pPr>
        <w:spacing w:after="0" w:line="215" w:lineRule="exact"/>
        <w:rPr>
          <w:sz w:val="20"/>
          <w:szCs w:val="20"/>
          <w:color w:val="auto"/>
        </w:rPr>
      </w:pPr>
    </w:p>
    <w:p>
      <w:pPr>
        <w:ind w:right="520" w:firstLine="456"/>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Public</w:t>
            </w:r>
          </w:p>
        </w:tc>
        <w:tc>
          <w:tcPr>
            <w:tcW w:w="1000" w:type="dxa"/>
            <w:vAlign w:val="bottom"/>
          </w:tcPr>
          <w:p>
            <w:pPr>
              <w:spacing w:after="0"/>
              <w:rPr>
                <w:sz w:val="13"/>
                <w:szCs w:val="13"/>
                <w:color w:val="auto"/>
              </w:rPr>
            </w:pPr>
          </w:p>
        </w:tc>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140" w:type="dxa"/>
            <w:vAlign w:val="bottom"/>
          </w:tcPr>
          <w:p>
            <w:pPr>
              <w:spacing w:after="0"/>
              <w:rPr>
                <w:sz w:val="13"/>
                <w:szCs w:val="13"/>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Proceeds</w:t>
            </w:r>
          </w:p>
        </w:tc>
      </w:tr>
      <w:tr>
        <w:trPr>
          <w:trHeight w:val="149"/>
        </w:trPr>
        <w:tc>
          <w:tcPr>
            <w:tcW w:w="9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2720" w:type="dxa"/>
            <w:vAlign w:val="bottom"/>
            <w:gridSpan w:val="3"/>
          </w:tcPr>
          <w:p>
            <w:pPr>
              <w:ind w:left="1000"/>
              <w:spacing w:after="0" w:line="149" w:lineRule="exact"/>
              <w:rPr>
                <w:sz w:val="20"/>
                <w:szCs w:val="20"/>
                <w:color w:val="auto"/>
              </w:rPr>
            </w:pPr>
            <w:r>
              <w:rPr>
                <w:rFonts w:ascii="Times New Roman" w:cs="Times New Roman" w:eastAsia="Times New Roman" w:hAnsi="Times New Roman"/>
                <w:sz w:val="14"/>
                <w:szCs w:val="14"/>
                <w:b w:val="1"/>
                <w:bCs w:val="1"/>
                <w:color w:val="auto"/>
              </w:rPr>
              <w:t>Discounts and</w:t>
            </w:r>
          </w:p>
        </w:tc>
        <w:tc>
          <w:tcPr>
            <w:tcW w:w="14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r>
      <w:tr>
        <w:trPr>
          <w:trHeight w:val="173"/>
        </w:trPr>
        <w:tc>
          <w:tcPr>
            <w:tcW w:w="9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0" w:type="dxa"/>
            <w:vAlign w:val="bottom"/>
          </w:tcPr>
          <w:p>
            <w:pPr>
              <w:spacing w:after="0"/>
              <w:rPr>
                <w:sz w:val="15"/>
                <w:szCs w:val="15"/>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140" w:type="dxa"/>
            <w:vAlign w:val="bottom"/>
          </w:tcPr>
          <w:p>
            <w:pPr>
              <w:spacing w:after="0"/>
              <w:rPr>
                <w:sz w:val="15"/>
                <w:szCs w:val="15"/>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expenses</w:t>
            </w:r>
          </w:p>
        </w:tc>
      </w:tr>
      <w:tr>
        <w:trPr>
          <w:trHeight w:val="210"/>
        </w:trPr>
        <w:tc>
          <w:tcPr>
            <w:tcW w:w="920" w:type="dxa"/>
            <w:vAlign w:val="bottom"/>
          </w:tcPr>
          <w:p>
            <w:pPr>
              <w:spacing w:after="0"/>
              <w:rPr>
                <w:sz w:val="18"/>
                <w:szCs w:val="18"/>
                <w:color w:val="auto"/>
              </w:rPr>
            </w:pPr>
          </w:p>
        </w:tc>
        <w:tc>
          <w:tcPr>
            <w:tcW w:w="2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ADS</w:t>
            </w:r>
          </w:p>
        </w:tc>
        <w:tc>
          <w:tcPr>
            <w:tcW w:w="17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0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8"/>
                <w:szCs w:val="18"/>
                <w:color w:val="auto"/>
                <w:w w:val="93"/>
              </w:rPr>
              <w:t>US$</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56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US$</w:t>
            </w:r>
          </w:p>
        </w:tc>
        <w:tc>
          <w:tcPr>
            <w:tcW w:w="272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US$</w:t>
            </w:r>
          </w:p>
        </w:tc>
        <w:tc>
          <w:tcPr>
            <w:tcW w:w="10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US$</w:t>
            </w:r>
          </w:p>
        </w:tc>
      </w:tr>
      <w:tr>
        <w:trPr>
          <w:trHeight w:val="414"/>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 have granted the underwriters the right to purchase up to an additional</w:t>
            </w:r>
          </w:p>
        </w:tc>
        <w:tc>
          <w:tcPr>
            <w:tcW w:w="27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ADSs to cover over-allotments.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98" w:lineRule="exact"/>
        <w:rPr>
          <w:sz w:val="20"/>
          <w:szCs w:val="20"/>
          <w:color w:val="auto"/>
        </w:rPr>
      </w:pPr>
    </w:p>
    <w:p>
      <w:pPr>
        <w:ind w:right="80" w:firstLine="456"/>
        <w:spacing w:after="0" w:line="272" w:lineRule="auto"/>
        <w:rPr>
          <w:sz w:val="20"/>
          <w:szCs w:val="20"/>
          <w:color w:val="auto"/>
        </w:rPr>
      </w:pPr>
      <w:r>
        <w:rPr>
          <w:rFonts w:ascii="Times New Roman" w:cs="Times New Roman" w:eastAsia="Times New Roman" w:hAnsi="Times New Roman"/>
          <w:sz w:val="17"/>
          <w:szCs w:val="17"/>
          <w:color w:val="auto"/>
        </w:rPr>
        <w:t>Subject to the approval of our existing shareholders, immediately prior to the completion of this offering, our outstanding share capital will consist of Class A ordinary shares and Class B ordinary shares. Mr. Sammy Hsieh, our chief executive officer and co-founder, and Mr. Jian Tang, our chief operating officer, chief technology officer and co-founder, will beneficially own all of our issued Class B ordinary shares. These Class B ordinary shares will constitute</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approximately % of our total issued and outstanding share capital immediately after the completion of this offering and % of the aggregate voting power of our total issued and outstanding share capital immediately after the completion of this offering, assuming the underwriters do not exercise their over-allotment option. Holders of Class A ordinary shares and Class B ordinary shares have the same rights except for voting and conversion rights. Each Class A ordinary share is entitled to one vote, and each Class B ordinary share is entitled to 20 votes, and is convertible into one Class A ordinary share at any time by the holder thereof.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The underwriters expect to deliver the ADSs to purchasers on or about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380"/>
        <w:spacing w:after="0"/>
        <w:tabs>
          <w:tab w:leader="none" w:pos="10120" w:val="left"/>
        </w:tabs>
        <w:rPr>
          <w:sz w:val="20"/>
          <w:szCs w:val="20"/>
          <w:color w:val="auto"/>
        </w:rPr>
      </w:pPr>
      <w:r>
        <w:rPr>
          <w:rFonts w:ascii="Times New Roman" w:cs="Times New Roman" w:eastAsia="Times New Roman" w:hAnsi="Times New Roman"/>
          <w:sz w:val="29"/>
          <w:szCs w:val="29"/>
          <w:b w:val="1"/>
          <w:bCs w:val="1"/>
          <w:color w:val="auto"/>
        </w:rPr>
        <w:t>Credit Suisse</w:t>
      </w:r>
      <w:r>
        <w:rPr>
          <w:sz w:val="20"/>
          <w:szCs w:val="20"/>
          <w:color w:val="auto"/>
        </w:rPr>
        <w:tab/>
      </w:r>
      <w:r>
        <w:rPr>
          <w:rFonts w:ascii="Times New Roman" w:cs="Times New Roman" w:eastAsia="Times New Roman" w:hAnsi="Times New Roman"/>
          <w:sz w:val="28"/>
          <w:szCs w:val="28"/>
          <w:b w:val="1"/>
          <w:bCs w:val="1"/>
          <w:color w:val="auto"/>
        </w:rPr>
        <w:t>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249555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5" w:right="239" w:bottom="9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2017</w:t>
      </w:r>
    </w:p>
    <w:p>
      <w:pPr>
        <w:sectPr>
          <w:pgSz w:w="11900" w:h="16838" w:orient="portrait"/>
          <w:cols w:equalWidth="0" w:num="1">
            <w:col w:w="11420"/>
          </w:cols>
          <w:pgMar w:left="240" w:top="455" w:right="239" w:bottom="927"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29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Page intentionally left blank for graphics</w:t>
      </w:r>
      <w:r>
        <w:rPr>
          <w:rFonts w:ascii="Times New Roman" w:cs="Times New Roman" w:eastAsia="Times New Roman" w:hAnsi="Times New Roman"/>
          <w:sz w:val="18"/>
          <w:szCs w:val="18"/>
          <w:b w:val="1"/>
          <w:bCs w:val="1"/>
          <w:color w:val="auto"/>
        </w:rPr>
        <w:t>]</w:t>
      </w:r>
    </w:p>
    <w:p>
      <w:pPr>
        <w:sectPr>
          <w:pgSz w:w="11900" w:h="16838" w:orient="portrait"/>
          <w:cols w:equalWidth="0" w:num="1">
            <w:col w:w="10219"/>
          </w:cols>
          <w:pgMar w:left="240" w:top="455" w:right="1440"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1520" w:type="dxa"/>
            <w:vAlign w:val="bottom"/>
            <w:gridSpan w:val="6"/>
            <w:vMerge w:val="restart"/>
          </w:tcPr>
          <w:p>
            <w:pPr>
              <w:spacing w:after="0"/>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Prospectus Summary</w:t>
              </w:r>
            </w:hyperlink>
          </w:p>
        </w:tc>
        <w:tc>
          <w:tcPr>
            <w:tcW w:w="3560" w:type="dxa"/>
            <w:vAlign w:val="bottom"/>
            <w:gridSpan w:val="8"/>
            <w:vMerge w:val="restart"/>
          </w:tcPr>
          <w:p>
            <w:pPr>
              <w:spacing w:after="0"/>
              <w:rPr>
                <w:sz w:val="15"/>
                <w:szCs w:val="15"/>
                <w:color w:val="auto"/>
              </w:rPr>
            </w:pP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640" w:type="dxa"/>
            <w:vAlign w:val="bottom"/>
            <w:gridSpan w:val="3"/>
            <w:vMerge w:val="restart"/>
          </w:tcPr>
          <w:p>
            <w:pPr>
              <w:spacing w:after="0"/>
              <w:rPr>
                <w:rFonts w:ascii="Times New Roman" w:cs="Times New Roman" w:eastAsia="Times New Roman" w:hAnsi="Times New Roman"/>
                <w:sz w:val="18"/>
                <w:szCs w:val="18"/>
                <w:color w:val="0000EE"/>
                <w:w w:val="96"/>
              </w:rPr>
            </w:pPr>
            <w:hyperlink w:anchor="page132">
              <w:r>
                <w:rPr>
                  <w:rFonts w:ascii="Times New Roman" w:cs="Times New Roman" w:eastAsia="Times New Roman" w:hAnsi="Times New Roman"/>
                  <w:sz w:val="18"/>
                  <w:szCs w:val="18"/>
                  <w:color w:val="0000EE"/>
                  <w:w w:val="96"/>
                </w:rPr>
                <w:t>Business</w:t>
              </w:r>
            </w:hyperlink>
          </w:p>
        </w:tc>
        <w:tc>
          <w:tcPr>
            <w:tcW w:w="4440" w:type="dxa"/>
            <w:vAlign w:val="bottom"/>
            <w:gridSpan w:val="11"/>
            <w:vMerge w:val="restart"/>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520" w:type="dxa"/>
            <w:vAlign w:val="bottom"/>
            <w:tcBorders>
              <w:bottom w:val="single" w:sz="8" w:color="0000EE"/>
            </w:tcBorders>
            <w:gridSpan w:val="6"/>
            <w:vMerge w:val="continue"/>
          </w:tcPr>
          <w:p>
            <w:pPr>
              <w:spacing w:after="0"/>
              <w:rPr>
                <w:sz w:val="14"/>
                <w:szCs w:val="14"/>
                <w:color w:val="auto"/>
              </w:rPr>
            </w:pPr>
          </w:p>
        </w:tc>
        <w:tc>
          <w:tcPr>
            <w:tcW w:w="3560" w:type="dxa"/>
            <w:vAlign w:val="bottom"/>
            <w:gridSpan w:val="8"/>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4"/>
                <w:szCs w:val="14"/>
                <w:color w:val="auto"/>
              </w:rPr>
            </w:pPr>
          </w:p>
        </w:tc>
        <w:tc>
          <w:tcPr>
            <w:tcW w:w="640" w:type="dxa"/>
            <w:vAlign w:val="bottom"/>
            <w:tcBorders>
              <w:bottom w:val="single" w:sz="8" w:color="0000EE"/>
            </w:tcBorders>
            <w:gridSpan w:val="3"/>
            <w:vMerge w:val="continue"/>
          </w:tcPr>
          <w:p>
            <w:pPr>
              <w:spacing w:after="0"/>
              <w:rPr>
                <w:sz w:val="14"/>
                <w:szCs w:val="14"/>
                <w:color w:val="auto"/>
              </w:rPr>
            </w:pPr>
          </w:p>
        </w:tc>
        <w:tc>
          <w:tcPr>
            <w:tcW w:w="4440" w:type="dxa"/>
            <w:vAlign w:val="bottom"/>
            <w:gridSpan w:val="11"/>
            <w:vMerge w:val="continue"/>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gridSpan w:val="3"/>
          </w:tcPr>
          <w:p>
            <w:pPr>
              <w:spacing w:after="0" w:line="196" w:lineRule="exact"/>
              <w:rPr>
                <w:rFonts w:ascii="Times New Roman" w:cs="Times New Roman" w:eastAsia="Times New Roman" w:hAnsi="Times New Roman"/>
                <w:sz w:val="18"/>
                <w:szCs w:val="18"/>
                <w:color w:val="0000EE"/>
                <w:w w:val="97"/>
              </w:rPr>
            </w:pPr>
            <w:hyperlink w:anchor="page23">
              <w:r>
                <w:rPr>
                  <w:rFonts w:ascii="Times New Roman" w:cs="Times New Roman" w:eastAsia="Times New Roman" w:hAnsi="Times New Roman"/>
                  <w:sz w:val="18"/>
                  <w:szCs w:val="18"/>
                  <w:color w:val="0000EE"/>
                  <w:w w:val="97"/>
                </w:rPr>
                <w:t>Risk Factors</w:t>
              </w:r>
            </w:hyperlink>
          </w:p>
        </w:tc>
        <w:tc>
          <w:tcPr>
            <w:tcW w:w="4180" w:type="dxa"/>
            <w:vAlign w:val="bottom"/>
            <w:gridSpan w:val="11"/>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5080" w:type="dxa"/>
            <w:vAlign w:val="bottom"/>
            <w:gridSpan w:val="14"/>
          </w:tcPr>
          <w:p>
            <w:pPr>
              <w:spacing w:after="0" w:line="196" w:lineRule="exact"/>
              <w:rPr>
                <w:rFonts w:ascii="Times New Roman" w:cs="Times New Roman" w:eastAsia="Times New Roman" w:hAnsi="Times New Roman"/>
                <w:sz w:val="18"/>
                <w:szCs w:val="18"/>
                <w:color w:val="0000EE"/>
              </w:rPr>
            </w:pPr>
            <w:hyperlink w:anchor="page152">
              <w:r>
                <w:rPr>
                  <w:rFonts w:ascii="Times New Roman" w:cs="Times New Roman" w:eastAsia="Times New Roman" w:hAnsi="Times New Roman"/>
                  <w:sz w:val="18"/>
                  <w:szCs w:val="18"/>
                  <w:color w:val="0000EE"/>
                </w:rPr>
                <w:t>Regulation</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67">
              <w:r>
                <w:rPr>
                  <w:rFonts w:ascii="Times New Roman" w:cs="Times New Roman" w:eastAsia="Times New Roman" w:hAnsi="Times New Roman"/>
                  <w:sz w:val="18"/>
                  <w:szCs w:val="18"/>
                  <w:color w:val="0000EE"/>
                  <w:w w:val="99"/>
                </w:rPr>
                <w:t>Special Note Regarding Forward-Looking Statements and</w:t>
              </w:r>
            </w:hyperlink>
          </w:p>
        </w:tc>
        <w:tc>
          <w:tcPr>
            <w:tcW w:w="90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161">
              <w:r>
                <w:rPr>
                  <w:rFonts w:ascii="Times New Roman" w:cs="Times New Roman" w:eastAsia="Times New Roman" w:hAnsi="Times New Roman"/>
                  <w:sz w:val="18"/>
                  <w:szCs w:val="18"/>
                  <w:color w:val="0000EE"/>
                  <w:w w:val="97"/>
                </w:rPr>
                <w:t>Management</w:t>
              </w:r>
            </w:hyperlink>
          </w:p>
        </w:tc>
        <w:tc>
          <w:tcPr>
            <w:tcW w:w="412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80" w:type="dxa"/>
            <w:vAlign w:val="bottom"/>
            <w:gridSpan w:val="4"/>
          </w:tcPr>
          <w:p>
            <w:pPr>
              <w:spacing w:after="0" w:line="196" w:lineRule="exact"/>
              <w:rPr>
                <w:rFonts w:ascii="Times New Roman" w:cs="Times New Roman" w:eastAsia="Times New Roman" w:hAnsi="Times New Roman"/>
                <w:sz w:val="18"/>
                <w:szCs w:val="18"/>
                <w:color w:val="0000EE"/>
                <w:w w:val="97"/>
              </w:rPr>
            </w:pPr>
            <w:hyperlink w:anchor="page67">
              <w:r>
                <w:rPr>
                  <w:rFonts w:ascii="Times New Roman" w:cs="Times New Roman" w:eastAsia="Times New Roman" w:hAnsi="Times New Roman"/>
                  <w:sz w:val="18"/>
                  <w:szCs w:val="18"/>
                  <w:color w:val="0000EE"/>
                  <w:w w:val="97"/>
                </w:rPr>
                <w:t>Industry Data</w:t>
              </w:r>
            </w:hyperlink>
          </w:p>
        </w:tc>
        <w:tc>
          <w:tcPr>
            <w:tcW w:w="3920" w:type="dxa"/>
            <w:vAlign w:val="bottom"/>
            <w:gridSpan w:val="9"/>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5080" w:type="dxa"/>
            <w:vAlign w:val="bottom"/>
            <w:gridSpan w:val="14"/>
          </w:tcPr>
          <w:p>
            <w:pPr>
              <w:spacing w:after="0" w:line="196" w:lineRule="exact"/>
              <w:rPr>
                <w:rFonts w:ascii="Times New Roman" w:cs="Times New Roman" w:eastAsia="Times New Roman" w:hAnsi="Times New Roman"/>
                <w:sz w:val="18"/>
                <w:szCs w:val="18"/>
                <w:color w:val="0000EE"/>
              </w:rPr>
            </w:pPr>
            <w:hyperlink w:anchor="page170">
              <w:r>
                <w:rPr>
                  <w:rFonts w:ascii="Times New Roman" w:cs="Times New Roman" w:eastAsia="Times New Roman" w:hAnsi="Times New Roman"/>
                  <w:sz w:val="18"/>
                  <w:szCs w:val="18"/>
                  <w:color w:val="0000EE"/>
                </w:rPr>
                <w:t>Principal Shareholders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gridSpan w:val="14"/>
          </w:tcPr>
          <w:p>
            <w:pPr>
              <w:spacing w:after="0" w:line="196" w:lineRule="exact"/>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Use of Proceeds</w:t>
              </w:r>
            </w:hyperlink>
          </w:p>
        </w:tc>
        <w:tc>
          <w:tcPr>
            <w:tcW w:w="74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5080" w:type="dxa"/>
            <w:vAlign w:val="bottom"/>
            <w:gridSpan w:val="14"/>
          </w:tcPr>
          <w:p>
            <w:pPr>
              <w:spacing w:after="0" w:line="196" w:lineRule="exact"/>
              <w:rPr>
                <w:rFonts w:ascii="Times New Roman" w:cs="Times New Roman" w:eastAsia="Times New Roman" w:hAnsi="Times New Roman"/>
                <w:sz w:val="18"/>
                <w:szCs w:val="18"/>
                <w:color w:val="0000EE"/>
              </w:rPr>
            </w:pPr>
            <w:hyperlink w:anchor="page175">
              <w:r>
                <w:rPr>
                  <w:rFonts w:ascii="Times New Roman" w:cs="Times New Roman" w:eastAsia="Times New Roman" w:hAnsi="Times New Roman"/>
                  <w:sz w:val="18"/>
                  <w:szCs w:val="18"/>
                  <w:color w:val="0000EE"/>
                </w:rPr>
                <w:t>Related Party Transactions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gridSpan w:val="14"/>
          </w:tcPr>
          <w:p>
            <w:pPr>
              <w:spacing w:after="0" w:line="19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Dividend Policy</w:t>
              </w:r>
            </w:hyperlink>
          </w:p>
        </w:tc>
        <w:tc>
          <w:tcPr>
            <w:tcW w:w="74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5080" w:type="dxa"/>
            <w:vAlign w:val="bottom"/>
            <w:gridSpan w:val="14"/>
          </w:tcPr>
          <w:p>
            <w:pPr>
              <w:spacing w:after="0" w:line="196" w:lineRule="exact"/>
              <w:rPr>
                <w:rFonts w:ascii="Times New Roman" w:cs="Times New Roman" w:eastAsia="Times New Roman" w:hAnsi="Times New Roman"/>
                <w:sz w:val="18"/>
                <w:szCs w:val="18"/>
                <w:color w:val="0000EE"/>
              </w:rPr>
            </w:pPr>
            <w:hyperlink w:anchor="page176">
              <w:r>
                <w:rPr>
                  <w:rFonts w:ascii="Times New Roman" w:cs="Times New Roman" w:eastAsia="Times New Roman" w:hAnsi="Times New Roman"/>
                  <w:sz w:val="18"/>
                  <w:szCs w:val="18"/>
                  <w:color w:val="0000EE"/>
                </w:rPr>
                <w:t>Description of Share Capital</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5"/>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Capitalization</w:t>
              </w:r>
            </w:hyperlink>
          </w:p>
        </w:tc>
        <w:tc>
          <w:tcPr>
            <w:tcW w:w="3920" w:type="dxa"/>
            <w:vAlign w:val="bottom"/>
            <w:gridSpan w:val="9"/>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5080" w:type="dxa"/>
            <w:vAlign w:val="bottom"/>
            <w:gridSpan w:val="14"/>
          </w:tcPr>
          <w:p>
            <w:pPr>
              <w:spacing w:after="0" w:line="196" w:lineRule="exact"/>
              <w:rPr>
                <w:rFonts w:ascii="Times New Roman" w:cs="Times New Roman" w:eastAsia="Times New Roman" w:hAnsi="Times New Roman"/>
                <w:sz w:val="18"/>
                <w:szCs w:val="18"/>
                <w:color w:val="0000EE"/>
              </w:rPr>
            </w:pPr>
            <w:hyperlink w:anchor="page187">
              <w:r>
                <w:rPr>
                  <w:rFonts w:ascii="Times New Roman" w:cs="Times New Roman" w:eastAsia="Times New Roman" w:hAnsi="Times New Roman"/>
                  <w:sz w:val="18"/>
                  <w:szCs w:val="18"/>
                  <w:color w:val="0000EE"/>
                </w:rPr>
                <w:t>Description of American Depositary Shares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72">
              <w:r>
                <w:rPr>
                  <w:rFonts w:ascii="Times New Roman" w:cs="Times New Roman" w:eastAsia="Times New Roman" w:hAnsi="Times New Roman"/>
                  <w:sz w:val="18"/>
                  <w:szCs w:val="18"/>
                  <w:color w:val="0000EE"/>
                  <w:w w:val="96"/>
                </w:rPr>
                <w:t>Dilution</w:t>
              </w:r>
            </w:hyperlink>
          </w:p>
        </w:tc>
        <w:tc>
          <w:tcPr>
            <w:tcW w:w="400" w:type="dxa"/>
            <w:vAlign w:val="bottom"/>
            <w:tcBorders>
              <w:top w:val="single" w:sz="8" w:color="0000EE"/>
            </w:tcBorders>
            <w:gridSpan w:val="2"/>
          </w:tcPr>
          <w:p>
            <w:pPr>
              <w:spacing w:after="0"/>
              <w:rPr>
                <w:sz w:val="17"/>
                <w:szCs w:val="17"/>
                <w:color w:val="auto"/>
              </w:rPr>
            </w:pPr>
          </w:p>
        </w:tc>
        <w:tc>
          <w:tcPr>
            <w:tcW w:w="4080" w:type="dxa"/>
            <w:vAlign w:val="bottom"/>
            <w:gridSpan w:val="10"/>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22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200">
              <w:r>
                <w:rPr>
                  <w:rFonts w:ascii="Times New Roman" w:cs="Times New Roman" w:eastAsia="Times New Roman" w:hAnsi="Times New Roman"/>
                  <w:sz w:val="18"/>
                  <w:szCs w:val="18"/>
                  <w:color w:val="0000EE"/>
                  <w:w w:val="99"/>
                </w:rPr>
                <w:t>Shares Eligible for Future Sale</w:t>
              </w:r>
            </w:hyperlink>
          </w:p>
        </w:tc>
        <w:tc>
          <w:tcPr>
            <w:tcW w:w="920" w:type="dxa"/>
            <w:vAlign w:val="bottom"/>
            <w:tcBorders>
              <w:top w:val="single" w:sz="8" w:color="0000EE"/>
            </w:tcBorders>
            <w:gridSpan w:val="2"/>
          </w:tcPr>
          <w:p>
            <w:pPr>
              <w:spacing w:after="0"/>
              <w:rPr>
                <w:sz w:val="17"/>
                <w:szCs w:val="17"/>
                <w:color w:val="auto"/>
              </w:rPr>
            </w:pPr>
          </w:p>
        </w:tc>
        <w:tc>
          <w:tcPr>
            <w:tcW w:w="194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196"/>
        </w:trPr>
        <w:tc>
          <w:tcPr>
            <w:tcW w:w="5080" w:type="dxa"/>
            <w:vAlign w:val="bottom"/>
            <w:gridSpan w:val="14"/>
          </w:tcPr>
          <w:p>
            <w:pPr>
              <w:spacing w:after="0" w:line="196" w:lineRule="exact"/>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Exchange Rate Information</w:t>
              </w:r>
            </w:hyperlink>
          </w:p>
        </w:tc>
        <w:tc>
          <w:tcPr>
            <w:tcW w:w="74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5080" w:type="dxa"/>
            <w:vAlign w:val="bottom"/>
            <w:gridSpan w:val="14"/>
          </w:tcPr>
          <w:p>
            <w:pPr>
              <w:spacing w:after="0" w:line="196" w:lineRule="exact"/>
              <w:rPr>
                <w:rFonts w:ascii="Times New Roman" w:cs="Times New Roman" w:eastAsia="Times New Roman" w:hAnsi="Times New Roman"/>
                <w:sz w:val="18"/>
                <w:szCs w:val="18"/>
                <w:color w:val="0000EE"/>
              </w:rPr>
            </w:pPr>
            <w:hyperlink w:anchor="page202">
              <w:r>
                <w:rPr>
                  <w:rFonts w:ascii="Times New Roman" w:cs="Times New Roman" w:eastAsia="Times New Roman" w:hAnsi="Times New Roman"/>
                  <w:sz w:val="18"/>
                  <w:szCs w:val="18"/>
                  <w:color w:val="0000EE"/>
                </w:rPr>
                <w:t>Taxation</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0"/>
        </w:trPr>
        <w:tc>
          <w:tcPr>
            <w:tcW w:w="198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gridSpan w:val="10"/>
          </w:tcPr>
          <w:p>
            <w:pPr>
              <w:spacing w:after="0" w:line="196" w:lineRule="exact"/>
              <w:rPr>
                <w:rFonts w:ascii="Times New Roman" w:cs="Times New Roman" w:eastAsia="Times New Roman" w:hAnsi="Times New Roman"/>
                <w:sz w:val="18"/>
                <w:szCs w:val="18"/>
                <w:color w:val="0000EE"/>
                <w:w w:val="98"/>
              </w:rPr>
            </w:pPr>
            <w:hyperlink w:anchor="page75">
              <w:r>
                <w:rPr>
                  <w:rFonts w:ascii="Times New Roman" w:cs="Times New Roman" w:eastAsia="Times New Roman" w:hAnsi="Times New Roman"/>
                  <w:sz w:val="18"/>
                  <w:szCs w:val="18"/>
                  <w:color w:val="0000EE"/>
                  <w:w w:val="98"/>
                </w:rPr>
                <w:t>Enforceability of Civil Liabilities</w:t>
              </w:r>
            </w:hyperlink>
          </w:p>
        </w:tc>
        <w:tc>
          <w:tcPr>
            <w:tcW w:w="2680" w:type="dxa"/>
            <w:vAlign w:val="bottom"/>
            <w:gridSpan w:val="4"/>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5080" w:type="dxa"/>
            <w:vAlign w:val="bottom"/>
            <w:gridSpan w:val="14"/>
          </w:tcPr>
          <w:p>
            <w:pPr>
              <w:spacing w:after="0" w:line="196" w:lineRule="exact"/>
              <w:rPr>
                <w:rFonts w:ascii="Times New Roman" w:cs="Times New Roman" w:eastAsia="Times New Roman" w:hAnsi="Times New Roman"/>
                <w:sz w:val="18"/>
                <w:szCs w:val="18"/>
                <w:color w:val="0000EE"/>
              </w:rPr>
            </w:pPr>
            <w:hyperlink w:anchor="page208">
              <w:r>
                <w:rPr>
                  <w:rFonts w:ascii="Times New Roman" w:cs="Times New Roman" w:eastAsia="Times New Roman" w:hAnsi="Times New Roman"/>
                  <w:sz w:val="18"/>
                  <w:szCs w:val="18"/>
                  <w:color w:val="0000EE"/>
                </w:rPr>
                <w:t>Underwriting</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0"/>
        </w:trPr>
        <w:tc>
          <w:tcPr>
            <w:tcW w:w="2040" w:type="dxa"/>
            <w:vAlign w:val="bottom"/>
            <w:gridSpan w:val="8"/>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0" w:type="dxa"/>
            <w:vAlign w:val="bottom"/>
            <w:gridSpan w:val="10"/>
          </w:tcPr>
          <w:p>
            <w:pPr>
              <w:spacing w:after="0" w:line="196" w:lineRule="exact"/>
              <w:rPr>
                <w:rFonts w:ascii="Times New Roman" w:cs="Times New Roman" w:eastAsia="Times New Roman" w:hAnsi="Times New Roman"/>
                <w:sz w:val="18"/>
                <w:szCs w:val="18"/>
                <w:color w:val="0000EE"/>
              </w:rPr>
            </w:pPr>
            <w:hyperlink w:anchor="page77">
              <w:r>
                <w:rPr>
                  <w:rFonts w:ascii="Times New Roman" w:cs="Times New Roman" w:eastAsia="Times New Roman" w:hAnsi="Times New Roman"/>
                  <w:sz w:val="18"/>
                  <w:szCs w:val="18"/>
                  <w:color w:val="0000EE"/>
                </w:rPr>
                <w:t>Corporate History and Structure</w:t>
              </w:r>
            </w:hyperlink>
          </w:p>
        </w:tc>
        <w:tc>
          <w:tcPr>
            <w:tcW w:w="2680" w:type="dxa"/>
            <w:vAlign w:val="bottom"/>
            <w:gridSpan w:val="4"/>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5080" w:type="dxa"/>
            <w:vAlign w:val="bottom"/>
            <w:gridSpan w:val="14"/>
          </w:tcPr>
          <w:p>
            <w:pPr>
              <w:spacing w:after="0" w:line="196" w:lineRule="exact"/>
              <w:rPr>
                <w:rFonts w:ascii="Times New Roman" w:cs="Times New Roman" w:eastAsia="Times New Roman" w:hAnsi="Times New Roman"/>
                <w:sz w:val="18"/>
                <w:szCs w:val="18"/>
                <w:color w:val="0000EE"/>
              </w:rPr>
            </w:pPr>
            <w:hyperlink w:anchor="page218">
              <w:r>
                <w:rPr>
                  <w:rFonts w:ascii="Times New Roman" w:cs="Times New Roman" w:eastAsia="Times New Roman" w:hAnsi="Times New Roman"/>
                  <w:sz w:val="18"/>
                  <w:szCs w:val="18"/>
                  <w:color w:val="0000EE"/>
                </w:rPr>
                <w:t>Expenses Relating to This Offering</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0"/>
        </w:trPr>
        <w:tc>
          <w:tcPr>
            <w:tcW w:w="2040" w:type="dxa"/>
            <w:vAlign w:val="bottom"/>
            <w:gridSpan w:val="8"/>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83">
              <w:r>
                <w:rPr>
                  <w:rFonts w:ascii="Times New Roman" w:cs="Times New Roman" w:eastAsia="Times New Roman" w:hAnsi="Times New Roman"/>
                  <w:sz w:val="18"/>
                  <w:szCs w:val="18"/>
                  <w:color w:val="0000EE"/>
                  <w:w w:val="99"/>
                </w:rPr>
                <w:t>Selected Consolidated Financial and Other Data</w:t>
              </w:r>
            </w:hyperlink>
          </w:p>
        </w:tc>
        <w:tc>
          <w:tcPr>
            <w:tcW w:w="1620" w:type="dxa"/>
            <w:vAlign w:val="bottom"/>
            <w:gridSpan w:val="3"/>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10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219">
              <w:r>
                <w:rPr>
                  <w:rFonts w:ascii="Times New Roman" w:cs="Times New Roman" w:eastAsia="Times New Roman" w:hAnsi="Times New Roman"/>
                  <w:sz w:val="18"/>
                  <w:szCs w:val="18"/>
                  <w:color w:val="0000EE"/>
                  <w:w w:val="97"/>
                </w:rPr>
                <w:t>Legal Matters</w:t>
              </w:r>
            </w:hyperlink>
          </w:p>
        </w:tc>
        <w:tc>
          <w:tcPr>
            <w:tcW w:w="408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196"/>
        </w:trPr>
        <w:tc>
          <w:tcPr>
            <w:tcW w:w="5080" w:type="dxa"/>
            <w:vAlign w:val="bottom"/>
            <w:gridSpan w:val="14"/>
          </w:tcPr>
          <w:p>
            <w:pPr>
              <w:spacing w:after="0" w:line="196" w:lineRule="exact"/>
              <w:rPr>
                <w:rFonts w:ascii="Times New Roman" w:cs="Times New Roman" w:eastAsia="Times New Roman" w:hAnsi="Times New Roman"/>
                <w:sz w:val="18"/>
                <w:szCs w:val="18"/>
                <w:color w:val="0000EE"/>
              </w:rPr>
            </w:pPr>
            <w:hyperlink w:anchor="page85">
              <w:r>
                <w:rPr>
                  <w:rFonts w:ascii="Times New Roman" w:cs="Times New Roman" w:eastAsia="Times New Roman" w:hAnsi="Times New Roman"/>
                  <w:sz w:val="18"/>
                  <w:szCs w:val="18"/>
                  <w:color w:val="0000EE"/>
                </w:rPr>
                <w:t>Management’s Discussion and Analysis of Financial Condition</w:t>
              </w:r>
            </w:hyperlink>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80" w:type="dxa"/>
            <w:vAlign w:val="bottom"/>
            <w:gridSpan w:val="14"/>
          </w:tcPr>
          <w:p>
            <w:pPr>
              <w:spacing w:after="0" w:line="196" w:lineRule="exact"/>
              <w:rPr>
                <w:rFonts w:ascii="Times New Roman" w:cs="Times New Roman" w:eastAsia="Times New Roman" w:hAnsi="Times New Roman"/>
                <w:sz w:val="18"/>
                <w:szCs w:val="18"/>
                <w:color w:val="0000EE"/>
              </w:rPr>
            </w:pPr>
            <w:hyperlink w:anchor="page220">
              <w:r>
                <w:rPr>
                  <w:rFonts w:ascii="Times New Roman" w:cs="Times New Roman" w:eastAsia="Times New Roman" w:hAnsi="Times New Roman"/>
                  <w:sz w:val="18"/>
                  <w:szCs w:val="18"/>
                  <w:color w:val="0000EE"/>
                </w:rPr>
                <w:t>Experts</w:t>
              </w:r>
            </w:hyperlink>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60" w:type="dxa"/>
            <w:vAlign w:val="bottom"/>
            <w:gridSpan w:val="7"/>
            <w:shd w:val="clear" w:color="auto" w:fill="0000EE"/>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85">
              <w:r>
                <w:rPr>
                  <w:rFonts w:ascii="Times New Roman" w:cs="Times New Roman" w:eastAsia="Times New Roman" w:hAnsi="Times New Roman"/>
                  <w:sz w:val="18"/>
                  <w:szCs w:val="18"/>
                  <w:color w:val="0000EE"/>
                  <w:w w:val="98"/>
                </w:rPr>
                <w:t>and Results of Operations</w:t>
              </w:r>
            </w:hyperlink>
          </w:p>
        </w:tc>
        <w:tc>
          <w:tcPr>
            <w:tcW w:w="250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80</w:t>
            </w:r>
          </w:p>
        </w:tc>
        <w:tc>
          <w:tcPr>
            <w:tcW w:w="324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w:anchor="page221">
              <w:r>
                <w:rPr>
                  <w:rFonts w:ascii="Times New Roman" w:cs="Times New Roman" w:eastAsia="Times New Roman" w:hAnsi="Times New Roman"/>
                  <w:sz w:val="18"/>
                  <w:szCs w:val="18"/>
                  <w:color w:val="0000EE"/>
                  <w:w w:val="98"/>
                </w:rPr>
                <w:t>Where You Can Find Additional Information</w:t>
              </w:r>
            </w:hyperlink>
          </w:p>
        </w:tc>
        <w:tc>
          <w:tcPr>
            <w:tcW w:w="184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w:anchor="page126">
              <w:r>
                <w:rPr>
                  <w:rFonts w:ascii="Times New Roman" w:cs="Times New Roman" w:eastAsia="Times New Roman" w:hAnsi="Times New Roman"/>
                  <w:sz w:val="18"/>
                  <w:szCs w:val="18"/>
                  <w:color w:val="0000EE"/>
                  <w:w w:val="96"/>
                </w:rPr>
                <w:t>Industry</w:t>
              </w:r>
            </w:hyperlink>
          </w:p>
        </w:tc>
        <w:tc>
          <w:tcPr>
            <w:tcW w:w="4480" w:type="dxa"/>
            <w:vAlign w:val="bottom"/>
            <w:gridSpan w:val="12"/>
          </w:tcPr>
          <w:p>
            <w:pPr>
              <w:spacing w:after="0"/>
              <w:rPr>
                <w:sz w:val="17"/>
                <w:szCs w:val="17"/>
                <w:color w:val="auto"/>
              </w:rPr>
            </w:pPr>
          </w:p>
        </w:tc>
        <w:tc>
          <w:tcPr>
            <w:tcW w:w="740" w:type="dxa"/>
            <w:vAlign w:val="bottom"/>
            <w:gridSpan w:val="2"/>
          </w:tcPr>
          <w:p>
            <w:pPr>
              <w:jc w:val="right"/>
              <w:ind w:right="420"/>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31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222">
              <w:r>
                <w:rPr>
                  <w:rFonts w:ascii="Times New Roman" w:cs="Times New Roman" w:eastAsia="Times New Roman" w:hAnsi="Times New Roman"/>
                  <w:sz w:val="18"/>
                  <w:szCs w:val="18"/>
                  <w:color w:val="0000EE"/>
                  <w:w w:val="99"/>
                </w:rPr>
                <w:t>Index to Consolidated Financial Statements</w:t>
              </w:r>
            </w:hyperlink>
          </w:p>
        </w:tc>
        <w:tc>
          <w:tcPr>
            <w:tcW w:w="194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334645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No dealer, salesperson or other person is authorized to give any information or to represent anything not contained in this prospectus or in any free writing prospectus we may authorize to be delivered or made available to you. You must not rely on any unauthorized information or representations. This prospectus is an offer to sell only the ADSs offered hereby, but only under circumstances and in jurisdictions where it is lawful to do so. The information contained in this prospectus is current only as of its date.</w:t>
      </w:r>
    </w:p>
    <w:p>
      <w:pPr>
        <w:spacing w:after="0" w:line="180"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Neither we nor any of the underwriters has done anything that would permit this offering or possession or distribution of this prospectus or any filed free writing prospectus in any jurisdiction where action for that purpose is required, other than in the United States. Persons outside the United States who come into possession of this prospectus or any filed free writing prospectus must inform themselves about, and observe any restrictions relating to, the offering of the ADSs and the distribution of this prospectus or any filed free writing prospectus outside of the United States.</w:t>
      </w:r>
    </w:p>
    <w:p>
      <w:pPr>
        <w:spacing w:after="0" w:line="176"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Until , 2017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00"/>
          </w:cols>
          <w:pgMar w:left="240" w:top="455" w:right="3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5741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57410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200" w:right="2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buy our ADSs. This prospectus contains information from a report dated August, 2017 entitled “China Online Marketing Market Independent Market Research” commissioned by us and prepared by Frost &amp; Sullivan, an independent market research firm, to provide information on the online marketing market in China.</w:t>
      </w:r>
    </w:p>
    <w:p>
      <w:pPr>
        <w:spacing w:after="0" w:line="28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left="200" w:right="200" w:firstLine="441"/>
        <w:spacing w:after="0" w:line="261" w:lineRule="auto"/>
        <w:rPr>
          <w:sz w:val="20"/>
          <w:szCs w:val="20"/>
          <w:color w:val="auto"/>
        </w:rPr>
      </w:pPr>
      <w:r>
        <w:rPr>
          <w:rFonts w:ascii="Times New Roman" w:cs="Times New Roman" w:eastAsia="Times New Roman" w:hAnsi="Times New Roman"/>
          <w:sz w:val="18"/>
          <w:szCs w:val="18"/>
          <w:color w:val="auto"/>
        </w:rPr>
        <w:t>We were the largest independent online marketing technology platform in China in terms of gross billing in 2016 according to Frost &amp; Sullivan. We had the largest Chinese consumer data set in terms of number of active profiled users in 2016 among independent online marketing technology companies in China; during 2016, we bridged the largest number of multinational companies to the China market among all independent online marketing technology platforms in China according to Frost &amp; Sullivan.</w:t>
      </w:r>
    </w:p>
    <w:p>
      <w:pPr>
        <w:spacing w:after="0" w:line="180" w:lineRule="exact"/>
        <w:rPr>
          <w:sz w:val="20"/>
          <w:szCs w:val="20"/>
          <w:color w:val="auto"/>
        </w:rPr>
      </w:pPr>
    </w:p>
    <w:p>
      <w:pPr>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We serve as an integrated cross-channel gateway that provides marketers with innovative and cost-effective ways to optimize their online marketing efforts throughout their marketing cycle and achieve their branding and performance-based marketing goals. Our integrated data-driven solutions help marketers identify, engage and activate potential customers, monitor and measure the results of marketing campaigns, and create content catering to potential customers across different content distribution channels through both PC and mobile devices.</w:t>
      </w:r>
    </w:p>
    <w:p>
      <w:pPr>
        <w:spacing w:after="0" w:line="180"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Our solutions are enabled and supported by our extensive data set, sophisticated data analytics capabilities and cutting-edge technologies. We collect data from a wide variety of channels, including through our proprietary tracking tools, from our marketers, publishers and ad exchanges when managing marketing campaigns, and to a lesser extent, from third-party strategic partners. From our large volume of unstructured data, we construct context-rich user profiles, utilizing our proprietary audience profiling and segmentation technologies. These user profiles, which are updated and refined on a continous basis, typically include information on a user’s attributes, such as his or her demographics, geographic location, device preference, spending history, personal interest and other online or offline behavioral pattern. In the 30 days leading up to April 15, 2017, we analyzed approximately 651.6 million active profiled users with 23 attributes on average for each such profile. Leveraging our sophisticated automation and deep learning technologies, we continually refine our big data analytics and update our user profiles to address the evolving needs of our customers, optimize the effectiveness of our solutions, and increase our operational efficiency while ensuring the stability of our data and platform as we scale up operations.</w:t>
      </w:r>
    </w:p>
    <w:p>
      <w:pPr>
        <w:spacing w:after="0" w:line="189" w:lineRule="exact"/>
        <w:rPr>
          <w:sz w:val="20"/>
          <w:szCs w:val="20"/>
          <w:color w:val="auto"/>
        </w:rPr>
      </w:pPr>
    </w:p>
    <w:p>
      <w:pPr>
        <w:ind w:left="200" w:right="160" w:firstLine="441"/>
        <w:spacing w:after="0" w:line="255" w:lineRule="auto"/>
        <w:rPr>
          <w:sz w:val="20"/>
          <w:szCs w:val="20"/>
          <w:color w:val="auto"/>
        </w:rPr>
      </w:pPr>
      <w:r>
        <w:rPr>
          <w:rFonts w:ascii="Times New Roman" w:cs="Times New Roman" w:eastAsia="Times New Roman" w:hAnsi="Times New Roman"/>
          <w:sz w:val="18"/>
          <w:szCs w:val="18"/>
          <w:color w:val="auto"/>
        </w:rPr>
        <w:t>Our platform appeals to marketers by offering omni-channel reach to the Chinese audience. We provide our customers one-stop access to a wide variety of cross-channel content distribution opportunities, including those from leading online publishers in China. We offer both mobile audience solutions and other solutions based on channels desired by our customers. Our mobile audience solutions are non-search engine marketing solutions designed to identify, engage and activate audience exclusively on mobile apps, and monitor and measure the results of online marketing activities on such channels. Our other solutions are primarily focused on identifying, engaging and activating audience on non-mobile app content distribution channels, such as PC banner displays, PC video advertisements and search engine marketing. In the 30 days leading up to April 15, 2017, we covered approximately 72,000 mobile apps and 2.3 million websites. We work closely with our content distribution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240" w:top="455" w:right="4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5878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5878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60"/>
        <w:spacing w:after="0" w:line="266" w:lineRule="auto"/>
        <w:rPr>
          <w:sz w:val="20"/>
          <w:szCs w:val="20"/>
          <w:color w:val="auto"/>
        </w:rPr>
      </w:pPr>
      <w:r>
        <w:rPr>
          <w:rFonts w:ascii="Times New Roman" w:cs="Times New Roman" w:eastAsia="Times New Roman" w:hAnsi="Times New Roman"/>
          <w:sz w:val="18"/>
          <w:szCs w:val="18"/>
          <w:color w:val="auto"/>
        </w:rPr>
        <w:t>partners to facilitate innovative and effective audience engagement. In 2016, our gross billing from mobile audience solutions and other solutions amounted to US$112.4 million and US$123.9 million, respectively. In the six months ended June 30, 2017, our gross billing from mobile audience solutions and other solutions amounted to US$63.0 million and US$40.4 million, respectively.</w:t>
      </w:r>
    </w:p>
    <w:p>
      <w:pPr>
        <w:spacing w:after="0" w:line="176" w:lineRule="exact"/>
        <w:rPr>
          <w:sz w:val="20"/>
          <w:szCs w:val="20"/>
          <w:color w:val="auto"/>
        </w:rPr>
      </w:pPr>
    </w:p>
    <w:p>
      <w:pPr>
        <w:ind w:left="200" w:right="260" w:firstLine="441"/>
        <w:spacing w:after="0" w:line="261" w:lineRule="auto"/>
        <w:rPr>
          <w:sz w:val="20"/>
          <w:szCs w:val="20"/>
          <w:color w:val="auto"/>
        </w:rPr>
      </w:pPr>
      <w:r>
        <w:rPr>
          <w:rFonts w:ascii="Times New Roman" w:cs="Times New Roman" w:eastAsia="Times New Roman" w:hAnsi="Times New Roman"/>
          <w:sz w:val="18"/>
          <w:szCs w:val="18"/>
          <w:color w:val="auto"/>
        </w:rPr>
        <w:t>We take a flexible approach to the delivery model of our solutions in order to cater to the preferences, levels of internal resources and sophistication of customers. Customers may choose to access our solutions through (i) a self-service model, under which they have the flexibility to utilize our solutions “a la carte” to complement their existing marketing resources, and (ii) a managed service model, where our account management team provides in-depth services that suit customers’ specified marketing objectives and budgets utilizing our solutions.</w:t>
      </w:r>
    </w:p>
    <w:p>
      <w:pPr>
        <w:spacing w:after="0" w:line="180" w:lineRule="exact"/>
        <w:rPr>
          <w:sz w:val="20"/>
          <w:szCs w:val="20"/>
          <w:color w:val="auto"/>
        </w:rPr>
      </w:pPr>
    </w:p>
    <w:p>
      <w:pPr>
        <w:ind w:left="200" w:right="100" w:firstLine="441"/>
        <w:spacing w:after="0" w:line="258" w:lineRule="auto"/>
        <w:rPr>
          <w:sz w:val="20"/>
          <w:szCs w:val="20"/>
          <w:color w:val="auto"/>
        </w:rPr>
      </w:pPr>
      <w:r>
        <w:rPr>
          <w:rFonts w:ascii="Times New Roman" w:cs="Times New Roman" w:eastAsia="Times New Roman" w:hAnsi="Times New Roman"/>
          <w:sz w:val="18"/>
          <w:szCs w:val="18"/>
          <w:color w:val="auto"/>
        </w:rPr>
        <w:t>The success of our solutions is evidenced by our strong, diverse and loyal customer base from a broad range of industry verticals, including banking and finance, entertainment and media, and E-commerce. Our customers include direct marketer customers and marketing agencies, and feature companies of different sizes, including more than 150 multinationals companies in 2016 and six months ended June 30, 2017, respectively, as well as small and medium-sized enterprises, and from different geographic regions in and outside China. We derived over 70% of our gross billing from direct marketer customers in 2015 and 2016 and over 60% of our gross billing from direct marketer customers in the six months ended June 30, 2017.</w:t>
      </w:r>
    </w:p>
    <w:p>
      <w:pPr>
        <w:spacing w:after="0" w:line="184" w:lineRule="exact"/>
        <w:rPr>
          <w:sz w:val="20"/>
          <w:szCs w:val="20"/>
          <w:color w:val="auto"/>
        </w:rPr>
      </w:pPr>
    </w:p>
    <w:p>
      <w:pPr>
        <w:ind w:left="200" w:right="80" w:firstLine="441"/>
        <w:spacing w:after="0" w:line="254" w:lineRule="auto"/>
        <w:rPr>
          <w:sz w:val="20"/>
          <w:szCs w:val="20"/>
          <w:color w:val="auto"/>
        </w:rPr>
      </w:pPr>
      <w:r>
        <w:rPr>
          <w:rFonts w:ascii="Times New Roman" w:cs="Times New Roman" w:eastAsia="Times New Roman" w:hAnsi="Times New Roman"/>
          <w:sz w:val="18"/>
          <w:szCs w:val="18"/>
          <w:color w:val="auto"/>
        </w:rPr>
        <w:t>We generate revenues primarily from customers’ marketing spend through our platform as they utilize our solutions, and to a lesser extent from incentives or rebates granted by certain publishers. Our gross billing grew by 32.5% from US$178.2 million in 2015 to US$236.3 million in 2016. Our gross billings decreased by 12.9% from US$118.7 million in the six months ended June 30, 2016 to US$103.4 million in the same period in 2017 due to a decrease in gross billing from other solutions as we terminated relationship with certain customers of other solutions in the first half of 2017 as part of our efforts to optimize the customer base for other solutions to focus on profitability and liquidity. Our net revenues grew by 46.2% from</w:t>
      </w:r>
    </w:p>
    <w:p>
      <w:pPr>
        <w:spacing w:after="0" w:line="3" w:lineRule="exact"/>
        <w:rPr>
          <w:sz w:val="20"/>
          <w:szCs w:val="20"/>
          <w:color w:val="auto"/>
        </w:rPr>
      </w:pPr>
    </w:p>
    <w:p>
      <w:pPr>
        <w:ind w:left="200" w:right="20"/>
        <w:spacing w:after="0" w:line="255" w:lineRule="auto"/>
        <w:rPr>
          <w:sz w:val="20"/>
          <w:szCs w:val="20"/>
          <w:color w:val="auto"/>
        </w:rPr>
      </w:pPr>
      <w:r>
        <w:rPr>
          <w:rFonts w:ascii="Times New Roman" w:cs="Times New Roman" w:eastAsia="Times New Roman" w:hAnsi="Times New Roman"/>
          <w:sz w:val="18"/>
          <w:szCs w:val="18"/>
          <w:color w:val="auto"/>
        </w:rPr>
        <w:t>US$65.2 million in 2015 to US$95.4 million in 2016 and by 23.1% from US$45.3 million in the six months ended June 30, 2016 to US$55.7 million in the same period in 2017. Our net loss amounted to US$39.7 million, US$27.3 million and US$22.2 million in 2015, 2016 and the six months ended June 30, 2017, respectively.</w:t>
      </w:r>
    </w:p>
    <w:p>
      <w:pPr>
        <w:spacing w:after="0" w:line="2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ind w:left="200" w:firstLine="441"/>
        <w:spacing w:after="0" w:line="255" w:lineRule="auto"/>
        <w:rPr>
          <w:sz w:val="20"/>
          <w:szCs w:val="20"/>
          <w:color w:val="auto"/>
        </w:rPr>
      </w:pPr>
      <w:r>
        <w:rPr>
          <w:rFonts w:ascii="Times New Roman" w:cs="Times New Roman" w:eastAsia="Times New Roman" w:hAnsi="Times New Roman"/>
          <w:sz w:val="18"/>
          <w:szCs w:val="18"/>
          <w:color w:val="auto"/>
        </w:rPr>
        <w:t>With an estimated growth of per capita disposable income of urban households at a compound annual growth rate, or CAGR, of 7.6% between 2016 and 2021, China represents one of the most important geographies for many marketers, and online marketing has become one of the most attractive options to those marketers in light of the increasing mobile and internet penetration in China, according to Frost &amp; Sullivan. Total online marketing spend in China grew from RMB152.6 billion in 2012 to RMB343.4 billion in 2016, representing a CAGR, of 22.5%, and is expected to reach RMB767.1 billion in 2021, representing a CAGR of 17.4% from 2016 to 2021. In 2016, online marketing spend accounted for approximately 37.2% of total marketing spend in China, surging from 21.9% in 2012. This percentage is expected to continue to increase in the coming years, reaching approximately 52.3% in 2020, when online marketing surpasses offline marketing as the primary segment in China’s marketing industry.</w:t>
      </w:r>
    </w:p>
    <w:p>
      <w:pPr>
        <w:spacing w:after="0" w:line="189" w:lineRule="exact"/>
        <w:rPr>
          <w:sz w:val="20"/>
          <w:szCs w:val="20"/>
          <w:color w:val="auto"/>
        </w:rPr>
      </w:pPr>
    </w:p>
    <w:p>
      <w:pPr>
        <w:ind w:left="200" w:right="40" w:firstLine="441"/>
        <w:spacing w:after="0" w:line="256" w:lineRule="auto"/>
        <w:rPr>
          <w:sz w:val="20"/>
          <w:szCs w:val="20"/>
          <w:color w:val="auto"/>
        </w:rPr>
      </w:pPr>
      <w:r>
        <w:rPr>
          <w:rFonts w:ascii="Times New Roman" w:cs="Times New Roman" w:eastAsia="Times New Roman" w:hAnsi="Times New Roman"/>
          <w:sz w:val="18"/>
          <w:szCs w:val="18"/>
          <w:color w:val="auto"/>
        </w:rPr>
        <w:t>Technologies enable marketers to optimize marketing resources and to create and deliver tailored marketing content to a wide range of audience effectively and efficiently, and provide instrumental data insights and feedbacks on audience engagement. The total size of China’s online marketing technology market, as measured by gross billing, was RMB129.1 billion in 2016, growing from RMB53.7 billion 2012, representing a CAGR of 24.5%, and is expected to further increase to RMB302.3 billion in 2021, representing a CAGR of 18.5% from 2016 to 2021. China’s online marketing technology market is expected to grow faster than the market in the United States. Compared to more mature online marketing technology markets, marketers in China typically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240" w:top="455" w:right="4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55784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55784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00"/>
        <w:spacing w:after="0" w:line="282" w:lineRule="auto"/>
        <w:rPr>
          <w:sz w:val="20"/>
          <w:szCs w:val="20"/>
          <w:color w:val="auto"/>
        </w:rPr>
      </w:pPr>
      <w:r>
        <w:rPr>
          <w:rFonts w:ascii="Times New Roman" w:cs="Times New Roman" w:eastAsia="Times New Roman" w:hAnsi="Times New Roman"/>
          <w:sz w:val="18"/>
          <w:szCs w:val="18"/>
          <w:color w:val="auto"/>
        </w:rPr>
        <w:t>have smaller marketing departments, thereby creating opportunities for independent online marketing technology companies like us to provide value added service.</w:t>
      </w:r>
    </w:p>
    <w:p>
      <w:pPr>
        <w:spacing w:after="0" w:line="162" w:lineRule="exact"/>
        <w:rPr>
          <w:sz w:val="20"/>
          <w:szCs w:val="20"/>
          <w:color w:val="auto"/>
        </w:rPr>
      </w:pPr>
    </w:p>
    <w:p>
      <w:pPr>
        <w:ind w:left="200" w:right="180" w:firstLine="441"/>
        <w:spacing w:after="0" w:line="258" w:lineRule="auto"/>
        <w:rPr>
          <w:sz w:val="20"/>
          <w:szCs w:val="20"/>
          <w:color w:val="auto"/>
        </w:rPr>
      </w:pPr>
      <w:r>
        <w:rPr>
          <w:rFonts w:ascii="Times New Roman" w:cs="Times New Roman" w:eastAsia="Times New Roman" w:hAnsi="Times New Roman"/>
          <w:sz w:val="18"/>
          <w:szCs w:val="18"/>
          <w:color w:val="auto"/>
        </w:rPr>
        <w:t>Independent online marketing technology companies, which are online marketing technology companies that do not own, or are not part of any group which owns, any online publishing resources, generally have access to more diverse sources of data and wider range of content distribution opportunities and are perceived to have the ability to provide more neutral and unbiased value proposition to marketers. The total size of China’s independent online marketing technology market, as measured by gross billing, was RMB29.6 billion in 2016, growing from RMB8.4 billion in 2012, representing a CAGR of 37.2%, and is expected to reach RMB114.6 billion in 2021, representing a CAGR of 31.1% from 2016 to 2021.</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believe that the following competitive strengths have contributed to our success and differentiated us from our competitors:</w:t>
      </w:r>
    </w:p>
    <w:p>
      <w:pPr>
        <w:spacing w:after="0" w:line="127" w:lineRule="exact"/>
        <w:rPr>
          <w:sz w:val="20"/>
          <w:szCs w:val="20"/>
          <w:color w:val="auto"/>
        </w:rPr>
      </w:pPr>
    </w:p>
    <w:p>
      <w:pPr>
        <w:ind w:left="1060" w:right="80" w:hanging="323"/>
        <w:spacing w:after="0" w:line="259" w:lineRule="auto"/>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Leading independent online marketing technology platform in China with a highly scalable and flexible business model. </w:t>
      </w:r>
      <w:r>
        <w:rPr>
          <w:rFonts w:ascii="Times New Roman" w:cs="Times New Roman" w:eastAsia="Times New Roman" w:hAnsi="Times New Roman"/>
          <w:sz w:val="18"/>
          <w:szCs w:val="18"/>
          <w:color w:val="auto"/>
        </w:rPr>
        <w:t>We were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largest independent online marketing technology platform in China in terms of gross billing in 2016, according to Frost &amp; Sullivan. Our gross billing reached US$236.3 million and US$103.4 million in 2016 and the six months ended June 30, 2017, leading to net revenues of US$95.4 million and US$55.7 million during these periods. We are also one of the first independent online marketing technology platforms in China to apply a data-driven approach to address marketers’ needs.</w:t>
      </w:r>
    </w:p>
    <w:p>
      <w:pPr>
        <w:spacing w:after="0" w:line="85" w:lineRule="exact"/>
        <w:rPr>
          <w:rFonts w:ascii="Times New Roman" w:cs="Times New Roman" w:eastAsia="Times New Roman" w:hAnsi="Times New Roman"/>
          <w:sz w:val="18"/>
          <w:szCs w:val="18"/>
          <w:color w:val="auto"/>
        </w:rPr>
      </w:pPr>
    </w:p>
    <w:p>
      <w:pPr>
        <w:jc w:val="both"/>
        <w:ind w:left="1060" w:right="140" w:hanging="323"/>
        <w:spacing w:after="0" w:line="262" w:lineRule="auto"/>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Largest independent Chinese consumer data set with omni-channel, targeted audience reach. </w:t>
      </w:r>
      <w:r>
        <w:rPr>
          <w:rFonts w:ascii="Times New Roman" w:cs="Times New Roman" w:eastAsia="Times New Roman" w:hAnsi="Times New Roman"/>
          <w:sz w:val="18"/>
          <w:szCs w:val="18"/>
          <w:color w:val="auto"/>
        </w:rPr>
        <w:t>We had the largest Chinese consumer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set in terms of number of active profiled users in 2016 among independent online marketing technology companies in China, according to Frost &amp; Sullivan. In the 30 days leading up to April 15, 2017, we analyzed data of approximately 651.6 million active profiled users. The average daily volume of the data we collected reached 1.2 terabytes in the 30 days leading up to April 15, 2017.</w:t>
      </w:r>
    </w:p>
    <w:p>
      <w:pPr>
        <w:spacing w:after="0" w:line="82" w:lineRule="exact"/>
        <w:rPr>
          <w:rFonts w:ascii="Times New Roman" w:cs="Times New Roman" w:eastAsia="Times New Roman" w:hAnsi="Times New Roman"/>
          <w:sz w:val="18"/>
          <w:szCs w:val="18"/>
          <w:color w:val="auto"/>
        </w:rPr>
      </w:pPr>
    </w:p>
    <w:p>
      <w:pPr>
        <w:ind w:left="1060" w:right="20" w:hanging="323"/>
        <w:spacing w:after="0" w:line="259" w:lineRule="auto"/>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Highly sophisticated and automated platform powered by proprietary, cutting-edge technologies. </w:t>
      </w:r>
      <w:r>
        <w:rPr>
          <w:rFonts w:ascii="Times New Roman" w:cs="Times New Roman" w:eastAsia="Times New Roman" w:hAnsi="Times New Roman"/>
          <w:sz w:val="18"/>
          <w:szCs w:val="18"/>
          <w:color w:val="auto"/>
        </w:rPr>
        <w:t>Our automated online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is powered by cutting-edge and proprietary technologies. Our refined big data analytics enable us to offer more effective marketing solutions, and increase our operational efficiency while ensuring the stability of our data and platform. Our marketing platform is built on highly scalable and reliable cloud-based infrastructure. This allows us to harness large quantities of real-time data and ensures high speed performance at a larger scale to accommodate more customers and increased complexity of their online marketing campaigns.</w:t>
      </w:r>
    </w:p>
    <w:p>
      <w:pPr>
        <w:spacing w:after="0" w:line="85" w:lineRule="exact"/>
        <w:rPr>
          <w:rFonts w:ascii="Times New Roman" w:cs="Times New Roman" w:eastAsia="Times New Roman" w:hAnsi="Times New Roman"/>
          <w:sz w:val="18"/>
          <w:szCs w:val="18"/>
          <w:color w:val="auto"/>
        </w:rPr>
      </w:pPr>
    </w:p>
    <w:p>
      <w:pPr>
        <w:ind w:left="1060" w:hanging="323"/>
        <w:spacing w:after="0" w:line="257" w:lineRule="auto"/>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Strong, diverse and loyal customer base. </w:t>
      </w:r>
      <w:r>
        <w:rPr>
          <w:rFonts w:ascii="Times New Roman" w:cs="Times New Roman" w:eastAsia="Times New Roman" w:hAnsi="Times New Roman"/>
          <w:sz w:val="18"/>
          <w:szCs w:val="18"/>
          <w:color w:val="auto"/>
        </w:rPr>
        <w:t>We have a strong and diverse customer base from a broad range of industry verticals,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banking and finance, entertainment and media, and E-commerce. Our customers included over 150 multinational companies in 2016 and the six months ended June 30, 2017, respectively, making us the No.1 independent online marketing technology platform bridging the largest number of multinational companies to the Chinese market, according to Frost &amp; Sullivan. Our diverse customer base also includes small and medium-sized enterprises. We provide tailored and user-friendly solutions to cater to customers and marketers of different levels of sophistication and from different industry verticals.</w:t>
      </w:r>
    </w:p>
    <w:p>
      <w:pPr>
        <w:spacing w:after="0" w:line="88" w:lineRule="exact"/>
        <w:rPr>
          <w:rFonts w:ascii="Times New Roman" w:cs="Times New Roman" w:eastAsia="Times New Roman" w:hAnsi="Times New Roman"/>
          <w:sz w:val="18"/>
          <w:szCs w:val="18"/>
          <w:color w:val="auto"/>
        </w:rPr>
      </w:pPr>
    </w:p>
    <w:p>
      <w:pPr>
        <w:ind w:left="1060" w:right="160" w:hanging="323"/>
        <w:spacing w:after="0" w:line="268" w:lineRule="auto"/>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Deep knowledge and familiarity with China’s online marketing industry. </w:t>
      </w:r>
      <w:r>
        <w:rPr>
          <w:rFonts w:ascii="Times New Roman" w:cs="Times New Roman" w:eastAsia="Times New Roman" w:hAnsi="Times New Roman"/>
          <w:sz w:val="18"/>
          <w:szCs w:val="18"/>
          <w:color w:val="auto"/>
        </w:rPr>
        <w:t>We provide marketers with one-stop access to a wide variety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cross-channel audience engagement opportunities in China. We are one of the first independent online marketing technology platforms in China to apply a data-driven approach to address marketers’ needs in China, and we have fostered in-depth knowledge of, and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240" w:top="455" w:right="4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635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635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spacing w:after="0" w:line="266" w:lineRule="auto"/>
        <w:rPr>
          <w:sz w:val="20"/>
          <w:szCs w:val="20"/>
          <w:color w:val="auto"/>
        </w:rPr>
      </w:pPr>
      <w:r>
        <w:rPr>
          <w:rFonts w:ascii="Times New Roman" w:cs="Times New Roman" w:eastAsia="Times New Roman" w:hAnsi="Times New Roman"/>
          <w:sz w:val="18"/>
          <w:szCs w:val="18"/>
          <w:color w:val="auto"/>
        </w:rPr>
        <w:t>cooperation with leading online channels covering approximately 72,000 mobile apps and 2.3 million websites in the 30 days leading up to April 15, 2017, to help marketers, especially multinational marketers, navigate through the fragmented landscapes to identify and reach their potential customers.</w:t>
      </w:r>
    </w:p>
    <w:p>
      <w:pPr>
        <w:spacing w:after="0" w:line="78" w:lineRule="exact"/>
        <w:rPr>
          <w:sz w:val="20"/>
          <w:szCs w:val="20"/>
          <w:color w:val="auto"/>
        </w:rPr>
      </w:pPr>
    </w:p>
    <w:p>
      <w:pPr>
        <w:ind w:left="1060" w:hanging="323"/>
        <w:spacing w:after="0" w:line="259"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Visionary leadership with proven track record of organic growth and acquisition execution. </w:t>
      </w:r>
      <w:r>
        <w:rPr>
          <w:rFonts w:ascii="Times New Roman" w:cs="Times New Roman" w:eastAsia="Times New Roman" w:hAnsi="Times New Roman"/>
          <w:sz w:val="18"/>
          <w:szCs w:val="18"/>
          <w:color w:val="auto"/>
        </w:rPr>
        <w:t>Our success is attributable to the deep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experience and proven execution track record of our senior management team, with global perspectives and insightful knowledge in both technology and the online marketing industry. Our management team’s experience in multinational companies and roots in China enables us to expand our network and reach in the fragmented and complex Chinese online marketing market as well as develop in-depth understanding of the needs of multinational companies.</w:t>
      </w:r>
    </w:p>
    <w:p>
      <w:pPr>
        <w:spacing w:after="0" w:line="28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intend to enhance our competitive strengths and pursue the following strategies to expand our business:</w:t>
      </w:r>
    </w:p>
    <w:p>
      <w:pPr>
        <w:spacing w:after="0" w:line="127" w:lineRule="exact"/>
        <w:rPr>
          <w:sz w:val="20"/>
          <w:szCs w:val="20"/>
          <w:color w:val="auto"/>
        </w:rPr>
      </w:pPr>
    </w:p>
    <w:p>
      <w:pPr>
        <w:jc w:val="both"/>
        <w:ind w:left="1060" w:right="80" w:hanging="323"/>
        <w:spacing w:after="0" w:line="268"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Optimize and diversify our customer base. </w:t>
      </w:r>
      <w:r>
        <w:rPr>
          <w:rFonts w:ascii="Times New Roman" w:cs="Times New Roman" w:eastAsia="Times New Roman" w:hAnsi="Times New Roman"/>
          <w:sz w:val="18"/>
          <w:szCs w:val="18"/>
          <w:color w:val="auto"/>
        </w:rPr>
        <w:t>We plan to continue to optimize and diversify our customer base, including attracting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our self-service model and mobile audience solutions, and customers from additional industry verticals and geographic markets, through developing and offering more tailored and user-friendly solutions and services and targeted sales and marketing efforts.</w:t>
      </w:r>
    </w:p>
    <w:p>
      <w:pPr>
        <w:spacing w:after="0" w:line="76" w:lineRule="exact"/>
        <w:rPr>
          <w:rFonts w:ascii="Times New Roman" w:cs="Times New Roman" w:eastAsia="Times New Roman" w:hAnsi="Times New Roman"/>
          <w:sz w:val="18"/>
          <w:szCs w:val="18"/>
          <w:color w:val="auto"/>
        </w:rPr>
      </w:pPr>
    </w:p>
    <w:p>
      <w:pPr>
        <w:ind w:left="1060" w:right="100" w:hanging="323"/>
        <w:spacing w:after="0" w:line="259"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Increase customer marketing spend on our platform. </w:t>
      </w:r>
      <w:r>
        <w:rPr>
          <w:rFonts w:ascii="Times New Roman" w:cs="Times New Roman" w:eastAsia="Times New Roman" w:hAnsi="Times New Roman"/>
          <w:sz w:val="18"/>
          <w:szCs w:val="18"/>
          <w:color w:val="auto"/>
        </w:rPr>
        <w:t>We intend to offer new features and enhanced functionalities on our platform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more effective and comprehensive solutions, especially mobile audience solutions. In addition, we are working on new partnership initiatives, which would make third-party applications available to our customers through our platform directly, further enhancing customer experience and hence increasing the stickiness of our platform. We also intend to explore innovative audience engagement formats across multiple channels, in particular on mobile apps.</w:t>
      </w:r>
    </w:p>
    <w:p>
      <w:pPr>
        <w:spacing w:after="0" w:line="85" w:lineRule="exact"/>
        <w:rPr>
          <w:rFonts w:ascii="Times New Roman" w:cs="Times New Roman" w:eastAsia="Times New Roman" w:hAnsi="Times New Roman"/>
          <w:sz w:val="18"/>
          <w:szCs w:val="18"/>
          <w:color w:val="auto"/>
        </w:rPr>
      </w:pPr>
    </w:p>
    <w:p>
      <w:pPr>
        <w:ind w:left="1060" w:hanging="323"/>
        <w:spacing w:after="0" w:line="259"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enlarge audience data set, strengthen data analytics capabilities and innovate technologies. </w:t>
      </w:r>
      <w:r>
        <w:rPr>
          <w:rFonts w:ascii="Times New Roman" w:cs="Times New Roman" w:eastAsia="Times New Roman" w:hAnsi="Times New Roman"/>
          <w:sz w:val="18"/>
          <w:szCs w:val="18"/>
          <w:color w:val="auto"/>
        </w:rPr>
        <w:t>We will continue to collaborate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our customers, publishers and other third-party partners to increase the dimensions and varieties of our data assets. We also plan to continue investing in data science technologies, including refreshing and upgrading data modeling and segmentation technologies to meet customer demands in different market segments and industry verticals. In addition, we plan to upgrade our technical infrastructure to support our growing data set and data analytics capabilities as we continue to expand.</w:t>
      </w:r>
    </w:p>
    <w:p>
      <w:pPr>
        <w:spacing w:after="0" w:line="85" w:lineRule="exact"/>
        <w:rPr>
          <w:rFonts w:ascii="Times New Roman" w:cs="Times New Roman" w:eastAsia="Times New Roman" w:hAnsi="Times New Roman"/>
          <w:sz w:val="18"/>
          <w:szCs w:val="18"/>
          <w:color w:val="auto"/>
        </w:rPr>
      </w:pPr>
    </w:p>
    <w:p>
      <w:pPr>
        <w:jc w:val="both"/>
        <w:ind w:left="1060" w:right="180" w:hanging="323"/>
        <w:spacing w:after="0" w:line="262"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Extend data application across more aspects in online marketing and beyond. </w:t>
      </w:r>
      <w:r>
        <w:rPr>
          <w:rFonts w:ascii="Times New Roman" w:cs="Times New Roman" w:eastAsia="Times New Roman" w:hAnsi="Times New Roman"/>
          <w:sz w:val="18"/>
          <w:szCs w:val="18"/>
          <w:color w:val="auto"/>
        </w:rPr>
        <w:t>We intend to broaden our solution offerings across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aspects in online marketing, including content creation and customer relationship management. We also plan to explore the application of our data in areas beyond online marketing. For example, we are in preliminary discussions with insurance companies to collaborate on the development of data models to be used in credit scoring algorithms and risk pricing rules.</w:t>
      </w:r>
    </w:p>
    <w:p>
      <w:pPr>
        <w:spacing w:after="0" w:line="82" w:lineRule="exact"/>
        <w:rPr>
          <w:rFonts w:ascii="Times New Roman" w:cs="Times New Roman" w:eastAsia="Times New Roman" w:hAnsi="Times New Roman"/>
          <w:sz w:val="18"/>
          <w:szCs w:val="18"/>
          <w:color w:val="auto"/>
        </w:rPr>
      </w:pPr>
    </w:p>
    <w:p>
      <w:pPr>
        <w:jc w:val="both"/>
        <w:ind w:left="1060" w:hanging="323"/>
        <w:spacing w:after="0" w:line="268" w:lineRule="auto"/>
        <w:tabs>
          <w:tab w:leader="none" w:pos="10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Explore strategic alliance and acquisition opportunities. </w:t>
      </w:r>
      <w:r>
        <w:rPr>
          <w:rFonts w:ascii="Times New Roman" w:cs="Times New Roman" w:eastAsia="Times New Roman" w:hAnsi="Times New Roman"/>
          <w:sz w:val="18"/>
          <w:szCs w:val="18"/>
          <w:color w:val="auto"/>
        </w:rPr>
        <w:t>We plan to continue to explore investment, acquisition and business collaboration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opportunities and will consider opportunities that complement or enhance our existing operations and are strategically beneficial to our long-term goals.</w:t>
      </w: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Our Challenges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ability to execute our strategies is subject to risks and uncertainties, including those relating to our ability to:</w:t>
      </w:r>
    </w:p>
    <w:p>
      <w:pPr>
        <w:spacing w:after="0" w:line="131" w:lineRule="exact"/>
        <w:rPr>
          <w:sz w:val="20"/>
          <w:szCs w:val="20"/>
          <w:color w:val="auto"/>
        </w:rPr>
      </w:pPr>
    </w:p>
    <w:p>
      <w:pPr>
        <w:ind w:left="1060" w:hanging="323"/>
        <w:spacing w:after="0"/>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existing customers;</w:t>
      </w:r>
    </w:p>
    <w:p>
      <w:pPr>
        <w:spacing w:after="0" w:line="130" w:lineRule="exact"/>
        <w:rPr>
          <w:rFonts w:ascii="Times New Roman" w:cs="Times New Roman" w:eastAsia="Times New Roman" w:hAnsi="Times New Roman"/>
          <w:sz w:val="18"/>
          <w:szCs w:val="18"/>
          <w:color w:val="auto"/>
        </w:rPr>
      </w:pPr>
    </w:p>
    <w:p>
      <w:pPr>
        <w:ind w:left="1060" w:right="480" w:hanging="323"/>
        <w:spacing w:after="0" w:line="282" w:lineRule="auto"/>
        <w:tabs>
          <w:tab w:leader="none" w:pos="10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 and further diversify our customer base, including more customers to use our solutions on a self-serve basis and marketers from new industries and geographic regions;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00"/>
          </w:cols>
          <w:pgMar w:left="240" w:top="455" w:right="4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61956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61956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120" w:hanging="323"/>
        <w:spacing w:after="0" w:line="282"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breadth and depth of our cooperation with content distribution channels, including publishers, ad exchanges, and ad networks, and attract new ones in order to increase the volume and breadth of content distribution opportunities available to us;</w:t>
      </w:r>
    </w:p>
    <w:p>
      <w:pPr>
        <w:spacing w:after="0" w:line="67" w:lineRule="exact"/>
        <w:rPr>
          <w:rFonts w:ascii="Times New Roman" w:cs="Times New Roman" w:eastAsia="Times New Roman" w:hAnsi="Times New Roman"/>
          <w:sz w:val="18"/>
          <w:szCs w:val="18"/>
          <w:color w:val="auto"/>
        </w:rPr>
      </w:pPr>
    </w:p>
    <w:p>
      <w:pPr>
        <w:ind w:left="1060" w:right="500" w:hanging="323"/>
        <w:spacing w:after="0" w:line="282"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solutions and service offerings to meet evolving business needs, including to address market trends such as the migration of consumers from PCs to mobile devices;</w:t>
      </w:r>
    </w:p>
    <w:p>
      <w:pPr>
        <w:spacing w:after="0" w:line="6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proper functioning of our technology architecture as we scale up;</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grow our data assets in order to help marketers identify, engage and convert their audience;</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high level of customer satisfaction;</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to a changing regulatory landscape governing privacy matters;</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businesses, products and technologies and to integrate these acquisitions;</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among marketers on a global basis in a cost-effective manner; and</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employees.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addition, we face risks and uncertainties related to our corporate structure and regulatory environment in China, including:</w:t>
      </w:r>
    </w:p>
    <w:p>
      <w:pPr>
        <w:spacing w:after="0" w:line="131" w:lineRule="exact"/>
        <w:rPr>
          <w:sz w:val="20"/>
          <w:szCs w:val="20"/>
          <w:color w:val="auto"/>
        </w:rPr>
      </w:pPr>
    </w:p>
    <w:p>
      <w:pPr>
        <w:ind w:left="1060" w:hanging="323"/>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rely on the contractual arrangements that establish the structure for certain of our operations in China;</w:t>
      </w:r>
    </w:p>
    <w:p>
      <w:pPr>
        <w:spacing w:after="0" w:line="130" w:lineRule="exact"/>
        <w:rPr>
          <w:rFonts w:ascii="Times New Roman" w:cs="Times New Roman" w:eastAsia="Times New Roman" w:hAnsi="Times New Roman"/>
          <w:sz w:val="18"/>
          <w:szCs w:val="18"/>
          <w:color w:val="auto"/>
        </w:rPr>
      </w:pPr>
    </w:p>
    <w:p>
      <w:pPr>
        <w:ind w:left="1060" w:right="120" w:hanging="323"/>
        <w:spacing w:after="0" w:line="282"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contractual arrangements with our variable interest entity and its shareholders for certain of our business operations, which may not be as effective as direct ownership in providing operational control;</w:t>
      </w:r>
    </w:p>
    <w:p>
      <w:pPr>
        <w:spacing w:after="0" w:line="67" w:lineRule="exact"/>
        <w:rPr>
          <w:rFonts w:ascii="Times New Roman" w:cs="Times New Roman" w:eastAsia="Times New Roman" w:hAnsi="Times New Roman"/>
          <w:sz w:val="18"/>
          <w:szCs w:val="18"/>
          <w:color w:val="auto"/>
        </w:rPr>
      </w:pPr>
    </w:p>
    <w:p>
      <w:pPr>
        <w:ind w:left="1060" w:right="380" w:hanging="323"/>
        <w:spacing w:after="0" w:line="282"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our variable interest entity or its shareholders to perform their obligations under our contractual arrangements with them would have a material adverse effect on our business;</w:t>
      </w:r>
    </w:p>
    <w:p>
      <w:pPr>
        <w:spacing w:after="0" w:line="6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the interpretation and enforcement of PRC laws and regulations could limit the legal protections available to us; and</w:t>
      </w:r>
    </w:p>
    <w:p>
      <w:pPr>
        <w:spacing w:after="0" w:line="130" w:lineRule="exact"/>
        <w:rPr>
          <w:rFonts w:ascii="Times New Roman" w:cs="Times New Roman" w:eastAsia="Times New Roman" w:hAnsi="Times New Roman"/>
          <w:sz w:val="18"/>
          <w:szCs w:val="18"/>
          <w:color w:val="auto"/>
        </w:rPr>
      </w:pPr>
    </w:p>
    <w:p>
      <w:pPr>
        <w:ind w:left="1060" w:right="60" w:hanging="323"/>
        <w:spacing w:after="0" w:line="282" w:lineRule="auto"/>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adverse effect on our business and results of operations.</w:t>
      </w:r>
    </w:p>
    <w:p>
      <w:pPr>
        <w:spacing w:after="0" w:line="162" w:lineRule="exact"/>
        <w:rPr>
          <w:sz w:val="20"/>
          <w:szCs w:val="20"/>
          <w:color w:val="auto"/>
        </w:rPr>
      </w:pPr>
    </w:p>
    <w:p>
      <w:pPr>
        <w:ind w:left="200" w:right="520" w:firstLine="441"/>
        <w:spacing w:after="0" w:line="282" w:lineRule="auto"/>
        <w:rPr>
          <w:sz w:val="20"/>
          <w:szCs w:val="20"/>
          <w:color w:val="auto"/>
        </w:rPr>
      </w:pPr>
      <w:r>
        <w:rPr>
          <w:rFonts w:ascii="Times New Roman" w:cs="Times New Roman" w:eastAsia="Times New Roman" w:hAnsi="Times New Roman"/>
          <w:sz w:val="18"/>
          <w:szCs w:val="18"/>
          <w:color w:val="auto"/>
        </w:rPr>
        <w:t>Please see “Risk Factors” and other information included in this prospectus for a detailed discussion of these challenges and other risks and uncertainties that we face.</w:t>
      </w:r>
    </w:p>
    <w:p>
      <w:pPr>
        <w:spacing w:after="0" w:line="26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History and Corporate Structure</w:t>
      </w:r>
    </w:p>
    <w:p>
      <w:pPr>
        <w:spacing w:after="0" w:line="121"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We commenced our online marketing business in 2009. In February 2010, we restructured our holding structure by incorporating Optimix Media Asia Limited in the Cayman Islands as the holding company of Optimix Media Asia Limited, or Optimix HK, to facilitate financing and offshore listing. In March 2017, we changed our name from Optimix Media Asia Limited to iClick Interactive Asia Group Limited.</w:t>
      </w:r>
    </w:p>
    <w:p>
      <w:pPr>
        <w:spacing w:after="0" w:line="176" w:lineRule="exact"/>
        <w:rPr>
          <w:sz w:val="20"/>
          <w:szCs w:val="20"/>
          <w:color w:val="auto"/>
        </w:rPr>
      </w:pPr>
    </w:p>
    <w:p>
      <w:pPr>
        <w:ind w:left="200" w:right="40" w:firstLine="441"/>
        <w:spacing w:after="0" w:line="281" w:lineRule="auto"/>
        <w:rPr>
          <w:sz w:val="20"/>
          <w:szCs w:val="20"/>
          <w:color w:val="auto"/>
        </w:rPr>
      </w:pPr>
      <w:r>
        <w:rPr>
          <w:rFonts w:ascii="Times New Roman" w:cs="Times New Roman" w:eastAsia="Times New Roman" w:hAnsi="Times New Roman"/>
          <w:sz w:val="17"/>
          <w:szCs w:val="17"/>
          <w:color w:val="auto"/>
        </w:rPr>
        <w:t>In July 2015, we substantially expanded our online marketing business into mobile channels by acquiring all shares in OptAim Ltd., or OptAim, which operates in China through OptAim (Beijing) Information Technology Co., Ltd., or OptAim Beijing, its wholly owned subsidiary. OptAim Beijing has entered into a set of contractual arrangements with Beijing OptAim Network Technology Co., Ltd., or OptAim Network, OptAim Network’s nominee shareholders and Zhiyunzhong (Shanghai) Technology Co., Ltd., or Zhiyunzhong, the wholly owned Chinese subsidiary of OptAim Network.</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240" w:top="455" w:right="4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7190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71907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540" w:firstLine="441"/>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organizational structure, including our subsidiaries, our variable interest entity, or VIE, and the VIE’s subsidiary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0" w:right="400" w:hanging="324"/>
        <w:spacing w:after="0" w:line="262" w:lineRule="auto"/>
        <w:tabs>
          <w:tab w:leader="none" w:pos="5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nominee shareholders of OptAim Network are Jie Jiao and Jian Tang, who hold 51% and 49% equity interests in OptAim Network, respectively. Jie Jiao is our chief financial officer, and Jian Tang is our co-founder, director, chief operating officer and chief technology officer.</w:t>
      </w:r>
    </w:p>
    <w:p>
      <w:pPr>
        <w:spacing w:after="0" w:line="166" w:lineRule="exact"/>
        <w:rPr>
          <w:sz w:val="20"/>
          <w:szCs w:val="20"/>
          <w:color w:val="auto"/>
        </w:rPr>
      </w:pPr>
    </w:p>
    <w:p>
      <w:pPr>
        <w:ind w:left="200" w:firstLine="441"/>
        <w:spacing w:after="0" w:line="266" w:lineRule="auto"/>
        <w:rPr>
          <w:sz w:val="20"/>
          <w:szCs w:val="20"/>
          <w:color w:val="auto"/>
        </w:rPr>
      </w:pPr>
      <w:r>
        <w:rPr>
          <w:rFonts w:ascii="Times New Roman" w:cs="Times New Roman" w:eastAsia="Times New Roman" w:hAnsi="Times New Roman"/>
          <w:sz w:val="18"/>
          <w:szCs w:val="18"/>
          <w:color w:val="auto"/>
        </w:rPr>
        <w:t>Foreign ownership in advertising companies used to be subject to certain restrictions under the PRC laws and regulations. To comply with the then-effective PRC laws and regulations, OptAim Beijing entered into a set of contractual arrangements with OptAim Network and its shareholders. The contractual arrangements between OptAim Beijing, OptAim Network and the shareholders of OptAim Network allow us to:</w:t>
      </w:r>
    </w:p>
    <w:p>
      <w:pPr>
        <w:spacing w:after="0" w:line="82" w:lineRule="exact"/>
        <w:rPr>
          <w:sz w:val="20"/>
          <w:szCs w:val="20"/>
          <w:color w:val="auto"/>
        </w:rPr>
      </w:pPr>
    </w:p>
    <w:p>
      <w:pPr>
        <w:ind w:left="1060" w:hanging="323"/>
        <w:spacing w:after="0"/>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effective control over OptAim Network and Zhiyunzhong;</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5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240" w:top="455" w:right="45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58185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58185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323"/>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of OptAim Network and Zhiyunzhong; and</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exclusive option to purchase all or part of the equity interests and assets in OptAim Network.</w:t>
      </w:r>
    </w:p>
    <w:p>
      <w:pPr>
        <w:spacing w:after="0" w:line="225" w:lineRule="exact"/>
        <w:rPr>
          <w:sz w:val="20"/>
          <w:szCs w:val="20"/>
          <w:color w:val="auto"/>
        </w:rPr>
      </w:pPr>
    </w:p>
    <w:p>
      <w:pPr>
        <w:ind w:left="200" w:right="200" w:firstLine="441"/>
        <w:spacing w:after="0" w:line="261" w:lineRule="auto"/>
        <w:rPr>
          <w:sz w:val="20"/>
          <w:szCs w:val="20"/>
          <w:color w:val="auto"/>
        </w:rPr>
      </w:pPr>
      <w:r>
        <w:rPr>
          <w:rFonts w:ascii="Times New Roman" w:cs="Times New Roman" w:eastAsia="Times New Roman" w:hAnsi="Times New Roman"/>
          <w:sz w:val="18"/>
          <w:szCs w:val="18"/>
          <w:color w:val="auto"/>
        </w:rPr>
        <w:t>As a result of these contractual arrangements, we have effective control over, and are the primary beneficiary of, OptAim Network and therefore treat OptAim Network and its subsidiary as our consolidated affiliated entities under U.S. GAAP and have consolidated their financial results in our consolidated financial statements in accordance with U.S. GAAP. For a description of these contractual arrangements, see “Our History and Corporate Structure.”</w:t>
      </w:r>
    </w:p>
    <w:p>
      <w:pPr>
        <w:spacing w:after="0" w:line="180" w:lineRule="exact"/>
        <w:rPr>
          <w:sz w:val="20"/>
          <w:szCs w:val="20"/>
          <w:color w:val="auto"/>
        </w:rPr>
      </w:pPr>
    </w:p>
    <w:p>
      <w:pPr>
        <w:ind w:left="200" w:right="140" w:firstLine="441"/>
        <w:spacing w:after="0" w:line="261" w:lineRule="auto"/>
        <w:rPr>
          <w:sz w:val="20"/>
          <w:szCs w:val="20"/>
          <w:color w:val="auto"/>
        </w:rPr>
      </w:pPr>
      <w:r>
        <w:rPr>
          <w:rFonts w:ascii="Times New Roman" w:cs="Times New Roman" w:eastAsia="Times New Roman" w:hAnsi="Times New Roman"/>
          <w:sz w:val="18"/>
          <w:szCs w:val="18"/>
          <w:color w:val="auto"/>
        </w:rPr>
        <w:t>The laws and regulations that imposed restrictions on foreign ownership in advertising companies, including the Administrative Provisions on Foreign-Invested Advertising Enterprises were abolished in June 2015. We are in the process of transferring the business operated by our VIE, OptAim Network, to our wholly owned subsidiaries. We expect that by the end of 2018, OptAim Beijing will replace OptAim Network as contracting party for all our mobile audience solution business that are operated by OptAim.</w:t>
      </w:r>
    </w:p>
    <w:p>
      <w:pPr>
        <w:spacing w:after="0" w:line="180" w:lineRule="exact"/>
        <w:rPr>
          <w:sz w:val="20"/>
          <w:szCs w:val="20"/>
          <w:color w:val="auto"/>
        </w:rPr>
      </w:pPr>
    </w:p>
    <w:p>
      <w:pPr>
        <w:ind w:left="200" w:right="20" w:firstLine="441"/>
        <w:spacing w:after="0" w:line="252" w:lineRule="auto"/>
        <w:rPr>
          <w:sz w:val="20"/>
          <w:szCs w:val="20"/>
          <w:color w:val="auto"/>
        </w:rPr>
      </w:pPr>
      <w:r>
        <w:rPr>
          <w:rFonts w:ascii="Times New Roman" w:cs="Times New Roman" w:eastAsia="Times New Roman" w:hAnsi="Times New Roman"/>
          <w:sz w:val="18"/>
          <w:szCs w:val="18"/>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March 10, 2015, only a domestic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customers and marketers in and outside China fall within the scope of “foreign-related survey” under the Foreign-related Survey Measures. However, there are uncertainties under 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foreign-related survey license on June 6, 2017.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Bejing’s contractual arrangements with OptAim Network and its shareholders to conduct certain of our operations in China, including to transfer such operations to our VIE to the extent they are deemed foreign-related survey.</w:t>
      </w:r>
    </w:p>
    <w:p>
      <w:pPr>
        <w:spacing w:after="0" w:line="3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200" w:firstLine="441"/>
        <w:spacing w:after="0" w:line="256" w:lineRule="auto"/>
        <w:rPr>
          <w:sz w:val="20"/>
          <w:szCs w:val="20"/>
          <w:color w:val="auto"/>
        </w:rPr>
      </w:pPr>
      <w:r>
        <w:rPr>
          <w:rFonts w:ascii="Times New Roman" w:cs="Times New Roman" w:eastAsia="Times New Roman" w:hAnsi="Times New Roman"/>
          <w:sz w:val="18"/>
          <w:szCs w:val="18"/>
          <w:color w:val="auto"/>
        </w:rPr>
        <w:t>We were formed as a Cayman Islands exempted limited liability company on February 3, 2010 under the name “Optimix Media Asia Limited.” On March 13, 2017, Optimix Media Asia Limited changed its name to iClick Interactive Asia Group Limited. Our principal executive office is at: 15/F, Prosperity Millennia Plaza, 663 King’s Road, Quarry Bay, Hong Kong S.A.R. Our telephone number at this address is (852) 3700 9000. Our registered office in the Cayman Islands is located at: ATC Trustees (Cayman) Limited, Landmark Square, 3rd Floor, 64 Earth Close, Grand Cayman KY1-1203, Cayman Islands. Our agent for service of process in the United States, Law Debenture Corporate Services, Inc., is located at: 4th Floor, 400 Madison Avenue, New York, New York 10017.</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Investor should contact us for any inquiries through the address and telephone number of our principal executive offices. Our website is: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www.i-click.com</w:t>
      </w:r>
      <w:r>
        <w:rPr>
          <w:rFonts w:ascii="Times New Roman" w:cs="Times New Roman" w:eastAsia="Times New Roman" w:hAnsi="Times New Roman"/>
          <w:sz w:val="18"/>
          <w:szCs w:val="18"/>
          <w:color w:val="auto"/>
        </w:rPr>
        <w:t>. The information contained on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240" w:top="455" w:right="41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636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636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200" w:right="20" w:firstLine="441"/>
        <w:spacing w:after="0" w:line="256" w:lineRule="auto"/>
        <w:rPr>
          <w:sz w:val="20"/>
          <w:szCs w:val="20"/>
          <w:color w:val="auto"/>
        </w:rPr>
      </w:pPr>
      <w:r>
        <w:rPr>
          <w:rFonts w:ascii="Times New Roman" w:cs="Times New Roman" w:eastAsia="Times New Roman" w:hAnsi="Times New Roman"/>
          <w:sz w:val="18"/>
          <w:szCs w:val="18"/>
          <w:color w:val="auto"/>
        </w:rPr>
        <w:t>As a company with less than US$1.07 billion in revenue for our last fiscal year, we qualify as an “emerging growth company” pursuant to the Jumpstart Our Business Startups Act of 2012, or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For as long as we remain an emerging growth company, we intend to take advantage of the exemptions discussed in this paragraph.</w:t>
      </w:r>
    </w:p>
    <w:p>
      <w:pPr>
        <w:spacing w:after="0" w:line="188" w:lineRule="exact"/>
        <w:rPr>
          <w:sz w:val="20"/>
          <w:szCs w:val="20"/>
          <w:color w:val="auto"/>
        </w:rPr>
      </w:pPr>
    </w:p>
    <w:p>
      <w:pPr>
        <w:ind w:left="200" w:firstLine="441"/>
        <w:spacing w:after="0" w:line="261" w:lineRule="auto"/>
        <w:rPr>
          <w:sz w:val="20"/>
          <w:szCs w:val="20"/>
          <w:color w:val="auto"/>
        </w:rPr>
      </w:pPr>
      <w:r>
        <w:rPr>
          <w:rFonts w:ascii="Times New Roman" w:cs="Times New Roman" w:eastAsia="Times New Roman" w:hAnsi="Times New Roman"/>
          <w:sz w:val="18"/>
          <w:szCs w:val="18"/>
          <w:color w:val="auto"/>
        </w:rPr>
        <w:t>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180" w:lineRule="exact"/>
        <w:rPr>
          <w:sz w:val="20"/>
          <w:szCs w:val="20"/>
          <w:color w:val="auto"/>
        </w:rPr>
      </w:pPr>
    </w:p>
    <w:p>
      <w:pPr>
        <w:ind w:left="200" w:right="60" w:firstLine="441"/>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(a) the last day of our fiscal year during which we have total annual gross revenues of at least US$1.07 billion; (b) the last day of our fiscal year following the fifth anniversary of the completion of this offering; (c) the date on which we have, during the previous three-year period, issued more than US$1.0 billion in non-convertible debt; or (d) the date on which we are deemed to be a “large accelerated filer” under the Securities Exchange Act of 1934, as amended, or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Conventions that Apply to this Prospectus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 in this prospectus:</w:t>
      </w:r>
    </w:p>
    <w:p>
      <w:pPr>
        <w:spacing w:after="0" w:line="131" w:lineRule="exact"/>
        <w:rPr>
          <w:sz w:val="20"/>
          <w:szCs w:val="20"/>
          <w:color w:val="auto"/>
        </w:rPr>
      </w:pPr>
    </w:p>
    <w:p>
      <w:pPr>
        <w:ind w:left="1060" w:right="300" w:hanging="323"/>
        <w:spacing w:after="0" w:line="266" w:lineRule="auto"/>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profiled user” refers to a profiled user whom we are able to detect that he/she has online activities during a specific measurement period. A “profiled user” refers to a user whom we have collected sufficient information from his/her online activities to establish a descriptive understanding of the person;</w:t>
      </w:r>
    </w:p>
    <w:p>
      <w:pPr>
        <w:spacing w:after="0" w:line="82" w:lineRule="exact"/>
        <w:rPr>
          <w:sz w:val="20"/>
          <w:szCs w:val="20"/>
          <w:color w:val="auto"/>
        </w:rPr>
      </w:pPr>
    </w:p>
    <w:p>
      <w:pPr>
        <w:ind w:left="740"/>
        <w:spacing w:after="0"/>
        <w:tabs>
          <w:tab w:leader="none" w:pos="1040" w:val="left"/>
          <w:tab w:leader="none" w:pos="6700" w:val="left"/>
        </w:tabs>
        <w:rPr>
          <w:sz w:val="20"/>
          <w:szCs w:val="20"/>
          <w:color w:val="auto"/>
        </w:rPr>
      </w:pPr>
      <w:r>
        <w:rPr>
          <w:rFonts w:ascii="Times New Roman" w:cs="Times New Roman" w:eastAsia="Times New Roman" w:hAnsi="Times New Roman"/>
          <w:sz w:val="18"/>
          <w:szCs w:val="18"/>
          <w:color w:val="auto"/>
        </w:rPr>
        <w:t>•</w:t>
        <w:tab/>
        <w:t>“ADSs” refers to our American depositary shares, each of which represents</w:t>
      </w:r>
      <w:r>
        <w:rPr>
          <w:sz w:val="20"/>
          <w:szCs w:val="20"/>
          <w:color w:val="auto"/>
        </w:rPr>
        <w:tab/>
      </w:r>
      <w:r>
        <w:rPr>
          <w:rFonts w:ascii="Times New Roman" w:cs="Times New Roman" w:eastAsia="Times New Roman" w:hAnsi="Times New Roman"/>
          <w:sz w:val="17"/>
          <w:szCs w:val="17"/>
          <w:color w:val="auto"/>
        </w:rPr>
        <w:t>Class A ordinary shares;</w:t>
      </w:r>
    </w:p>
    <w:p>
      <w:pPr>
        <w:spacing w:after="0" w:line="131" w:lineRule="exact"/>
        <w:rPr>
          <w:sz w:val="20"/>
          <w:szCs w:val="20"/>
          <w:color w:val="auto"/>
        </w:rPr>
      </w:pPr>
    </w:p>
    <w:p>
      <w:pPr>
        <w:ind w:left="1060" w:right="340" w:hanging="323"/>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or “PRC” refers to the People’s Republic of China, excluding, for the purposes of this prospectus only, Hong Kong, Macau and Taiwan;</w:t>
      </w:r>
    </w:p>
    <w:p>
      <w:pPr>
        <w:spacing w:after="0" w:line="6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marketer customers” refers to marketers that have direct contractual relationship with us;</w:t>
      </w:r>
    </w:p>
    <w:p>
      <w:pPr>
        <w:spacing w:after="0" w:line="130" w:lineRule="exact"/>
        <w:rPr>
          <w:rFonts w:ascii="Times New Roman" w:cs="Times New Roman" w:eastAsia="Times New Roman" w:hAnsi="Times New Roman"/>
          <w:sz w:val="18"/>
          <w:szCs w:val="18"/>
          <w:color w:val="auto"/>
        </w:rPr>
      </w:pPr>
    </w:p>
    <w:p>
      <w:pPr>
        <w:ind w:left="1060" w:right="20" w:hanging="323"/>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 marketers” refers to marketers that are represented by our marketing agency customers and have no direct contractual relationship with us;</w:t>
      </w:r>
    </w:p>
    <w:p>
      <w:pPr>
        <w:spacing w:after="0" w:line="6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or “Hong Kong dollars” refers to the legal currency of Hong Kong;</w:t>
      </w:r>
    </w:p>
    <w:p>
      <w:pPr>
        <w:spacing w:after="0" w:line="130" w:lineRule="exact"/>
        <w:rPr>
          <w:rFonts w:ascii="Times New Roman" w:cs="Times New Roman" w:eastAsia="Times New Roman" w:hAnsi="Times New Roman"/>
          <w:sz w:val="18"/>
          <w:szCs w:val="18"/>
          <w:color w:val="auto"/>
        </w:rPr>
      </w:pPr>
    </w:p>
    <w:p>
      <w:pPr>
        <w:ind w:left="1060" w:right="620" w:hanging="323"/>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online marketing technology platforms” refers to online marketing technology platforms which do not own any online publishing resources, and are not part of any group which owns any online publishing resources;</w:t>
      </w:r>
    </w:p>
    <w:p>
      <w:pPr>
        <w:spacing w:after="0" w:line="6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apps or websites “covered” refers to the mobile apps or websites from which we are able to receive data to build user profiles;</w:t>
      </w:r>
    </w:p>
    <w:p>
      <w:pPr>
        <w:spacing w:after="0" w:line="130" w:lineRule="exact"/>
        <w:rPr>
          <w:rFonts w:ascii="Times New Roman" w:cs="Times New Roman" w:eastAsia="Times New Roman" w:hAnsi="Times New Roman"/>
          <w:sz w:val="18"/>
          <w:szCs w:val="18"/>
          <w:color w:val="auto"/>
        </w:rPr>
      </w:pPr>
    </w:p>
    <w:p>
      <w:pPr>
        <w:ind w:left="1060" w:right="360" w:hanging="323"/>
        <w:spacing w:after="0" w:line="282" w:lineRule="auto"/>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“multinational companies” refer to companies that own or control production of goods or provision of services in one or more countries other than their home countries;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240" w:top="455" w:right="4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39319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9319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60" w:hanging="323"/>
        <w:spacing w:after="0" w:line="282" w:lineRule="auto"/>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marketing technology platforms” refers to online marketing platforms which, through a combination of marketing strategies and technologies, assist marketers in optimizing their marketing resources;</w:t>
      </w:r>
    </w:p>
    <w:p>
      <w:pPr>
        <w:spacing w:after="0" w:line="6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marketers” refers to both direct marketer customers, and end marketers;</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refers to entities from which we derive revenue under our marketing campaign contracts;</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refers to the legal currency of China;</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and “our” refer to iClick Interactive Asia Group Limited; and</w:t>
      </w:r>
    </w:p>
    <w:p>
      <w:pPr>
        <w:spacing w:after="0" w:line="130"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 “dollars” or “U.S. dollars” refers to the legal currency of the United States.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Discrepancies in any table between the amounts identified as total amounts and the sum of the amounts listed therein are due to rounding.</w:t>
      </w:r>
    </w:p>
    <w:p>
      <w:pPr>
        <w:spacing w:after="0" w:line="225" w:lineRule="exact"/>
        <w:rPr>
          <w:sz w:val="20"/>
          <w:szCs w:val="20"/>
          <w:color w:val="auto"/>
        </w:rPr>
      </w:pPr>
    </w:p>
    <w:p>
      <w:pPr>
        <w:ind w:left="200" w:right="120" w:firstLine="441"/>
        <w:spacing w:after="0" w:line="266" w:lineRule="auto"/>
        <w:rPr>
          <w:sz w:val="20"/>
          <w:szCs w:val="20"/>
          <w:color w:val="auto"/>
        </w:rPr>
      </w:pPr>
      <w:r>
        <w:rPr>
          <w:rFonts w:ascii="Times New Roman" w:cs="Times New Roman" w:eastAsia="Times New Roman" w:hAnsi="Times New Roman"/>
          <w:sz w:val="18"/>
          <w:szCs w:val="18"/>
          <w:color w:val="auto"/>
        </w:rPr>
        <w:t>This prospectus contains statistical data that we obtained from various government and private publications. We have not independently verified the data in these reports. Statistical data in these publications also include projections based on a number of assumptions. If any one or more of the assumptions underlying the statistical data turns out to be incorrect, actual results may differ from the projections based on these assumptions.</w:t>
      </w:r>
    </w:p>
    <w:p>
      <w:pPr>
        <w:spacing w:after="0" w:line="176" w:lineRule="exact"/>
        <w:rPr>
          <w:sz w:val="20"/>
          <w:szCs w:val="20"/>
          <w:color w:val="auto"/>
        </w:rPr>
      </w:pPr>
    </w:p>
    <w:p>
      <w:pPr>
        <w:ind w:left="200" w:firstLine="441"/>
        <w:spacing w:after="0" w:line="254" w:lineRule="auto"/>
        <w:rPr>
          <w:sz w:val="20"/>
          <w:szCs w:val="20"/>
          <w:color w:val="auto"/>
        </w:rPr>
      </w:pPr>
      <w:r>
        <w:rPr>
          <w:rFonts w:ascii="Times New Roman" w:cs="Times New Roman" w:eastAsia="Times New Roman" w:hAnsi="Times New Roman"/>
          <w:sz w:val="18"/>
          <w:szCs w:val="18"/>
          <w:color w:val="auto"/>
        </w:rPr>
        <w:t>Our reporting and functional currency is the U.S. dollar. The functional currency of our subsidiaries and VIE and VIE’s subsidiary in China is Renminbi. The functional currencies of our non-PRC subsidiaries are the respective currencies of the country in which they are domiciled, including Hong Kong dollar, Singapore dollars or New Taiwan dollars. This prospectus contains translations of certain foreign currency amounts into U.S. dollars for the convenience of the reader. Unless otherwise stated, all translations of Renminbi into U.S. dollars in this prospectus were made at the rate of RMB6.7793 to U.S$1.00 and all translations of Hong Kong dollars into U.S. dollars in this prospectus were made at the rate of HK$7.8055 to US$1.00, each being the noon buying rates on June 30, 2017 as set forth in the H.10 statistical release of the U.S. Federal Reserve Board. We make no representation that the Renminbi or Hong Kong dollars referred to in this prospectus could have been or could be converted into U.S. dollars at any particular rate or at all. On August 11, 2017, the noon buying rate for Renminbi was RMB6.6612 to US$1.00, as set forth in the H.10 statistical release of the U.S. Federal Reserve Board.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240" w:top="455" w:right="51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6324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63246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4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The Offering</w:t>
            </w:r>
          </w:p>
        </w:tc>
        <w:tc>
          <w:tcPr>
            <w:tcW w:w="60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We currently estimate that the initial public offering price will be between US$</w:t>
            </w:r>
          </w:p>
        </w:tc>
        <w:tc>
          <w:tcPr>
            <w:tcW w:w="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and</w:t>
            </w:r>
          </w:p>
        </w:tc>
      </w:tr>
      <w:tr>
        <w:trPr>
          <w:trHeight w:val="234"/>
        </w:trPr>
        <w:tc>
          <w:tcPr>
            <w:tcW w:w="3920" w:type="dxa"/>
            <w:vAlign w:val="bottom"/>
          </w:tcPr>
          <w:p>
            <w:pPr>
              <w:spacing w:after="0"/>
              <w:rPr>
                <w:sz w:val="20"/>
                <w:szCs w:val="20"/>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w:t>
            </w:r>
          </w:p>
        </w:tc>
        <w:tc>
          <w:tcPr>
            <w:tcW w:w="14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per ADS.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5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ADSs offered by us</w:t>
            </w:r>
          </w:p>
        </w:tc>
        <w:tc>
          <w:tcPr>
            <w:tcW w:w="720" w:type="dxa"/>
            <w:vAlign w:val="bottom"/>
          </w:tcPr>
          <w:p>
            <w:pPr>
              <w:spacing w:after="0"/>
              <w:rPr>
                <w:sz w:val="24"/>
                <w:szCs w:val="24"/>
                <w:color w:val="auto"/>
              </w:rPr>
            </w:pPr>
          </w:p>
        </w:tc>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ADSs</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5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ADSs outstanding immediately after this offering</w:t>
            </w:r>
          </w:p>
        </w:tc>
        <w:tc>
          <w:tcPr>
            <w:tcW w:w="720" w:type="dxa"/>
            <w:vAlign w:val="bottom"/>
          </w:tcPr>
          <w:p>
            <w:pPr>
              <w:spacing w:after="0"/>
              <w:rPr>
                <w:sz w:val="24"/>
                <w:szCs w:val="24"/>
                <w:color w:val="auto"/>
              </w:rPr>
            </w:pPr>
          </w:p>
        </w:tc>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ADSs (or</w:t>
            </w:r>
          </w:p>
        </w:tc>
        <w:tc>
          <w:tcPr>
            <w:tcW w:w="47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ADSs if the underwriters exercise their option to purchase</w:t>
            </w:r>
          </w:p>
        </w:tc>
      </w:tr>
      <w:tr>
        <w:trPr>
          <w:trHeight w:val="234"/>
        </w:trPr>
        <w:tc>
          <w:tcPr>
            <w:tcW w:w="3920" w:type="dxa"/>
            <w:vAlign w:val="bottom"/>
          </w:tcPr>
          <w:p>
            <w:pPr>
              <w:spacing w:after="0"/>
              <w:rPr>
                <w:sz w:val="20"/>
                <w:szCs w:val="20"/>
                <w:color w:val="auto"/>
              </w:rPr>
            </w:pPr>
          </w:p>
        </w:tc>
        <w:tc>
          <w:tcPr>
            <w:tcW w:w="2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additional ADSs in full)</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4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outstanding immediately after this</w:t>
            </w:r>
          </w:p>
        </w:tc>
        <w:tc>
          <w:tcPr>
            <w:tcW w:w="720" w:type="dxa"/>
            <w:vAlign w:val="bottom"/>
          </w:tcPr>
          <w:p>
            <w:pPr>
              <w:spacing w:after="0"/>
              <w:rPr>
                <w:sz w:val="24"/>
                <w:szCs w:val="24"/>
                <w:color w:val="auto"/>
              </w:rPr>
            </w:pPr>
          </w:p>
        </w:tc>
        <w:tc>
          <w:tcPr>
            <w:tcW w:w="2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ordinary shares, comprised of</w:t>
            </w:r>
          </w:p>
        </w:tc>
        <w:tc>
          <w:tcPr>
            <w:tcW w:w="2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A ordinary shares and</w:t>
            </w: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B</w:t>
            </w:r>
          </w:p>
        </w:tc>
      </w:tr>
      <w:tr>
        <w:trPr>
          <w:trHeight w:val="216"/>
        </w:trPr>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offering</w:t>
            </w:r>
          </w:p>
        </w:tc>
        <w:tc>
          <w:tcPr>
            <w:tcW w:w="2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ordinary shares (or</w:t>
            </w:r>
          </w:p>
        </w:tc>
        <w:tc>
          <w:tcPr>
            <w:tcW w:w="47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ordinary shares if the underwriters exercise their option to</w:t>
            </w:r>
          </w:p>
        </w:tc>
      </w:tr>
      <w:tr>
        <w:trPr>
          <w:trHeight w:val="216"/>
        </w:trPr>
        <w:tc>
          <w:tcPr>
            <w:tcW w:w="3920" w:type="dxa"/>
            <w:vAlign w:val="bottom"/>
          </w:tcPr>
          <w:p>
            <w:pPr>
              <w:spacing w:after="0"/>
              <w:rPr>
                <w:sz w:val="18"/>
                <w:szCs w:val="18"/>
                <w:color w:val="auto"/>
              </w:rPr>
            </w:pPr>
          </w:p>
        </w:tc>
        <w:tc>
          <w:tcPr>
            <w:tcW w:w="604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purchase additional ADSs representing ordinary shares in full, comprised</w:t>
            </w: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w:t>
            </w:r>
          </w:p>
        </w:tc>
      </w:tr>
      <w:tr>
        <w:trPr>
          <w:trHeight w:val="234"/>
        </w:trPr>
        <w:tc>
          <w:tcPr>
            <w:tcW w:w="3920" w:type="dxa"/>
            <w:vAlign w:val="bottom"/>
          </w:tcPr>
          <w:p>
            <w:pPr>
              <w:spacing w:after="0"/>
              <w:rPr>
                <w:sz w:val="20"/>
                <w:szCs w:val="20"/>
                <w:color w:val="auto"/>
              </w:rPr>
            </w:pPr>
          </w:p>
        </w:tc>
        <w:tc>
          <w:tcPr>
            <w:tcW w:w="23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Class A ordinary shares and</w:t>
            </w:r>
          </w:p>
        </w:tc>
        <w:tc>
          <w:tcPr>
            <w:tcW w:w="37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Class B ordinary shares)</w:t>
            </w:r>
          </w:p>
        </w:tc>
        <w:tc>
          <w:tcPr>
            <w:tcW w:w="820" w:type="dxa"/>
            <w:vAlign w:val="bottom"/>
          </w:tcPr>
          <w:p>
            <w:pPr>
              <w:spacing w:after="0"/>
              <w:rPr>
                <w:sz w:val="20"/>
                <w:szCs w:val="20"/>
                <w:color w:val="auto"/>
              </w:rPr>
            </w:pPr>
          </w:p>
        </w:tc>
      </w:tr>
      <w:tr>
        <w:trPr>
          <w:trHeight w:val="441"/>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Option to purchase additional ADSs</w:t>
            </w:r>
          </w:p>
        </w:tc>
        <w:tc>
          <w:tcPr>
            <w:tcW w:w="6860" w:type="dxa"/>
            <w:vAlign w:val="bottom"/>
            <w:gridSpan w:val="6"/>
          </w:tcPr>
          <w:p>
            <w:pPr>
              <w:ind w:left="260"/>
              <w:spacing w:after="0"/>
              <w:rPr>
                <w:sz w:val="20"/>
                <w:szCs w:val="20"/>
                <w:color w:val="auto"/>
              </w:rPr>
            </w:pPr>
            <w:r>
              <w:rPr>
                <w:rFonts w:ascii="Times New Roman" w:cs="Times New Roman" w:eastAsia="Times New Roman" w:hAnsi="Times New Roman"/>
                <w:sz w:val="18"/>
                <w:szCs w:val="18"/>
                <w:color w:val="auto"/>
                <w:w w:val="99"/>
              </w:rPr>
              <w:t>We have granted to the underwriters an option, exercisable for 30 days from the date of this</w:t>
            </w:r>
          </w:p>
        </w:tc>
      </w:tr>
      <w:tr>
        <w:trPr>
          <w:trHeight w:val="234"/>
        </w:trPr>
        <w:tc>
          <w:tcPr>
            <w:tcW w:w="3920" w:type="dxa"/>
            <w:vAlign w:val="bottom"/>
          </w:tcPr>
          <w:p>
            <w:pPr>
              <w:spacing w:after="0"/>
              <w:rPr>
                <w:sz w:val="20"/>
                <w:szCs w:val="20"/>
                <w:color w:val="auto"/>
              </w:rPr>
            </w:pPr>
          </w:p>
        </w:tc>
        <w:tc>
          <w:tcPr>
            <w:tcW w:w="34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prospectus, to purchase up to an additional</w:t>
            </w:r>
          </w:p>
        </w:tc>
        <w:tc>
          <w:tcPr>
            <w:tcW w:w="25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ADSs from us.</w:t>
            </w:r>
          </w:p>
        </w:tc>
        <w:tc>
          <w:tcPr>
            <w:tcW w:w="820" w:type="dxa"/>
            <w:vAlign w:val="bottom"/>
          </w:tcPr>
          <w:p>
            <w:pPr>
              <w:spacing w:after="0"/>
              <w:rPr>
                <w:sz w:val="20"/>
                <w:szCs w:val="20"/>
                <w:color w:val="auto"/>
              </w:rPr>
            </w:pPr>
          </w:p>
        </w:tc>
      </w:tr>
      <w:tr>
        <w:trPr>
          <w:trHeight w:val="459"/>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The ADSs</w:t>
            </w:r>
          </w:p>
        </w:tc>
        <w:tc>
          <w:tcPr>
            <w:tcW w:w="2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Each ADS represents</w:t>
            </w:r>
          </w:p>
        </w:tc>
        <w:tc>
          <w:tcPr>
            <w:tcW w:w="200" w:type="dxa"/>
            <w:vAlign w:val="bottom"/>
          </w:tcPr>
          <w:p>
            <w:pPr>
              <w:spacing w:after="0"/>
              <w:rPr>
                <w:sz w:val="24"/>
                <w:szCs w:val="24"/>
                <w:color w:val="auto"/>
              </w:rPr>
            </w:pPr>
          </w:p>
        </w:tc>
        <w:tc>
          <w:tcPr>
            <w:tcW w:w="45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Class A ordinary shares, par value US$0.001 per share.</w:t>
            </w:r>
          </w:p>
        </w:tc>
      </w:tr>
    </w:tbl>
    <w:p>
      <w:pPr>
        <w:spacing w:after="0" w:line="211" w:lineRule="exact"/>
        <w:rPr>
          <w:sz w:val="20"/>
          <w:szCs w:val="20"/>
          <w:color w:val="auto"/>
        </w:rPr>
      </w:pPr>
    </w:p>
    <w:p>
      <w:pPr>
        <w:ind w:left="4380" w:right="320"/>
        <w:spacing w:after="0" w:line="266" w:lineRule="auto"/>
        <w:rPr>
          <w:sz w:val="20"/>
          <w:szCs w:val="20"/>
          <w:color w:val="auto"/>
        </w:rPr>
      </w:pPr>
      <w:r>
        <w:rPr>
          <w:rFonts w:ascii="Times New Roman" w:cs="Times New Roman" w:eastAsia="Times New Roman" w:hAnsi="Times New Roman"/>
          <w:sz w:val="18"/>
          <w:szCs w:val="18"/>
          <w:color w:val="auto"/>
        </w:rPr>
        <w:t>The depositary will be the holder of the ordinary shares underlying the ADSs and you will have the rights of an ADS holder as provided in the deposit agreement among us, the depositary and holders and beneficial owners of ADSs from time to time.</w:t>
      </w:r>
    </w:p>
    <w:p>
      <w:pPr>
        <w:spacing w:after="0" w:line="203" w:lineRule="exact"/>
        <w:rPr>
          <w:sz w:val="20"/>
          <w:szCs w:val="20"/>
          <w:color w:val="auto"/>
        </w:rPr>
      </w:pPr>
    </w:p>
    <w:p>
      <w:pPr>
        <w:ind w:left="4380" w:right="440"/>
        <w:spacing w:after="0" w:line="313" w:lineRule="auto"/>
        <w:rPr>
          <w:sz w:val="20"/>
          <w:szCs w:val="20"/>
          <w:color w:val="auto"/>
        </w:rPr>
      </w:pPr>
      <w:r>
        <w:rPr>
          <w:rFonts w:ascii="Times New Roman" w:cs="Times New Roman" w:eastAsia="Times New Roman" w:hAnsi="Times New Roman"/>
          <w:sz w:val="17"/>
          <w:szCs w:val="17"/>
          <w:color w:val="auto"/>
        </w:rPr>
        <w:t>You may surrender your ADSs to the depositary to withdraw the Class A ordinary shares underlying your ADSs. The depositary will charge you a fee for such an exchange.</w:t>
      </w:r>
    </w:p>
    <w:p>
      <w:pPr>
        <w:spacing w:after="0" w:line="165" w:lineRule="exact"/>
        <w:rPr>
          <w:sz w:val="20"/>
          <w:szCs w:val="20"/>
          <w:color w:val="auto"/>
        </w:rPr>
      </w:pPr>
    </w:p>
    <w:p>
      <w:pPr>
        <w:ind w:left="4380" w:right="40"/>
        <w:spacing w:after="0" w:line="256" w:lineRule="auto"/>
        <w:rPr>
          <w:sz w:val="20"/>
          <w:szCs w:val="20"/>
          <w:color w:val="auto"/>
        </w:rPr>
      </w:pPr>
      <w:r>
        <w:rPr>
          <w:rFonts w:ascii="Times New Roman" w:cs="Times New Roman" w:eastAsia="Times New Roman" w:hAnsi="Times New Roman"/>
          <w:sz w:val="18"/>
          <w:szCs w:val="18"/>
          <w:color w:val="auto"/>
        </w:rPr>
        <w:t>We may amend or terminate the deposit agreement for any reason without your consent. Any amendment that imposes or increases fees or certain charges or which materially prejudices any substantial existing right you have as an ADS holder will not become effective as to outstanding ADSs until 30 days after notice of the amendment is given to ADS holders. If an amendment becomes effective, you will be bound by the deposit agreement as amended if you continue to hold your ADSs.</w:t>
      </w:r>
    </w:p>
    <w:p>
      <w:pPr>
        <w:spacing w:after="0" w:line="188" w:lineRule="exact"/>
        <w:rPr>
          <w:sz w:val="20"/>
          <w:szCs w:val="20"/>
          <w:color w:val="auto"/>
        </w:rPr>
      </w:pPr>
    </w:p>
    <w:p>
      <w:pPr>
        <w:ind w:left="4380" w:right="260"/>
        <w:spacing w:after="0" w:line="261" w:lineRule="auto"/>
        <w:rPr>
          <w:sz w:val="20"/>
          <w:szCs w:val="20"/>
          <w:color w:val="auto"/>
        </w:rPr>
      </w:pPr>
      <w:r>
        <w:rPr>
          <w:rFonts w:ascii="Times New Roman" w:cs="Times New Roman" w:eastAsia="Times New Roman" w:hAnsi="Times New Roman"/>
          <w:sz w:val="18"/>
          <w:szCs w:val="18"/>
          <w:color w:val="auto"/>
        </w:rPr>
        <w:t>To better understand the terms of the ADSs, you should carefully read the section in this prospectus entitled “Description of American Depositary Shares.” You should also read the deposit agreement, which is an exhibit to the registration statement that includes this prospectus.</w:t>
      </w:r>
    </w:p>
    <w:p>
      <w:pPr>
        <w:sectPr>
          <w:pgSz w:w="11900" w:h="16838" w:orient="portrait"/>
          <w:cols w:equalWidth="0" w:num="1">
            <w:col w:w="11220"/>
          </w:cols>
          <w:pgMar w:left="240" w:top="455" w:right="439" w:bottom="1440" w:gutter="0" w:footer="0" w:header="0"/>
        </w:sectPr>
      </w:pP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[Reserved ADSs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At our request, the underwriters have reserved for sale, at the initial public offering price, up to an aggregate of ADSs offered in this offering to some of our directors, officers, employees, business associates and related persons through a directed share program.]</w:t>
      </w:r>
    </w:p>
    <w:p>
      <w:pPr>
        <w:spacing w:after="0" w:line="200" w:lineRule="exact"/>
        <w:rPr>
          <w:sz w:val="20"/>
          <w:szCs w:val="20"/>
          <w:color w:val="auto"/>
        </w:rPr>
      </w:pPr>
    </w:p>
    <w:p>
      <w:pPr>
        <w:sectPr>
          <w:pgSz w:w="11900" w:h="16838" w:orient="portrait"/>
          <w:cols w:equalWidth="0" w:num="2">
            <w:col w:w="3660" w:space="720"/>
            <w:col w:w="6840"/>
          </w:cols>
          <w:pgMar w:left="240" w:top="455" w:right="439" w:bottom="144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240" w:top="455" w:right="43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48920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48920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600" w:type="dxa"/>
            <w:vAlign w:val="bottom"/>
            <w:gridSpan w:val="4"/>
          </w:tcPr>
          <w:p>
            <w:pPr>
              <w:ind w:left="1500"/>
              <w:spacing w:after="0"/>
              <w:rPr>
                <w:sz w:val="20"/>
                <w:szCs w:val="20"/>
                <w:color w:val="auto"/>
              </w:rPr>
            </w:pPr>
            <w:r>
              <w:rPr>
                <w:rFonts w:ascii="Times New Roman" w:cs="Times New Roman" w:eastAsia="Times New Roman" w:hAnsi="Times New Roman"/>
                <w:sz w:val="18"/>
                <w:szCs w:val="18"/>
                <w:color w:val="auto"/>
              </w:rPr>
              <w:t>We expect that we will receive net proceeds of approximately US$</w:t>
            </w:r>
          </w:p>
        </w:tc>
        <w:tc>
          <w:tcPr>
            <w:tcW w:w="1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million from this</w:t>
            </w:r>
          </w:p>
        </w:tc>
      </w:tr>
      <w:tr>
        <w:trPr>
          <w:trHeight w:val="216"/>
        </w:trPr>
        <w:tc>
          <w:tcPr>
            <w:tcW w:w="2680" w:type="dxa"/>
            <w:vAlign w:val="bottom"/>
          </w:tcPr>
          <w:p>
            <w:pPr>
              <w:spacing w:after="0"/>
              <w:rPr>
                <w:sz w:val="18"/>
                <w:szCs w:val="18"/>
                <w:color w:val="auto"/>
              </w:rPr>
            </w:pPr>
          </w:p>
        </w:tc>
        <w:tc>
          <w:tcPr>
            <w:tcW w:w="590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rPr>
              <w:t>offering, assuming an initial public offering price of US$</w:t>
            </w:r>
          </w:p>
        </w:tc>
        <w:tc>
          <w:tcPr>
            <w:tcW w:w="23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per ADS, which is the</w:t>
            </w:r>
          </w:p>
        </w:tc>
      </w:tr>
      <w:tr>
        <w:trPr>
          <w:trHeight w:val="216"/>
        </w:trPr>
        <w:tc>
          <w:tcPr>
            <w:tcW w:w="2680" w:type="dxa"/>
            <w:vAlign w:val="bottom"/>
          </w:tcPr>
          <w:p>
            <w:pPr>
              <w:spacing w:after="0"/>
              <w:rPr>
                <w:sz w:val="18"/>
                <w:szCs w:val="18"/>
                <w:color w:val="auto"/>
              </w:rPr>
            </w:pPr>
          </w:p>
        </w:tc>
        <w:tc>
          <w:tcPr>
            <w:tcW w:w="8280" w:type="dxa"/>
            <w:vAlign w:val="bottom"/>
            <w:gridSpan w:val="5"/>
          </w:tcPr>
          <w:p>
            <w:pPr>
              <w:ind w:left="1500"/>
              <w:spacing w:after="0"/>
              <w:rPr>
                <w:sz w:val="20"/>
                <w:szCs w:val="20"/>
                <w:color w:val="auto"/>
              </w:rPr>
            </w:pPr>
            <w:r>
              <w:rPr>
                <w:rFonts w:ascii="Times New Roman" w:cs="Times New Roman" w:eastAsia="Times New Roman" w:hAnsi="Times New Roman"/>
                <w:sz w:val="18"/>
                <w:szCs w:val="18"/>
                <w:color w:val="auto"/>
              </w:rPr>
              <w:t>midpoint of the estimated range of the initial public offering price, after deducting</w:t>
            </w:r>
          </w:p>
        </w:tc>
      </w:tr>
      <w:tr>
        <w:trPr>
          <w:trHeight w:val="234"/>
        </w:trPr>
        <w:tc>
          <w:tcPr>
            <w:tcW w:w="2680" w:type="dxa"/>
            <w:vAlign w:val="bottom"/>
          </w:tcPr>
          <w:p>
            <w:pPr>
              <w:spacing w:after="0"/>
              <w:rPr>
                <w:sz w:val="20"/>
                <w:szCs w:val="20"/>
                <w:color w:val="auto"/>
              </w:rPr>
            </w:pPr>
          </w:p>
        </w:tc>
        <w:tc>
          <w:tcPr>
            <w:tcW w:w="8280" w:type="dxa"/>
            <w:vAlign w:val="bottom"/>
            <w:gridSpan w:val="5"/>
          </w:tcPr>
          <w:p>
            <w:pPr>
              <w:ind w:left="1500"/>
              <w:spacing w:after="0"/>
              <w:rPr>
                <w:sz w:val="20"/>
                <w:szCs w:val="20"/>
                <w:color w:val="auto"/>
              </w:rPr>
            </w:pPr>
            <w:r>
              <w:rPr>
                <w:rFonts w:ascii="Times New Roman" w:cs="Times New Roman" w:eastAsia="Times New Roman" w:hAnsi="Times New Roman"/>
                <w:sz w:val="18"/>
                <w:szCs w:val="18"/>
                <w:color w:val="auto"/>
              </w:rPr>
              <w:t>underwriting discounts and commissions and estimated offering expenses payable by us.</w:t>
            </w:r>
          </w:p>
        </w:tc>
      </w:tr>
      <w:tr>
        <w:trPr>
          <w:trHeight w:val="441"/>
        </w:trPr>
        <w:tc>
          <w:tcPr>
            <w:tcW w:w="2680" w:type="dxa"/>
            <w:vAlign w:val="bottom"/>
          </w:tcPr>
          <w:p>
            <w:pPr>
              <w:spacing w:after="0"/>
              <w:rPr>
                <w:sz w:val="24"/>
                <w:szCs w:val="24"/>
                <w:color w:val="auto"/>
              </w:rPr>
            </w:pPr>
          </w:p>
        </w:tc>
        <w:tc>
          <w:tcPr>
            <w:tcW w:w="8280" w:type="dxa"/>
            <w:vAlign w:val="bottom"/>
            <w:gridSpan w:val="5"/>
          </w:tcPr>
          <w:p>
            <w:pPr>
              <w:ind w:left="1500"/>
              <w:spacing w:after="0"/>
              <w:rPr>
                <w:sz w:val="20"/>
                <w:szCs w:val="20"/>
                <w:color w:val="auto"/>
              </w:rPr>
            </w:pPr>
            <w:r>
              <w:rPr>
                <w:rFonts w:ascii="Times New Roman" w:cs="Times New Roman" w:eastAsia="Times New Roman" w:hAnsi="Times New Roman"/>
                <w:sz w:val="18"/>
                <w:szCs w:val="18"/>
                <w:color w:val="auto"/>
              </w:rPr>
              <w:t>We plan to use the net proceeds from this offering primarily for the following purposes:</w:t>
            </w:r>
          </w:p>
        </w:tc>
      </w:tr>
      <w:tr>
        <w:trPr>
          <w:trHeight w:val="216"/>
        </w:trPr>
        <w:tc>
          <w:tcPr>
            <w:tcW w:w="2680" w:type="dxa"/>
            <w:vAlign w:val="bottom"/>
          </w:tcPr>
          <w:p>
            <w:pPr>
              <w:spacing w:after="0"/>
              <w:rPr>
                <w:sz w:val="18"/>
                <w:szCs w:val="18"/>
                <w:color w:val="auto"/>
              </w:rPr>
            </w:pPr>
          </w:p>
        </w:tc>
        <w:tc>
          <w:tcPr>
            <w:tcW w:w="21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US$</w:t>
            </w:r>
          </w:p>
        </w:tc>
        <w:tc>
          <w:tcPr>
            <w:tcW w:w="61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in research and development and big data deep learning capabilities and</w:t>
            </w:r>
          </w:p>
        </w:tc>
      </w:tr>
      <w:tr>
        <w:trPr>
          <w:trHeight w:val="216"/>
        </w:trPr>
        <w:tc>
          <w:tcPr>
            <w:tcW w:w="2680" w:type="dxa"/>
            <w:vAlign w:val="bottom"/>
          </w:tcPr>
          <w:p>
            <w:pPr>
              <w:spacing w:after="0"/>
              <w:rPr>
                <w:sz w:val="18"/>
                <w:szCs w:val="18"/>
                <w:color w:val="auto"/>
              </w:rPr>
            </w:pPr>
          </w:p>
        </w:tc>
        <w:tc>
          <w:tcPr>
            <w:tcW w:w="30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capacities; US$</w:t>
            </w:r>
          </w:p>
        </w:tc>
        <w:tc>
          <w:tcPr>
            <w:tcW w:w="5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9"/>
              </w:rPr>
              <w:t>in the development and expansion of our suite of solutions and service</w:t>
            </w:r>
          </w:p>
        </w:tc>
      </w:tr>
      <w:tr>
        <w:trPr>
          <w:trHeight w:val="216"/>
        </w:trPr>
        <w:tc>
          <w:tcPr>
            <w:tcW w:w="2680" w:type="dxa"/>
            <w:vAlign w:val="bottom"/>
          </w:tcPr>
          <w:p>
            <w:pPr>
              <w:spacing w:after="0"/>
              <w:rPr>
                <w:sz w:val="18"/>
                <w:szCs w:val="18"/>
                <w:color w:val="auto"/>
              </w:rPr>
            </w:pPr>
          </w:p>
        </w:tc>
        <w:tc>
          <w:tcPr>
            <w:tcW w:w="30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offerings; and US$</w:t>
            </w:r>
          </w:p>
        </w:tc>
        <w:tc>
          <w:tcPr>
            <w:tcW w:w="52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in sales and marketing activities to attract, in particular, more</w:t>
            </w:r>
          </w:p>
        </w:tc>
      </w:tr>
      <w:tr>
        <w:trPr>
          <w:trHeight w:val="216"/>
        </w:trPr>
        <w:tc>
          <w:tcPr>
            <w:tcW w:w="2680" w:type="dxa"/>
            <w:vAlign w:val="bottom"/>
          </w:tcPr>
          <w:p>
            <w:pPr>
              <w:spacing w:after="0"/>
              <w:rPr>
                <w:sz w:val="18"/>
                <w:szCs w:val="18"/>
                <w:color w:val="auto"/>
              </w:rPr>
            </w:pPr>
          </w:p>
        </w:tc>
        <w:tc>
          <w:tcPr>
            <w:tcW w:w="8280" w:type="dxa"/>
            <w:vAlign w:val="bottom"/>
            <w:gridSpan w:val="5"/>
          </w:tcPr>
          <w:p>
            <w:pPr>
              <w:ind w:left="1500"/>
              <w:spacing w:after="0"/>
              <w:rPr>
                <w:sz w:val="20"/>
                <w:szCs w:val="20"/>
                <w:color w:val="auto"/>
              </w:rPr>
            </w:pPr>
            <w:r>
              <w:rPr>
                <w:rFonts w:ascii="Times New Roman" w:cs="Times New Roman" w:eastAsia="Times New Roman" w:hAnsi="Times New Roman"/>
                <w:sz w:val="18"/>
                <w:szCs w:val="18"/>
                <w:color w:val="auto"/>
              </w:rPr>
              <w:t>customers to use our solutions on a self-serve basis, and customers from additional industry</w:t>
            </w:r>
          </w:p>
        </w:tc>
      </w:tr>
      <w:tr>
        <w:trPr>
          <w:trHeight w:val="216"/>
        </w:trPr>
        <w:tc>
          <w:tcPr>
            <w:tcW w:w="2680" w:type="dxa"/>
            <w:vAlign w:val="bottom"/>
          </w:tcPr>
          <w:p>
            <w:pPr>
              <w:spacing w:after="0"/>
              <w:rPr>
                <w:sz w:val="18"/>
                <w:szCs w:val="18"/>
                <w:color w:val="auto"/>
              </w:rPr>
            </w:pPr>
          </w:p>
        </w:tc>
        <w:tc>
          <w:tcPr>
            <w:tcW w:w="8280" w:type="dxa"/>
            <w:vAlign w:val="bottom"/>
            <w:gridSpan w:val="5"/>
          </w:tcPr>
          <w:p>
            <w:pPr>
              <w:ind w:left="1500"/>
              <w:spacing w:after="0"/>
              <w:rPr>
                <w:sz w:val="20"/>
                <w:szCs w:val="20"/>
                <w:color w:val="auto"/>
              </w:rPr>
            </w:pPr>
            <w:r>
              <w:rPr>
                <w:rFonts w:ascii="Times New Roman" w:cs="Times New Roman" w:eastAsia="Times New Roman" w:hAnsi="Times New Roman"/>
                <w:sz w:val="18"/>
                <w:szCs w:val="18"/>
                <w:color w:val="auto"/>
              </w:rPr>
              <w:t>verticals and geographic markets. We also plan to use the remaining portion of the net</w:t>
            </w:r>
          </w:p>
        </w:tc>
      </w:tr>
      <w:tr>
        <w:trPr>
          <w:trHeight w:val="234"/>
        </w:trPr>
        <w:tc>
          <w:tcPr>
            <w:tcW w:w="2680" w:type="dxa"/>
            <w:vAlign w:val="bottom"/>
          </w:tcPr>
          <w:p>
            <w:pPr>
              <w:spacing w:after="0"/>
              <w:rPr>
                <w:sz w:val="20"/>
                <w:szCs w:val="20"/>
                <w:color w:val="auto"/>
              </w:rPr>
            </w:pPr>
          </w:p>
        </w:tc>
        <w:tc>
          <w:tcPr>
            <w:tcW w:w="8280" w:type="dxa"/>
            <w:vAlign w:val="bottom"/>
            <w:gridSpan w:val="5"/>
          </w:tcPr>
          <w:p>
            <w:pPr>
              <w:ind w:left="1500"/>
              <w:spacing w:after="0"/>
              <w:rPr>
                <w:sz w:val="20"/>
                <w:szCs w:val="20"/>
                <w:color w:val="auto"/>
              </w:rPr>
            </w:pPr>
            <w:r>
              <w:rPr>
                <w:rFonts w:ascii="Times New Roman" w:cs="Times New Roman" w:eastAsia="Times New Roman" w:hAnsi="Times New Roman"/>
                <w:sz w:val="18"/>
                <w:szCs w:val="18"/>
                <w:color w:val="auto"/>
              </w:rPr>
              <w:t>proceeds we receive from this offering for general corporate purposes and in investment,</w:t>
            </w:r>
          </w:p>
        </w:tc>
      </w:tr>
    </w:tbl>
    <w:p>
      <w:pPr>
        <w:ind w:left="4380"/>
        <w:spacing w:after="0" w:line="254" w:lineRule="auto"/>
        <w:rPr>
          <w:sz w:val="20"/>
          <w:szCs w:val="20"/>
          <w:color w:val="auto"/>
        </w:rPr>
      </w:pPr>
      <w:r>
        <w:rPr>
          <w:rFonts w:ascii="Times New Roman" w:cs="Times New Roman" w:eastAsia="Times New Roman" w:hAnsi="Times New Roman"/>
          <w:sz w:val="18"/>
          <w:szCs w:val="18"/>
          <w:color w:val="auto"/>
        </w:rPr>
        <w:t>acquisition and business collaboration opportunities that complement or enhance our existing operations and are strategically beneficial to our long-term goals, although we have no present commitments or agreements to enter into any investment, acquisition or business collaboration.</w:t>
      </w:r>
    </w:p>
    <w:p>
      <w:pPr>
        <w:spacing w:after="0" w:line="2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See “Use of Proceeds” for more information.</w:t>
      </w:r>
    </w:p>
    <w:p>
      <w:pPr>
        <w:sectPr>
          <w:pgSz w:w="11900" w:h="16838" w:orient="portrait"/>
          <w:cols w:equalWidth="0" w:num="1">
            <w:col w:w="11180"/>
          </w:cols>
          <w:pgMar w:left="240" w:top="455" w:right="479" w:bottom="1440" w:gutter="0" w:footer="0" w:header="0"/>
        </w:sectPr>
      </w:pP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See “Risk Factors” and other information included in this prospectus for a discussion of risks you should carefully consider before investing in the ADSs.</w:t>
      </w:r>
    </w:p>
    <w:p>
      <w:pPr>
        <w:spacing w:after="0" w:line="189" w:lineRule="exact"/>
        <w:rPr>
          <w:sz w:val="20"/>
          <w:szCs w:val="20"/>
          <w:color w:val="auto"/>
        </w:rPr>
      </w:pPr>
    </w:p>
    <w:p>
      <w:pPr>
        <w:sectPr>
          <w:pgSz w:w="11900" w:h="16838" w:orient="portrait"/>
          <w:cols w:equalWidth="0" w:num="2">
            <w:col w:w="3660" w:space="720"/>
            <w:col w:w="6800"/>
          </w:cols>
          <w:pgMar w:left="240" w:top="455" w:right="47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7"/>
          <w:szCs w:val="17"/>
          <w:color w:val="auto"/>
        </w:rPr>
        <w:t>Listing</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apply to have the ADSs listed on the NASDAQ Global Market under the symbol “ICLK.” Our ADSs and shares will not be listed on any other stock exchange or traded on any automated quotation system.</w:t>
      </w:r>
    </w:p>
    <w:p>
      <w:pPr>
        <w:spacing w:after="0" w:line="200" w:lineRule="exact"/>
        <w:rPr>
          <w:sz w:val="20"/>
          <w:szCs w:val="20"/>
          <w:color w:val="auto"/>
        </w:rPr>
      </w:pPr>
    </w:p>
    <w:p>
      <w:pPr>
        <w:sectPr>
          <w:pgSz w:w="11900" w:h="16838" w:orient="portrait"/>
          <w:cols w:equalWidth="0" w:num="2">
            <w:col w:w="3660" w:space="720"/>
            <w:col w:w="6800"/>
          </w:cols>
          <w:pgMar w:left="240" w:top="455" w:right="479" w:bottom="1440" w:gutter="0" w:footer="0" w:header="0"/>
          <w:type w:val="continuous"/>
        </w:sectPr>
      </w:pPr>
    </w:p>
    <w:p>
      <w:pPr>
        <w:spacing w:after="0" w:line="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Lock-up</w:t>
      </w:r>
    </w:p>
    <w:p>
      <w:pPr>
        <w:spacing w:after="0" w:line="20" w:lineRule="exact"/>
        <w:rPr>
          <w:sz w:val="20"/>
          <w:szCs w:val="20"/>
          <w:color w:val="auto"/>
        </w:rPr>
      </w:pPr>
      <w:r>
        <w:rPr>
          <w:sz w:val="20"/>
          <w:szCs w:val="20"/>
          <w:color w:val="auto"/>
        </w:rPr>
        <w:br w:type="column"/>
      </w:r>
    </w:p>
    <w:p>
      <w:pPr>
        <w:ind w:right="220"/>
        <w:spacing w:after="0" w:line="261" w:lineRule="auto"/>
        <w:rPr>
          <w:sz w:val="20"/>
          <w:szCs w:val="20"/>
          <w:color w:val="auto"/>
        </w:rPr>
      </w:pPr>
      <w:r>
        <w:rPr>
          <w:rFonts w:ascii="Times New Roman" w:cs="Times New Roman" w:eastAsia="Times New Roman" w:hAnsi="Times New Roman"/>
          <w:sz w:val="18"/>
          <w:szCs w:val="18"/>
          <w:color w:val="auto"/>
        </w:rPr>
        <w:t>We, our directors and executive officers, and [all of our existing shareholders] have agreed with the underwriters, subject to certain exceptions, not to offer, sell, transfer or otherwise dispose of any ADSs, ordinary shares or similar securities for a period of 180 days after the date of this prospectus. See “Shares Eligible for Future Sale” and “Underwriting.”</w:t>
      </w:r>
    </w:p>
    <w:p>
      <w:pPr>
        <w:spacing w:after="0" w:line="200" w:lineRule="exact"/>
        <w:rPr>
          <w:sz w:val="20"/>
          <w:szCs w:val="20"/>
          <w:color w:val="auto"/>
        </w:rPr>
      </w:pPr>
    </w:p>
    <w:p>
      <w:pPr>
        <w:sectPr>
          <w:pgSz w:w="11900" w:h="16838" w:orient="portrait"/>
          <w:cols w:equalWidth="0" w:num="2">
            <w:col w:w="3660" w:space="720"/>
            <w:col w:w="6800"/>
          </w:cols>
          <w:pgMar w:left="240" w:top="455" w:right="479" w:bottom="1440" w:gutter="0" w:footer="0" w:header="0"/>
          <w:type w:val="continuous"/>
        </w:sectPr>
      </w:pP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JPMorgan Chase Bank, N.A.</w:t>
      </w:r>
    </w:p>
    <w:p>
      <w:pPr>
        <w:spacing w:after="0" w:line="200" w:lineRule="exact"/>
        <w:rPr>
          <w:sz w:val="20"/>
          <w:szCs w:val="20"/>
          <w:color w:val="auto"/>
        </w:rPr>
      </w:pPr>
    </w:p>
    <w:p>
      <w:pPr>
        <w:sectPr>
          <w:pgSz w:w="11900" w:h="16838" w:orient="portrait"/>
          <w:cols w:equalWidth="0" w:num="2">
            <w:col w:w="3660" w:space="720"/>
            <w:col w:w="6800"/>
          </w:cols>
          <w:pgMar w:left="240" w:top="455" w:right="4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80"/>
          </w:cols>
          <w:pgMar w:left="240" w:top="455" w:right="47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7228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7228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 Consolidated Financial and Other Data</w:t>
      </w:r>
    </w:p>
    <w:p>
      <w:pPr>
        <w:spacing w:after="0" w:line="229" w:lineRule="exact"/>
        <w:rPr>
          <w:sz w:val="20"/>
          <w:szCs w:val="20"/>
          <w:color w:val="auto"/>
        </w:rPr>
      </w:pPr>
    </w:p>
    <w:p>
      <w:pPr>
        <w:ind w:left="200" w:firstLine="441"/>
        <w:spacing w:after="0" w:line="258" w:lineRule="auto"/>
        <w:rPr>
          <w:sz w:val="20"/>
          <w:szCs w:val="20"/>
          <w:color w:val="auto"/>
        </w:rPr>
      </w:pPr>
      <w:r>
        <w:rPr>
          <w:rFonts w:ascii="Times New Roman" w:cs="Times New Roman" w:eastAsia="Times New Roman" w:hAnsi="Times New Roman"/>
          <w:sz w:val="18"/>
          <w:szCs w:val="18"/>
          <w:color w:val="auto"/>
        </w:rPr>
        <w:t>The following summary consolidated financial data for the years ended December 31, 2015 and 2016, and as of December 31, 2015 and 2016, have been derived from our audited consolidated financial statements included elsewhere in this prospectus. The summary consolidated financial data for the six months ended June 30, 2016 and 2017 and as of June 30, 2017 have been derived from our unaudited condensed consolidated financial statements included elsewhere in this prospectus. We have prepared the unaudited condensed consolidated financial statements on the same basis as our audited consolidated financial statements.</w:t>
      </w:r>
    </w:p>
    <w:p>
      <w:pPr>
        <w:spacing w:after="0" w:line="184"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prepared and presented in accordance with U.S. GAAP. Our historical results are not necessarily indicative of results expected for future periods. You should read this Summary Consolidated Financial and Other Data section together with our consolidated financial statements and the related notes and “Management’s Discussion and Analysis of Financial Condition and Results of Operations” included elsewhere in this prospectus.</w:t>
      </w:r>
    </w:p>
    <w:p>
      <w:pPr>
        <w:spacing w:after="0" w:line="180" w:lineRule="exact"/>
        <w:rPr>
          <w:sz w:val="20"/>
          <w:szCs w:val="20"/>
          <w:color w:val="auto"/>
        </w:rPr>
      </w:pPr>
    </w:p>
    <w:p>
      <w:pPr>
        <w:ind w:left="200" w:right="120" w:firstLine="441"/>
        <w:spacing w:after="0" w:line="261" w:lineRule="auto"/>
        <w:rPr>
          <w:sz w:val="20"/>
          <w:szCs w:val="20"/>
          <w:color w:val="auto"/>
        </w:rPr>
      </w:pPr>
      <w:r>
        <w:rPr>
          <w:rFonts w:ascii="Times New Roman" w:cs="Times New Roman" w:eastAsia="Times New Roman" w:hAnsi="Times New Roman"/>
          <w:sz w:val="18"/>
          <w:szCs w:val="18"/>
          <w:color w:val="auto"/>
        </w:rPr>
        <w:t>On July 24, 2015, we acquired OptAim from all its shareholders in consideration of shares and cash payment. Pursuant to the terms of the agreement, we issued 2,535,091 ordinary shares to certain selling shareholders and paid cash consideration for the other shareholder. Since the date of the acquisition, OptAim has been our wholly owned subsidiary and has been consolidated into our results of operations. See note 4(b) of our consolidated financial statements for the years ended December 31, 2015 and 2016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240" w:top="455" w:right="5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57067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57067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summary consolidated statement of comprehensive income for the years ended December 31, 2015 and 2016 and for the six months ended June 30, 2016 and 2017.</w:t>
      </w:r>
    </w:p>
    <w:p>
      <w:pPr>
        <w:spacing w:after="0" w:line="250"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264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5100" w:type="dxa"/>
            <w:vAlign w:val="bottom"/>
            <w:gridSpan w:val="9"/>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(US$ in thousands, except for per share and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Consolidated Statements of Comprehensive Loss: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65,242</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95,357</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45,269</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(34,531)</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(61,048)</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(28,003)</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(42,431)</w:t>
            </w: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30,711</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34,309</w:t>
            </w:r>
          </w:p>
        </w:tc>
        <w:tc>
          <w:tcPr>
            <w:tcW w:w="3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17,266</w:t>
            </w:r>
          </w:p>
        </w:tc>
        <w:tc>
          <w:tcPr>
            <w:tcW w:w="3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(8,106)</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(8,584)</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(4,426)</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(31,385)</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(28,266)</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(14,083)</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(12,745)</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(26,767)</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(4,936)</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(52,236)</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(63,617)</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(23,445)</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(19,948)</w:t>
            </w: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(29,308)</w:t>
            </w:r>
          </w:p>
        </w:tc>
        <w:tc>
          <w:tcPr>
            <w:tcW w:w="3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3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(713)</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(290)</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gains/(losses), net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(1,082)</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(loss)/gain on derivative liabilities</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(19,390)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(177)</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(14,727)</w:t>
            </w: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(27,108)</w:t>
            </w:r>
          </w:p>
        </w:tc>
        <w:tc>
          <w:tcPr>
            <w:tcW w:w="3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3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benefit/(expenses)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 of losses from an equity investee</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(39,714)</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(27,330)</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(6,586)</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(22,245)</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Accretion to convertible redeemable preferred shares redemption value</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to redeemable ordinary shares redemption value</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(1,982)</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(1,556)</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(757)</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Deemed contribution from Series B-1 preferred shareholders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iClick Interactive Asia Group Limited’s ordinary</w:t>
            </w: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shareholders</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(41,797)</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(29,659)</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(7,724)</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(23,488)</w:t>
            </w: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 net of US$nil tax</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(129)</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(139)</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 attributable to iClick Interactive Asia Group Limited</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(27,469)</w:t>
            </w:r>
          </w:p>
        </w:tc>
        <w:tc>
          <w:tcPr>
            <w:tcW w:w="3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(6,664)</w:t>
            </w:r>
          </w:p>
        </w:tc>
        <w:tc>
          <w:tcPr>
            <w:tcW w:w="3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iClick Interactive Asia Group Limited</w:t>
            </w: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(3.58)</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used in per share calculation</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11,661,049</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13,151,063</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13,130,027</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13,618,905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11,661,049</w:t>
            </w:r>
          </w:p>
        </w:tc>
        <w:tc>
          <w:tcPr>
            <w:tcW w:w="3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13,151,063</w:t>
            </w:r>
          </w:p>
        </w:tc>
        <w:tc>
          <w:tcPr>
            <w:tcW w:w="3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13,130,027</w:t>
            </w:r>
          </w:p>
        </w:tc>
        <w:tc>
          <w:tcPr>
            <w:tcW w:w="3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13,618,905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240" w:top="455" w:right="41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35547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5547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our summary consolidated balance sheet data as of December 31, 2015, 2016 and June 30, 2017.</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258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As of June 30,</w:t>
            </w: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4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Consolidated Balance Sheet Data:</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10,395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27,280</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28,223</w:t>
            </w:r>
          </w:p>
        </w:tc>
        <w:tc>
          <w:tcPr>
            <w:tcW w:w="12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74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receivables of US$1,733, US$1,693</w:t>
            </w: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US$678 as of December 31, 2015, 2016 and June 30, 2017, respectively</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28,423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30,694</w:t>
            </w:r>
          </w:p>
        </w:tc>
        <w:tc>
          <w:tcPr>
            <w:tcW w:w="6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28,197</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Rebates receivable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media cost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24,793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34,409</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19,095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14,804</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48,496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48,496</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146,110</w:t>
            </w:r>
          </w:p>
        </w:tc>
        <w:tc>
          <w:tcPr>
            <w:tcW w:w="2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169,640</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149,395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mezzanine equity and shareholders’ deficit:</w:t>
            </w: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115,124</w:t>
            </w:r>
          </w:p>
        </w:tc>
        <w:tc>
          <w:tcPr>
            <w:tcW w:w="2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126,572</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125,825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120" w:type="dxa"/>
            <w:vAlign w:val="bottom"/>
            <w:shd w:val="clear" w:color="auto" w:fill="CCEEFF"/>
          </w:tcPr>
          <w:p>
            <w:pPr>
              <w:spacing w:after="0"/>
              <w:rPr>
                <w:sz w:val="18"/>
                <w:szCs w:val="18"/>
                <w:color w:val="auto"/>
              </w:rPr>
            </w:pPr>
          </w:p>
        </w:tc>
      </w:tr>
      <w:tr>
        <w:trPr>
          <w:trHeight w:val="230"/>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118,829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129,569</w:t>
            </w:r>
          </w:p>
        </w:tc>
        <w:tc>
          <w:tcPr>
            <w:tcW w:w="6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129,770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mezzanine equity</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83,210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104,383</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(55,929)</w:t>
            </w:r>
          </w:p>
        </w:tc>
        <w:tc>
          <w:tcPr>
            <w:tcW w:w="166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(64,312)</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(86,001)</w:t>
            </w: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mezzanine equity and shareholders’ deficit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146,110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169,640</w:t>
            </w:r>
          </w:p>
        </w:tc>
        <w:tc>
          <w:tcPr>
            <w:tcW w:w="64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149,395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240" w:top="455" w:right="41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61099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6109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21" w:lineRule="exact"/>
        <w:rPr>
          <w:sz w:val="20"/>
          <w:szCs w:val="20"/>
          <w:color w:val="auto"/>
        </w:rPr>
      </w:pPr>
    </w:p>
    <w:p>
      <w:pPr>
        <w:ind w:left="200" w:right="200" w:firstLine="441"/>
        <w:spacing w:after="0" w:line="282" w:lineRule="auto"/>
        <w:rPr>
          <w:sz w:val="20"/>
          <w:szCs w:val="20"/>
          <w:color w:val="auto"/>
        </w:rPr>
      </w:pPr>
      <w:r>
        <w:rPr>
          <w:rFonts w:ascii="Times New Roman" w:cs="Times New Roman" w:eastAsia="Times New Roman" w:hAnsi="Times New Roman"/>
          <w:sz w:val="18"/>
          <w:szCs w:val="18"/>
          <w:color w:val="auto"/>
        </w:rPr>
        <w:t>We regularly review a number of metrics to evaluate our business, measure our performance, identify trends, formulate financial projections and make strategic decisions. The main metrics we consider are set forth in the table below.</w:t>
      </w:r>
    </w:p>
    <w:p>
      <w:pPr>
        <w:spacing w:after="0" w:line="182"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3"/>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80" w:type="dxa"/>
            <w:vAlign w:val="bottom"/>
            <w:tcBorders>
              <w:bottom w:val="single" w:sz="8" w:color="auto"/>
            </w:tcBorders>
            <w:gridSpan w:val="2"/>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Pr>
          <w:p>
            <w:pPr>
              <w:spacing w:after="0"/>
              <w:rPr>
                <w:sz w:val="12"/>
                <w:szCs w:val="12"/>
                <w:color w:val="auto"/>
              </w:rPr>
            </w:pPr>
          </w:p>
        </w:tc>
        <w:tc>
          <w:tcPr>
            <w:tcW w:w="1660" w:type="dxa"/>
            <w:vAlign w:val="bottom"/>
            <w:tcBorders>
              <w:bottom w:val="single" w:sz="8" w:color="auto"/>
            </w:tcBorders>
            <w:gridSpan w:val="2"/>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Pr>
          <w:p>
            <w:pPr>
              <w:spacing w:after="0"/>
              <w:rPr>
                <w:sz w:val="12"/>
                <w:szCs w:val="12"/>
                <w:color w:val="auto"/>
              </w:rPr>
            </w:pPr>
          </w:p>
        </w:tc>
        <w:tc>
          <w:tcPr>
            <w:tcW w:w="1680" w:type="dxa"/>
            <w:vAlign w:val="bottom"/>
            <w:tcBorders>
              <w:bottom w:val="single" w:sz="8" w:color="auto"/>
            </w:tcBorders>
            <w:gridSpan w:val="2"/>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860" w:type="dxa"/>
            <w:vAlign w:val="bottom"/>
          </w:tcPr>
          <w:p>
            <w:pPr>
              <w:jc w:val="right"/>
              <w:ind w:right="215"/>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8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gross</w:t>
            </w:r>
          </w:p>
        </w:tc>
        <w:tc>
          <w:tcPr>
            <w:tcW w:w="300" w:type="dxa"/>
            <w:vAlign w:val="bottom"/>
          </w:tcPr>
          <w:p>
            <w:pPr>
              <w:spacing w:after="0"/>
              <w:rPr>
                <w:sz w:val="10"/>
                <w:szCs w:val="10"/>
                <w:color w:val="auto"/>
              </w:rPr>
            </w:pPr>
          </w:p>
        </w:tc>
        <w:tc>
          <w:tcPr>
            <w:tcW w:w="840" w:type="dxa"/>
            <w:vAlign w:val="bottom"/>
          </w:tcPr>
          <w:p>
            <w:pPr>
              <w:jc w:val="right"/>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8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gross</w:t>
            </w:r>
          </w:p>
        </w:tc>
        <w:tc>
          <w:tcPr>
            <w:tcW w:w="300" w:type="dxa"/>
            <w:vAlign w:val="bottom"/>
          </w:tcPr>
          <w:p>
            <w:pPr>
              <w:spacing w:after="0"/>
              <w:rPr>
                <w:sz w:val="10"/>
                <w:szCs w:val="10"/>
                <w:color w:val="auto"/>
              </w:rPr>
            </w:pPr>
          </w:p>
        </w:tc>
        <w:tc>
          <w:tcPr>
            <w:tcW w:w="860" w:type="dxa"/>
            <w:vAlign w:val="bottom"/>
          </w:tcPr>
          <w:p>
            <w:pPr>
              <w:jc w:val="right"/>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8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gross</w:t>
            </w:r>
          </w:p>
        </w:tc>
        <w:tc>
          <w:tcPr>
            <w:tcW w:w="300" w:type="dxa"/>
            <w:vAlign w:val="bottom"/>
          </w:tcPr>
          <w:p>
            <w:pPr>
              <w:spacing w:after="0"/>
              <w:rPr>
                <w:sz w:val="10"/>
                <w:szCs w:val="10"/>
                <w:color w:val="auto"/>
              </w:rPr>
            </w:pPr>
          </w:p>
        </w:tc>
        <w:tc>
          <w:tcPr>
            <w:tcW w:w="980" w:type="dxa"/>
            <w:vAlign w:val="bottom"/>
          </w:tcPr>
          <w:p>
            <w:pPr>
              <w:jc w:val="right"/>
              <w:ind w:right="335"/>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7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gross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billing</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w:t>
            </w: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billing</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w:t>
            </w: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billing</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w:t>
            </w:r>
          </w:p>
        </w:tc>
        <w:tc>
          <w:tcPr>
            <w:tcW w:w="9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billing</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Metrics:</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Gross billing</w:t>
            </w: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178,239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8"/>
                <w:szCs w:val="18"/>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236,253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8"/>
                <w:szCs w:val="18"/>
                <w:color w:val="auto"/>
              </w:rPr>
            </w:pP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118,674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8"/>
                <w:szCs w:val="18"/>
                <w:color w:val="auto"/>
              </w:rPr>
            </w:pPr>
          </w:p>
        </w:tc>
        <w:tc>
          <w:tcPr>
            <w:tcW w:w="98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103,420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Gross billing from mobile audience</w:t>
            </w: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solutions</w:t>
            </w:r>
          </w:p>
        </w:tc>
        <w:tc>
          <w:tcPr>
            <w:tcW w:w="8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41,323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112,403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50,371</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42.4</w:t>
            </w:r>
          </w:p>
        </w:tc>
        <w:tc>
          <w:tcPr>
            <w:tcW w:w="9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63,031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billing from other solutions</w:t>
            </w: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136,916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300" w:type="dxa"/>
            <w:vAlign w:val="bottom"/>
          </w:tcPr>
          <w:p>
            <w:pPr>
              <w:spacing w:after="0"/>
              <w:rPr>
                <w:sz w:val="20"/>
                <w:szCs w:val="20"/>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123,850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300" w:type="dxa"/>
            <w:vAlign w:val="bottom"/>
          </w:tcPr>
          <w:p>
            <w:pPr>
              <w:spacing w:after="0"/>
              <w:rPr>
                <w:sz w:val="20"/>
                <w:szCs w:val="20"/>
                <w:color w:val="auto"/>
              </w:rPr>
            </w:pP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68,303</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57.6</w:t>
            </w: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40,389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Metrics:</w:t>
            </w: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65,242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300" w:type="dxa"/>
            <w:vAlign w:val="bottom"/>
          </w:tcPr>
          <w:p>
            <w:pPr>
              <w:spacing w:after="0"/>
              <w:rPr>
                <w:sz w:val="18"/>
                <w:szCs w:val="18"/>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95,357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300" w:type="dxa"/>
            <w:vAlign w:val="bottom"/>
          </w:tcPr>
          <w:p>
            <w:pPr>
              <w:spacing w:after="0"/>
              <w:rPr>
                <w:sz w:val="18"/>
                <w:szCs w:val="18"/>
                <w:color w:val="auto"/>
              </w:rPr>
            </w:pP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45,269</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38.1</w:t>
            </w: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55,741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Net revenues from mobile audience</w:t>
            </w: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solutions</w:t>
            </w:r>
          </w:p>
        </w:tc>
        <w:tc>
          <w:tcPr>
            <w:tcW w:w="8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11,908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57,761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24,517</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48.7</w:t>
            </w:r>
          </w:p>
        </w:tc>
        <w:tc>
          <w:tcPr>
            <w:tcW w:w="98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42,262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revenues from other solutions</w:t>
            </w: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53,334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300" w:type="dxa"/>
            <w:vAlign w:val="bottom"/>
          </w:tcPr>
          <w:p>
            <w:pPr>
              <w:spacing w:after="0"/>
              <w:rPr>
                <w:sz w:val="18"/>
                <w:szCs w:val="18"/>
                <w:color w:val="auto"/>
              </w:rPr>
            </w:pP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37,596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00" w:type="dxa"/>
            <w:vAlign w:val="bottom"/>
          </w:tcPr>
          <w:p>
            <w:pPr>
              <w:spacing w:after="0"/>
              <w:rPr>
                <w:sz w:val="18"/>
                <w:szCs w:val="18"/>
                <w:color w:val="auto"/>
              </w:rPr>
            </w:pP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20,752</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30.4</w:t>
            </w:r>
          </w:p>
        </w:tc>
        <w:tc>
          <w:tcPr>
            <w:tcW w:w="9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13,479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(8,850)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(2,240)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(0.9)</w:t>
            </w: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(1,414)</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9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(1,881)</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loss</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(11,583)</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(8,999)</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(4,477)</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w:t>
            </w:r>
          </w:p>
        </w:tc>
        <w:tc>
          <w:tcPr>
            <w:tcW w:w="98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(5,602)</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20" w:right="80" w:hanging="324"/>
        <w:spacing w:after="0" w:line="262" w:lineRule="auto"/>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net revenues from mobile audience solutions and net revenues from other solutions, % of gross billing refers to the % of gross billing for mobile audience solutions or % of gross billing for other solutions, as the case may be.</w:t>
      </w: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Gross Billing</w:t>
      </w:r>
    </w:p>
    <w:p>
      <w:pPr>
        <w:spacing w:after="0" w:line="121" w:lineRule="exact"/>
        <w:rPr>
          <w:sz w:val="20"/>
          <w:szCs w:val="20"/>
          <w:color w:val="auto"/>
        </w:rPr>
      </w:pPr>
    </w:p>
    <w:p>
      <w:pPr>
        <w:ind w:left="200" w:right="280" w:firstLine="441"/>
        <w:spacing w:after="0" w:line="282" w:lineRule="auto"/>
        <w:rPr>
          <w:sz w:val="20"/>
          <w:szCs w:val="20"/>
          <w:color w:val="auto"/>
        </w:rPr>
      </w:pPr>
      <w:r>
        <w:rPr>
          <w:rFonts w:ascii="Times New Roman" w:cs="Times New Roman" w:eastAsia="Times New Roman" w:hAnsi="Times New Roman"/>
          <w:sz w:val="18"/>
          <w:szCs w:val="18"/>
          <w:color w:val="auto"/>
        </w:rPr>
        <w:t>Gross billing is an important operating measure by which we evaluate and manage our business. We define gross billing as the aggregate dollar amount that our customers pay us, after deducting rebates paid and discounts given to customers.</w:t>
      </w:r>
    </w:p>
    <w:p>
      <w:pPr>
        <w:spacing w:after="0" w:line="162" w:lineRule="exact"/>
        <w:rPr>
          <w:sz w:val="20"/>
          <w:szCs w:val="20"/>
          <w:color w:val="auto"/>
        </w:rPr>
      </w:pPr>
    </w:p>
    <w:p>
      <w:pPr>
        <w:ind w:left="200" w:right="540" w:firstLine="441"/>
        <w:spacing w:after="0" w:line="266" w:lineRule="auto"/>
        <w:rPr>
          <w:sz w:val="20"/>
          <w:szCs w:val="20"/>
          <w:color w:val="auto"/>
        </w:rPr>
      </w:pPr>
      <w:r>
        <w:rPr>
          <w:rFonts w:ascii="Times New Roman" w:cs="Times New Roman" w:eastAsia="Times New Roman" w:hAnsi="Times New Roman"/>
          <w:sz w:val="18"/>
          <w:szCs w:val="18"/>
          <w:color w:val="auto"/>
        </w:rPr>
        <w:t>We use gross billing to assess our business growth, market share and scale of operations, and our ability to generate gross billing is strongly correlated to our ability to generate net revenues. As we have defined gross billing for internal uses, it may not be comparable to similarly titled measures used by other companies in the industry which present the impact of media costs differently.</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left="200" w:right="380" w:firstLine="441"/>
        <w:spacing w:after="0" w:line="282" w:lineRule="auto"/>
        <w:rPr>
          <w:sz w:val="20"/>
          <w:szCs w:val="20"/>
          <w:color w:val="auto"/>
        </w:rPr>
      </w:pPr>
      <w:r>
        <w:rPr>
          <w:rFonts w:ascii="Times New Roman" w:cs="Times New Roman" w:eastAsia="Times New Roman" w:hAnsi="Times New Roman"/>
          <w:sz w:val="18"/>
          <w:szCs w:val="18"/>
          <w:color w:val="auto"/>
        </w:rPr>
        <w:t>We use adjusted EBITDA and adjusted net loss, each a non-GAAP financial measure, in evaluating our operating results and for financial and operational decision making purposes.</w:t>
      </w:r>
    </w:p>
    <w:p>
      <w:pPr>
        <w:spacing w:after="0" w:line="162" w:lineRule="exact"/>
        <w:rPr>
          <w:sz w:val="20"/>
          <w:szCs w:val="20"/>
          <w:color w:val="auto"/>
        </w:rPr>
      </w:pPr>
    </w:p>
    <w:p>
      <w:pPr>
        <w:ind w:left="200" w:right="40" w:firstLine="441"/>
        <w:spacing w:after="0" w:line="261" w:lineRule="auto"/>
        <w:rPr>
          <w:sz w:val="20"/>
          <w:szCs w:val="20"/>
          <w:color w:val="auto"/>
        </w:rPr>
      </w:pPr>
      <w:r>
        <w:rPr>
          <w:rFonts w:ascii="Times New Roman" w:cs="Times New Roman" w:eastAsia="Times New Roman" w:hAnsi="Times New Roman"/>
          <w:sz w:val="18"/>
          <w:szCs w:val="18"/>
          <w:color w:val="auto"/>
        </w:rPr>
        <w:t>We believe that adjusted EBITDA and adjusted net loss help identify underlying trends in our business that could otherwise be distorted by the effect of the expenses and gains that we include in net loss. We believe that adjusted EBITDA and adjusted net loss provide useful information about our operating results, enhance the overall understanding of our past performance and future prospects and allow for greater visibility with respect to key metrics used by our management in its financial and operational decision-making.</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240" w:top="455" w:right="41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51669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51669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firstLine="441"/>
        <w:spacing w:after="0" w:line="258" w:lineRule="auto"/>
        <w:rPr>
          <w:sz w:val="20"/>
          <w:szCs w:val="20"/>
          <w:color w:val="auto"/>
        </w:rPr>
      </w:pPr>
      <w:r>
        <w:rPr>
          <w:rFonts w:ascii="Times New Roman" w:cs="Times New Roman" w:eastAsia="Times New Roman" w:hAnsi="Times New Roman"/>
          <w:sz w:val="18"/>
          <w:szCs w:val="18"/>
          <w:color w:val="auto"/>
        </w:rPr>
        <w:t>Adjusted EBITDA and adjusted net loss should not be considered in isolation or construed as an alternative to net loss or any other measure of performance or as an indicator of our operating performance. Investors are encouraged to review the historical non-GAAP financial measures to the most directly comparable GAAP measures. Adjusted EBITDA and adjusted net loss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184" w:lineRule="exact"/>
        <w:rPr>
          <w:sz w:val="20"/>
          <w:szCs w:val="20"/>
          <w:color w:val="auto"/>
        </w:rPr>
      </w:pPr>
    </w:p>
    <w:p>
      <w:pPr>
        <w:ind w:left="200" w:right="40" w:firstLine="441"/>
        <w:spacing w:after="0" w:line="258" w:lineRule="auto"/>
        <w:rPr>
          <w:sz w:val="20"/>
          <w:szCs w:val="20"/>
          <w:color w:val="auto"/>
        </w:rPr>
      </w:pPr>
      <w:r>
        <w:rPr>
          <w:rFonts w:ascii="Times New Roman" w:cs="Times New Roman" w:eastAsia="Times New Roman" w:hAnsi="Times New Roman"/>
          <w:sz w:val="18"/>
          <w:szCs w:val="18"/>
          <w:color w:val="auto"/>
        </w:rPr>
        <w:t>Adjusted EBITDA represents net loss before (i) depreciation and amortization, (ii) interest expense, (iii) income tax (benefit)/expense, (iv) share-based compensation, (v) fair value loss/(gain) on derivative liabilities, (vi) share of loss from an equity investee, (vii) compensation in relation to the acquisition of OptAim, and (viii) other (gains)/losses, net. Please see “Management’s Discussion and Analysis of Financial Condition and Results of Operations — Non-GAAP Financial Measures — Adjusted EBITDA” for information regarding the limitations of using adjusted EBITDA as a financial measure and for a reconciliation of our net loss to adjusted EBITDA.</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sets forth a reconciliation of our net loss to adjusted EBITDA for the periods indicated:</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230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16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5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6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80" w:type="dxa"/>
            <w:vAlign w:val="bottom"/>
            <w:gridSpan w:val="4"/>
          </w:tcPr>
          <w:p>
            <w:pPr>
              <w:jc w:val="right"/>
              <w:ind w:right="780"/>
              <w:spacing w:after="0" w:line="142"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(39,714)</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(27,330)</w:t>
            </w: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(6,586)</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(22,245)</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Add / (less):</w:t>
            </w: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20" w:type="dxa"/>
            <w:vAlign w:val="bottom"/>
            <w:shd w:val="clear" w:color="auto" w:fill="CCEEFF"/>
          </w:tcPr>
          <w:p>
            <w:pPr>
              <w:spacing w:after="0"/>
              <w:rPr>
                <w:sz w:val="18"/>
                <w:szCs w:val="18"/>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18"/>
                <w:szCs w:val="18"/>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(555)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5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shd w:val="clear" w:color="auto" w:fill="CCEEFF"/>
          </w:tcPr>
          <w:p>
            <w:pPr>
              <w:spacing w:after="0"/>
              <w:rPr>
                <w:sz w:val="18"/>
                <w:szCs w:val="18"/>
                <w:color w:val="auto"/>
              </w:rPr>
            </w:pPr>
          </w:p>
        </w:tc>
      </w:tr>
      <w:tr>
        <w:trPr>
          <w:trHeight w:val="223"/>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EBITDA</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(36,981)</w:t>
            </w:r>
          </w:p>
        </w:tc>
        <w:tc>
          <w:tcPr>
            <w:tcW w:w="5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(20,571)</w:t>
            </w:r>
          </w:p>
        </w:tc>
        <w:tc>
          <w:tcPr>
            <w:tcW w:w="5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5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(18,524)</w:t>
            </w:r>
          </w:p>
        </w:tc>
        <w:tc>
          <w:tcPr>
            <w:tcW w:w="120" w:type="dxa"/>
            <w:vAlign w:val="bottom"/>
          </w:tcPr>
          <w:p>
            <w:pPr>
              <w:spacing w:after="0"/>
              <w:rPr>
                <w:sz w:val="19"/>
                <w:szCs w:val="19"/>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21,244</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20" w:type="dxa"/>
            <w:vAlign w:val="bottom"/>
          </w:tcPr>
          <w:p>
            <w:pPr>
              <w:spacing w:after="0"/>
              <w:rPr>
                <w:sz w:val="18"/>
                <w:szCs w:val="18"/>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loss/(gain) on derivative liabilities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19,390</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(3,995)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14,727</w:t>
            </w:r>
          </w:p>
        </w:tc>
        <w:tc>
          <w:tcPr>
            <w:tcW w:w="120" w:type="dxa"/>
            <w:vAlign w:val="bottom"/>
            <w:shd w:val="clear" w:color="auto" w:fill="CCEEFF"/>
          </w:tcPr>
          <w:p>
            <w:pPr>
              <w:spacing w:after="0"/>
              <w:rPr>
                <w:sz w:val="18"/>
                <w:szCs w:val="18"/>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of loss from an equity investee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54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 in relation to the acquisition of OptAim</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(gains)/losses, net</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(791)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5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6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(8,850)</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(2,240)</w:t>
            </w: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(1,414)</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(1,881)</w:t>
            </w:r>
          </w:p>
        </w:tc>
      </w:tr>
      <w:tr>
        <w:trPr>
          <w:trHeight w:val="20"/>
        </w:trPr>
        <w:tc>
          <w:tcPr>
            <w:tcW w:w="6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100" w:firstLine="441"/>
        <w:spacing w:after="0" w:line="261" w:lineRule="auto"/>
        <w:rPr>
          <w:sz w:val="20"/>
          <w:szCs w:val="20"/>
          <w:color w:val="auto"/>
        </w:rPr>
      </w:pPr>
      <w:r>
        <w:rPr>
          <w:rFonts w:ascii="Times New Roman" w:cs="Times New Roman" w:eastAsia="Times New Roman" w:hAnsi="Times New Roman"/>
          <w:sz w:val="18"/>
          <w:szCs w:val="18"/>
          <w:color w:val="auto"/>
        </w:rPr>
        <w:t>Adjusted net loss represents net loss before (i) share-based compensation, (ii) fair value loss/(gain) on derivative liabilities, (iii) share of loss from an equity investee, (iv) compensation in relation to the acquisition of OptAim, and (v) other (gains)/losses, net. Please see “Management’s Discussion and Analysis of Financial Condition and Results of Operations — Non-GAAP Financial Measures — Adjusted Net Loss” for information regarding the limitations of using adjusted net loss as a financial measure and for a reconciliation of our net loss to adjusted net loss.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240" w:top="455" w:right="41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1139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139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sets forth a reconciliation of our net loss to adjusted net loss for the periods indicated:</w:t>
      </w: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230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16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5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r>
      <w:tr>
        <w:trPr>
          <w:trHeight w:val="142"/>
        </w:trPr>
        <w:tc>
          <w:tcPr>
            <w:tcW w:w="6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380" w:type="dxa"/>
            <w:vAlign w:val="bottom"/>
            <w:gridSpan w:val="4"/>
          </w:tcPr>
          <w:p>
            <w:pPr>
              <w:jc w:val="right"/>
              <w:ind w:right="780"/>
              <w:spacing w:after="0" w:line="142"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(39,714)</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(27,330)</w:t>
            </w: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(6,586)</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(22,245)</w:t>
            </w: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w:t>
            </w: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21,244</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20" w:type="dxa"/>
            <w:vAlign w:val="bottom"/>
            <w:shd w:val="clear" w:color="auto" w:fill="CCEEFF"/>
          </w:tcPr>
          <w:p>
            <w:pPr>
              <w:spacing w:after="0"/>
              <w:rPr>
                <w:sz w:val="18"/>
                <w:szCs w:val="18"/>
                <w:color w:val="auto"/>
              </w:rPr>
            </w:pP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loss/(gain) on derivative liabilities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19,390</w:t>
            </w:r>
          </w:p>
        </w:tc>
        <w:tc>
          <w:tcPr>
            <w:tcW w:w="5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(3,995)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14,727</w:t>
            </w:r>
          </w:p>
        </w:tc>
        <w:tc>
          <w:tcPr>
            <w:tcW w:w="120" w:type="dxa"/>
            <w:vAlign w:val="bottom"/>
          </w:tcPr>
          <w:p>
            <w:pPr>
              <w:spacing w:after="0"/>
              <w:rPr>
                <w:sz w:val="18"/>
                <w:szCs w:val="18"/>
                <w:color w:val="auto"/>
              </w:rPr>
            </w:pP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of loss from an equity investee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in relation to the acquisition of OptAim</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54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(gains)/losses, net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(791)</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5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6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 net loss</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54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5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5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240" w:top="455" w:right="41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fluctuation in growth in recent periods, and our historical growth rates may not be indicative of our future growth.</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have experienced fluctuation in growth in recent periods. We may not be able to sustain our historical growth rates, or at all. You should not consider our historical growth in gross billing and net revenues as indicative of our future performance. For example, while our gross billing and net revenues increased in 2016 compared to 2015, our gross billing decreased in the six months ended June 30, 2017 compared to the same period in 2016 due to a decrease in gross billing from other solutions as we optimized our customer base for other solutions to focus on profitability and liquidity. In future periods, our gross billing and net revenues could further decline or grow more slowly than we expect and the customer base optimization may not achieve the benefits as we expected. We believe our business, prospects and results of operations depend on a number of factors, some of which are described in more details in this section, including our ability to:</w:t>
      </w:r>
    </w:p>
    <w:p>
      <w:pPr>
        <w:spacing w:after="0" w:line="95" w:lineRule="exact"/>
        <w:rPr>
          <w:sz w:val="20"/>
          <w:szCs w:val="20"/>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existing customers while continuing to optimize our customer base;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execute our mobile strategy in the increasingly competitive mobile online marketing segment;</w:t>
      </w:r>
    </w:p>
    <w:p>
      <w:pPr>
        <w:spacing w:after="0" w:line="130"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 and further diversify our customer base, including more customers to use our solutions on a self-serve basis and marketers from new industries and geographic regions;</w:t>
      </w:r>
    </w:p>
    <w:p>
      <w:pPr>
        <w:spacing w:after="0" w:line="67"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breadth and depth of our cooperation with content distribution channels, including publishers, ad exchanges, and ad networks, and attract new ones in order to increase the volume and breadth of content distribution opportunities available to us;</w:t>
      </w:r>
    </w:p>
    <w:p>
      <w:pPr>
        <w:spacing w:after="0" w:line="67"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solutions and service offerings to meet evolving business needs, including to address market trends such as the migration of consumers from PCs to mobile devices;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proper functioning of our technology architecture as our business continues to grow;</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grow our data assets in order to help marketers identify, engage and convert their audience;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high level of customer satisfaction;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to a changing regulatory landscape governing privacy matters;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businesses, products and technologies and to integrate these acquisitions;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among marketers on a global basis in a cost-effective manner;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employees.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cannot assure you that we will be able to successfully accomplish any of these objectives.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implementing our mobile strategies, which could materially and adversely affect our results of operations.</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Our recent growth was in part driven by our expansion since 2014 into mobile channels to identify, engage and convert mobile audience. Our limited operating history in mobile channels may make it difficult to evaluate our current business and future prospects, which will be adversely affected if we fail to successfully maintain and enhance our mobile capabilities. To deliver, maintain and enhance our mobile capabilities, it is important that we further integrate with a wider range of mobile technologies, systems, networks and standards that we do not</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455" w:right="2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control. We may not be successful in developing solutions that operate effectively with these technologies, systems, networks or standards. Any of these could have a material adverse effect on our business, prospects and results of operations.</w:t>
      </w:r>
    </w:p>
    <w:p>
      <w:pPr>
        <w:spacing w:after="0" w:line="162"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While marketing via non-mobile online channels has been established for several years, marketing via mobile channels, in particular via mobile apps, is a relatively new phenomenon. We have experienced and expect to continue to face more significant competition for our mobile audience solutions. In addition, in light of the rising demand for marketing via mobile apps, mobile app publishers, especially popular mobile app publishers tend to command stronger bargaining power compared to their non-mobile app publisher counterparts. All of these have resulted in a downward pricing pressure on, and increased media costs for, our mobile audience solutions. While net revenues from our mobile audience solutions increased significantly, which amounted to US$11.9 million, US$57.8 million and US$42.3 million in 2015, 2016 and the six months ended June 30, 2017, respectively, gross margins for our mobile audience solutions remained relatively low and decreased during these periods, which contributed to the decrease in our overall gross profit margin from 47.1% in 2015 to 36.0% in 2016 and further to 23.9% in the six months ended June 30, 2017. As we continue to prioritize the execution of our mobile strategy and face increasing competition and pricing pressure for our mobile audience solutions, our profit margin could be materially and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net losses in the past and may not achieve profitability in the future.</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generated net losses of US$39.7 million in 2015, US$27.3 million in 2016, US$6.6 million in the six months ended June 30, 2016 and US$22.2 million in the six months ended June 30, 2017. As of June 30, 2017, we had an accumulated deficit of US$146.6 million. We will need to generate increased revenue levels in future periods to become profitable, and, even if we do, we may not be able to improve our profitability as we intend to continue to expend significant funds to grow our marketing and sales operations, develop and enhance our data analytic capabilities, scale our data center infrastructure and services capabilities and expand into new market segments. Our efforts to grow our business may be more costly than we expect, and we may not be able to increase our revenue enough to offset our operating expenses. We may incur significant losses in the future for a number of reasons, including the other risks described in this prospectus, and unforeseen expenses, difficulties, complications and delays and other unknown events. If we are unable to achieve or sustain profitability, the market price of our ADSs may significantly decrease.</w:t>
      </w:r>
    </w:p>
    <w:p>
      <w:pPr>
        <w:spacing w:after="0" w:line="28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net revenues, net revenues as a percentage of gross billing, gross margin and the comparability of our financial results may be affected by the relative percentage of gross billing recognized as net revenues under the gross and net models.</w:t>
      </w:r>
    </w:p>
    <w:p>
      <w:pPr>
        <w:spacing w:after="0" w:line="51"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We derive revenue under two models. Our revenue from incentives earned from certain website publishers for which we act as sales agent for its content distribution opportunities, or the sales agency model, and our revenue from performing cost-plus advertisement campaigns are reported under the net model. Our revenue from performing specified actions (i.e., a cost-per-mille, or CPM, cost-per-click, or CPC, cost-per-action, or CPA, cost-per-sale, or CPS, cost-per-lead, or CPL, and return-on-investment, or ROI, basis) is reported under the gross model. Please see “Management’s Discussion and Analysis of Financial Condition and Results of Operations —Key Operating and Financial Metrics — Net Revenues” for more details. The gross profit margin under our net model is higher than the gross model as cost of revenues under the net model does not include media cost. Consequently, an increase in the percentage of gross billing recognized as net revenues under our gross model will have a positive impact on our net revenues and a negative impact on gross profit margin. As the relative percentage of gross billing from incentives earned from the website publisher under our sales agency model and from performing cost-plus advertisement campaigns, on the one hand, and from performing specified actions, on the other hand, changes from time to time, the relative percentage of gross billing recognized as net revenues under the two models also fluctuates, which would consequently impact our net revenues and gross margin. Our mobile audience solutions on one hand, and other solutions, on the other hand, each represents a mixture of revenue recognized on gross basis and on net basis and the proportion of each fluctuates from period to period.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Therefore our net revenues, net revenues as a percentage of gross billing, gross margin and the comparability of our financial results in one period to another may be affected by the relative percentage of gross billing recognized as net revenues under the gross model and net model. The relative percentage of gross billing recognized as net revenues under the gross model and net model is in turn, affected by a variety of factors, in particular, the terms of our arrangement with our customers, including whether to conduct their marketing campaigns on a specified-action (i.e., gross) or cost-plus (i.e., net) basis in a particular period, which depends on customers’ needs and goals.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retain existing customers or attract new ones could adversely impact our business and results of operations.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do not have long-term customer contracts, and a majority of our customer contracts are for a term of one year or shorter. Our customers, which refer to entities from which we recognize revenue under our marketing campaign contracts with them and which include direct marketer customers and marketing agencies, are not obligated to use our platform on an exclusive basis and they generally use multiple providers to manage their marketing spend. Accordingly, we must convince our customers to use our platform, increase their usage and spend a larger share of their online marketing budgets with us, and do so on an on-going basis.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ability to achieve customer contract renewals and new customer sales depends on many factors, some of which are out of our control, including:</w:t>
      </w:r>
    </w:p>
    <w:p>
      <w:pPr>
        <w:spacing w:after="0" w:line="131" w:lineRule="exact"/>
        <w:rPr>
          <w:sz w:val="20"/>
          <w:szCs w:val="20"/>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satisfaction with our solutions, including any new solutions that we may develop,</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competitiveness of our pricing and credit terms for our customers, which may, in turn, be constrained by our capital and financial resources,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satisfaction with our account managing services,</w:t>
      </w:r>
    </w:p>
    <w:p>
      <w:pPr>
        <w:spacing w:after="0" w:line="130" w:lineRule="exact"/>
        <w:rPr>
          <w:rFonts w:ascii="Times New Roman" w:cs="Times New Roman" w:eastAsia="Times New Roman" w:hAnsi="Times New Roman"/>
          <w:sz w:val="18"/>
          <w:szCs w:val="18"/>
          <w:color w:val="auto"/>
        </w:rPr>
      </w:pPr>
    </w:p>
    <w:p>
      <w:pPr>
        <w:ind w:left="900" w:right="540" w:hanging="325"/>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tailor our solution offerings and delivery and pricing models in accordance with the evolving needs of our customers and end marketers,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data base and solutions to serve marketers in a wider range of industries and geographic regions,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acquisitions or other consolidation among our customers and end marketers,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global economic conditions on spending levels of our customers and end marketers generally.</w:t>
      </w:r>
    </w:p>
    <w:p>
      <w:pPr>
        <w:spacing w:after="0" w:line="225"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Therefore, we cannot assure you that customers that have generated marketing spend on our platform in the past will continue to spend at similar levels or that they will continue to use our platform at all. We may not be able to replace customers which decrease or cease their usage of our platform with new customers that spend similarly on our platform. We have relied on a limited number of customers to generate a significant portion of our revenues. For example, in 2016, we had two customers that each contributed to more than 10% of our net revenues, including a marketer in the entertainment industry which contributed to 18% of our net revenues and a marketer in the e-commerce industry which contributed to 11% of our net revenues. In the six months ended June 30, 2017, we had one customer that contributed to more than 10% of our net revenues, which was a marketer in the entertainment industry and contributed to 14% of our net revenues.</w:t>
      </w:r>
    </w:p>
    <w:p>
      <w:pPr>
        <w:spacing w:after="0" w:line="189"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addition, we started a comprehensive review of the customer base for other solutions in 2016 to focus on profitability and liquidity. For example, we terminated relationship with certain customers for our other solutions as they had relatively long account receivable cycles and yielded relatively low operating profit margins. Some of these customers were large marketers and had individually accounted for more than 5% of our annual gross billing historically. As a result, gross billing from our other solutions decreased by 9.5% from US$136.9 million in 2015 to US$123.9 million in 2016 and by 40.8% from US$68.3 million in the six months ended June 30, 2016</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7"/>
          <w:szCs w:val="17"/>
          <w:color w:val="auto"/>
        </w:rPr>
        <w:t>to US$40.4 million in the same period in 2017. In addition, the total number of our customers decreased by 10.1% from 2,644 in 2015 to 2,376 in 2016 notwithstanding our full year consolidation of OptAim’s results of operations in 2016 compared to our consolidation of OptAim’s results of operations only for the period from July 24 to December 31 in 2015, and by 32.9% from 2,075 in the six months ended June 30, 2016 to 1,392 in the same period in 2017.</w:t>
      </w:r>
    </w:p>
    <w:p>
      <w:pPr>
        <w:spacing w:after="0" w:line="158"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If our existing customers do not continue to use or increase their use of our platform, or if we are unable to attract sufficient marketing spend on our platform from new customers, our business and results of operations could be materially and adversely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any marketing agency customer may materially and adversely affect our business and results of operations.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engage third-party marketing agencies to help source and serve some of our marketers. In 2016, we had over 2,000 customers, including over 1,800 direct marketer customers and over 500 marketing agency customers, which represented over 1,100 end marketers and a significant portion of our gross billing and net revenues. In the six months ended June 30, 2017, we had approximately 1,400 customers, including approximately 1,000 direct marketer customers and approximately 380 agency customers, which represented approximately 900 end marketers and a significant portion of our gross billing and net revenues. We do not have exclusive business arrangement with these marketing agencies. If we lose any marketing agency, we risk losing business from end marketers represented by that agency. In addition, some marketing agencies have their own business arrangements with content distribution channels and can directly connect marketers with such channels. Our business may suffer to the extent that marketing agencies and content distribution channels purchase and sell content distribution opportunities directly from one another or through intermediaries other than us. Loss of marketing agencies as our customers could materially and adversely affect our business and results of operations.</w:t>
      </w:r>
    </w:p>
    <w:p>
      <w:pPr>
        <w:spacing w:after="0" w:line="18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Furthermore, our contractual arrangements with marketing agency customers do not provide us with control or oversight over their day-to-day business activities. If any of our marketing agency customers engage in activities that violate laws and regulations, our reputation could be harmed and our business and results of operations could be materially and adversely affected.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any content distribution channel may materially and adversely affect our business and results of operations.</w:t>
      </w:r>
    </w:p>
    <w:p>
      <w:pPr>
        <w:spacing w:after="0" w:line="121" w:lineRule="exact"/>
        <w:rPr>
          <w:sz w:val="20"/>
          <w:szCs w:val="20"/>
          <w:color w:val="auto"/>
        </w:rPr>
      </w:pPr>
    </w:p>
    <w:p>
      <w:pPr>
        <w:ind w:right="120" w:firstLine="456"/>
        <w:spacing w:after="0" w:line="253" w:lineRule="auto"/>
        <w:rPr>
          <w:sz w:val="20"/>
          <w:szCs w:val="20"/>
          <w:color w:val="auto"/>
        </w:rPr>
      </w:pPr>
      <w:r>
        <w:rPr>
          <w:rFonts w:ascii="Times New Roman" w:cs="Times New Roman" w:eastAsia="Times New Roman" w:hAnsi="Times New Roman"/>
          <w:sz w:val="18"/>
          <w:szCs w:val="18"/>
          <w:color w:val="auto"/>
        </w:rPr>
        <w:t>Our consistent access to attractive content distribution opportunities is crucial to our business. Our content distribution channels are concentrated and primarily include online and mobile publishers, major search engines and ad exchanges, including those owned or operated by Tencent, Baidu, Google and Alibaba. Media costs for content distribution opportunities on Tencent, Baidu, Google and Alibaba channels in aggregate accounted for 84.0%, 81.6% and 87.7% of our media costs in 2015, 2016 and the six months ended June 30, 2017, respectively. Media costs for content distribution opportunities on our largest channel partner in each of 2015, 2016 and the six months ended June 30, 2017 accounted for 55.0%, 42.2% and 58.8% of our media costs, respectively, during the relevant periods, and media costs for content distribution opportunities on our second largest channel partner in each of 2015, 2016 and the six months ended June 30, 2017 accounted for 22.6%, 36.1% and 11.8% of our media costs, respectively, during the relevant periods. The loss of access to content distribution opportunities from one of those companies would negatively impact our ability to help marketers reach their audience. We currently do not own or control any content distribution channels in China. Our contracts with content distribution channels generally do not impose long-term obligations requiring them to make their content distribution opportunities available to us, and under some of these contracts, content distribution channels may terminate the contracts during their terms if we do not meet the minimum market spending requirements in the contracts. Our ability to source content distribution opportunities from them depends in part on our ability to continuously generate sufficient market spending from our customers on these channels. We cannot assure you that we will successfully retain our content channel partners on terms favorable or acceptable to us.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80"/>
          </w:cols>
          <w:pgMar w:left="240" w:top="455" w:right="2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Times New Roman" w:cs="Times New Roman" w:eastAsia="Times New Roman" w:hAnsi="Times New Roman"/>
          <w:sz w:val="17"/>
          <w:szCs w:val="17"/>
          <w:color w:val="auto"/>
        </w:rPr>
        <w:t>We generally enter into annual framework agreements with content distribution channel partners. These agreements generally provide for certain rebates or incentives, generally calculated as a percentage of marketing spend, that we are entitled to should the market spending during the terms exceed the specified thresholds. See “Management’s Discussion and Analysis of Financial Condition and Results of Operations — Key Operating and Financial Metrics</w:t>
      </w:r>
    </w:p>
    <w:p>
      <w:pPr>
        <w:spacing w:after="0" w:line="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 Net Revenues,” “— Critical Accounting Policies — Revenue recognition — Sales Agent” and “— Critical Accounting Policies — Rebates” for a description of the accounting treatment of rebates or incentives that we receive from content distribution channels. If these or any other content distribution channel were to change their rebate or incentive programs or to cease doing business with us for any reason, our financial results would be materially adversely affected.</w:t>
      </w:r>
    </w:p>
    <w:p>
      <w:pPr>
        <w:spacing w:after="0" w:line="18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Furthermore, our platform is connected with some of our content distribution channels’ platforms through application programming interfaces, or API, such as the Baidu API and Google API. We are subject to standard API terms of use of such content distribution channels, which govern the use and distribution of data from them. Our business significantly depends on access to these APIs, particularly the Baidu API and Google API on commercially reasonable terms. Our business would be harmed if any of these content distribution channels discontinue, limit or place any additional restrictions on our access to their platforms, modify their terms of use or other policies, or charge API license fees for API access. In particular, content distribution channels update their API terms of use from time to time and new versions of these terms could impose additional restrictions on us and require us to modify our software to accommodate these changes. Any of these outcomes could cause demand for our solutions to decrease, our research and development costs to increase, and as a result, our business and results of operations could suffer.</w:t>
      </w:r>
    </w:p>
    <w:p>
      <w:pPr>
        <w:spacing w:after="0" w:line="289"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independent online marketing technology market is highly fragmented and intensely competitive. In addition, independent online marketing technology platforms face competitive pressure from well-established internet companies, marketing agencies and traditional media.</w:t>
      </w:r>
    </w:p>
    <w:p>
      <w:pPr>
        <w:spacing w:after="0" w:line="5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China’s independent online marketing technology market is highly competitive, fragmented and rapidly changing. With the introduction of new technologies and the influx of new entrants, we expect competition to continue and intensify, which could harm our ability to increase revenue and attain or sustain profitability. We believe the principal competitive factors in this industry include:</w:t>
      </w:r>
    </w:p>
    <w:p>
      <w:pPr>
        <w:spacing w:after="0" w:line="82" w:lineRule="exact"/>
        <w:rPr>
          <w:sz w:val="20"/>
          <w:szCs w:val="20"/>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deliver return on marketing expenditure at scale;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trust;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reach;</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cooperation with publishers, ad exchanges, ad networks and other participants in the online marketing ecosystem;</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comprehensiveness of solutions and service offerings;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structure and competitiveness;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cross-channel capabilities;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accessibility and user-friendliness of solutions;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technical, marketing and other resources, more extensive customer base, and longer operating histories and greater brand recognition than we do. These companies have access to user information by virtue of their popular consumer-oriented websites and mobile apps, and have the technology designed for use in conjunction with the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20"/>
          </w:cols>
          <w:pgMar w:left="240" w:top="455" w:right="3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types of user information collected from their websites and mobile apps. These companies may also leverage their positions to make changes to their systems, platforms, exchanges, networks or other products or services that could be harmful to our business and results of operations. While we believe that we do not directly compete with these large and well-established internet companies as we promote their content distribution opportunities or purchase their content distribution opportunities in the ordinary course of our business in connection with our execution of marketing campaigns, and these companies generally do not provide integrated online marketing solutions the way we do, they are major players in the online marketing technology industry as they provide online marketing technology and offer services and offer solutions that help marketers achieve one or more aspects of their marketing goals in one or more phases of their online marketing cycle. In addition, these large and well-established companies control content distribution channels and would directly compete with us should we vertically expand our business to own or operate content distribution channels in the future. Further, some of these companies are, or may also become, our content distribution channels and may enter into other types of strategic arrangements with us. For example, we generally enter into annual framework agreements with content distribution channel partners, including Baidu and Tencent, to purchase or promote their content distribution opportunities. See “Business — Our Content Distribution Channels”. Competitive pressure may incentivize them to cease their partnership with us. See “— Loss of any content distribution channel may materially and adversely affect our business and results of operations.” Online marketing technology platforms also face competition from marketing agencies, who may have their own relationships with content distribution channels and can directly connect marketers with such channels. Furthermore, online marketing technology platforms continue to compete with traditional media including direct marketing, television, radio, cable and print advertising companies.</w:t>
      </w:r>
    </w:p>
    <w:p>
      <w:pPr>
        <w:spacing w:after="0" w:line="197"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New technologies and methods of online marketing present an evolving competitive challenge, as market participants upgrade or expand their service offerings to capture more marketing spend from marketers. In addition to existing competitors and their existing service offerings, we expect to face competition from new entrants to the online marketing technology industry and new service offerings from existing competitors. If existing or new companies develop, market or resell competitive high-value marketing technology solutions, acquire one of our competitors or strategic partners, form a strategic alliance or enter into exclusivity arrangement with one of our competitors or strategic partners, our ability to compete effectively could be significantly compromised and our business, results of operations and prospects could be materially and adversely affected.</w:t>
      </w:r>
    </w:p>
    <w:p>
      <w:pPr>
        <w:spacing w:after="0" w:line="29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online marketing technology solutions do not achieve widespread market acceptance, our business, growth prospects and results of operations would be materially and adversely affected.</w:t>
      </w:r>
    </w:p>
    <w:p>
      <w:pPr>
        <w:spacing w:after="0" w:line="51" w:lineRule="exact"/>
        <w:rPr>
          <w:sz w:val="20"/>
          <w:szCs w:val="20"/>
          <w:color w:val="auto"/>
        </w:rPr>
      </w:pPr>
    </w:p>
    <w:p>
      <w:pPr>
        <w:ind w:right="120" w:firstLine="456"/>
        <w:spacing w:after="0" w:line="253" w:lineRule="auto"/>
        <w:rPr>
          <w:sz w:val="20"/>
          <w:szCs w:val="20"/>
          <w:color w:val="auto"/>
        </w:rPr>
      </w:pPr>
      <w:r>
        <w:rPr>
          <w:rFonts w:ascii="Times New Roman" w:cs="Times New Roman" w:eastAsia="Times New Roman" w:hAnsi="Times New Roman"/>
          <w:sz w:val="18"/>
          <w:szCs w:val="18"/>
          <w:color w:val="auto"/>
        </w:rPr>
        <w:t>The market for online marketing technology solutions such as ours is evolving in China and these solutions may not achieve or sustain high levels of demand and market acceptance as we expect. While marketing via search engines or display channels has been established for several years, marketing via new digital channels such as mobile and social media is not as well established. The future growth of our business could be constrained by both the level of acceptance and expansion of emerging online marketing channels, as well as the continued use and growth of existing channels. Even if these channels become widely adopted, marketers and agencies may not be familiar with and make significant investments in, solutions such as ours that help them manage their online marketing across channels and devices. In addition, some of our solutions are delivered as software-as-a-service, or SaaS, offerings, which are less mature or common in China, and the pace of transition to SaaS business model may be slower among marketers with heightened data security concerns or general demand for highly customizable application software. The acceptance of our solutions delivered as SaaS offerings will depend to a substantial extent on the education of our customers on the SaaS offerings and the widespread adoption of SaaS solutions in general, and we cannot be certain that the trend of adoption of such solutions will continue in the future. Therefore, it is difficult to predict customer demand for our platform or the future growth rate and size of the market for online marketing technology solutions.</w:t>
      </w:r>
    </w:p>
    <w:p>
      <w:pPr>
        <w:spacing w:after="0" w:line="193"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Expansion of the market for online marketing technology solutions depends on a number of factors, including the growth of new digital channels such as mobile and social media and the cost, as well as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performance and perceived value associated with online marketing technology solutions. If online marketing technology solutions do not achieve widespread acceptance, or there is a reduction in demand for online marketing caused by weakening economic conditions, decreases in corporate spending, technological challenges, data security or privacy concerns, governmental regulation, competing technologies and solutions or otherwise, our business, growth prospects and results of operations will be materially and adversely affected.</w:t>
      </w:r>
    </w:p>
    <w:p>
      <w:pPr>
        <w:spacing w:after="0" w:line="28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algorithms and data engines for assessing and predicting potential audience interaction with marketing content are flawed or ineffective, or if our platform fails to otherwise function properly, our reputation and market share would be materially and adversely affected.</w:t>
      </w:r>
    </w:p>
    <w:p>
      <w:pPr>
        <w:spacing w:after="0" w:line="5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Our ability to attract marketers to, and build trust in, our platform is significantly dependent on our ability to effectively assess and predict audience interest in, and therefore interaction with, relevant marketing content. We utilize our proprietary algorithms and data engines to track, process and analyze internet user data, forecast probability and nature of internet users’ potential engagement with a given marketing message, create and tailor the marketing message to specific user interest, and execute marketing campaigns based on parameters specified by our customers. Our proprietary algorithms and data engines take into account multiple kinds and sources of data, including data on users’ interest, intent, E-commerce and offline purchase behavior, social data, demographic data and campaign performance data, which we track using our proprietary tracking tools, from our marketers, publishers and ad exchanges in connection with marketing campaigns, and from collaboration with selected third-party data partners. The data we collect may not be relevant to all industries, and for certain industries, we may not have sufficient user data to ensure that our algorithms and data engines would work effectively. Furthermore, we generally do not verify the data we gather, which may be subject to fraud or are otherwise inaccurate. Even if such data are accurate, they may become irrelevant or outdated and thus may not reflect a user’s genuine interest or accurately predict his or her interaction with a given marketing message. For example, following the date we obtain the relevant data, a user’s interest and behavior pattern may change or he or she may have already completed a transaction and is no longer interested in the marketing message.</w:t>
      </w:r>
    </w:p>
    <w:p>
      <w:pPr>
        <w:spacing w:after="0" w:line="19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addition, we expect to experience significant growth in the amount of data we process as we continue to develop new solutions and features to meet evolving and growing customer demands. As the amount of data and variables we process increases, the calculations that our algorithms and data engines must process become increasingly complex and the likelihood of any defect or error increases. To the extent our proprietary algorithms and data engines fail to accurately assess or predict a user’s interest in and interaction with, the relevant marketing content, or experience significant errors or defects, marketers may not achieve their marketing goals in a cost-effective manner or at all, which could make our platform less attractive to them, result in damages to our reputation and a decline of our market share and adversely affect our business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collect and use data from various sources could be restricted.</w:t>
      </w:r>
    </w:p>
    <w:p>
      <w:pPr>
        <w:spacing w:after="0" w:line="121" w:lineRule="exact"/>
        <w:rPr>
          <w:sz w:val="20"/>
          <w:szCs w:val="20"/>
          <w:color w:val="auto"/>
        </w:rPr>
      </w:pPr>
    </w:p>
    <w:p>
      <w:pPr>
        <w:jc w:val="both"/>
        <w:ind w:right="300" w:firstLine="456"/>
        <w:spacing w:after="0" w:line="266" w:lineRule="auto"/>
        <w:rPr>
          <w:sz w:val="20"/>
          <w:szCs w:val="20"/>
          <w:color w:val="auto"/>
        </w:rPr>
      </w:pPr>
      <w:r>
        <w:rPr>
          <w:rFonts w:ascii="Times New Roman" w:cs="Times New Roman" w:eastAsia="Times New Roman" w:hAnsi="Times New Roman"/>
          <w:sz w:val="18"/>
          <w:szCs w:val="18"/>
          <w:color w:val="auto"/>
        </w:rPr>
        <w:t>The optimal performance of our algorithms and data engines depends on the data that we collect from multiple sources, which we use to build user profiles, develop and refine our algorithms and data engines. Our ability to collect and use these types of data is limited by a number of factors, some of which are described in further details elsewhere in this section, including:</w:t>
      </w:r>
    </w:p>
    <w:p>
      <w:pPr>
        <w:spacing w:after="0" w:line="82" w:lineRule="exact"/>
        <w:rPr>
          <w:sz w:val="20"/>
          <w:szCs w:val="20"/>
          <w:color w:val="auto"/>
        </w:rPr>
      </w:pPr>
    </w:p>
    <w:p>
      <w:pPr>
        <w:ind w:left="900" w:hanging="325"/>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choices, including the blocking or deletion of cookies or modifications to privacy settings;</w:t>
      </w:r>
    </w:p>
    <w:p>
      <w:pPr>
        <w:spacing w:after="0" w:line="130"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marketers, content distribution channels, or selected third party that we have data collaboration arrangement with, to restrict our ability to collect data from them, to refuse to implement mechanisms that we request to ensure compliance with our legal obligations;</w:t>
      </w:r>
    </w:p>
    <w:p>
      <w:pPr>
        <w:spacing w:after="0" w:line="67" w:lineRule="exact"/>
        <w:rPr>
          <w:rFonts w:ascii="Times New Roman" w:cs="Times New Roman" w:eastAsia="Times New Roman" w:hAnsi="Times New Roman"/>
          <w:sz w:val="18"/>
          <w:szCs w:val="18"/>
          <w:color w:val="auto"/>
        </w:rPr>
      </w:pPr>
    </w:p>
    <w:p>
      <w:pPr>
        <w:ind w:left="900" w:right="680" w:hanging="325"/>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browser or device functionality and settings, and other new technologies, which could make it easier for users to prevent the placement of cookies or other tracking technologies;</w:t>
      </w:r>
    </w:p>
    <w:p>
      <w:pPr>
        <w:spacing w:after="0" w:line="67"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developments in law, regulations and industry standards on privacy and data protection regimes, including increased visibility of consent mechanisms as a result of these legal, regulatory or industry developments;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40"/>
          </w:cols>
          <w:pgMar w:left="240" w:top="455" w:right="31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network or software systems, or the network or software systems of marketers;</w:t>
      </w:r>
    </w:p>
    <w:p>
      <w:pPr>
        <w:spacing w:after="0" w:line="130" w:lineRule="exact"/>
        <w:rPr>
          <w:rFonts w:ascii="Times New Roman" w:cs="Times New Roman" w:eastAsia="Times New Roman" w:hAnsi="Times New Roman"/>
          <w:sz w:val="18"/>
          <w:szCs w:val="18"/>
          <w:color w:val="auto"/>
        </w:rPr>
      </w:pPr>
    </w:p>
    <w:p>
      <w:pPr>
        <w:ind w:left="900" w:right="560" w:hanging="325"/>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grow customer base in new industries and geographic markets in order to obtain the critical mass of data necessary for our algorithms and data engines to perform optimally in these new industries and geographies;</w:t>
      </w:r>
    </w:p>
    <w:p>
      <w:pPr>
        <w:spacing w:after="0" w:line="67"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 with our data partners or certain key data sources, including major internet companies in China, which may stop providing or be unable to provide us data on terms acceptable to us;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failures or defects in our data collection, mining, analysis and storage systems.</w:t>
      </w:r>
    </w:p>
    <w:p>
      <w:pPr>
        <w:spacing w:after="0" w:line="22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Any of the above described limitations on our ability to successfully collect and use data could materially impair the optimal performance of our algorithms and data engines as well as the efficiency of our solutions, which could make our platform less attractive to marketers and result in damages to our reputation, a decline of our market share and adversely affect our business and results of operations.</w:t>
      </w:r>
    </w:p>
    <w:p>
      <w:pPr>
        <w:spacing w:after="0" w:line="2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Blocking or deletion of cookies or other modifications to privacy settings on PCs and mobile devices could impair our data collection and effectiveness of our solutions.</w:t>
      </w:r>
    </w:p>
    <w:p>
      <w:pPr>
        <w:spacing w:after="0" w:line="5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Cookies that we place are generally regarded as “third party cookies” because we place them through internet browsers on an internet user when an internet user visit our website or a website owned by our marketers or other party that has given us permission to place cookies. Our cookies generally record non-personally identifiable information, including when a user views or clicks on a marketing message, where a user is located, how many marketing messages a user has seen, and browser or device information. We use data from cookies to help build user profiles that assess audience interest and predict audience potential interaction with a given marketing message. Cookies may easily be deleted or blocked by internet users. Commonly used internet browsers (Chrome, Firefox, Internet Explorer, and Safari) allow internet users to modify their browser settings to prevent cookies from being accepted by their browsers. Most browsers also now support temporary privacy modes that allow the user to suspend, with a single click, the placement of new cookies or reading or updates of existing cookies. Internet users can also delete cookies from their computers at any time. Some internet users also download free or paid “ad blocking” software that prevents certain cookies from being stored on a user’s computer. Further, certain web browsers, such as Safari, currently block or are planning to block some or all third-party cookies by default, as do Apple’s iPad and iPhones devices. Mobile devices based upon the Android operating system use cookies only in their web browser applications, so that cookies do not track Android users while they are using other applications on the device. If web browsers block, or internet users reject or delete, cookies, fewer of our cookies or our marketers’ cookies may be set in browsers or accessible in mobile devices, which could adversely affect our data collection and hence the optimal performance of our algorithms and data engines and effectiveness of our solutions.</w:t>
      </w:r>
    </w:p>
    <w:p>
      <w:pPr>
        <w:spacing w:after="0" w:line="19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Aside from blocking or deleting of cookies, other modifications to privacy settings on the PCs and mobile devices could limit or restrict our ability to collect and analyze data. For example, certain search engines, such as Google, provide an encrypted search function. Although we may still be able to see the amount of traffic brought to marketers’ website through the search engine, we will not be able to see the keywords that generate the traffic as the keywords are encrypted. This makes it more difficult for us to evaluate the effectiveness of keywords, and hence the effectiveness of our solutions may be compromised, which would result in customer departure and reputation damages, and materially and adversely affect our business and results of operations.</w:t>
      </w:r>
    </w:p>
    <w:p>
      <w:pPr>
        <w:spacing w:after="0" w:line="288"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Regulatory, legislative or self-regulatory developments for online businesses, including privacy and data protection regimes, are expansive, not clearly defined and rapidly evolving. These laws and regulations could create unexpected costs, subject us to enforcement actions for compliance failures, or restrict portions of our business or cause us to change our technology platform or business model.</w:t>
      </w:r>
    </w:p>
    <w:p>
      <w:pPr>
        <w:spacing w:after="0" w:line="67" w:lineRule="exact"/>
        <w:rPr>
          <w:sz w:val="20"/>
          <w:szCs w:val="20"/>
          <w:color w:val="auto"/>
        </w:rPr>
      </w:pPr>
    </w:p>
    <w:p>
      <w:pPr>
        <w:ind w:right="700" w:firstLine="456"/>
        <w:spacing w:after="0" w:line="282" w:lineRule="auto"/>
        <w:rPr>
          <w:sz w:val="20"/>
          <w:szCs w:val="20"/>
          <w:color w:val="auto"/>
        </w:rPr>
      </w:pPr>
      <w:r>
        <w:rPr>
          <w:rFonts w:ascii="Times New Roman" w:cs="Times New Roman" w:eastAsia="Times New Roman" w:hAnsi="Times New Roman"/>
          <w:sz w:val="18"/>
          <w:szCs w:val="18"/>
          <w:color w:val="auto"/>
        </w:rPr>
        <w:t>Governments around the world, including the PRC and Hong Kong governments, have enacted or are considering legislation related to online businesses. There may be an increase in legislation and regulation related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455" w:right="2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online marketing, the use of geo-location data to inform marketing, the collection and use of anonymous internet user data and unique device identifiers, such as IP address or mobile unique device identifiers, and other data protection and privacy regulation. Some of our competitors may have more access to lobbyists or governmental officials and may use that access to effect statutory or regulatory changes in a manner to commercially harm us while favoring their solutions. These laws and regulations could adversely affect the demand for or effectiveness and value of our solutions, force us to incur substantial costs or require us to change our business practices in a manner that could adversely affect our business and results of operations or compromise our ability to effectively pursue our growth strategies.</w:t>
      </w:r>
    </w:p>
    <w:p>
      <w:pPr>
        <w:spacing w:after="0" w:line="188" w:lineRule="exact"/>
        <w:rPr>
          <w:sz w:val="20"/>
          <w:szCs w:val="20"/>
          <w:color w:val="auto"/>
        </w:rPr>
      </w:pPr>
    </w:p>
    <w:p>
      <w:pPr>
        <w:ind w:right="60" w:firstLine="456"/>
        <w:spacing w:after="0" w:line="252" w:lineRule="auto"/>
        <w:rPr>
          <w:sz w:val="20"/>
          <w:szCs w:val="20"/>
          <w:color w:val="auto"/>
        </w:rPr>
      </w:pPr>
      <w:r>
        <w:rPr>
          <w:rFonts w:ascii="Times New Roman" w:cs="Times New Roman" w:eastAsia="Times New Roman" w:hAnsi="Times New Roman"/>
          <w:sz w:val="18"/>
          <w:szCs w:val="18"/>
          <w:color w:val="auto"/>
        </w:rPr>
        <w:t>We primarily target Chinese language internet users in China for our marketers from all over the world. As a result, we may be directly or indirectly subject to the laws and regulations on online marketing, including data and privacy laws, of multiple jurisdictions. In recent years, the PRC government has enacted legislation on internet use to protect personal information from any unauthorized disclosure. For example, the Several Provisions on Regulating the Market Order of Internet Information Services, promulgated by the Chinese Ministry of Industry and Information Technology, or MIIT, stipulate that internet information service providers must not, without a user’s consent, collect the user’s personal information that can reveal the identity of the user whether by itself or when used in combination with other information, and must not provide any such information to third parties without prior consent from the user. In addition, internet information service providers shall inform their users about their service scope and shall not use users’ information beyond such scope or collect any other information that is irrelevant to the services they provide. In Hong Kong, the Hong Kong Personal Data Ordinance prohibits an internet company collecting information about its users, analyzing the information for a profile of the user’s interests or selling or transmitting the profiles to third parties for direct marketing purposes unless it has obtained the user’s consent. The European Union has adopted the EU e-Privacy Directive and is considering reforms to its existing data protection legal framework. In addition, the EU Directive 2009/136/EC, commonly referred to as the “Cookie Directive,” directs EU member states to ensure that accessing information on an internet user’s computer, such as through a cookie, is allowed only if the internet user has given his or her consent. The U.S. government has announced that it is reviewing the need for greater regulation of the collection of consumer information, including regulation aimed at restricting some targeted advertising practices.</w:t>
      </w:r>
    </w:p>
    <w:p>
      <w:pPr>
        <w:spacing w:after="0" w:line="19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strive to comply with all applicable laws and regulations relating to privacy and data collection, processing, use, and disclosure. These laws and regulations are continually evolving, are not always clear, and are not always consistent across the jurisdictions in which we do business, and the measures we take to comply with these laws, regulations and industry standards may not always be effective. We may be subject to litigation or enforcement action or reduced demand for our solutions if we or our marketers fail to abide by applicable privacy laws or to provide adequate notice and/or obtain consent from end users. In addition, some of our content distribution channels require us to indemnify and hold them harmless from the costs or consequences of litigation resulting from using their networks. Any proceeding or perception of concerns relating to our collection, use, disclosure, and retention of data, including our security measures applicable to the data we collect, whether or not valid, could harm our reputation, force us to spend significant amounts on defense of these proceedings, distract our management, increase our costs of doing business and inhibit the use of our solutions, which could materially and adversely affect our business, results of operations and prospects.</w:t>
      </w:r>
    </w:p>
    <w:p>
      <w:pPr>
        <w:spacing w:after="0" w:line="29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and may expend significant resources in defending against, government actions and civil claims in connection with false, fraudulent, misleading or otherwise illegal marketing content for which we provide design, production or agency services.</w:t>
      </w:r>
    </w:p>
    <w:p>
      <w:pPr>
        <w:spacing w:after="0" w:line="5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Under PRC Advertising Law, where an advertising operator provides advertising design, production or agency services with respect to an advertisement when it knows or should have known that the advertisement is false, fraudulent, misleading or otherwise illegal, the competent PRC authority may confiscate the advertising operator’s advertising revenue from such services, impose penalties, order it to cease dissemination of such false, fraudulent, misleading or otherwise illegal advertisement or correct such advertisement, or suspend or revoke its business licenses under certain serious circumstances.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Under the PRC Advertising Law, “advertising operators” include any natural person, legal person or other organization that provides advertising design, production or agency services to advertisers for their advertising activities. Since our solutions involve provision of agency services to marketers, including helping them identify, engage and convert audience, and create content catering to their potential customers across different content distribution channels, we are deemed as an “advertising operator” under the PRC Advertising Law. Therefore, we are required to examine advertising content for which we provide agency services for compliance with applicable laws, notwithstanding the fact that the advertising content may have been previously published, and that the advertisers also bear liabilities for the content in their advertisements. In addition, for advertising content related to certain types of products and services, such as alcohol, cosmetics, pharmaceuticals and medical procedures, we are expected to confirm that the advertisers have obtained requisite government approvals, including operating qualifications, proof of quality inspection for the advertised products, government pre-approval of the content of the advertisements and filings with the local authorities. Although we have established internal policies to review and vet advertising content before it is placed on a content distribution channel to ensure compliance with applicable laws, we cannot ensure that each advertisement for which we provide agency services complies with all PRC laws and regulations relevant to advertising activities, that supporting documentation provided by our customers is authentic or complete, or that we are able to identify and rectify all non-compliances in a timely manner.</w:t>
      </w:r>
    </w:p>
    <w:p>
      <w:pPr>
        <w:spacing w:after="0" w:line="19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Moreover, civil claims may be filed against us for fraud, defamation, subversion, negligence, copyright or trademark infringement or other violations due to the nature and content of the information for which we provide design, production or agency services. For example, we generally represent and warrant in our contracts with content distribution channels as to the truthfulness of the advertising content that we place on these channels, and agree to indemnify the content distribution channels for any losses resulting from false, fraudulent, misleading or otherwise illegal advertising content that we place on these content distribution channels. On the other hand, not all our contracts with customers contain a back-to-back representation and warranty as to the truthfulness of the advertising content or an indemnity provision where the customers undertake to hold us harmless in case we incur losses arising out of any false, fraudulent, misleading or otherwise illegal advertising content. In the event we are subject to government actions or civil claims in connection with false, fraudulent, misleading or otherwise illegal marketing content for which we provide agency services, our reputation, business and results of operations may be materially and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grow efficiently to meet our customers’ increasing needs, our operating results could be harmed.</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usage of our solutions grows, we will need to devote additional resources to improving our system infrastructure. In addition, we will need to appropriately scale our internal business systems and our services organization, including account servicing staff, to serve marketers’ growing demands. We cannot assure you these improvements and expansions to our infrastructure and staff will be fully or effectively implemented on a timely basis, if at all. Even if we are able to upgrade our systems and expand our staff, such expansion may be expensive and complex and require our management’s time and attention. We could also face inefficiencies or operational failures as a result of our efforts to scale our infrastructure and expand our staff. Any of these could impair the performance of our platform, reduce customer satisfaction and lead to customer departure, which could harm our reputation and adversely affect our business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account services, our business and reputation may suffer.</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success in marketing and sale of our solutions and retention and expansion of customer base depends on our ability to maintain a consistently high level of customer services, customer education and technical support, which requires that our account servicing personnel have specific marketing domain knowledge and expertise. If we are unable to hire and train a sufficient number of support staff to provide effective and timely support to our customers, our customers’ appreciation of, or satisfaction with, our solutions may be adversely affected, resulting in reduced customer spending or departure and adversely affect our reputation and materially and adversely affect our business and results of operations.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innovate, adapt and respond timely and effectively to rapidly changing technologies and new trends in online marketing, our solutions may become less competitive or obsolete.</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future success will depend on our ability to continuously innovate, enhance and broaden our solutions to meet evolving marketing needs, and address technological advancements and new trends in online marketing, in particular the growing popularity of online marketing via mobile channel. We may not be able to timely identify and respond to these new trends. The design of mobile devices and operating systems is controlled by third parties with which we do not have any formal relationship. These parties frequently introduce new devices, and from time to time they may introduce new operating systems or modify existing ones. Network carriers may also restrict our ability to access specific content on mobile devices. If we fail to innovate or adapt our technologies and solutions so that they are compatible with these devices or operating systems, which in turn require that we maintain adequate research and development personnel and resources, our solutions may become less competitive or obsolete. In addition, any new solution that we develop may not receive wide acceptance as we anticipated. Any of these events could materially and adversely affect our business, results of operations and prospects.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proprietary information or other intellectual property, our business could be adversely affected.</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rely on a combination of trademark and trade secret laws, and contractual restrictions, including through confidentiality, non-disclosure and assignment of invention assignment agreements with our key employees, consultants and third parties with whom we do business, to establish, maintain and protect our proprietary information and other intellectual property. Policing any misappropriation, unauthorized use or reverse engineering our proprietary information and other intellectual property is difficult and costly and the steps we have taken may be inadequate. For example, contractual restrictions may be breached, and we may not succeed in enforcing our rights or have adequate remedies for any breach of laws or contractual restrictions. In addition, we may not be able to enter into agreements or arrangements with everyone who has access to our proprietary information or contributes to the development of our intellectual property. Moreover, our trade secrets may be disclosed to or otherwise become known or be independently developed by competitors, and in these situations we may have no or limited rights to stop others’ use of our information. Furthermore, to the extent that our employees, consultants or other third parties with whom we do business use intellectual property owned by others in their work for us, disputes may arise as to the rights to such intellectual property. If, for any of the above reasons, our intellectual property is disclosed or misappropriated, it would have an adverse effect on our business, financial condition and results of operations.</w:t>
      </w:r>
    </w:p>
    <w:p>
      <w:pPr>
        <w:spacing w:after="0" w:line="29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suffer if it is alleged or determined that our technologies or any other aspects of our business infringe on the intellectual property rights of others.</w:t>
      </w:r>
    </w:p>
    <w:p>
      <w:pPr>
        <w:spacing w:after="0" w:line="5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As we continue to expand and as litigation or other similar proceedings become more common in resolving commercial disputes, we face a higher risk of being subject to intellectual property infringement claims. Companies in the internet, technology and media industries are increasingly bringing and becoming subject to suits alleging infringement of proprietary rights. The validity, enforceability and scope of protection of intellectual property rights in internet-related industries are uncertain and evolving. In particular, our registered or unregistered trademarks or trade names may be challenged, infringed, circumvented, declared generic or determined to be infringing on other marks. At times, third parties may adopt trade names or trademarks similar to those of ours, thereby impeding our ability to build brand identity and possibly leading to market confusion. In addition, there could be potential trade name or trademark infringement claims brought by owners of other registered or unregistered trademarks that are similar to our registered or unregistered trademarks or trade names. If a third party has been using in commerce any mark that is confusingly similar to our trade names or trademarks, or has registered any such marks, prior to our use or registration of our trade names or trademarks, such third party could potentially bring infringement claims against us depending on the territory of the use or registration. Any such claim would require us to incur significant costs to defend, and if we are unsuccessful, we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may be subject to an injunction and/or required to pay significant damages or spend significant time and resources to rebrand any relevant products or services.</w:t>
      </w:r>
    </w:p>
    <w:p>
      <w:pPr>
        <w:spacing w:after="0" w:line="16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have received in the past, and expect to receive in the future, notices that claim we have infringed, misappropriated or misused other parties’ trademark and other intellectual property rights. For example, in January 2015, iClick, Inc., a company incorporated in the state of Washington in the United States and the owner of a U.S. registered trademark for the term “iClick” filed an action in the United States District Court for the District of Colorado against one of our subsidiaries in Hong Kong, iClick Interactive Asia Limited, alleging trademark and trade name infringement and unfair competition, among others. The basis of iClick Inc.’s claims arose from iClick Interactive Asia Limited’s use of the name iClick in the United States. We believe these claims lacked merit, primarily because the parties offer different goods and services, and therefore any chance of consumer confusion is remote. However, to avoid the costs and uncertainty of litigation, we settled the lawsuit in January 2016. Furthermore, we have not conducted any trademark clearance searches in the United States nor have we obtained any registrations or filed any applications for the registration of our trade names or trademarks in the United States. Although common law and federal law in the United States provide unregistered mark in use in the United States with protection against infringement, such protection is only limited to the geographic areas where such mark is in use. Therefore, we may not be able to effectively enforce and protect our trade names or trademark throughout the United States. Any litigation or other proceedings on intellectual property rights could be costly, time-consuming, divert management resources, and may impede our ability to use existing or develop new technologies or expand into new markets, any of which could have a material adverse effect upon our business and results of operations.</w:t>
      </w:r>
    </w:p>
    <w:p>
      <w:pPr>
        <w:spacing w:after="0" w:line="293"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Past and future acquisitions, strategic investments, partnership or alliance could be difficult to integrate, divert the attention of key management personnel, disrupt our business, dilute shareholder value and adversely affect our results of operations and financial condition.</w:t>
      </w:r>
    </w:p>
    <w:p>
      <w:pPr>
        <w:spacing w:after="0" w:line="5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July 2015, we acquired OptAim, a mobile marketing business. Since the acquisition, we have substantially expanded our mobile marketing business, with OptAim’s complementary mobile analytics, attribution technologies, and content distribution channel partners that allow marketers to track and optimize marketing campaigns on mobile channels. There can be no assurance that we will be successful in fully integrating, utilizing and leveraging OptAim’s business and technologies to further expand our mobile business and cross-channel capabilities, which may adversely affect our ability to achieve growth and business objectives, and have a material adverse effect upon our business and results of operations.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addition, future acquisitions, strategic investments, partnerships or alliances could be difficult to integrate, divert the attention of key management personnel, disrupt our business, dilute shareholder value and adversely affect our business and results of operations. We have limited experience in acquiring and integrating businesses, products and technologies. If we identify an appropriate acquisition candidate, we may not be successful in negotiating the terms and/or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or employee or client issues. Any acquisition or investment may require us to use significant amounts of cash, issue potentially dilutive equity securities or incur debt. In addition, acquisitions, including our recent acquisitions of OptAim, involve numerous risks, any of which could harm our business, including:</w:t>
      </w:r>
    </w:p>
    <w:p>
      <w:pPr>
        <w:spacing w:after="0" w:line="91" w:lineRule="exact"/>
        <w:rPr>
          <w:sz w:val="20"/>
          <w:szCs w:val="20"/>
          <w:color w:val="auto"/>
        </w:rPr>
      </w:pPr>
    </w:p>
    <w:p>
      <w:pPr>
        <w:ind w:left="900" w:right="520" w:hanging="325"/>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operations, technologies, services and personnel of acquired businesses, especially if those businesses operate outside of our core competency;</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and perception risks associated with the acquired product or technology by the general public;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or incompatibility of acquired technologies or solutions;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acquired businesses;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the key business relationships and the reputations of acquired businesses;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for activities of the acquired company, including claims from terminated employees, clients, former shareholders or other third parties;</w:t>
      </w:r>
    </w:p>
    <w:p>
      <w:pPr>
        <w:spacing w:after="0" w:line="130" w:lineRule="exact"/>
        <w:rPr>
          <w:rFonts w:ascii="Times New Roman" w:cs="Times New Roman" w:eastAsia="Times New Roman" w:hAnsi="Times New Roman"/>
          <w:sz w:val="18"/>
          <w:szCs w:val="18"/>
          <w:color w:val="auto"/>
        </w:rPr>
      </w:pPr>
    </w:p>
    <w:p>
      <w:pPr>
        <w:jc w:val="both"/>
        <w:ind w:left="900" w:right="160" w:hanging="325"/>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all of the problems, liabilities or other shortcomings or challenges of an acquired company, technology, or solution, including issues related to intellectual property, solution quality or architecture, regulatory compliance practices, revenue recognition or other accounting practices or employee or client issues;</w:t>
      </w:r>
    </w:p>
    <w:p>
      <w:pPr>
        <w:spacing w:after="0" w:line="81"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necessary to establish and maintain effective internal controls for acquired businesses;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further develop the acquired technology in order to recoup our investment;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fixed costs.</w:t>
      </w:r>
    </w:p>
    <w:p>
      <w:pPr>
        <w:spacing w:after="0" w:line="225"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fully integrate any future business, product or technology we acquire, our business, financial conditions and results of operations may suffer.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record significant impairment charges as a result of our acquisition of OptAim.</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As of June 30, 2017, we had US$48.5 million of goodwill, which represented approximately 32.5% of our total assets, the majority of which was related to OptAim and its subsidiaries, VIE and VIE’s subsidiary. Goodwill is recorded at fair value and is not amortized, but is reviewed for impairment at least annually or more frequently if impairment indicators arise. In evaluating the potential for impairment of goodwill, we make assumptions regarding future operating performance, business trends, and market and economic conditions. Such analyzes further require us to make judgmental assumptions about sales, operating margins, growth rates, and discount rates.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There are inherent uncertainties related to these factors and to management’s judgment in applying these factors to the assessment of goodwill recoverability. Any possible changes in our judgmental assumptions on which the recoverability of goodwill is based would cause a change in the recoverable amounts of goodwill. In addition, we could be required to evaluate the recoverability of goodwill prior to the annual assessment if there are any impairment indicators, including experiencing disruptions to the business, unexpected significant declines in operating results, divestiture of a significant component of our business or market capitalization declines, any of which could be caused by our failure to manage OptAim or to successfully integrate its operations with our other operations. Impairment charges could negatively affect our reported earnings and financial ratios in the periods of such charges and limit our ability to obtain financing in the future. See “Management’s Discussion and Analysis of Financial Condition and Results of Operations – the Effect of Our Acquisition of OptAim” and “— Critical Accounting Policies — Impairment of Goodwill” for more information.</w:t>
      </w:r>
    </w:p>
    <w:p>
      <w:pPr>
        <w:spacing w:after="0" w:line="28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controls, we may be unable to accurately report our results of operations, meet our reporting obligations or prevent fraud.</w:t>
      </w:r>
    </w:p>
    <w:p>
      <w:pPr>
        <w:spacing w:after="0" w:line="5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Prior to this offering, we were a private company with limited accounting personnel and other resources with which to address our internal controls and procedures. Our management has not completed an assessment of</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80"/>
          </w:cols>
          <w:pgMar w:left="240" w:top="455" w:right="2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and our independent registered public accounting firm has not conducted an audit of our internal control over financial reporting. In the course of auditing our consolidated financial statements for the years ended December 31, 2015 and 2016, we and our independent registered public accounting firm identified two material weaknesses in our internal control over financial reporting as well as other control deficiencies, in accordance with the standards established by the Public Company Accounting Oversight Board of the United States, or the PCAOB.</w:t>
      </w:r>
    </w:p>
    <w:p>
      <w:pPr>
        <w:spacing w:after="0" w:line="180"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As defined in the standards established by the PCAOB, a “material weakness” is a deficiency, or combination of deficiencies, in internal control over financial reporting, such that there is a reasonable possibility that a material misstatement of our company’s annual or interim financial statements will not be prevented or detected on a timely basis. The two material weaknesses identified relate to (1) the lack of sufficient accounting personnel with appropriate understanding of U.S. GAAP and SEC reporting requirements, and (2) the lack of a comprehensive accounting policies and procedures manual to facilitate preparation of U.S. GAAP financial statements, which inhibits our subsidiaries’ ability to prepare consolidation from local books based on PRC GAAP and Hong Kong Financial Reporting Standards to their U.S. GAAP basis information for group financial reporting and imposes a risk that adjustments to U.S. GAAP are not identified in a timely manner. We have taken measures and plan to continue to take measures to remediate these weaknesses. For details, see “Management’s Discussion and Analysis of Financial Condition and Results of Operations — Internal Control Over Financial Reporting.” However, the implementation of these measures may not fully address the material weaknesses and other control deficiencies in our internal control over financial reporting, and we cannot conclude that they have been fully remedied. Our failure to correct the material weaknesses and other control deficiencies, or our failure to discover and address any other control deficiencies could result in inaccuracies in our financial statements, and could also impair our ability to comply with applicable financial reporting requirements and related regulatory filings on a timely basis.</w:t>
      </w:r>
    </w:p>
    <w:p>
      <w:pPr>
        <w:spacing w:after="0" w:line="19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Neither we nor our independent registered public accounting firm has undertaken a comprehensive assessment of our internal control for purposes of identifying and reporting material weaknesses, significant deficiencies and other control deficiencies in our internal control over financial reporting as we and they will be required to do once we become a public company. In light of the number of material weaknesses and other control deficiencies that were identified as a result of the limited procedures performed, we believe it is possible that,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188"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Upon completion of this offering, we will become a public company in the United States subject to the Sarbanes-Oxley Act of 2002. Section 404 of the Sarbanes-Oxley Act of 2002, or Section 404, will require that we include a report of management on our internal control over financial reporting in our annual report on Form 20-F beginning with our annual report for the fiscal year ending December 31, 2018.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8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455" w:right="2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spacing w:after="0" w:line="29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Failures or disruption in any systems, software or hardware infrastructure supporting our platform and solutions could significantly disrupt our operation and cause us to lose customers.</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optimal performance of our solutions relies on the continued and uninterrupted performance of our systems, software and hardware infrastructure, and security and integrity of our data. They are vulnerable to damages from a variety of sources, some of which are out of our control, including telecommunications failures, power outages, cyber-attacks, or other malicious human acts and natural disasters. Any steps we take to increase the reliability and redundancy of our systems, software and hardware infrastructure supporting our platform and solutions and to improve the security of our data assets may be expensive and may not be successful in preventing system failures or disruption. For example, techniques used to obtain unauthorized access to or sabotage our data or otherwise hack our systems change frequently and generally are not recognized until launched against a target. As a result, we may be unable to anticipate these techniques or to implement adequate preventative measures. Sustained or repeated failures or disruption in our systems, including from security breaches, whether actual or perceived, could significantly reduce the attractiveness of our solutions, harm our reputation, result in our liabilities and have a material adverse effect on our business and results of operations.</w:t>
      </w:r>
    </w:p>
    <w:p>
      <w:pPr>
        <w:spacing w:after="0" w:line="18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In addition, our business may be negatively affected by interruptions or delays in services provided by third-party system or infrastructure providers that we rely upon. We currently lease data centers and utilize related equipment and services from third-party data center providers. All of our data gathering and analytics are conducted on, and the marketing content we deliver are processed through, our servers located in these data centers and their cloud. We also rely on bandwidth providers and internet information service providers to deliver marketing content. While we have disaster recovery arrangements in place, our testing in actual disasters or similar events is limited and any damage to, or failure of, the systems or facilities of our third-party providers, including as a result of any occurrence of a natural disaster, an act of terrorism, vandalism or sabotage, a decision to close any data center or the facilities of any other third-party provider without adequate notice, or other unanticipated problems at these facilities, could adversely impact our ability to deliver our solution to marketers and have a material adverse effect on our business and results of operations.</w:t>
      </w:r>
    </w:p>
    <w:p>
      <w:pPr>
        <w:spacing w:after="0" w:line="28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use software licensed from third parties, including open source software could negatively affect our ability to sell our solutions and subject us to possible litigation.</w:t>
      </w:r>
    </w:p>
    <w:p>
      <w:pPr>
        <w:spacing w:after="0" w:line="5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Our technology platform incorporates software licensed from third parties, including open source software, which we use without charge. Although we monitor our use of open source software, the terms of many open source licenses to which we are subject have not been interpreted by courts, and there is a risk that such licenses could be construed in a manner that imposes unanticipated conditions or restrictions on our ability to provide our solution to our customers. In addition, the terms of open source software licenses may require us to provide software that we develop using such software to others on unfavorable license terms. For example, certain open source licenses may require us to offer the components of our platform that incorporate the open source software for free, to make available source code for modifications or derivative works we create based upon, incorporating or using the open source software, and to license such modifications or derivative works under the terms of the particular open source license.</w:t>
      </w:r>
    </w:p>
    <w:p>
      <w:pPr>
        <w:spacing w:after="0" w:line="189"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In the future, we could be required to seek licenses from third parties in order to continue offering our solution, in which case licenses may not be available on terms that are acceptable to us, or at all. Alternatively,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may need to re-engineer our solutions or discontinue use of portions of the functionality provided by our solutions. Our inability to use third-party software could result in disruptions to our business, or delays in the development of future offerings or enhancements of our existing platform, which could materially and adversely affect our business and results of operations.</w:t>
      </w:r>
    </w:p>
    <w:p>
      <w:pPr>
        <w:spacing w:after="0" w:line="28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detect fraud or serve marketers’ marketing content on undesirable websites, our reputation will suffer, which would harm our brand and negatively impact our business and results of operations.</w:t>
      </w:r>
    </w:p>
    <w:p>
      <w:pPr>
        <w:spacing w:after="0" w:line="5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business depends in part on providing marketers with solutions that they can trust, and we have contractual commitments to take reasonable measures to prevent marketer’s marketing content from appearing on undesirable websites. We use proprietary technologies and third party services to detect click fraud and block inventory on websites with inappropriate content. However, technologies utilized by bad actors are constantly evolving. Preventing and combating fraud and inappropriate content requires constant vigilance and investment of time and resources. We may not always be successful in our efforts to do so. If we serve marketing content on websites that are objectionable to marketers, or inadvertently purchase content distribution opportunities for marketers that proves to be unacceptable for their marketing campaigns, such as fraudulent bot generated impressions, we may lose business and incur damages to our brand and reputation. In addition, we may be exposed to liabilities or the need to provide credits or refunds to our customers, and our business and results of operations may be harmed.</w:t>
      </w:r>
    </w:p>
    <w:p>
      <w:pPr>
        <w:spacing w:after="0" w:line="289"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negative publicity with respect to us, the online marketing industry in general or our partners may materially and adversely affect our reputation, business and results of operations.</w:t>
      </w:r>
    </w:p>
    <w:p>
      <w:pPr>
        <w:spacing w:after="0" w:line="5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Complaints, litigation, regulatory actions or other negative publicity that arise about the online marketing industry in general or our company in particular, including on the quality, effectiveness and reliability of online marketing solutions, privacy and security practices, and online marketing content, even if inaccurate, could adversely affect our reputation and customer confidence in, and the use of, our solutions. Harm to our reputation and customer confidence can also arise for many other reasons, including employee misconduct, misconduct of our data and content distribution channel partners, data center providers or other counterparties, failure by these persons or entities to meet minimum quality standards or otherwise fulfill their contractual obligations or to comply with applicable laws and regulations. Additionally, negative publicity with respect to our data or content distribution channel partners could also affect our business and results of operation to the extent that we rely on these partners or if marketers or marketing agencies associate our company with such partners.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promote or maintain our brand in a cost-efficient manner, our business and results of operations may be harmed.</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believe that developing and maintaining awareness of our brand in a cost-effective manner is critical to achieving widespread acceptance of our solutions, and is an important element in attracting new customers and partners. Furthermore, we believe that the importance of brand recognition will increase as competition in our market increases. Successful promotion of our brand will depend largely on our ability to deliver value propositions to marketers and on the effectiveness of our marketing efforts. In the past, our efforts to build our brand have involved significant expenses and promotion of our brand may be subject to restrictions and challenges. For example, as part of the settlement of the trademark infringement lawsuit brought by iClick, Inc. in January 2015, although we are free to use the term “iClick” in connection with our business in the United States, we are subject to ongoing obligations and restrictions to certain types of marketing and promotion that contain that term. In addition, our brand promotion activities may not yield increased revenue, and even if they do, any increased revenue may not offset the expenses we incurred in building our brand. If we fail to successfully promote and maintain our brand, or incur substantial expenses in an unsuccessful attempt to promote and maintain our brand, we may fail to attract enough new customers or retain our existing customers and our business and results of operations can be materially and adversely affected.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Misconduct, errors and failure to function by our employees could harm our business and reputation.</w:t>
      </w:r>
    </w:p>
    <w:p>
      <w:pPr>
        <w:spacing w:after="0" w:line="121"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We are exposed to many types of operational risks, including the risk of misconduct and errors by our employees. Our business depends on our employees to process a large number of marketing campaigns orders, which involve the use of audience data and marketers’ business information. We could be materially adversely affected if such data or information was disclosed to unintended recipients or if we experience an operational breakdown or failure in the processing of a marketing campaign whether as a result of human error, a purposeful sabotage or a fraudulent manipulation of our operations or systems. We could also be materially adversely affected if our employees absconded with our proprietary data or used our know-how to compete with us. Although employees have left our company in the past and may have violated the non-compete and non-solicitation clauses in their employment agreements with little impact on our business, future violations of these clauses could have a material adverse effect on our business. Any of these occurrences could result in our diminished ability to operate our business, potential liability to our customers, inability to attract future customers, reputational damage, regulatory intervention and financial harm, which could negatively impact our business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additional capital when desired, on favorable terms or at all.</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and may require additional funds, beyond those generated by this offering, to respond to business challenges, including to better support and serve our customers and provide better terms for our customers to capture more market share, develop new features or enhance our platform and solutions, improve our operating and technology infrastructure or acquire complementary businesses and technologies. Accordingly, we may need to engage in public or private equity, equity-linked or debt financings to secure additional funds. If we raise additional funds through future issuances of equity or convertible debt securities, our existing shareholders could suffer significant dilution, and any new equity securities we issue could have rights, preferences and privileges superior to those of holders of our ordinary shares.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We may not be able to obtain additional financing on terms favorable to us, if at all. If we are unable to obtain adequate financing on terms satisfactory to us when we require it, our ability to continue to support our business growth and respond to business challenges could be significantly impaired, and our business and prospects could be adversely affected.</w:t>
      </w:r>
    </w:p>
    <w:p>
      <w:pPr>
        <w:spacing w:after="0" w:line="29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retain our senior management team, including our founders, and key employees, or attract additional technology and sales talents, we may not be able to sustain our growth or achieve our business objectives.</w:t>
      </w:r>
    </w:p>
    <w:p>
      <w:pPr>
        <w:spacing w:after="0" w:line="5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Our future success is substantially dependent on the continued service of our senior management team, including our founders, Sammy Hsieh, Ricky Ng and Jian Tang. Our management team is currently spread across multiple physical locations and geographies, which can strain the organization and make coordinated management more challenging. Our future success also depends on our ability to continue to attract, retain and motivate highly skilled employees, particularly employees with technical skills that enable us to deliver effective marketing solutions, and sales and marketing, and publisher development and support personnel with experience in online marketing. Competition for these employees in our industry is intense. As a result, we may be unable to attract or retain these management, technical, sales and marketing and publisher development and support personnel who are critical to our success, resulting in harm to our key marketer and publisher relationships, loss of key information, expertise or proprietary knowledge and unanticipated recruitment and training costs. The loss of the services of our senior management or other key employees could make it more difficult to successfully operate our business and pursue our business goals.</w:t>
      </w:r>
    </w:p>
    <w:p>
      <w:pPr>
        <w:spacing w:after="0" w:line="189"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Increases in labor costs in the PRC may adversely affect our business and results of operations. Most of our employees are based in China. Chinese economy has experienced increases in inflation and labor costs in recent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years. As a result, average wages in the PRC are expected to continue to increase. In addition, we are required by PRC laws and regulations to pay various statutory employee benefits, including pension, housing fund, medical insurance, work-related injury insurance, unemployment insurance and maternity insurance to designated government agencies for the benefit of our employees. We expect that our labor costs, including wages and employee benefits, will continue to increase. Unless we are able to control our labor costs or pass on these increased labor costs to our users by increasing the fees of our services, our financial condition and results of operations may be adversely affected.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and other outbreaks, which could significantly disrupt our operations.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are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 provide solutions and services on our platform. Our business could also be adversely affected by the effects of Ebola virus disease, Zika virus disease, H1N1 flu, H7N9 flu, avian flu, Severe Acute Respiratory Syndrome, or SARS, or other epidemics. Our business operations could be disrupted if any of our employees is suspected of having Ebola virus disease, Zika virus disease, H1N1 flu, H7N9 flu, avian flu, SARS or other epidemic, since it could require our employees to be quarantined and/or our offices to be disinfected. In addition, our results of operations could be adversely affected to the extent that any of these epidemics harms the Chinese economy in general.</w:t>
      </w:r>
    </w:p>
    <w:p>
      <w:pPr>
        <w:spacing w:after="0" w:line="185"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Most of our system hardware and back-up systems are hosted in leased facilities in Hong Kong, Shanghai, Beijing, Guangzhou and Zhejiang province, and most of our directors, senior management and employees are based in Hong Kong, Shanghai and Beijing. Therefore, if any of the above-mentioned natural disasters, health epidemics or other outbreaks were to occur in these regions, our operations may experience material disruptions, such as temporary closure of our offices and suspension of services, which may materially and adversely affect our business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have any business insurance coverage.</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Insurance companies in China currently do not offer as extensive an array of insurance products as insurance companies in more developed economies. Currently, we do not have any business liability or disruption insurance to cover our operations.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business and results of operations.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continue to rely on the contractual arrangements that establish the structure for certain of our operations in China when and to the extent our operations are deemed as foreign-related survey.</w:t>
      </w:r>
    </w:p>
    <w:p>
      <w:pPr>
        <w:spacing w:after="0" w:line="51"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Foreign ownership in advertising business used to be subject to certain restrictions under the PRC laws and regulations. For example, according to the Administrative Provisions on Foreign-Invested Advertising Enterprises, which were abolished in June 2015, foreign investors were required to meet several conditions in order to invest in PRC advertising business, such as a minimum number of years of advertising-related experience and an approval from the relevant PRC regulatory authority. OptAim, which we acquired in July 2015, is a Cayman Islands company and OptAim Beijing, its PRC subsidiary, is considered a foreign invested enterprise, or FIE. To comply with the then-effective PRC laws and regulations, including the Administrative Provisions on Foreign-Invested Advertising Enterprises, OptAim Beijing entered into a set of contractual</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455"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arrangements with OptAim Network and its shareholders. For a detailed description of these contractual arrangements, see “Corporate History and Structure.” As a result of these contractual arrangements, we exert control over OptAim Network and its wholly owned subsidiary, Zhiyunzhong, and consolidate their operating results in our financial statements under U.S. GAAP.</w:t>
      </w:r>
    </w:p>
    <w:p>
      <w:pPr>
        <w:spacing w:after="0" w:line="1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are in the process of transferring the business operated by our VIE, OptAim Network, to our wholly owned subsidiaries. We expect that by the end of 2018, OptAim Beijing will replace OptAim Network as contracting party for all our mobile audience solution business that are operated by OptAim. However, we cannot assure you that such transition will be completed in a timely manner or at all as some of our customers may not be willing to enter into contracts with a new signing entity or OptAim Beijing may not have the necessary infrastructure to support the transition of all our mobile audience solution business operated by OptAim. Therefore, OptAim may continue to conduct part of its business in China through the contractual arrangements between OptAim Beijing, OptAim Network and its shareholders. In 2016, OptAim contributed 44.8% to our gross billing and 53.6% of our net revenues and in the six months ended June 30, 2017, OptAim contributed 60.1% to our gross billing and 74.1% of our net revenues.</w:t>
      </w:r>
    </w:p>
    <w:p>
      <w:pPr>
        <w:spacing w:after="0" w:line="18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March 10, 2015, only a domestic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our customers and marketers in and outside China fall within the scope of “foreign-related survey” under the Foreign-related Survey Measures. However, there are uncertainties under 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foreign-related survey license on June 6, 2017 by the Chinese National Bureau of Statistics.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Bejing’s contractual arrangements with OptAim Network and its shareholders to conduct certain of our operations in China, including to transfer such operations to our VIE to the extent they are deemed foreign-related survey.</w:t>
      </w:r>
    </w:p>
    <w:p>
      <w:pPr>
        <w:spacing w:after="0" w:line="19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the opinion of our PRC counsel, Jingtian &amp; Gongcheng, our current ownership structure, the ownership structure of our PRC subsidiaries, our consolidated variable interest entity and its subsidiary, and the contractual arrangements among OptAim Beijing, OptAim Network and the shareholders of OptAim Network are not in violation of existing PRC laws, rules and regulations; and these contractual arrangements are valid, binding and enforceable in accordance with their terms and applicable PRC laws and regulations currently in effect. However, Jingtian &amp; Gongcheng has also advised us that there are substantial uncertainties regarding the interpretation and application of current or future PRC laws and regulations and there can be no assurance that the PRC government will ultimately take a view that is consistent with the opinion of our PRC counsel.</w:t>
      </w:r>
    </w:p>
    <w:p>
      <w:pPr>
        <w:spacing w:after="0" w:line="188"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It is uncertain whether any new PRC laws, rules or regulations relating to variable interest entity structures will be adopted or if adopted, what they would provide. In particular, in January 2015, the Ministry of Commerce, or the MOC, published a discussion draft of the proposed Foreign Investment Law for public review and comments. Among other things, the draft Foreign Investment Law expands the definition of foreign investment and introduces the principle of “actual control” in determining whether a company is considered a foreign-invested enterprise, or an FIE. Under the draft Foreign Investment Law, variable interest entities would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also be deemed as FIEs, if they are ultimately “controlled” by foreign investors, and be subject to restrictions on foreign investments. However, the draft law has not taken a position on what actions will be taken with respect to the existing companies with the “variable interest entity” structure, whether or not these companies are controlled by Chinese parties. It is uncertain when the draft would be signed into law and whether the final version would have any substantial changes from the draft. See “Regulation — Regulations on Foreign Investment” and “— Substantial uncertainties exist with respect to the enactment timetable, interpretation and implementation of draft PRC Foreign Investment Law and how it may impact the viability of our current corporate structure, corporate governance and business operations.” If the ownership structure, contractual arrangements and business of our company, our PRC subsidiaries or our consolidated variable interest entity and its subsidiary are found to be in violation of any existing or future PRC laws or regulations, or we fail to obtain or maintain any of the required permits or approvals, the relevant governmental authorities would have broad discretion in dealing with such violation, including levying fines, confiscating our income or the income of our PRC subsidiaries, consolidated variable interest entity or its subsidiary, revoking the business licenses or operating licenses of our PRC subsidiaries, consolidated variable interest entity or its subsidiary, shutting down our servers or blocking our online platform, discontinuing or placing restrictions or onerous conditions on our operations, requiring us to undergo a costly and disruptive restructuring, restricting or prohibiting our use of proceeds from this offering to finance our business and operations in China, and taking other regulatory or enforcement actions that could be harmful to our business. Any of these actions could cause significant disruption to our business operations and severely damage our reputation, which would in turn materially and adversely affect our business and results of operations. If any of these occurrences results in our inability to direct the activities of our consolidated variable interest entity and its subsidiary, and/or our failure to receive economic benefits from our consolidated variable interest entity and its subsidiary, we may not be able to consolidate their results into our consolidated financial statements in accordance with U.S. GAAP.</w:t>
      </w:r>
    </w:p>
    <w:p>
      <w:pPr>
        <w:spacing w:after="0" w:line="29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contractual arrangements with our variable interest entity and its shareholders for certain of our business operations, which may not be as effective as direct ownership in providing operational control.</w:t>
      </w:r>
    </w:p>
    <w:p>
      <w:pPr>
        <w:spacing w:after="0" w:line="5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have relied and expect to continue to rely on contractual arrangements with our variable interest entity, OptAim Network, and its shareholders for part of our online marketing business on mobile channels in China, as well as certain other complementary businesses, subject to the completion of the transfers of all the customer contracts of our VIE entity to our wholly owned PRC subsidiary, and to the extent our operations are deemed as foreign-related survey. For a description of these contractual arrangements, see “Corporate History and Structure.” These contractual arrangements may not be as effective as direct ownership in providing us with control over our consolidated variable interest entity and its subsidiary.</w:t>
      </w:r>
    </w:p>
    <w:p>
      <w:pPr>
        <w:spacing w:after="0" w:line="184"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If we had direct ownership of OptAim Network and Zhiyunzhong, we would be able to exercise our rights as a shareholder to effect changes in the board of directors of OptAim Network and Zhiyunzhong, which in turn could implement changes, subject to any applicable fiduciary obligations, at the management and operational level. However, under the current contractual arrangements, we rely on the performance by OptAim Network and the shareholders of OptAim Network of their obligations under the contracts to exercise control over our consolidated variable interest entity and its subsidiary. The shareholders of our consolidated variable interest entity may not act in the best interests of our company or may not perform their obligations under these contracts. Such risks exist throughout the period in which we intend to operate our business through the contractual arrangements with OptAim Network and its shareholders. In addition, if any third party claims any interest in such shareholders’ equity interests in OptAim Network, our ability to exercise shareholders’ rights or foreclose the share pledge according to the contractual arrangements may be impaired. Therefore, our contractual arrangements with our consolidated variable interest entity may not be as effective in ensuring our control over the relevant portion of our business operations as direct ownership would be.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455" w:right="2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by our variable interest entity or its shareholders to perform their obligations under our contractual arrangements with them would have a material adverse effect on our business.</w:t>
      </w:r>
    </w:p>
    <w:p>
      <w:pPr>
        <w:spacing w:after="0" w:line="51"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If our consolidated variable interest entity or its shareholders fail to perform their respective obligations under the contractual arrangements, we may have to incur substantial costs and expend additional resources to enforce such arrangements. We may also have to rely on legal remedies under PRC laws, including seeking specific performance or injunctive relief, and claiming damages, which we cannot assure you will be effective under PRC laws. For example, if the shareholders of OptAim Network were to refuse to transfer their equity interest in OptAim Network to us or our designee if we exercise the purchase option pursuant to these contractual arrangements, or if they were otherwise to act in bad faith toward us, then we may have to take legal actions to compel them to perform their contractual obligations. In addition, if any third parties claim any interest in such shareholders’ equity interests in OptAim Network, our ability to exercise shareholders’ rights or foreclose the share pledge according to the contractual arrangements may be impaired.</w:t>
      </w:r>
    </w:p>
    <w:p>
      <w:pPr>
        <w:spacing w:after="0" w:line="189"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All the agreements under our contractual arrangements are governed by PRC laws and provide for the resolution of disputes through arbitration in China. Accordingly, these contracts would be interpreted in accordance with PRC laws and any disputes would be resolved in accordance with PRC legal procedures. The legal system in the PRC is different from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consolidated variable interest entity should be interpreted or enforced under PRC laws. There remain significant uncertainties regarding the ultimate outcome of such arbitration should legal action become necessary. In addition, under PRC laws, rulings by arbitrators are final and parties cannot appeal arbitration results in court unless such rulings are revoked or determined unenforceable by a competent court.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that we are unable to enforce these contractual arrangements, or if we suffer significant delay or other obstacles in the process of enforcing these contractual arrangements, we may not be able to exert effective control over our consolidated variable interest entity and its subsidiary, and our ability to conduct our business may be negatively affected.</w:t>
      </w:r>
    </w:p>
    <w:p>
      <w:pPr>
        <w:spacing w:after="0" w:line="29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shareholders of our variable interest entity, may have potential conflicts of interest with us, which may materially and adversely affect our business and financial condition.</w:t>
      </w:r>
    </w:p>
    <w:p>
      <w:pPr>
        <w:spacing w:after="0" w:line="51" w:lineRule="exact"/>
        <w:rPr>
          <w:sz w:val="20"/>
          <w:szCs w:val="20"/>
          <w:color w:val="auto"/>
        </w:rPr>
      </w:pPr>
    </w:p>
    <w:p>
      <w:pPr>
        <w:ind w:firstLine="456"/>
        <w:spacing w:after="0" w:line="273" w:lineRule="auto"/>
        <w:rPr>
          <w:sz w:val="20"/>
          <w:szCs w:val="20"/>
          <w:color w:val="auto"/>
        </w:rPr>
      </w:pPr>
      <w:r>
        <w:rPr>
          <w:rFonts w:ascii="Times New Roman" w:cs="Times New Roman" w:eastAsia="Times New Roman" w:hAnsi="Times New Roman"/>
          <w:sz w:val="17"/>
          <w:szCs w:val="17"/>
          <w:color w:val="auto"/>
        </w:rPr>
        <w:t>The equity interests of OptAim Network are held by Mr. Jian Tang, who is our co-founder, director, chief operating officer and chief technology officer, and Ms. Jie Jiao, who is our chief financial officer. Their interests may differ from the interests of our company as a whole. These shareholders may breach, or cause our consolidated variable interest entity to breach, or refuse to renew the existing contractual arrangements we have with them and our consolidated variable interest entity, which would have a material adverse effect on our ability to effectively control our consolidated variable interest entity and receive economic benefits from them. For example, the shareholders may be able to cause our agreements with OptAim Network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7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Currently, we do not have any arrangements to address potential conflicts of interest between these shareholders and our company, except that we could exercise our purchase option under the second amended and restated exclusive option agreement with these shareholders to request them to transfer all of their equity interests in OptAim Network to a PRC entity or individual designated by us, to the extent permitted by PRC laws. If we cannot resolve any conflict of interest or dispute between us and the shareholders of OptAim Network, we would have to rely on legal proceedings, which could result in the disruption of our business and subject us to substantial uncertainty as to the outcome of any such legal proceedings.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arrangements in relation to our variable interest entity may be subject to scrutiny by the PRC tax authorities and they may determine that we or our PRC variable interest entity owe additional taxes, which could negatively affect our results of operations and the value of your investment.</w:t>
      </w:r>
    </w:p>
    <w:p>
      <w:pPr>
        <w:spacing w:after="0" w:line="5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between our wholly owned subsidiary OptAim Beijing, our variable interest entity OptAim Network and the shareholders of OptAim Network were not entered into on an arm’s length basis in such a way as to result in an impermissible reduction in taxes under applicable PRC laws, rules and regulations, and adjust OptAim Network’s income in the form of a transfer pricing adjustment. A transfer pricing adjustment could, among other things, result in a reduction of expense deductions recorded by OptAim Network for PRC tax purposes, which could in turn increase their tax liabilities without reducing OptAim Beijing’s tax expenses. In addition, if OptAim Beijing requests the shareholders of OptAim Network to transfer their equity interests in OptAim Network at nominal or no value pursuant to these contractual arrangements, such transfer could be viewed as a gift and subject OptAim Beijing to PRC income tax. Furthermore, the PRC tax authorities may impose late payment fees and other penalties on OptAim Network for the adjusted but unpaid taxes according to the applicable regulations. Our results of operations could be materially and adversely affected if OptAim Network’s tax liabilities increase or if they are required to pay late payment fees and other penalties.</w:t>
      </w:r>
    </w:p>
    <w:p>
      <w:pPr>
        <w:spacing w:after="0" w:line="30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uncertainties exist with respect to the enactment timetable, interpretation and implementation of draft PRC Foreign Investment Law and how it may impact the viability of our current corporate structure, corporate governance and business operations.</w:t>
      </w:r>
    </w:p>
    <w:p>
      <w:pPr>
        <w:spacing w:after="0" w:line="51" w:lineRule="exact"/>
        <w:rPr>
          <w:sz w:val="20"/>
          <w:szCs w:val="20"/>
          <w:color w:val="auto"/>
        </w:rPr>
      </w:pPr>
    </w:p>
    <w:p>
      <w:pPr>
        <w:ind w:right="220" w:firstLine="456"/>
        <w:spacing w:after="0" w:line="255" w:lineRule="auto"/>
        <w:rPr>
          <w:sz w:val="20"/>
          <w:szCs w:val="20"/>
          <w:color w:val="auto"/>
        </w:rPr>
      </w:pPr>
      <w:r>
        <w:rPr>
          <w:rFonts w:ascii="Times New Roman" w:cs="Times New Roman" w:eastAsia="Times New Roman" w:hAnsi="Times New Roman"/>
          <w:sz w:val="18"/>
          <w:szCs w:val="18"/>
          <w:color w:val="auto"/>
        </w:rPr>
        <w:t>The MOC published a discussion draft of the proposed Foreign Investment Law in January 2015 aiming to, upon its enactment, replace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draft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The MOC is currently soliciting comments on this draft and substantial uncertainties exist with respect to its enactment timetable, interpretation and implementation. The draft Foreign Investment Law, if enacted as proposed, may materially impact the viability of our current corporate structure, corporate governance and business operations in many aspects.</w:t>
      </w:r>
    </w:p>
    <w:p>
      <w:pPr>
        <w:spacing w:after="0" w:line="185"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Among other things, the draft Foreign Investment Law expands the definition of foreign investment and introduces the principle of “actual control” in determining whether a company is considered an FIE. The draft Foreign Investment Law specifically provides that entities established in China but “controlled” by foreign investors will be treated as FIEs, whereas an entity set up in a foreign jurisdiction would nonetheless be, upon market entry clearance by the MOC, treated as a PRC domestic investor provided that the entity is “controlled” by PRC entities and/or citizens. According to the draft Foreign Investment Law, once an entity is determined to be an FIE, it will be subject to the foreign investment restrictions or prohibitions set forth in a “catalogue of special administrative measures,” which is classified into the “catalogue of prohibitions” and “the catalogue of restrictions”, to be separately issued by the State Council later. Foreign investors are not allowed to invest in any sector set forth in the catalogue of prohibitions. Please see “Regulation — Regulations on Foreign Investment” for more details.</w:t>
      </w:r>
    </w:p>
    <w:p>
      <w:pPr>
        <w:spacing w:after="0" w:line="185"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The draft Foreign Investment Law does not indicate what actions shall be taken with respect to companies with an existing VIE structure, whether or not these companies are controlled by Chinese parties. Moreover, it is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455" w:right="2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uncertain whether the “catalogue of special administrative measures” to be issued will differ from the Catalogue for the Guidance of Foreign Investment Industries (Revised in 2015), or the 2015 Catalogue, and re-impose foreign investment restrictions or prohibitions on online marketing industry or advertising industry. If the enacted version of the Foreign Investment Law and the final “catalogue of special administrative measures” mandate further actions, such as the MOC market entry clearance, to be completed by companies with an existing VIE structure like us, and if online marketing industry or advertising industry becomes once again subject to the foreign investment restrictions or prohibitions or if our operations are deemed as foreign-related survey, we will face uncertainties as to whether such clearance can be timely obtained, or at all. If we are not able to obtain such clearance when required, our VIE structure may be regarded as invalid and illegal. As a result, we would not be able to (i) continue our business in China through our contractual arrangements with OptAim Network and Zhiyunzhong, (ii) exert control over OptAim Network, (iii) receive the economic benefits of OptAim Network under such contractual arrangements, or (iv) consolidate the financial results of OptAim Network and Zhiyunzhong. Were this to occur, our results of operations and financial condition would be materially and adversely affected.</w:t>
      </w:r>
    </w:p>
    <w:p>
      <w:pPr>
        <w:spacing w:after="0" w:line="18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draft Foreign Investment Law, if enacted as proposed, may also materially impact our corporate governance practice and increase our compliance costs. For instance, the draft Foreign Investment Law imposes stringent ad hoc and periodic information reporting requirements on foreign investors and the applicable FIEs. Aside from an investment information report required at each investment, and investment amendment reports, which shall be submitted upon alteration of investment specifics, it is mandatory for entities established by foreign investors to submit an annual report, and large foreign investors meeting certain criteria are required to report on a quarterly basis. Any company found to be non-compliant with these reporting obligations may potentially be subject to fines and/or administrative or criminal liabilities, and the persons directly responsible may be subject to criminal liabilities.</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exercise the option to acquire equity ownership of OptAim Network, the ownership transfer may subject us to certain limitation and substantial costs.</w:t>
      </w:r>
    </w:p>
    <w:p>
      <w:pPr>
        <w:spacing w:after="0" w:line="5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Pursuant to the contractual arrangements, OptAim Beijing has the exclusive right to purchase all or any part of the equity interests in OptAim Network from OptAim Network’s shareholders for a nominal price, unless the relevant government authorities or then applicable PRC laws request that a minimum price amount be used as the purchase price, in such case the purchase price shall be the lowest amount under such request. The shareholders of OptAim Network will be subject to PRC individual income tax on the difference between the equity transfer price and the then current registered capital of our consolidated variable interest entity. Additionally, if such a transfer takes place, the competent tax authority may require OptAim Beijing to pay enterprise income tax for ownership transfer income with reference to the market value, in which case the amount of tax could be substantial.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in the interpretation and enforcement of PRC laws and regulations could limit the legal protections available to us.</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The PRC legal system is based on written statutes. Unlike common law legal systems, prior court decisions may be cited for reference but have limited precedential value. The PRC legal system evolves rapidly, and the interpretations of many laws, regulations and rules may contain inconsistencies and enforcement of these laws, regulations and rules involves uncertainties.</w:t>
      </w:r>
    </w:p>
    <w:p>
      <w:pPr>
        <w:spacing w:after="0" w:line="17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Furthermore, the PRC legal system is based in part on government policies and internal rules (some of which are not published in a timely manner or at all) that may have retroactive effect. As a result, we may not be aware of our violation of these policies and rules until sometime after the violation. Such uncertainties, including uncertainty over the scope and effect of our contractual, property (including intellectual property) and procedural rights, could materially and adversely affect our business and impede our ability to continue our operations. Litigation in China may be protracted and result in substantial costs and diversion of resources and management attention.</w:t>
      </w:r>
    </w:p>
    <w:p>
      <w:pPr>
        <w:spacing w:after="0" w:line="28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and results of operations.</w:t>
      </w:r>
    </w:p>
    <w:p>
      <w:pPr>
        <w:spacing w:after="0" w:line="5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Our primary operations are based in, and a substantial percentage of our revenue is generated from, China. Accordingly, our business, prospects, financial condition and results of operations may be influenced to a significant degree by political, economic and social conditions in China generally and by continued economic growth in China as a whole.</w:t>
      </w:r>
    </w:p>
    <w:p>
      <w:pPr>
        <w:spacing w:after="0" w:line="176" w:lineRule="exact"/>
        <w:rPr>
          <w:sz w:val="20"/>
          <w:szCs w:val="20"/>
          <w:color w:val="auto"/>
        </w:rPr>
      </w:pPr>
    </w:p>
    <w:p>
      <w:pPr>
        <w:ind w:right="300" w:firstLine="456"/>
        <w:spacing w:after="0" w:line="255" w:lineRule="auto"/>
        <w:rPr>
          <w:sz w:val="20"/>
          <w:szCs w:val="20"/>
          <w:color w:val="auto"/>
        </w:rPr>
      </w:pPr>
      <w:r>
        <w:rPr>
          <w:rFonts w:ascii="Times New Roman" w:cs="Times New Roman" w:eastAsia="Times New Roman" w:hAnsi="Times New Roman"/>
          <w:sz w:val="18"/>
          <w:szCs w:val="18"/>
          <w:color w:val="auto"/>
        </w:rPr>
        <w:t>The Chinese economy differs from the economies of most developed countries in many respects, including the amount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PRC government continues to play a significant role in regulating industry development by imposing industrial policies. The PRC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While the Chinese economy has experienced significant growth over the past decades, growth has been uneven, both geographically and among various sectors of the economy. The PRC government has implemented various measures to encourage economic growth and guide the allocation of resources. Some of these measures may benefit the overall PRC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increases, to control the pace of economic growth. These measures may cause decreased economic activity in China, and since 2012, the Chinese economy has slowed down. Any adverse changes in economic conditions in China, in the policies of the PRC government or in the laws and regulations in China could have a material adverse effect on the overall economic growth of China. Such developments could adversely affect our business and operating results, lead to reduction in demand for our services and adversely affect our competitive position.</w:t>
      </w:r>
    </w:p>
    <w:p>
      <w:pPr>
        <w:spacing w:after="0" w:line="28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downturn in the Chinese or global economy could reduce the demand for our solutions, which could materially and adversely affect our business and results of operations.</w:t>
      </w:r>
    </w:p>
    <w:p>
      <w:pPr>
        <w:spacing w:after="0" w:line="5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global financial markets have experienced significant disruptions since 2008 and the United States, Europe and other economies have experienced periods of recession. The recovery from the lows of 2008 and 2009 has been uneven and is facing new challenges, including the escalation of the European sovereign debt crisis from 2011 and the slowdown of the Chinese economy since 2012. It is unclear whether the Chinese economy will resume its high growth rate. Furthermore, the government of the United Kingdom held an in-or-out referendum on its membership in the European Union on June 23, 2016. The referendum resulted in a vote in favor of the exit of the United Kingdom from the European Union (“Brexit”). The uncertainty caused by Brexit could negatively impact all of the economies and market conditions of the European Union and/or worldwide, and could continue to contribute to instability in the global financial markets. There is considerable uncertainty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over the long-term effects of the expansionary monetary and fiscal policies adopted by the central banks and financial authorities of some of the world’s leading economies, including the United States and China. There have also been concerns over unrest in Ukraine, the Middle East and Africa, which have resulted in volatility in financial and other markets. There have also been concerns about the economic effect of the tensions in the relationship between China and surrounding Asian countries. Economic conditions in China are sensitive to global economic conditions. Any prolonged slowdown in the global or Chinese economy may reduce the demand for our solutions and have a negative impact on our business, results of operations and financial condition. Additionally, continued turbulence in the international markets may adversely affect our ability to access the capital markets to meet liquidity needs.</w:t>
      </w:r>
    </w:p>
    <w:p>
      <w:pPr>
        <w:spacing w:after="0" w:line="29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are a Cayman Islands exempted limited liability company, used as a holding company, and we rely principally on dividends and other distributions on equity from our PRC subsidiaries for our cash requirements, including payment of dividends and other cash distributions to holders of our ordinary shares and services of any debt we may incur. If our PRC subsidiaries incur debt on their own behalf in the future, the instruments governing the debt may restrict their ability to pay dividends or make other distributions to us. Under PRC laws and regulations, our PRC subsidiaries, as wholly foreign-owned enterprises in China, may pay dividends only out of their respective accumulated after-tax profits as determined in accordance with PRC accounting standards and regulations. In addition, a wholly foreign-owned enterprise is required to set aside at least 10% of its accumulated after-tax profits each year, if any, to fund certain statutory reserve funds, until the aggregate amount of such funds reaches 50% of its registered capital. At its discretion, a wholly foreign-owned enterprise may allocate a portion of its after-tax profits based on PRC accounting standards to staff welfare and bonus funds. These reserve funds and staff welfare and bonus funds are not distributable as cash dividends.</w:t>
      </w:r>
    </w:p>
    <w:p>
      <w:pPr>
        <w:spacing w:after="0" w:line="189"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In addition, the PRC tax authorities may require our PRC subsidiaries to adjust its taxable income under the contractual arrangements it currently has in place with our consolidated variable interest entity in a manner that would materially and adversely affect their ability to pay dividends and other distributions to us.</w:t>
      </w:r>
    </w:p>
    <w:p>
      <w:pPr>
        <w:spacing w:after="0" w:line="176"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26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and governmental control of currency conversion may delay or prevent us from using the proceeds of this offering to make loans to or make additional capital contributions to our PRC subsidiaries, which could materially and adversely affect our liquidity and our ability to fund and expand our business.</w:t>
      </w:r>
    </w:p>
    <w:p>
      <w:pPr>
        <w:spacing w:after="0" w:line="67" w:lineRule="exact"/>
        <w:rPr>
          <w:sz w:val="20"/>
          <w:szCs w:val="20"/>
          <w:color w:val="auto"/>
        </w:rPr>
      </w:pPr>
    </w:p>
    <w:p>
      <w:pPr>
        <w:ind w:right="160" w:firstLine="456"/>
        <w:spacing w:after="0" w:line="254" w:lineRule="auto"/>
        <w:rPr>
          <w:sz w:val="20"/>
          <w:szCs w:val="20"/>
          <w:color w:val="auto"/>
        </w:rPr>
      </w:pPr>
      <w:r>
        <w:rPr>
          <w:rFonts w:ascii="Times New Roman" w:cs="Times New Roman" w:eastAsia="Times New Roman" w:hAnsi="Times New Roman"/>
          <w:sz w:val="18"/>
          <w:szCs w:val="18"/>
          <w:color w:val="auto"/>
        </w:rPr>
        <w:t>Any funds we transfer to our PRC subsidiaries, either as a shareholder loan or as an increase in registered capital, are subject to approval by or registration with relevant governmental authorities in China. According to the relevant PRC regulations on foreign-invested enterprises in China, capital contributions to our PRC subsidiaries are subject to the requirement of making necessary filings in the Foreign Investment Comprehensive Management Information System, or FICMIS, and registration with other governmental authorities in China. In addition, (a) any foreign loan procured by our PRC subsidiaries is required to be registered with the State Administration of Foreign Exchange, or SAFE, or its local branches, and (b) each of our PRC subsidiaries may not procure loans which exceed the difference between its registered capital and its total investment amount as recorded in FICMIS. Any medium or long term loan to be provided by us to our variable interest entity must be recorded and registered by the National Development and Reform Committee and the SAFE or its local branches. We may not complete such recording or registrations on a timely basis, if at all, with respect to future capital contributions or foreign loans by us to our PRC subsidiaries. If we fail to complete such recording or registration,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ability to use the proceeds of this offering and to capitalize our PRC operations may be negatively affected, which could adversely affect our liquidity and our ability to fund and expand our business.</w:t>
      </w:r>
    </w:p>
    <w:p>
      <w:pPr>
        <w:spacing w:after="0" w:line="162" w:lineRule="exact"/>
        <w:rPr>
          <w:sz w:val="20"/>
          <w:szCs w:val="20"/>
          <w:color w:val="auto"/>
        </w:rPr>
      </w:pPr>
    </w:p>
    <w:p>
      <w:pPr>
        <w:ind w:right="80" w:firstLine="456"/>
        <w:spacing w:after="0" w:line="252" w:lineRule="auto"/>
        <w:rPr>
          <w:sz w:val="20"/>
          <w:szCs w:val="20"/>
          <w:color w:val="auto"/>
        </w:rPr>
      </w:pPr>
      <w:r>
        <w:rPr>
          <w:rFonts w:ascii="Times New Roman" w:cs="Times New Roman" w:eastAsia="Times New Roman" w:hAnsi="Times New Roman"/>
          <w:sz w:val="18"/>
          <w:szCs w:val="18"/>
          <w:color w:val="auto"/>
        </w:rPr>
        <w:t>In 2008, the SAFE promulgated the Circular on the Relevant Operating Issues Concerning the Improvement of the Administration of the Payment and Settlement of Foreign Currency Capital of Foreign-Invested Enterprises, or SAFE Circular 142, which used to regulate the conversion by foreign-invested enterprises of foreign currency into Renminbi by restricting the usage of converted Renminbi. On March 30, 2015, the SAFE promulgated the Circular on Reforming the Management Approach Regarding the Foreign Exchange Capital Settlement of Foreign-Invested Enterprises, or SAFE Circular 19. SAFE Circular 19 took effect as of June 1, 2015 and superseded SAFE Circular 142 on the same date. SAFE Circular 19 launched a nationwide reform of the administration of the settlement of the foreign exchange capitals of foreign-invested enterprises and allows foreign-invested enterprises to settle their foreign exchange capital at their discretion, but continues to prohibit foreign-invested enterprises from using the Renminbi fund converted from their foreign exchange capitals for expenditure beyond their business scopes, investment in security market, offering of entrustment loans or purchase of any investment properties. On June 9, 2016, the Notice of the State Administration of Foreign Exchange on Reforming and Standardizing the Administrative Provisions on Capital Account Foreign Exchange Settlement, or SAFE Circular 16, was promulgated. In addition to restating the general principles of SAFE Circular 19, SAFE Circular 16 explicitly stipulates that foreign debts and repatriated funds raised through overseas listings as foreign exchange receipts can be settled discretionally. SAFE Circular 16 continues to prohibit foreign-invested enterprises from using the Renminbi funds converted from their foreign exchange capitals for expenditures beyond their business scopes, investments in security market, offerings of entrustment loans or purchases of any investment properties. Although SAFE Circular 16 further relaxes the control over foreign exchange settlement of capital accounts, in practice, there are still several specific requirements that limit the abilities of PRC enterprises to access the offshore financing capitals, which may adversely affect our business, financial conditions and operating results.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adverse effect on our results of operations and the price of our ADSs.</w:t>
      </w:r>
    </w:p>
    <w:p>
      <w:pPr>
        <w:spacing w:after="0" w:line="121"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w:t>
      </w:r>
    </w:p>
    <w:p>
      <w:pPr>
        <w:spacing w:after="0" w:line="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In the fourth quarter of 2016, the Renminbi has depreciated significantly in the backdrop of a surging U.S. dollar and persistent capital outflows of China.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 In addition, the People’s Bank of China may, from time to time, release policies and measures concerning the foreign exchange market to limit fluctuations in Renminbi exchange rates and for other policy considerations.</w:t>
      </w:r>
    </w:p>
    <w:p>
      <w:pPr>
        <w:spacing w:after="0" w:line="194"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A substantial portion of our revenues and costs are denominated in Renminbi, whereas our reporting currency is the U.S. dollar. Any significant depreciation of the Renminbi may materially and adversely affect our revenues, earnings and financial position as reported in U.S. dollars. To the extent that we need to convert U.S.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80"/>
          </w:cols>
          <w:pgMar w:left="240" w:top="455" w:right="27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dollars we receive from this offering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an adverse effect on the U.S. dollar amount available to us.</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limit our ability to utilize our revenues effectively and affect the value of your investment.</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the Renminbi into foreign currencies and, in certain cases, the remittance of currency out of China. We receive a substantial portion of our revenues in Renminbi. Under our current corporate structure, our company in the Cayman Islands relies on dividend payments from our PRC subsidiaries and HK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the SAFE by complying with certain procedural requirements. Therefore, our PRC subsidiaries are able to pay dividends in foreign currencies to us without prior approval from the SAFE, subject to the condition that the remittance of such dividends outside of the PRC complies with certain procedures under PRC foreign exchange regulation, such as the overseas investment registrations by the beneficial owners of our company who are PRC residents. However, approval from or registration with appropriate government authorities is required where the Renminbi is to be converted into foreign currency and remitted out of China to pay capital expenses such as the repayment of loans denominated in foreign currencies, as enterprises shall duly file the cross-border financing contracts according to the Circular of the People’s Bank of China on Matters relating to the Macro-prudential Management of Full-covered Cross-border Financing for the Issuance of Foreign Debts by Enterprise, or Circular on Management of Cross-border Financing, effective on January 10, 2017, and any medium or long term loan to be provided by foreign entities to domestic enterprises must be recorded and registered by the National Development and Reform Committee, or the NDRC, according to the Circular on Promoting the Administrative Reform of the Record-filing and Registration System for the Issuance of Foreign Debts by Enterprises, or Circular on Promoting the Administrative Reform, by the NDRC on September 14, 2015.</w:t>
      </w:r>
    </w:p>
    <w:p>
      <w:pPr>
        <w:spacing w:after="0" w:line="197"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In light of the flood of capital outflows of China in 2016 due to the weakening Renminbi, the PRC government has imposed more restrictive foreign exchange policies and stepped up scrutiny of major outbound capital movement. More restrictions and substantial vetting process are put in place by the SAFE to regulate cross-border transactions falling under the capital account. The PRC government may at its discretion further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2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investments in offshore special purposes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67"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The SAFE promulgated the Circular on Relevant Issues Concerning Foreign Exchange Control on Domestic Residents’ Offshore Investment and Financing and Roundtrip Investment through Special Purpose Vehicles, 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SAFE Circular 37, on July 4, 2014. SAFE Circular 37 requires PRC residents to register with the local SAFE branches in connection with their direct establishment or indirect control of any offshore entity, referred to in SAFE Circular 37 as a “special purpose vehicle”, for the purpose of overseas investment and financing with such PRC residents’ legally owned assets or equity interests in domestic enterprises or offshore assets or interests. SAFE Circular 37 requires further registrations in the event of any significant changes with respect to the special purpose vehicle, such as increase or decrease of capital contributed by PRC individuals, share transfer or exchange, merger, division or other material events. In the event that a PRC shareholder holding interests in a special purpose vehicle fails to fulfill this required SAFE registration, the PRC subsidiaries of that special purpose vehicle may be prohibited from making profit distributions to the offshore parent and from carrying out subsequent cross-border foreign exchange activities, and it may be restricted from contributing additional capital into its PRC subsidiaries. Moreover, failure to comply with the various SAFE registration requirements described above could result in liabilities under PRC law for evasion of foreign exchange controls. According to the Notice on Further Simplifying and Improving Policies for the Foreign Exchange Administration of Direct Investment released on February 13, 2015 by the SAFE, local banks shall examine and handle foreign exchange registration for overseas direct investment, including the initial foreign exchange registration and amendment registration under SAFE Circular 37 since June 1, 2015. Beneficial owners of the special purpose vehicle who are PRC citizens are also required to make annual filing with the local banks regarding their overseas direct investment status.</w:t>
      </w:r>
    </w:p>
    <w:p>
      <w:pPr>
        <w:spacing w:after="0" w:line="18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Certain beneficiary owners of our shares who are PRC residents, including Jiping Liu, have not completed their registration with the SAFE for their beneficial ownership of our shares. Moreover, we do not have control over our beneficial owners and may not be aware of the identities of all of our beneficial owners. We cannot assure you that all of our PRC-resident beneficial owners comply with SAFE Circular 37 and subsequent implementation rules. The failure of our beneficial owners who are PRC residents to register or amend their foreign exchange registrations in a timely manner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or our PRC subsidiaries to fines and legal sanctions. Failure to register or comply with relevant requirements may also limit our ability to contribute capital to our PRC subsidiaries and limit our PRC subsidiaries’ ability to distribute dividends to us. These risks may have a material adverse effect on our business, financial condition and results of operations.</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5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Among other things, the Regulations on Mergers and Acquisitions of Domestic Enterprises by Foreign Investors, or the M&amp;A rules, established additional procedures and requirements that could make merger and acquisition activities by foreign investors more time-consuming and complex. Such regulation requires, among other things, that the Ministry of Commerce of the People’s Republic of China, or the MOFCOM, be notified in advance of any change-of-control transaction in which a foreign investor acquires control of a PRC domestic enterprise or a foreign company with substantial PRC operations, if certain thresholds under the Provisions on Thresholds for Prior Notification of Concentrations of Undertakings, issued by the State Council in 2008, were triggered. Moreover, the Anti-Monopoly Law promulgated by the Standing Committee of the National People’s Congress of the PRC, which became effective in 2008 requires that transactions which are deemed concentrations and involve parties with specified turnover thresholds must be cleared by the MOFCOM before they can be completed. In addition, the Notice of the General Office of the State Council on Establishing the Security Review System for Mergers and Acquisitions of Domestic Enterprises by Foreign Investors which became effective in September 2011 require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could be time-consuming, and any required approval processes, including obtaining approval or clearance from the MOFCOM, may delay or inhibit our ability to complete such transactions, which could affect our ability to expand our business or maintain our market share.</w:t>
      </w:r>
    </w:p>
    <w:p>
      <w:pPr>
        <w:spacing w:after="0" w:line="266"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5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Pursuant to SAFE Circular 37, PRC residents who participate in share incentive plans in overseas non-publicly-listed companies may submit applications to the SAFE or its local branches for the foreign exchange registration with respect to offshore special purpose companies. In the meantime, our directors, executive officers and other employees who are PRC citizens or who are non-PRC residents residing in the PRC for a continuous period of not less than one year, subject to limited exceptions, and who have been granted incentive share awards by us, may follow the Notices on Issues Concerning the Foreign Exchange Administration for Domestic Individuals Participating in Stock Incentive Plan of Overseas Publicly-Listed Company, promulgated by the SAFE in 2012, or the 2012 SAFE Notices. Pursuant to the 2012 SAFE Notices, PRC citizens and non-PRC citizens who reside in China for a continuous period of not less than one year who participate in any stock incentive plan of an overseas publicly listed company, subject to a few exceptions, are required to register with the SAFE through a domestic qualified agent, which could be the PRC subsidiaries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will be subject to these regulations when our company becomes an overseas listed company upon the completion of this offering. Failure to complete the SAFE registrations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“Regulation — Regulations on Foreign Exchange — Equity Incentive Plans.”</w:t>
      </w:r>
    </w:p>
    <w:p>
      <w:pPr>
        <w:spacing w:after="0" w:line="197"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State Administration of Taxation, or SAT, has issued certain circulars concerning employee share options and restricted shares. Under these circulars, our employees working in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governmental authorities. See “Regulation — Regulations on Foreign Exchange — Equity Incentive Plans.”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make adequate contributions to various employee benefit plans as required by PRC regulations may subject us to penalties.</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Companies operating in China are required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We have not made adequate employee benefit payments. We may be required to make up the contributions for these plans as well as to pay late fees and fines. If we are subject to late fees or fines in relation to the underpaid employee benefits, our financial condition and results of operations may be adversely affected.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51"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a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over and overall management of the business, productions, personnel, accounts and properties of an enterprise. In April 2009, the SAT issued the Notice Regarding the Determination of Chinese-Controlled Offshore Incorporated Enterprises as PRC Tax Resident Enterprises on the Basis of De Facto Management Bodies,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like us,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97"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believe none of our entities outside of China is a PRC resident enterprise for PRC tax purposes. See “Taxation — People’s Republic of China Taxation.” However, the tax resident status of an enterprise is subject to determination by the PRC tax authorities and uncertainties remain with respect to the interpretation of the term “de facto management body. As a majority of our management members are based in China, it remains unclear how the tax residency rule will apply to our case. If the PRC tax authorities determine that iClick Interactive Asia Group Limited or any of our subsidiaries outside of China is a PRC resident enterprise for PRC enterprise income tax purposes, then iClick Interactive Asia Group Limited or such subsidiary could be subject to PRC tax at a rate of 25% on its world-wide income, which could materially reduce our net income. In addition, we will also be subject to PRC enterprise income tax reporting obligations. Furthermore, income and any gains realized in respect to our ordinary shares or ADSs may be deemed by the PRC tax authorities as income or gain, as the case may be, arising from sources within the PRC, as described immediately below.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PRC income tax on dividends from us or on any gain realized on the transfer of our ordinary shares.</w:t>
      </w:r>
    </w:p>
    <w:p>
      <w:pPr>
        <w:spacing w:after="0" w:line="121"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color w:val="auto"/>
        </w:rPr>
        <w:t>Under the EIT Law and its implementation rules, subject to any applicable tax treaty or similar arrangement between the PRC and our shareholders’ jurisdictions of residence that provide for a different income tax arrangement, PRC withholding tax at the rate of 10% is generally applicable to dividends from PRC sources paid to shareholders that are non-PRC resident enterprises, which do not have an establishment or place of business in the PRC, or which have such establishment or place of business but the relevant income is not effectively connected with the establishment or place of business. Any gain realized on the transfer of shares by such shareholders is subject to 10% PRC income tax if such gain is regarded as income derived from sources within the PRC unless a treaty or similar arrangement otherwise provides. Under the PRC Individual Income Tax Law and its implementation rules, dividends from sources within the PRC paid to foreign individual investors who are not PRC residents are generally subject to a PRC withholding tax at a rate of 20% and gains from PRC sources realized by such investors on the transfer of shares are generally subject to 20% PRC income tax, in each case, subject to any reduction or exemption set forth in applicable tax treaties and PRC laws.</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80"/>
          </w:cols>
          <w:pgMar w:left="240" w:top="455" w:right="2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As described in the preceding risk factor, there is a risk that we will be treated by the PRC tax authorities as a PRC tax resident enterprise. In that case, dividend income and gains from sales of our shares or ADSs may be treated as PRC source income or gains subject to the PRC taxes described above.</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If PRC income tax is imposed on gains realized on the transfer of our ordinary shares or ADSs or on dividends paid to our non-resident shareholders or ADS holders, the value of your investment in our ordinary shares or ADSs may be materially and adversely affected. Furthermore, our shareholders or ADS holders whose jurisdictions of residence have tax treaties or arrangements with China may not qualify for benefits under such tax treaties or arrangements.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Value-added tax, or VAT, is imposed to replace the business tax, which could result in unfavorable tax consequences to us.</w:t>
      </w:r>
    </w:p>
    <w:p>
      <w:pPr>
        <w:spacing w:after="0" w:line="121" w:lineRule="exact"/>
        <w:rPr>
          <w:sz w:val="20"/>
          <w:szCs w:val="20"/>
          <w:color w:val="auto"/>
        </w:rPr>
      </w:pPr>
    </w:p>
    <w:p>
      <w:pPr>
        <w:ind w:right="20" w:firstLine="456"/>
        <w:spacing w:after="0" w:line="270" w:lineRule="auto"/>
        <w:rPr>
          <w:sz w:val="20"/>
          <w:szCs w:val="20"/>
          <w:color w:val="auto"/>
        </w:rPr>
      </w:pPr>
      <w:r>
        <w:rPr>
          <w:rFonts w:ascii="Times New Roman" w:cs="Times New Roman" w:eastAsia="Times New Roman" w:hAnsi="Times New Roman"/>
          <w:sz w:val="17"/>
          <w:szCs w:val="17"/>
          <w:color w:val="auto"/>
        </w:rPr>
        <w:t>The Ministry of Finance and the SAT promulgated the Circular on the Inclusion of the Railway Transportation Industry and Postal Service Industry in the Pilot Collection of Value-added Tax to Replace Business Tax, or Circular 106. Pursuant to Circular 106, starting from January 1, 2014, a VAT rate of 6% applies to revenue derived from the provision of express delivery services, and a VAT rate of 11% applies to revenue derived from provision of transportation services, which is higher than the previously applicable 5% and 3% business tax rate. In 2016, the Ministry of Finance and the SAT promulgated the Circular on Comprehensively Promoting the Pilot Program of the Collection of Value-added Tax to Replace Business Tax, or Circular 36. Circular 36 took effect as of May 1, 2016 and superseded Circular 106 on the same date. Circular 36 expanded the application of VAT in replacement business tax to enterprises engaging in the building industry, the real estate industry, the financial industry and the life service industry on a nationwide basis. According to Circular 36, the VAT rates applicable to revenue derived from the provision of express delivery services and revenue derived from provision of transportation services remain the same (6% and 11% respectively) as those under Circular 106. Although a taxpayer is allowed to offset the qualified input VAT paid on taxable purchases against the output VAT chargeable on the revenue from services provided, our effective tax rate could be higher. The replacement of the business tax with a VAT on our services could result in unfavorable tax consequences to us. See “Regulation — Regulations on Tax — Value Added Tax.”</w:t>
      </w:r>
    </w:p>
    <w:p>
      <w:pPr>
        <w:spacing w:after="0" w:line="278"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certain benefits under relevant tax treaty on dividends paid by our PRC subsidiaries to us through our Hong Kong subsidiaries.</w:t>
      </w:r>
    </w:p>
    <w:p>
      <w:pPr>
        <w:spacing w:after="0" w:line="5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We are an exempted limited liability company, used as holding company, incorporated under the laws of the Cayman Islands and as such rely on dividends and other distributions on equity from our PRC subsidiaries, as paid to us through our Hong Kong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the Mainland China and the Hong Kong Special Administrative Region for the Avoidance of Double Taxation and Tax Evasion on Income, or the Double Tax Avoidance Arrangement, and Circular 81 issued by the State Administration of Taxation, such withholding tax rate may be lowered to 5% if the PRC enterprise is at least 25% held by a Hong Kong enterprise throughout the 12 months prior to distribution of the dividends and is determined by the relevant PRC tax authority to have satisfied other requirements. Furthermore, under the Administrative Measures for Non-Resident Enterprises to Enjoy Treatments under Tax Treaties, which became effective in August 2015, the non-resident enterprises shall determine whether they are qualified for preferential tax treatment under the tax treaties and file relevant reports and materials with the tax authorities. There are also other conditions for benefiting from the reduced withholding tax rate according to other relevant tax rules and regulations. See “Taxation — People’s Republic of China Taxation.” We cannot assure you that our determination regarding our Hong Kong subsidiaries’ qualification to benefit from the preferential tax treatment will not be challenged by the relevant PRC tax authority or that we will be able to complete the necessary filings with the relevant PRC tax authority and benefit from the preferential withholding tax rate of 5% under the</w:t>
      </w:r>
    </w:p>
    <w:p>
      <w:pPr>
        <w:spacing w:after="0" w:line="1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60"/>
          </w:cols>
          <w:pgMar w:left="240" w:top="455" w:right="29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Double Taxation Avoidance Arrangement with respect to dividends to be paid by our PRC subsidiaries to our Hong Kong subsidiaries.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uncertainties with respect to indirect transfers of equity interests in PRC resident enterprises by their non-PRC holding companies.</w:t>
      </w:r>
    </w:p>
    <w:p>
      <w:pPr>
        <w:spacing w:after="0" w:line="12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Pursuant to the Notice on Strengthening Administration of Enterprise Income Tax for Share Transfers by Non-PRC Resident Enterprises, or SAT Circular 698, issued by the SAT in 2009 with retroactive effect from January 1, 2008, where a non-resident enterprise transfers the equity interests of a PRC resident enterprise indirectly by disposition of the equity interests of an overseas holding company, or an Indirect Transfer, and such overseas holding company is located in a tax jurisdiction that: (a) has an effective tax rate less than 12.5% or (b) does not tax foreign income of its residents, the non-resident enterprise, being the transferor, shall report to the competent tax authority of the PRC resident enterprise this Indirect Transfer.</w:t>
      </w:r>
    </w:p>
    <w:p>
      <w:pPr>
        <w:spacing w:after="0" w:line="184"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On February 3, 2015, the SAT issued a Public Notice Regarding Certain Corporate Income Tax Matters on Indirect Transfer of Properties by Non-Resident Enterprises, or SAT Public Notice 7. SAT Public Notice 7 supersedes the rules with respect to the Indirect Transfer under SAT Circular 698, but does not touch upon the other provisions of SAT Circular 698, which remain in force. SAT Public Notice 7 has introduced a new tax regime that is significantly different from the previous one under SAT Circular 698 (Article V and Article VI). SAT Public Notice 7 extends its tax jurisdiction to not only Indirect Transfers set forth under SAT Circular 698 but also transactions involving transfer of other taxable assets through offshore transfer of a foreign intermediate holding company. In addition, SAT Public Notice 7 provides clearer criteria than SAT Circular 698 for assessment of reasonable commercial purposes and has introduced safe harbors for internal group restructurings and the purchase and sale of equity through a public securities market. SAT Public Notice 7 also brings challenges to both foreign transferor and transferee (or other person who is obligated to pay for the transfer) of taxable assets. Where a non-resident enterprise transfers taxable assets indirectly by disposing of the equity interests of an overseas holding company (other than by way of sale of equity securities traded on a public market),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will the applicable taxes be withheld from payments to the transferor, currently at a rate of 10%. Both the transferor and the PRC entity that directly owns the taxable assets, or the withhold agent, may be subject to penalties under PRC tax laws if the withhold agent fails to withhold the taxes and the transferor fails to pay the taxes.</w:t>
      </w:r>
    </w:p>
    <w:p>
      <w:pPr>
        <w:spacing w:after="0" w:line="19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or subject to withholding obligations in such transactions, under SAT Circular 698 and SAT Public Notice 7. For transfer of shares in our company by investors that are non-PRC resident enterprises, our PRC subsidiaries may be requested to assist in the filing under SAT Circular 698 and SAT Public Notice 7. As a result, we may be required to expend valuable resources to comply with SAT Circular 698 and SAT Public Notice 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455" w:right="2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audit report included in this prospectus has been issued by auditors whose work, in part, is outside the scope of inspection by the PCAOB and, as such, you may be deprived of the benefits of such inspection with respect to such work.</w:t>
      </w:r>
    </w:p>
    <w:p>
      <w:pPr>
        <w:spacing w:after="0" w:line="51"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Our independent registered public accounting firm that issues the audit reports included in this prospectus, as an auditor of companies that are traded publicly in the United States and a firm registered with the PCAOB, is required by the laws of the United States to undergo regular inspections by the PCAOB to assess its compliance with the laws of the United States and professional standards. The PCAOB is currently unable to inspect the audit work of our independent registered public accounting firm with respect to our operations in mainland China without the approval of certain Chinese authorities. In May 2013, PCAOB announced that it had entered into a Memorandum of Understanding on Enforcement Cooperation with the China Securities Regulatory Commission, or the CSRC, and the Ministry of Finance, which establishes a cooperative framework between the parties for the production and exchange of audit documents relevant to investigations undertaken by PCAOB, the CSRC, or the Ministry of Finance in the United States and the PRC, respectively. PCAOB continues to be in discussions with the CSRC and the Ministry of Finance to permit joint inspections in the PRC of audit firms that are registered with PCAOB and audit US listed Chinese companies.</w:t>
      </w:r>
    </w:p>
    <w:p>
      <w:pPr>
        <w:spacing w:after="0" w:line="18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Inspections of audit firms that the PCAOB has conducted outside mainland China have identified deficiencies in those firms’ audit procedures and quality control procedures, which may be addressed as part of the inspection process to improve future audit quality. The PCAOB’s current inability to conduct inspections in mainland China prevents the PCAOB from regularly evaluating our auditor’s audit procedures and quality control procedures as they relate to our operations in mainland China, where our revenues are derived. As a result, investors may be deprived of the benefits of such regular PCAOB inspections and may lose confidence in our reported financial information and the quality of our financial statements.</w:t>
      </w:r>
    </w:p>
    <w:p>
      <w:pPr>
        <w:spacing w:after="0" w:line="28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Proceedings instituted by the SEC against the “big four” PRC-based accounting firms, including our independent registered public accounting firm, could result in financial statements being determined to not be in compliance with the requirements of the Exchange Act.</w:t>
      </w:r>
    </w:p>
    <w:p>
      <w:pPr>
        <w:spacing w:after="0" w:line="5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late 2012, the SEC commenced administrative proceedings under Rule 102(e) of its Rules of Practice and also under the Sarbanes-Oxley Act against the Chinese affiliates of the “big four” accounting firms (including our auditors). The Rule 102(e) proceedings initiated by the SEC relate to these firms’ inability to produce documents, including audit work papers, in response to the request of the SEC pursuant to Section 106 of the Sarbanes-Oxley Act, as the auditors located in the PRC are not in a position lawfully to produce documents directly to the SEC because of restrictions under PRC law and specific directives issued by the China Securities Regulatory Commission, or the CSRC. The issues raised by the proceedings are not specific to our auditors or to us, but affect equally all audit firms based in China and all China-based businesses with securities listed in the United States.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Our American Depositary Shares</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ordinary shares or our ADSs may not develop and the trading price for our ADSs may fluctuate significantly, you may not be able to resell the ADSs at or above the public offering price.</w:t>
      </w:r>
    </w:p>
    <w:p>
      <w:pPr>
        <w:spacing w:after="0" w:line="51" w:lineRule="exact"/>
        <w:rPr>
          <w:sz w:val="20"/>
          <w:szCs w:val="20"/>
          <w:color w:val="auto"/>
        </w:rPr>
      </w:pPr>
    </w:p>
    <w:p>
      <w:pPr>
        <w:ind w:firstLine="456"/>
        <w:spacing w:after="0" w:line="274" w:lineRule="auto"/>
        <w:rPr>
          <w:sz w:val="20"/>
          <w:szCs w:val="20"/>
          <w:color w:val="auto"/>
        </w:rPr>
      </w:pPr>
      <w:r>
        <w:rPr>
          <w:rFonts w:ascii="Times New Roman" w:cs="Times New Roman" w:eastAsia="Times New Roman" w:hAnsi="Times New Roman"/>
          <w:sz w:val="17"/>
          <w:szCs w:val="17"/>
          <w:color w:val="auto"/>
        </w:rPr>
        <w:t>We expect to list our ADSs on the NASDAQ Global Market. We have no current intention to seek a listing for our ordinary shares on any stock exchange. Prior to the completion of this offering, there has been no public market for our ADSs or our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will be determined by negotiation between us and the underwriters based upon several factors. We can provide no assurance that the trading price of our ADSs after this offering will not decline below the initial public offering price. As a result, investors in our securities may experience a significant decrease in the value of their ADSs.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455" w:right="2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ADSs may be volatile.</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trading prices of our ADSs are likely to be volatile and could fluctuate widely due to factors beyond our control. This may happen because of broad market and industry factors, like the performance and fluctuation in the market prices or the underperformance or deteriorating financial results of other listed internet or other companies based in China that have listed their securities in the United States in recent years. The securities of some of these companies have experienced significant volatility since their initial public offerings, including, in some cases, substantial price declines in their trading prices. The trading performances of other Chinese companies’ securities after their offerings may affect the attitudes of investors toward Chinese companies listed in the United States, which consequently may impact the trading performance of our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Furthermore, securities markets may from time to time experience significant price and volume fluctuations that are not related to our operating performance, such as the large decline in share prices in the United States, China and other jurisdictions in late 2008, early 2009 and the second half of 2011, which may have a material adverse effect on the market price of our ADSs.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the above factors, the price and trading volume of our ADSs may be highly volatile due to multiple other factors, including the following:</w:t>
      </w:r>
    </w:p>
    <w:p>
      <w:pPr>
        <w:spacing w:after="0" w:line="131" w:lineRule="exact"/>
        <w:rPr>
          <w:sz w:val="20"/>
          <w:szCs w:val="20"/>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our customers and end marketers, or our industry;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online marketing industry;</w:t>
      </w:r>
    </w:p>
    <w:p>
      <w:pPr>
        <w:spacing w:after="0" w:line="130" w:lineRule="exact"/>
        <w:rPr>
          <w:rFonts w:ascii="Times New Roman" w:cs="Times New Roman" w:eastAsia="Times New Roman" w:hAnsi="Times New Roman"/>
          <w:sz w:val="18"/>
          <w:szCs w:val="18"/>
          <w:color w:val="auto"/>
        </w:rPr>
      </w:pPr>
    </w:p>
    <w:p>
      <w:pPr>
        <w:ind w:left="900" w:right="400" w:hanging="325"/>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of our results of operations from quarter to quarter due to seasonality in online marketing business, which may be affected by the online spending cycles of consumers and marketers’ practices in marketing budget allocation;</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studies and reports relating to the quality of our solutions and service offerings or those of our competitors;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other providers of online marketing solutions;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 and changes in or revisions to our expected results;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130" w:lineRule="exact"/>
        <w:rPr>
          <w:rFonts w:ascii="Times New Roman" w:cs="Times New Roman" w:eastAsia="Times New Roman" w:hAnsi="Times New Roman"/>
          <w:sz w:val="18"/>
          <w:szCs w:val="18"/>
          <w:color w:val="auto"/>
        </w:rPr>
      </w:pPr>
    </w:p>
    <w:p>
      <w:pPr>
        <w:ind w:left="900" w:right="480" w:hanging="325"/>
        <w:spacing w:after="0" w:line="282" w:lineRule="auto"/>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 and service offerings, acquisitions, strategic relationships, joint ventures or capital commitments;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senior management;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negative publicity about us, our management or our industry;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Renminbi and the U.S. dollar;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expiry of lock-up or other transfer restrictions on our outstanding ordinary shares or ADSs;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additional ordinary shares or ADSs.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our ADSs will trade.</w:t>
      </w:r>
    </w:p>
    <w:p>
      <w:pPr>
        <w:spacing w:after="0" w:line="225"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If we were involved in a class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must rely on the judgment of our management as to the use of the net proceeds from this offering, and such use may not produce income or increase our ADS price.</w:t>
      </w:r>
    </w:p>
    <w:p>
      <w:pPr>
        <w:spacing w:after="0" w:line="5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plan to use the net proceeds from this offering primarily for the following purposes: US$ in research and development and big data deep learning capabilities and capacities; US$ in the development and expansion of our suite of solutions and service offerings; and US$ in sales and</w:t>
      </w:r>
    </w:p>
    <w:p>
      <w:pPr>
        <w:spacing w:after="0"/>
        <w:rPr>
          <w:sz w:val="20"/>
          <w:szCs w:val="20"/>
          <w:color w:val="auto"/>
        </w:rPr>
      </w:pPr>
      <w:r>
        <w:rPr>
          <w:rFonts w:ascii="Times New Roman" w:cs="Times New Roman" w:eastAsia="Times New Roman" w:hAnsi="Times New Roman"/>
          <w:sz w:val="18"/>
          <w:szCs w:val="18"/>
          <w:color w:val="auto"/>
        </w:rPr>
        <w:t>marketing activities to attract, in particular, more customers to use our solutions on a self-serve basis, and customers from additional industry verticals and</w:t>
      </w:r>
    </w:p>
    <w:p>
      <w:pPr>
        <w:spacing w:after="0" w:line="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geographic markets. We also plan to use US$ in investment, acquisition and business collaboration opportunities that complement or enhance our existing operations and are strategically beneficial to our long-term goals, although we have no present commitments or agreements to enter into any investment, acquisition or business collaboration. We will use the remaining portion of the net proceeds we receive from this offering for general corporate purposes. See “Use of Proceeds.” However, our management will have considerable discretion in the application of the net proceeds received by us. You will not have the opportunity, as part of your investment decision, to assess whether proceeds are being used appropriately. The net proceeds may be used for corporate purposes that do not improve our efforts to achieve or maintain profitability or increase our ADS price. The net proceeds from this offering may be placed in investments that do not produce income or that lose value.</w:t>
      </w:r>
    </w:p>
    <w:p>
      <w:pPr>
        <w:spacing w:after="0" w:line="293"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5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Immediately prior to the completion of this offering and subject to the approval of our existing shareholders, we expect to create a dual-class share structure such that our ordinary shares will consist of Class A ordinary shares and Class B ordinary shares. In respect of matters requiring the votes of shareholders, holders of Class A ordinary shares will be entitled to one vote per share, while holders of Class B ordinary shares will be entitled to 20 votes per share based on our proposed dual-class share structure. We will sell Class A ordinary shares represented by our ADSs in this offering.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spacing w:after="0" w:line="189" w:lineRule="exact"/>
        <w:rPr>
          <w:sz w:val="20"/>
          <w:szCs w:val="20"/>
          <w:color w:val="auto"/>
        </w:rPr>
      </w:pPr>
    </w:p>
    <w:p>
      <w:pPr>
        <w:ind w:right="60" w:firstLine="456"/>
        <w:spacing w:after="0" w:line="276" w:lineRule="auto"/>
        <w:rPr>
          <w:sz w:val="20"/>
          <w:szCs w:val="20"/>
          <w:color w:val="auto"/>
        </w:rPr>
      </w:pPr>
      <w:r>
        <w:rPr>
          <w:rFonts w:ascii="Times New Roman" w:cs="Times New Roman" w:eastAsia="Times New Roman" w:hAnsi="Times New Roman"/>
          <w:sz w:val="17"/>
          <w:szCs w:val="17"/>
          <w:color w:val="auto"/>
        </w:rPr>
        <w:t>Immediately prior to the completion of this offering and subject to the approval of our existing shareholders, all of the then outstanding ordinary shares held by Mr. Sammy Hsieh and Mr. Jian Tang will be re-designated as Class B ordinary shares. Mr. Hsieh and Mr. Tang, who beneficially own 21.8% of the</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aggregate voting power of our company as of the date of this prospectus, will beneficially own approximately % of the aggregate voting power of our company immediately after the completion of this offering due to the disparate voting powers associated with our dual-class share structure, assuming the underwriters do not exercise their over-allotment option. See “Principal Shareholders.” As a result of the dual-class share structure and the concentration of ownership, Mr. Hsieh and Mr. Tang will have considerable influence over matters such as decisions regarding change of directors, mergers, change of control transactions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2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directors, officers and principal shareholders have substantial influence over our company and their interests may not be aligned with the interests of our other shareholders.</w:t>
      </w:r>
    </w:p>
    <w:p>
      <w:pPr>
        <w:spacing w:after="0" w:line="51"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Our directors and officers will collectively own an aggregate of % of the total voting power of our outstanding ordinary shares immediately upon completion of this offering, assuming the underwriters do not exercise their over-allotment option. As a result, they have substantial influence over our business, including significant corporate actions such as change of directors, mergers, change of control transactions and other significant corporate actions.</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They may take actions that are not in the best interest of us or our other shareholders. This concentration of ownership may discourage, delay or prevent a change in control of our company, which could deprive our shareholders of an opportunity to receive a premium for their shares as part of a sale of our company and may reduce the price of the ADSs. These actions may be taken even if they are opposed by our other shareholders, including those who purchase ADSs in this offering. In addition, the significant concentration of share ownership may adversely affect the trading price of the ADSs due to investors’ perception that conflicts of interest may exist or arise. For more information regarding our principal shareholders and their affiliated entities, see “Principal Shareholders.”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share incentives, which may result in increased share based compensation expenses.</w:t>
      </w:r>
    </w:p>
    <w:p>
      <w:pPr>
        <w:spacing w:after="0" w:line="121" w:lineRule="exact"/>
        <w:rPr>
          <w:sz w:val="20"/>
          <w:szCs w:val="20"/>
          <w:color w:val="auto"/>
        </w:rPr>
      </w:pPr>
    </w:p>
    <w:p>
      <w:pPr>
        <w:ind w:right="140" w:firstLine="456"/>
        <w:spacing w:after="0" w:line="277" w:lineRule="auto"/>
        <w:rPr>
          <w:sz w:val="20"/>
          <w:szCs w:val="20"/>
          <w:color w:val="auto"/>
        </w:rPr>
      </w:pPr>
      <w:r>
        <w:rPr>
          <w:rFonts w:ascii="Times New Roman" w:cs="Times New Roman" w:eastAsia="Times New Roman" w:hAnsi="Times New Roman"/>
          <w:sz w:val="17"/>
          <w:szCs w:val="17"/>
          <w:color w:val="auto"/>
        </w:rPr>
        <w:t>We adopted our stock option plan in 2010, or the 2010 plan, and plan to adopt another share incentive plan prior to the completion of this offering, or the 2017 plan, subject to the approval of our shareholders for the purpose of granting share based compensation awards to employees, directors and advisors to incentivize their performance and align their interests with ours. In addition, 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68"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We account for compensation costs for all share incentives using a fair-value based method and recognize expenses in our consolidated statements of comprehensive income in accordance with U.S. GAAP. Under our 2010 Plan, the maximum aggregate number of ordinary shares which may be issued pursuant to all awards under the plan is 2,398,137. As of the date of this prospectus, options to purchase 2,064,026 ordinary shares have been granted 757,933 of which are not vested, 1,033,338 are fully vested but not exercised, and 272,755 have been exercised. Under the 2017 Plan that we plan to adopt subject to the approval of our shareholders, the maximum number of ordinary shares which may be issued pursuant to all awards under the plan shall initially be 1,000,000, plus an annual increase on the first day of each of our fiscal year during the term of the 2017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these shares will be Class A ordinary shares. We believe the granting of share-based compensation is of significant importance to our ability to attract and retain key personnel and employees, and we will continue to grant share based compensation to them in the future. As a result, our expenses associated with share-based compensation may increase, which may have an adverse effect on our results of operations.</w:t>
      </w:r>
    </w:p>
    <w:p>
      <w:pPr>
        <w:spacing w:after="0" w:line="29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5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The trading market for our ADSs will depend in part on the research and reports that securities or industry analysts publish about us or our business. If research analysts do not establish and maintain adequate research coverage or if one or more of the analysts who cover us downgrade our ADSs or publish inaccurate or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substantial amounts of our ADSs could adversely affect their market price.</w:t>
      </w:r>
    </w:p>
    <w:p>
      <w:pPr>
        <w:spacing w:after="0" w:line="121" w:lineRule="exact"/>
        <w:rPr>
          <w:sz w:val="20"/>
          <w:szCs w:val="20"/>
          <w:color w:val="auto"/>
        </w:rPr>
      </w:pPr>
    </w:p>
    <w:p>
      <w:pPr>
        <w:ind w:right="40" w:firstLine="456"/>
        <w:spacing w:after="0" w:line="270" w:lineRule="auto"/>
        <w:rPr>
          <w:sz w:val="20"/>
          <w:szCs w:val="20"/>
          <w:color w:val="auto"/>
        </w:rPr>
      </w:pPr>
      <w:r>
        <w:rPr>
          <w:rFonts w:ascii="Times New Roman" w:cs="Times New Roman" w:eastAsia="Times New Roman" w:hAnsi="Times New Roman"/>
          <w:sz w:val="17"/>
          <w:szCs w:val="17"/>
          <w:color w:val="auto"/>
        </w:rPr>
        <w:t>Sales of substantial amounts of our ADSs in the public market after the completion of this offering, or the perception that these sales could occur, could adversely affect the market price of our ADSs and could materially impair our ability to raise capital through equity offerings in the future. The ADSs sold in this offering will be freely tradable without restriction or further registration under the Securities Act, and shares held by our existing shareholders may also be sold in the public market in the future subject to the restrictions in Rule 144 and Rule 701 under the Securities Act and the applicable lock-up agreements.</w:t>
      </w:r>
    </w:p>
    <w:p>
      <w:pPr>
        <w:spacing w:after="0" w:line="3" w:lineRule="exact"/>
        <w:rPr>
          <w:sz w:val="20"/>
          <w:szCs w:val="20"/>
          <w:color w:val="auto"/>
        </w:rPr>
      </w:pPr>
    </w:p>
    <w:p>
      <w:pPr>
        <w:ind w:right="1260"/>
        <w:spacing w:after="0" w:line="261" w:lineRule="auto"/>
        <w:rPr>
          <w:sz w:val="20"/>
          <w:szCs w:val="20"/>
          <w:color w:val="auto"/>
        </w:rPr>
      </w:pPr>
      <w:r>
        <w:rPr>
          <w:rFonts w:ascii="Times New Roman" w:cs="Times New Roman" w:eastAsia="Times New Roman" w:hAnsi="Times New Roman"/>
          <w:sz w:val="18"/>
          <w:szCs w:val="18"/>
          <w:color w:val="auto"/>
        </w:rPr>
        <w:t>There will be ADSs (representing Class A ordinary shares) outstanding immediately after this offering, or ADSs (representing Class A ordinary shares) if the underwriters exercise their over-allotment option in full.</w:t>
      </w:r>
    </w:p>
    <w:p>
      <w:pPr>
        <w:spacing w:after="0" w:line="180"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we, our directors and officers [and our existing shareholders] have agreed not to sell any ordinary shares or ADSs for 180 days after the date of this prospectus without the prior written consent of the underwriters, subject to certain exceptions. However, the underwriters may release these securities from these restrictions at any time, subject to applicable regulations of the Financial Industry Regulatory Authority, Inc. We cannot predict what effect, if any, market sales of securities held by our significant shareholders or any other shareholder or the availability of these securities for future sale will have on the market price of our ADSs. See “Underwriting” and “Shares Eligible for Future Sale” for a more detailed description of the restrictions on selling our securities after this offering.</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after this offering, you must rely on price appreciation of our ADSs for return on your investment.</w:t>
      </w:r>
    </w:p>
    <w:p>
      <w:pPr>
        <w:spacing w:after="0" w:line="51"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approval of the China Securities Regulatory Commission may be required in connection with this offering under PRC law.</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M&amp;A rules requires an overseas special purpose vehicle formed for listing purposes through acquisitions of PRC domestic companies and controlled by PRC companies or individuals to obtain the approval of the CSRC, prior to the listing and trading of such special purpose vehicle’s securities on an overseas stock</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455"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exchange. The interpretation and application of the regulations remain unclear, and this offering may ultimately require approval from the CSRC. If CSRC approval is required, it is uncertain whether it would be possible for us to obtain the approval and any failure to obtain or delay in obtaining CSRC approval for this offering would subject us to sanctions imposed by the CSRC and other PRC regulatory agencies.</w:t>
      </w:r>
    </w:p>
    <w:p>
      <w:pPr>
        <w:spacing w:after="0" w:line="176"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Our PRC counsel, Jingtian &amp; Gongcheng, has advised us based on their understanding of the current PRC law, rules and regulations that the CSRC’s approval is not required for the listing and trading of our ADSs on the NASDAQ Global Market in the context of this offering, given that:</w:t>
      </w:r>
    </w:p>
    <w:p>
      <w:pPr>
        <w:spacing w:after="0" w:line="67" w:lineRule="exact"/>
        <w:rPr>
          <w:sz w:val="20"/>
          <w:szCs w:val="20"/>
          <w:color w:val="auto"/>
        </w:rPr>
      </w:pPr>
    </w:p>
    <w:p>
      <w:pPr>
        <w:ind w:left="900" w:right="60" w:hanging="325"/>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CSRC currently has not issued any definitive rule or interpretation concerning whether offerings like ours under this prospectus are subject to this regulation;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in this regulation clearly classifies contractual arrangements as a type of transaction subject to its regulation.</w:t>
      </w:r>
    </w:p>
    <w:p>
      <w:pPr>
        <w:spacing w:after="0" w:line="225" w:lineRule="exact"/>
        <w:rPr>
          <w:sz w:val="20"/>
          <w:szCs w:val="20"/>
          <w:color w:val="auto"/>
        </w:rPr>
      </w:pPr>
    </w:p>
    <w:p>
      <w:pPr>
        <w:ind w:right="40" w:firstLine="456"/>
        <w:spacing w:after="0" w:line="252" w:lineRule="auto"/>
        <w:rPr>
          <w:sz w:val="20"/>
          <w:szCs w:val="20"/>
          <w:color w:val="auto"/>
        </w:rPr>
      </w:pPr>
      <w:r>
        <w:rPr>
          <w:rFonts w:ascii="Times New Roman" w:cs="Times New Roman" w:eastAsia="Times New Roman" w:hAnsi="Times New Roman"/>
          <w:sz w:val="18"/>
          <w:szCs w:val="18"/>
          <w:color w:val="auto"/>
        </w:rPr>
        <w:t>However, our PRC legal counsel has further advised us that there remains some uncertainty as to how the M&amp;A rules will be interpreted or implemented in the context of an overseas offering and its opinions summarized above are subject to any new laws, rules and regulations or detailed implementations and interpretations in any form relating to the M&amp;A rules. We cannot assure you that relevant PRC governmental agencies, including the CSRC, would reach the same conclusion as we do. If it is determined that CSRC approval is required for this offering, we may face sanctions by the CSRC or other PRC regulatory agencies for failure to seek CSRC approval for this offering. These sanctions may include fines and penalties on our operations in the PRC, limitations on our operating privileges in the PRC, delays in or restrictions on the repatriation of the proceeds from this offering into the PRC, restrictions on or prohibition of the payments or remittance of dividends by our PRC subsidiaries, or other actions that could have a material and adverse effect on our business, financial condition, results of operations, reputation and prospects, as well as the trading price of our ADSs. The CSRC or other PRC regulatory agencies may also take actions requiring us, or making it advisable for us, to halt this offering before the settlement and delivery of the ADSs that we are offering. Consequently, if you engage in market trading or other activities in anticipation of and prior to the settlement and delivery of the ADSs we are offering, you would be doing so at the risk that the settlement and delivery may not occur. In addition, if the CSRC or other regulatory agencies later promulgate new rules or explanations requiring that we obtain their approvals for this offering, we may be unable to obtain a waiver of such approval requirements, if and when procedures are established to obtain such a waiver. Any uncertainties and/or negative publicity regarding such approval requirement could have a material adverse effect on the trading price of the ADSs.</w:t>
      </w:r>
    </w:p>
    <w:p>
      <w:pPr>
        <w:spacing w:after="0" w:line="30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post-offering amended and restated memorandum and articles of association that we expect to adopt and to become effective immediately prior to the completion of this offering will contain anti-takeover provisions that could discourage a third party from acquiring us and adversely affect the rights of holders of our Class A ordinary shares and ADSs.</w:t>
      </w:r>
    </w:p>
    <w:p>
      <w:pPr>
        <w:spacing w:after="0" w:line="6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expect to adopt, subject to the approval by our shareholders, an amended and restated memorandum and articles of association that will become effective immediately prior to the completion of this offering. The post-offering amended and restated memorandum and articles of association will contain certain provisions that could limit the ability of others to acquire control of our company, including a dual-class share structure that gives greater voting power to the Class B ordinary shares beneficially owned by Mr. Sammy Hsieh and Mr. Jian Tang and a provision that grants authority to our board of directors to establish and issue from time to time one or more series of preferred shares without action by our shareholders and to determine, with respect to any series of preferred shares, the terms and rights of that series. These provisions could have the effect of depriving our shareholders and ADSs holders of the opportunity to sell their shares or ADSs at a premium over the prevailing market price by discouraging third parties from seeking to obtain control of our company in a tender offer or similar transactions.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w:t>
      </w:r>
    </w:p>
    <w:p>
      <w:pPr>
        <w:spacing w:after="0" w:line="67"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As a Cayman Islands company listed on the NASDAQ Global Market, we are subject to the NASDAQ corporate governance requirements. However, NASDAQ Global Market rules permit a foreign private issuer like us to follow the corporate governance practices of its home country. Certain corporate governance practices in the Cayman Islands, which is our home country, may differ significantly from the NASDAQ corporate governance requirements. Upon the completion of this offering, we will follow our home country practices and rely on certain exemptions provided by the Nasdaq Stock Market Rules to a foreign private issuer, including exemptions from the requirements to have:</w:t>
      </w:r>
    </w:p>
    <w:p>
      <w:pPr>
        <w:spacing w:after="0" w:line="89" w:lineRule="exact"/>
        <w:rPr>
          <w:sz w:val="20"/>
          <w:szCs w:val="20"/>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of independent directors on our board of directors;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independent directors being involved in the selection of director nominees and determination of executive officer compensation;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scheduled executive sessions of independent directors.</w:t>
      </w:r>
    </w:p>
    <w:p>
      <w:pPr>
        <w:spacing w:after="0" w:line="225"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As a result of our reliance on the corporate governance exemptions available to foreign private issuers, you will not have the same protection afforded to shareholders of companies that are subject to all of Nasdaq’s corporate governance requirements.</w:t>
      </w:r>
    </w:p>
    <w:p>
      <w:pPr>
        <w:spacing w:after="0" w:line="266"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5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are an exempted limited liability company incorporated under the laws of the Cayman Islands. Our corporate affairs are governed by our memorandum and articles of association, the Companies Law (2016 Revision)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8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or to obtain copies of lists of shareholders of these companies. Our directors will have discretion under the post-offering amended and restated memorandum and articles of association we expect to adopt,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spacing w:after="0" w:line="184"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Law (2016 Revision) of the Cayman Islands and the laws applicable to companies incorporated in the United States and their shareholders, see “Description of Share Capital — Differences in Corporate Law.”</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455" w:right="2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our directors or officers by our shareholders may not be enforceable.</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We are an exempted limited liability company incorporated under the laws of the Cayman Islands. We conduct substantially all of our operations in China and substantially all of our assets are located in China. In addition, a majority of our directors and executive officers reside within China, and most of the assets of these persons are located within China.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 For more information regarding the relevant laws of the Cayman Islands and China, see “Enforceability of Civil Liabilities.”</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your right to vote your Class A ordinary shares.</w:t>
      </w:r>
    </w:p>
    <w:p>
      <w:pPr>
        <w:spacing w:after="0" w:line="5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As a holder of our ADSs, you will only be able to exercise the voting rights with respect to the underlying Class A ordinary shares in accordance with the provisions of the deposit agreement. Under the deposit agreement, you must vote by giving voting instructions to the depositary.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shares unless you withdraw the shares.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have agreed to give the depositary at least 30 days’ prior notice of shareholder meetings. Nevertheless,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29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Except in limited circumstances, the depositary for our ADSs will give us a discretionary proxy to vote our Class A ordinary shares underlying your ADSs if you do not vote at shareholders’ meetings, which could adversely affect your interests.</w:t>
      </w:r>
    </w:p>
    <w:p>
      <w:pPr>
        <w:spacing w:after="0" w:line="51" w:lineRule="exact"/>
        <w:rPr>
          <w:sz w:val="20"/>
          <w:szCs w:val="20"/>
          <w:color w:val="auto"/>
        </w:rPr>
      </w:pPr>
    </w:p>
    <w:p>
      <w:pPr>
        <w:ind w:right="460" w:firstLine="456"/>
        <w:spacing w:after="0" w:line="266" w:lineRule="auto"/>
        <w:rPr>
          <w:sz w:val="20"/>
          <w:szCs w:val="20"/>
          <w:color w:val="auto"/>
        </w:rPr>
      </w:pPr>
      <w:r>
        <w:rPr>
          <w:rFonts w:ascii="Times New Roman" w:cs="Times New Roman" w:eastAsia="Times New Roman" w:hAnsi="Times New Roman"/>
          <w:sz w:val="18"/>
          <w:szCs w:val="18"/>
          <w:color w:val="auto"/>
        </w:rPr>
        <w:t>Under the deposit agreement for our ADSs, the depositary will give us (or our nominee) a discretionary proxy to vote our Class A ordinary shares underlying your ADSs at shareholders’ meetings if you do not give voting instructions to the depositary as to how to vote the Class A ordinary shares underlying your ADSs at any particular shareholders’ meeting, unless:</w:t>
      </w:r>
    </w:p>
    <w:p>
      <w:pPr>
        <w:spacing w:after="0" w:line="82" w:lineRule="exact"/>
        <w:rPr>
          <w:sz w:val="20"/>
          <w:szCs w:val="20"/>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failed to timely provide the depositary with our notice of meeting and related voting materials;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at the meeting is made on a show of hands.</w:t>
      </w:r>
    </w:p>
    <w:p>
      <w:pPr>
        <w:spacing w:after="0" w:line="225"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The effect of this discretionary proxy is that, if you fail to give voting instructions to the depositary as to how to vote the Class A ordinary shares underlying your ADSs at any particular shareholders’ meeting, you</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455" w:right="2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cannot prevent our Class A ordinary shares underlying your ADSs from being voted at that meeting, absent the situations described above, and it may make it more difficult for shareholders to influence our management. Holders of our Class A ordinary shares are not subject to this discretionary proxy.</w:t>
      </w:r>
    </w:p>
    <w:p>
      <w:pPr>
        <w:spacing w:after="0" w:line="26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rights to pursue claims against the depositary as a holder of ADSs are limited by the terms of the deposit agreement and the deposit agreement may be amended or terminated without your consent.</w:t>
      </w:r>
    </w:p>
    <w:p>
      <w:pPr>
        <w:spacing w:after="0" w:line="5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 However, the depositary may, in its sole discretion, require that any dispute or difference arising from the relationship created by the deposit agreement be referred to and finally settled by an arbitration conducted under the terms described in the deposit agreement. Also, we may amend or terminate the deposit agreement without your consent. If you continue to hold your ADSs after an amendment to the deposit agreement, you agree to be bound by the deposit agreement as amended. See “Description of American Depositary Shares” for more information.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right to participate in any future rights offerings may be limited, which may cause dilution to your holdings.</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spacing w:after="0" w:line="293"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not receive dividends or other distributions on our Class A ordinary shares and you may not receive any value for them, if it is illegal or impractical to make them available to you.</w:t>
      </w:r>
    </w:p>
    <w:p>
      <w:pPr>
        <w:spacing w:after="0" w:line="5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depositary of our ADSs has agreed to pay to you the cash dividends or other distributions it or the custodian receives on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455" w:right="2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initial public offering price is substantially higher than our net tangible book value per ordinary share, you will experience immediate and substantial dilution.</w:t>
      </w:r>
    </w:p>
    <w:p>
      <w:pPr>
        <w:spacing w:after="0" w:line="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you purchase ADSs in this offering, you will pay more for your ADSs than the amount paid by our existing shareholders for their ordinary shares on</w:t>
      </w:r>
    </w:p>
    <w:p>
      <w:pPr>
        <w:spacing w:after="0" w:line="27"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a per ADS basis. As a result, you will experience immediate and substantial dilution of US$ per ADS, representing the difference between the assumed initial public offering price of US$ per ADS, the midpoint of the estimated range of the initial public offering price, and our net tangible book value per ADS of US$ as of June 30, 2017, after giving effect to the net proceeds to us from this offering. In addition, you may experience</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 dilution to the extent that our ordinary shares are issued upon the exercise of any share options. See “Dilution” for a more complete description of how the value of your investment in our ADSs will be diluted upon completion of this offering.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5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67" w:lineRule="exact"/>
        <w:rPr>
          <w:sz w:val="20"/>
          <w:szCs w:val="20"/>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30"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67"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quarterly basis as press releases, distributed pursuant to the rules and regulations of the NASDAQ Global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may take advantage of certain reduced reporting requirements.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However, such reduced reporting requirements may make our ADSs less attractive to investors.</w:t>
      </w:r>
    </w:p>
    <w:p>
      <w:pPr>
        <w:spacing w:after="0" w:line="99"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00"/>
          </w:cols>
          <w:pgMar w:left="240" w:top="455" w:right="2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Section 404 for so long as we are an emerging growth company. We cannot predict if investors will find our ADSs less attractive because we may rely on these exemptions. If some investors find our ADSs less attractive as a result, there may be a less active trading market for our ADSs and our stock price may be more volatile.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determination of our status as a foreign private issuer is made annually on the last business day of our most recently completed second fiscal quarter.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being a public company, particularly after we cease to qualify as an emerging growth company.</w:t>
      </w:r>
    </w:p>
    <w:p>
      <w:pPr>
        <w:spacing w:after="0" w:line="121" w:lineRule="exact"/>
        <w:rPr>
          <w:sz w:val="20"/>
          <w:szCs w:val="20"/>
          <w:color w:val="auto"/>
        </w:rPr>
      </w:pPr>
    </w:p>
    <w:p>
      <w:pPr>
        <w:ind w:right="440" w:firstLine="456"/>
        <w:spacing w:after="0" w:line="276" w:lineRule="auto"/>
        <w:rPr>
          <w:sz w:val="20"/>
          <w:szCs w:val="20"/>
          <w:color w:val="auto"/>
        </w:rPr>
      </w:pPr>
      <w:r>
        <w:rPr>
          <w:rFonts w:ascii="Times New Roman" w:cs="Times New Roman" w:eastAsia="Times New Roman" w:hAnsi="Times New Roman"/>
          <w:sz w:val="17"/>
          <w:szCs w:val="17"/>
          <w:color w:val="auto"/>
        </w:rPr>
        <w:t>We will incur additional legal, accounting and other expenses as a public reporting company, particularly after we cease to qualify as an emerging growth company, which occurs on the earliest of (a) the last day of the fiscal year during which we have total annual gross revenues of at least</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US$1.07 billion; (b) the last day of our fiscal year following the fifth anniversary of the completion of this offering; (c) the date on which we have, during the preceding three-year period, issued more than US$1.0 billion in non-convertible debt; or (d) the date on which we are deemed to be a “large accelerated filer” under the Exchange Act, which would occur if the market value of our ADSs that are held by non-affiliates exceeds US$700 million as of the last business day of our most recently completed second fiscal quarter. For example, we will be required to comply with additional requirements of the rules and regulations of the SEC and requirements of the NASDAQ Global Market, including applicable corporate governance practices. In addition, after we cease to qualify as an emerging growth company, we will be required to comply with the auditor attestation requirements of Section 404 of the Sarbanes-Oxley Act of 2002. We expect that compliance with these requirements will increase our legal and financial compliance costs and will make some activities more time-consuming and costly. We also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9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also initiate legal proceedings against us and our business may be adversely affected.</w:t>
      </w:r>
    </w:p>
    <w:p>
      <w:pPr>
        <w:spacing w:after="0" w:line="293" w:lineRule="exact"/>
        <w:rPr>
          <w:sz w:val="20"/>
          <w:szCs w:val="20"/>
          <w:color w:val="auto"/>
        </w:rPr>
      </w:pPr>
    </w:p>
    <w:p>
      <w:pPr>
        <w:ind w:right="2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There can be no assurance that we will not be passive foreign investment company, or PFIC, for United States federal income tax purposes for any taxable year, which could subject United States investors in our ADSs or ordinary shares to significant adverse United States income tax consequences.</w:t>
      </w:r>
    </w:p>
    <w:p>
      <w:pPr>
        <w:spacing w:after="0" w:line="28"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A non-U.S corporation will be a “passive foreign investment company,” or “PFIC,” if, in any particular taxable year, either (a) 75% or more of our gross income for such year consists of certain types of “passive”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455" w:right="2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income or (b) 50% or more of the average quarterly value of our assets (as determined on the basis of fair market value) during such year produce or are held for the production of passive income (the “asset test”). We expect to derive sufficient active revenues and to have sufficient active assets, so that we will not be classified as a PFIC for the current taxable year and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w:t>
      </w:r>
    </w:p>
    <w:p>
      <w:pPr>
        <w:spacing w:after="0" w:line="18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particular, because the value of our assets for purposes of the asset test may be determined by reference to the market price of our ADSs, fluctuations in the market price of our ADSs may cause us to become a PFIC for the current or subsequent taxable years. The determination of whether we are a PFIC also depends, in part, on the composition of our income and assets, which may be affected by how, and how quickly, we use our liquid assets and the cash raised in this offering. If we do not deploy significant amounts of cash for active purposes, our risk of being a PFIC may substantially increase.]</w:t>
      </w:r>
    </w:p>
    <w:p>
      <w:pPr>
        <w:spacing w:after="0" w:line="180" w:lineRule="exact"/>
        <w:rPr>
          <w:sz w:val="20"/>
          <w:szCs w:val="20"/>
          <w:color w:val="auto"/>
        </w:rPr>
      </w:pPr>
    </w:p>
    <w:p>
      <w:pPr>
        <w:ind w:firstLine="456"/>
        <w:spacing w:after="0" w:line="274" w:lineRule="auto"/>
        <w:rPr>
          <w:sz w:val="20"/>
          <w:szCs w:val="20"/>
          <w:color w:val="auto"/>
        </w:rPr>
      </w:pPr>
      <w:r>
        <w:rPr>
          <w:rFonts w:ascii="Times New Roman" w:cs="Times New Roman" w:eastAsia="Times New Roman" w:hAnsi="Times New Roman"/>
          <w:sz w:val="17"/>
          <w:szCs w:val="17"/>
          <w:color w:val="auto"/>
        </w:rPr>
        <w:t>If we are a PFIC in any taxable year, a U.S. Holder (as defined in “Taxation — United States Federal Income Tax Considerations”) may incur significantly increased United States income tax on gain recognized on the sale or other disposition of the ADSs or ordinary shares and on the receipt of distributions on the ADSs or ordinary shares to the extent such gain or distribution is treated as an “excess distribution” under the United States federal income tax rules, and such holder may be subject to burdensome reporting requirements. Further, if we are a PFIC for any year during which a U.S. Holder holds our ADSs or ordinary shares, we generally will continue to be treated as a PFIC for all succeeding years during which such U.S. Holder holds our ADSs or ordinary shares. For more information see “Taxation — United States Federal Income Tax Considerations — Passive Foreign Investment Company Rules.”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455" w:right="2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INDUSTRY DATA</w:t>
      </w:r>
    </w:p>
    <w:p>
      <w:pPr>
        <w:spacing w:after="0" w:line="229" w:lineRule="exact"/>
        <w:rPr>
          <w:sz w:val="20"/>
          <w:szCs w:val="20"/>
          <w:color w:val="auto"/>
        </w:rPr>
      </w:pPr>
    </w:p>
    <w:p>
      <w:pPr>
        <w:ind w:right="40" w:firstLine="456"/>
        <w:spacing w:after="0" w:line="281" w:lineRule="auto"/>
        <w:rPr>
          <w:sz w:val="20"/>
          <w:szCs w:val="20"/>
          <w:color w:val="auto"/>
        </w:rPr>
      </w:pPr>
      <w:r>
        <w:rPr>
          <w:rFonts w:ascii="Times New Roman" w:cs="Times New Roman" w:eastAsia="Times New Roman" w:hAnsi="Times New Roman"/>
          <w:sz w:val="17"/>
          <w:szCs w:val="17"/>
          <w:color w:val="auto"/>
        </w:rPr>
        <w:t>This prospectus contains forward-looking statements that reflect our current expectations and views of future events. The forward-looking statements are contained principally in the sections entitled “Prospectus Summary,” “Risk Factors,” “Management’s Discussion and Analysis of Financial Condition and Results of Operations,” “Business” and “Regulation.”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6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86" w:lineRule="exact"/>
        <w:rPr>
          <w:sz w:val="20"/>
          <w:szCs w:val="20"/>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online marketing industry, including online marketing technology industry in China;</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and services;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customers and end marketers;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invest in our platform, solutions, data analytics capabilities, technology and technology infrastructure;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content distribution channel partners;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 in China and elsewhere;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industry.</w:t>
      </w:r>
    </w:p>
    <w:p>
      <w:pPr>
        <w:spacing w:after="0" w:line="225"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These forward-looking statements involve various risks and uncertainties. Although we believe that our expectations expressed in these forward-looking statements are reasonable, our expectations may later be found to be incorrect. 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thoroughly read this prospectus and the documents that we refer to herein with the understanding that our actual future results may be materially different from and worse than what we expect. We qualify all of our forward-looking statements by these cautionary statements.</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This prospectus contains certain data and information that we obtained from various government and private publications including industry data and information from Frost &amp; Sullivan. Data and information in these publications also include projections based on a number of assumptions. China’s online marketing industry, including online marketing technology industry and independent online marketing technology industry, may not grow at the rate projected by market data, or at all. Failure of these industries to grow at the projected rate may have a material and adverse effect on our business and the market price of our ADSs. In addition, the new and rapidly changing nature of China’s online marketing industry, including online marketing technology industry, and independent online marketing technology industry may result in significant uncertainties for any projections or estimates relating to the growth prospects or future condition of our industry.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455" w:right="2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US$ million, or approximately US$ million if the underwriters exercise their option to purchase additional ADSs in full, after deducting underwriting discounts and commissions and the estimated offering expenses</w:t>
      </w:r>
    </w:p>
    <w:p>
      <w:pPr>
        <w:ind w:right="80"/>
        <w:spacing w:after="0" w:line="253" w:lineRule="auto"/>
        <w:rPr>
          <w:sz w:val="20"/>
          <w:szCs w:val="20"/>
          <w:color w:val="auto"/>
        </w:rPr>
      </w:pPr>
      <w:r>
        <w:rPr>
          <w:rFonts w:ascii="Times New Roman" w:cs="Times New Roman" w:eastAsia="Times New Roman" w:hAnsi="Times New Roman"/>
          <w:sz w:val="18"/>
          <w:szCs w:val="18"/>
          <w:color w:val="auto"/>
        </w:rPr>
        <w:t>payable by us. These estimates are based upon an assumed initial offering price of US$ per ADS, the midpoint of the range shown on the front cover page of this prospectus. A US$1.00 change in the assumed initial public offering price of US$ per ADS would, in the case of an increase, increase and, in the case of a decrease, decrease the net proceeds of this offering by US$ million, or approximately US$ million if the underwriters exercise their option to purchase additional ADSs in full, assuming the sale of ADSs at US$ per ADS, the midpoint of the range shown on the front cover page of this prospectus and after deducting underwriting discounts and commissions and the estimated offering expenses payable by us.</w:t>
      </w:r>
    </w:p>
    <w:p>
      <w:pPr>
        <w:spacing w:after="0" w:line="187"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The primary purposes of this offering are to increase our capitalization and financial flexibility, create a public market for our ADSs, retain talented employees by providing them with equity incentives and enable access to the public equity markets for us and our shareholders. We plan to use the net proceeds of this offering for the following purposes:</w:t>
      </w:r>
    </w:p>
    <w:p>
      <w:pPr>
        <w:spacing w:after="0" w:line="82" w:lineRule="exact"/>
        <w:rPr>
          <w:sz w:val="20"/>
          <w:szCs w:val="20"/>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 research and development;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in the development and expansion of our suite of solutions and service offerings;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in sales and marketing.</w:t>
      </w:r>
    </w:p>
    <w:p>
      <w:pPr>
        <w:spacing w:after="0" w:line="225" w:lineRule="exact"/>
        <w:rPr>
          <w:sz w:val="20"/>
          <w:szCs w:val="20"/>
          <w:color w:val="auto"/>
        </w:rPr>
      </w:pPr>
    </w:p>
    <w:p>
      <w:pPr>
        <w:ind w:right="480" w:firstLine="456"/>
        <w:spacing w:after="0" w:line="266" w:lineRule="auto"/>
        <w:rPr>
          <w:sz w:val="20"/>
          <w:szCs w:val="20"/>
          <w:color w:val="auto"/>
        </w:rPr>
      </w:pPr>
      <w:r>
        <w:rPr>
          <w:rFonts w:ascii="Times New Roman" w:cs="Times New Roman" w:eastAsia="Times New Roman" w:hAnsi="Times New Roman"/>
          <w:sz w:val="18"/>
          <w:szCs w:val="18"/>
          <w:color w:val="auto"/>
        </w:rPr>
        <w:t>We plan to use the remaining portion of the net proceeds for general corporate purposes and in investment, acquisition and business collaboration opportunities that complement or enhance our existing operations and are strategically beneficial to our long-term goals, although we have no present commitments or agreements to enter into any investment, acquisition or business collaboration.</w:t>
      </w:r>
    </w:p>
    <w:p>
      <w:pPr>
        <w:spacing w:after="0" w:line="17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foregoing represents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 See “Risk Factors — Risks Related to This Offering and Our American Depositary Shares — You must rely on the judgment of our management as to the use of the net proceeds from this offering, and such use may not produce income or increase our ADS price.”</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utilizing the proceeds of this offering, we are permitted under PRC laws and regulations to provide funding to our PRC subsidiaries only through loans or capital contributions. Subject to satisfaction of applicable government registration and approval requirements, we may extend inter-company loans to our PRC subsidiaries or make additional capital contributions to our PRC subsidiaries to fund its capital expenditures or working capital. We cannot assure you that we will be able to obtain these government registrations or approvals on a timely basis, if at all. See “Risk Factors — Risks Related to Doing Business in China — PRC regulation of loans to and direct investment in PRC entities by offshore holding companies and governmental control of currency conversion may delay or prevent us from using the proceeds of this offering to make loans to or make additional capital contributions to our PRC subsidiaries, which could materially and adversely affect our liquidity and our ability to fund and expand our business.”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455" w:right="2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We have not previously declared or paid cash dividends and we do not currently plan to declare or pay any dividends in the near future on our shares or ADSs. We currently intend to retain most, if not all, of our available funds and any future earnings to operate and expand our business. However, we may consider a dividend payout in the future with a payout ratio consistent with the online marketing sector.</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are an exempted limited liability company, used as a holding company incorporated in the Cayman Islands. We rely principally on dividends from our PRC subsidiaries, VIE and its subsidiary for our cash requirements, including any payment of dividends to our shareholders. PRC regulations may restrict the ability of our PRC subsidiaries to pay dividends to us. See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applicable laws. In addition, our shareholders may, by ordinary resolution, declare a dividend, but no dividend may exceed the amount recommended by our directors.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we will pay our ADS holders to the same extent as holders of our ordinary shares, subject to the terms of the deposit agreement, including the fees and expenses payable thereunder. See “Description of American Depositary Shares.” Cash dividends on our ordinary shares, if any, will be paid in U.S. dollars.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455" w:right="2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June 30, 2017:</w:t>
      </w:r>
    </w:p>
    <w:p>
      <w:pPr>
        <w:spacing w:after="0" w:line="131" w:lineRule="exact"/>
        <w:rPr>
          <w:sz w:val="20"/>
          <w:szCs w:val="20"/>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30"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reflect the automatic conversion of all our preferred shares into 9,525,757 Class A ordinary shares on a one-for-one basis upon the completion of the offering;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reflect (1) the automatic conversion of all of our outstanding preferred shares into 9,525,757 Class A ordinary</w:t>
      </w:r>
    </w:p>
    <w:p>
      <w:pPr>
        <w:spacing w:after="0" w:line="27" w:lineRule="exact"/>
        <w:rPr>
          <w:sz w:val="20"/>
          <w:szCs w:val="20"/>
          <w:color w:val="auto"/>
        </w:rPr>
      </w:pPr>
    </w:p>
    <w:p>
      <w:pPr>
        <w:ind w:left="900"/>
        <w:spacing w:after="0" w:line="254" w:lineRule="auto"/>
        <w:rPr>
          <w:sz w:val="20"/>
          <w:szCs w:val="20"/>
          <w:color w:val="auto"/>
        </w:rPr>
      </w:pPr>
      <w:r>
        <w:rPr>
          <w:rFonts w:ascii="Times New Roman" w:cs="Times New Roman" w:eastAsia="Times New Roman" w:hAnsi="Times New Roman"/>
          <w:sz w:val="18"/>
          <w:szCs w:val="18"/>
          <w:color w:val="auto"/>
        </w:rPr>
        <w:t>shares on a one-for-one basis immediately upon the completion of this offering; and (2) the sale of Class A ordinary shares in the form of ADSs by us in this offering at an assumed initial public offering price of US$ per ADS, the mid-point of the estimated range of the initial public offering price shown on the front cover of this prospectus, after deducting the underwriting discounts and commissions and estimated offering expenses payable by us assuming no exercise of the underwriters’ option to purchase additional ADSs.</w:t>
      </w:r>
    </w:p>
    <w:p>
      <w:pPr>
        <w:spacing w:after="0" w:line="186"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left="77"/>
              <w:spacing w:after="0"/>
              <w:rPr>
                <w:sz w:val="20"/>
                <w:szCs w:val="20"/>
                <w:color w:val="auto"/>
              </w:rPr>
            </w:pPr>
            <w:r>
              <w:rPr>
                <w:rFonts w:ascii="Times New Roman" w:cs="Times New Roman" w:eastAsia="Times New Roman" w:hAnsi="Times New Roman"/>
                <w:sz w:val="14"/>
                <w:szCs w:val="14"/>
                <w:b w:val="1"/>
                <w:bCs w:val="1"/>
                <w:color w:val="auto"/>
              </w:rPr>
              <w:t>As of June 30, 2017</w:t>
            </w:r>
          </w:p>
        </w:tc>
        <w:tc>
          <w:tcPr>
            <w:tcW w:w="9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340" w:type="dxa"/>
            <w:vAlign w:val="bottom"/>
          </w:tcPr>
          <w:p>
            <w:pPr>
              <w:spacing w:after="0"/>
              <w:rPr>
                <w:sz w:val="10"/>
                <w:szCs w:val="10"/>
                <w:color w:val="auto"/>
              </w:rPr>
            </w:pPr>
          </w:p>
        </w:tc>
        <w:tc>
          <w:tcPr>
            <w:tcW w:w="74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3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42"/>
        </w:trPr>
        <w:tc>
          <w:tcPr>
            <w:tcW w:w="8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center"/>
              <w:ind w:left="77"/>
              <w:spacing w:after="0" w:line="142"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9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Mezzanine equity:</w:t>
            </w: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3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A convertible redeemable preferred shares (US$0.001 par value; 2,500,000 shares authorized as</w:t>
            </w:r>
          </w:p>
        </w:tc>
        <w:tc>
          <w:tcPr>
            <w:tcW w:w="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 December 31, 2016 and June 30, 2017; 2,476,190 shares issued and outstanding as of</w:t>
            </w: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2016 and June 30, 2017; redemption amount of US$6,737 and US$7,290 as of</w:t>
            </w: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2016 and June 30, 2017, respectively)</w:t>
            </w: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5,654</w:t>
            </w:r>
          </w:p>
        </w:tc>
        <w:tc>
          <w:tcPr>
            <w:tcW w:w="1400" w:type="dxa"/>
            <w:vAlign w:val="bottom"/>
          </w:tcPr>
          <w:p>
            <w:pPr>
              <w:jc w:val="center"/>
              <w:ind w:left="97"/>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B convertible redeemable preferred shares (US$0.001 par value; 3,000,000 shares authorized as</w:t>
            </w:r>
          </w:p>
        </w:tc>
        <w:tc>
          <w:tcPr>
            <w:tcW w:w="7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of December 31, 2016 and June 30, 2017; 1,889,249 shares issued and outstanding as of</w:t>
            </w: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2016 and June 30, 2017; redemption amount of US$14,625 and US$14,962 as of</w:t>
            </w: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2016 and June 30, 2017, respectively)</w:t>
            </w:r>
          </w:p>
        </w:tc>
        <w:tc>
          <w:tcPr>
            <w:tcW w:w="7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10,151</w:t>
            </w:r>
          </w:p>
        </w:tc>
        <w:tc>
          <w:tcPr>
            <w:tcW w:w="1400" w:type="dxa"/>
            <w:vAlign w:val="bottom"/>
            <w:shd w:val="clear" w:color="auto" w:fill="CCEEFF"/>
          </w:tcPr>
          <w:p>
            <w:pPr>
              <w:jc w:val="center"/>
              <w:ind w:left="97"/>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3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C convertible redeemable preferred shares (US$0.001 par value; 1,650,000 shares authorized as</w:t>
            </w:r>
          </w:p>
        </w:tc>
        <w:tc>
          <w:tcPr>
            <w:tcW w:w="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 December 31, 2016 and June 30, 2017; 1,599,186 shares issued and outstanding as of</w:t>
            </w: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2016 and June 30, 2017; redemption amount of US$22,288 and US$23,163 as of</w:t>
            </w: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2016 and June 30, 2017, respectively)</w:t>
            </w: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10,733</w:t>
            </w:r>
          </w:p>
        </w:tc>
        <w:tc>
          <w:tcPr>
            <w:tcW w:w="1400" w:type="dxa"/>
            <w:vAlign w:val="bottom"/>
          </w:tcPr>
          <w:p>
            <w:pPr>
              <w:jc w:val="center"/>
              <w:ind w:left="97"/>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D convertible redeemable preferred shares (US$0.001 par value; 4,500,000 shares authorized as</w:t>
            </w:r>
          </w:p>
        </w:tc>
        <w:tc>
          <w:tcPr>
            <w:tcW w:w="7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of December 31, 2016 and June 30, 2017; 2,493,018 shares issued and outstanding as of</w:t>
            </w: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2016 and June 30, 2017; redemption amount of US$58,874 and US$63,466 as of</w:t>
            </w:r>
          </w:p>
        </w:tc>
        <w:tc>
          <w:tcPr>
            <w:tcW w:w="7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2016 and June 30, 2017, respectively)</w:t>
            </w:r>
          </w:p>
        </w:tc>
        <w:tc>
          <w:tcPr>
            <w:tcW w:w="7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43,956</w:t>
            </w:r>
          </w:p>
        </w:tc>
        <w:tc>
          <w:tcPr>
            <w:tcW w:w="1400" w:type="dxa"/>
            <w:vAlign w:val="bottom"/>
            <w:shd w:val="clear" w:color="auto" w:fill="CCEEFF"/>
          </w:tcPr>
          <w:p>
            <w:pPr>
              <w:jc w:val="center"/>
              <w:ind w:left="97"/>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3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E convertible redeemable preferred shares (US$0.001 par value; 1,200,000 shares authorized as</w:t>
            </w:r>
          </w:p>
        </w:tc>
        <w:tc>
          <w:tcPr>
            <w:tcW w:w="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 December 31, 2016 and June 30, 2017; 1,068,114 shares issued and outstanding as of</w:t>
            </w: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2016 and June 30, 2017; redemption amount of US$20,000 and US$27,547 as of</w:t>
            </w:r>
          </w:p>
        </w:tc>
        <w:tc>
          <w:tcPr>
            <w:tcW w:w="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2016 and June 30, 2017, respectively)</w:t>
            </w: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18,845</w:t>
            </w:r>
          </w:p>
        </w:tc>
        <w:tc>
          <w:tcPr>
            <w:tcW w:w="1400" w:type="dxa"/>
            <w:vAlign w:val="bottom"/>
          </w:tcPr>
          <w:p>
            <w:pPr>
              <w:jc w:val="center"/>
              <w:ind w:left="97"/>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834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65</w:t>
            </w: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 June 30, 2017</w:t>
            </w:r>
          </w:p>
        </w:tc>
        <w:tc>
          <w:tcPr>
            <w:tcW w:w="8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60" w:type="dxa"/>
            <w:vAlign w:val="bottom"/>
          </w:tcPr>
          <w:p>
            <w:pPr>
              <w:spacing w:after="0"/>
              <w:rPr>
                <w:sz w:val="10"/>
                <w:szCs w:val="10"/>
                <w:color w:val="auto"/>
              </w:rPr>
            </w:pP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300" w:type="dxa"/>
            <w:vAlign w:val="bottom"/>
          </w:tcPr>
          <w:p>
            <w:pPr>
              <w:spacing w:after="0"/>
              <w:rPr>
                <w:sz w:val="10"/>
                <w:szCs w:val="10"/>
                <w:color w:val="auto"/>
              </w:rPr>
            </w:pPr>
          </w:p>
        </w:tc>
        <w:tc>
          <w:tcPr>
            <w:tcW w:w="12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0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42"/>
        </w:trPr>
        <w:tc>
          <w:tcPr>
            <w:tcW w:w="80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8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0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Redeemable ordinary shares (US$0.001 par value; 742,320 shares issued and outstanding as of</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2016 and June 30, 2017, respectively)</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16,287</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deficit:</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6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Ordinary shares (US$0.001 par value; 37,150,000 shares authorized as of December 31, 2016 and</w:t>
            </w: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June 30, 2017; 13,609,208 and 13,629,344 shares issued and outstanding as of December 31,</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2016 and June 30, 2017, respectively)</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06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Treasury shares (2,149,280 and 2,129,144 shares as of December 31, 2016 and June 30, 2017,</w:t>
            </w: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(2,176)</w:t>
            </w:r>
          </w:p>
        </w:tc>
        <w:tc>
          <w:tcPr>
            <w:tcW w:w="15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(2,176)</w:t>
            </w: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r>
              <w:rPr>
                <w:rFonts w:ascii="Times New Roman" w:cs="Times New Roman" w:eastAsia="Times New Roman" w:hAnsi="Times New Roman"/>
                <w:sz w:val="15"/>
                <w:szCs w:val="15"/>
                <w:color w:val="auto"/>
              </w:rPr>
              <w:t>(2)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247,349</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Statutory reserves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losses</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(3,412)</w:t>
            </w:r>
          </w:p>
        </w:tc>
        <w:tc>
          <w:tcPr>
            <w:tcW w:w="154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(3,412)</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(146,630)</w:t>
            </w:r>
          </w:p>
        </w:tc>
        <w:tc>
          <w:tcPr>
            <w:tcW w:w="15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(146,630)</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(deficit)/equity</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(86,001)</w:t>
            </w:r>
          </w:p>
        </w:tc>
        <w:tc>
          <w:tcPr>
            <w:tcW w:w="15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95,236</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Total mezzanine equity and shareholders’ (deficit)/equity</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95,236</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jc w:val="both"/>
        <w:ind w:left="460" w:right="240" w:hanging="452"/>
        <w:spacing w:after="0" w:line="257"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 adjusted information discussed above is illustrative only. Our additional paid-in capital, total shareholders’ deficit and total mezzanine equity and shareholders’ deficit following the completion of this offering are subject to adjustment based on the actual initial public offering price and other terms of this offering determined at pricing.</w:t>
      </w:r>
    </w:p>
    <w:p>
      <w:pPr>
        <w:spacing w:after="0" w:line="1" w:lineRule="exact"/>
        <w:rPr>
          <w:rFonts w:ascii="Times New Roman" w:cs="Times New Roman" w:eastAsia="Times New Roman" w:hAnsi="Times New Roman"/>
          <w:sz w:val="18"/>
          <w:szCs w:val="18"/>
          <w:color w:val="auto"/>
        </w:rPr>
      </w:pPr>
    </w:p>
    <w:p>
      <w:pPr>
        <w:ind w:left="460" w:right="300" w:hanging="452"/>
        <w:spacing w:after="0" w:line="265" w:lineRule="auto"/>
        <w:tabs>
          <w:tab w:leader="none" w:pos="4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Assuming the number of ADSs offered by us as set forth on the cover page of this prospectus remains the same, and after deduction of underwriting discounts and commissions and the estimated offering expenses payable by us, a US$1.00 change in the assumed initial public offering price of</w:t>
      </w: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17"/>
          <w:szCs w:val="17"/>
          <w:color w:val="auto"/>
        </w:rPr>
        <w:t>per ADS would, in the case of an increase, increase and, in the case of a decrease, decrease each of additional paid-in capital, total</w:t>
      </w:r>
    </w:p>
    <w:p>
      <w:pPr>
        <w:spacing w:after="0" w:line="9" w:lineRule="exact"/>
        <w:rPr>
          <w:sz w:val="20"/>
          <w:szCs w:val="20"/>
          <w:color w:val="auto"/>
        </w:rPr>
      </w:pPr>
    </w:p>
    <w:p>
      <w:pPr>
        <w:ind w:left="460"/>
        <w:spacing w:after="0"/>
        <w:tabs>
          <w:tab w:leader="none" w:pos="6840" w:val="left"/>
        </w:tabs>
        <w:rPr>
          <w:sz w:val="20"/>
          <w:szCs w:val="20"/>
          <w:color w:val="auto"/>
        </w:rPr>
      </w:pPr>
      <w:r>
        <w:rPr>
          <w:rFonts w:ascii="Times New Roman" w:cs="Times New Roman" w:eastAsia="Times New Roman" w:hAnsi="Times New Roman"/>
          <w:sz w:val="18"/>
          <w:szCs w:val="18"/>
          <w:color w:val="auto"/>
        </w:rPr>
        <w:t>shareholders’ deficit and total mezzanine equity and shareholders’ deficit by US$</w:t>
      </w:r>
      <w:r>
        <w:rPr>
          <w:sz w:val="20"/>
          <w:szCs w:val="20"/>
          <w:color w:val="auto"/>
        </w:rPr>
        <w:tab/>
      </w:r>
      <w:r>
        <w:rPr>
          <w:rFonts w:ascii="Times New Roman" w:cs="Times New Roman" w:eastAsia="Times New Roman" w:hAnsi="Times New Roman"/>
          <w:sz w:val="17"/>
          <w:szCs w:val="17"/>
          <w:color w:val="auto"/>
        </w:rPr>
        <w:t>million.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455" w:right="2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If you invest in our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 and holders of our convertible preferred shares which will automatically convert into our ordinary shares concurrently with the completion of this offering.</w:t>
      </w:r>
    </w:p>
    <w:p>
      <w:pPr>
        <w:spacing w:after="0" w:line="180"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Our net tangible book value as of June 30, 2017 was approximately US$(41.6) million, or US$(2.9) per ordinary share as of that date, and US$ per ADS. Net tangible book value represents the amount of our total consolidated assets, less the amount of our intangible assets, net, goodwill and total consolidated liabilities. Pro forma net tangible book value per ordinary share is calculated after giving effect to the automatic conversion of all of our issued and outstanding convertible preferred shares. Pro forma as adjusted net tangible book value per ordinary share is calculated after giving effect to the automatic conversion of all our issued and outstanding convertible preferred shares and the issuance of Class A ordinary shares in the form of ADS by us in this offering. Dilution is determined by subtracting pro forma as adjusted net tangible book value per ordinary share from the public offering price per ordinary share. Because the Class A ordinary shares and Class B ordinary shares have the same dividend and other rights, except for voting and conversion rights, the dilution is presented based on all issued and outstanding ordinary shares, including Class A ordinary shares and Class B ordinary shares.</w:t>
      </w:r>
    </w:p>
    <w:p>
      <w:pPr>
        <w:spacing w:after="0" w:line="18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Without taking into account any other changes in net tangible book value after June 30, 2017, other than to give effect to (i) the automatic conversion of all of our issued and outstanding convertible preferred shares into 9,525,757 Class A ordinary shares concurrently with the completion of this offering and</w:t>
      </w:r>
    </w:p>
    <w:p>
      <w:pPr>
        <w:ind w:right="80"/>
        <w:spacing w:after="0" w:line="250" w:lineRule="auto"/>
        <w:rPr>
          <w:sz w:val="20"/>
          <w:szCs w:val="20"/>
          <w:color w:val="auto"/>
        </w:rPr>
      </w:pPr>
      <w:r>
        <w:rPr>
          <w:rFonts w:ascii="Times New Roman" w:cs="Times New Roman" w:eastAsia="Times New Roman" w:hAnsi="Times New Roman"/>
          <w:sz w:val="18"/>
          <w:szCs w:val="18"/>
          <w:color w:val="auto"/>
        </w:rPr>
        <w:t>(ii) the issuance and sale by us of Class A ordinary shares in the form of ADSs in this offering at an assumed initial public offering price of US$ per ADS (the mid-point of the estimated initial public offering price range shown on the cover page of this prospectus) after deduction of the estimated underwriting discounts and commissions and estimated offering expenses payable by us and assuming the over-allotment option is not exercised, our pro</w:t>
      </w:r>
    </w:p>
    <w:tbl>
      <w:tblPr>
        <w:tblLayout w:type="fixed"/>
        <w:tblInd w:w="0" w:type="dxa"/>
        <w:tblCellMar>
          <w:top w:w="0" w:type="dxa"/>
          <w:left w:w="0" w:type="dxa"/>
          <w:bottom w:w="0" w:type="dxa"/>
          <w:right w:w="0" w:type="dxa"/>
        </w:tblCellMar>
      </w:tblPr>
      <w:tr>
        <w:trPr>
          <w:trHeight w:val="199"/>
        </w:trPr>
        <w:tc>
          <w:tcPr>
            <w:tcW w:w="758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auto"/>
              </w:rPr>
              <w:t>forma as adjusted net tangible book value as of June 30, 2017 would have been US$   million, or US$</w:t>
            </w:r>
          </w:p>
        </w:tc>
        <w:tc>
          <w:tcPr>
            <w:tcW w:w="3260" w:type="dxa"/>
            <w:vAlign w:val="bottom"/>
            <w:gridSpan w:val="2"/>
          </w:tcPr>
          <w:p>
            <w:pPr>
              <w:jc w:val="right"/>
              <w:spacing w:after="0" w:line="199" w:lineRule="exact"/>
              <w:rPr>
                <w:sz w:val="20"/>
                <w:szCs w:val="20"/>
                <w:color w:val="auto"/>
              </w:rPr>
            </w:pPr>
            <w:r>
              <w:rPr>
                <w:rFonts w:ascii="Times New Roman" w:cs="Times New Roman" w:eastAsia="Times New Roman" w:hAnsi="Times New Roman"/>
                <w:sz w:val="18"/>
                <w:szCs w:val="18"/>
                <w:color w:val="auto"/>
              </w:rPr>
              <w:t>per outstanding ordinary share and US$</w:t>
            </w:r>
          </w:p>
        </w:tc>
        <w:tc>
          <w:tcPr>
            <w:tcW w:w="580" w:type="dxa"/>
            <w:vAlign w:val="bottom"/>
            <w:gridSpan w:val="2"/>
          </w:tcPr>
          <w:p>
            <w:pPr>
              <w:jc w:val="center"/>
              <w:spacing w:after="0" w:line="199" w:lineRule="exact"/>
              <w:rPr>
                <w:sz w:val="20"/>
                <w:szCs w:val="20"/>
                <w:color w:val="auto"/>
              </w:rPr>
            </w:pPr>
            <w:r>
              <w:rPr>
                <w:rFonts w:ascii="Times New Roman" w:cs="Times New Roman" w:eastAsia="Times New Roman" w:hAnsi="Times New Roman"/>
                <w:sz w:val="18"/>
                <w:szCs w:val="18"/>
                <w:color w:val="auto"/>
                <w:w w:val="95"/>
              </w:rPr>
              <w:t>per</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ADS. This represents an immediate increase in pro forma net tangible book value of US$</w:t>
            </w:r>
          </w:p>
        </w:tc>
        <w:tc>
          <w:tcPr>
            <w:tcW w:w="4320" w:type="dxa"/>
            <w:vAlign w:val="bottom"/>
            <w:gridSpan w:val="3"/>
          </w:tcPr>
          <w:p>
            <w:pPr>
              <w:jc w:val="right"/>
              <w:ind w:right="288"/>
              <w:spacing w:after="0"/>
              <w:rPr>
                <w:sz w:val="20"/>
                <w:szCs w:val="20"/>
                <w:color w:val="auto"/>
              </w:rPr>
            </w:pPr>
            <w:r>
              <w:rPr>
                <w:rFonts w:ascii="Times New Roman" w:cs="Times New Roman" w:eastAsia="Times New Roman" w:hAnsi="Times New Roman"/>
                <w:sz w:val="18"/>
                <w:szCs w:val="18"/>
                <w:color w:val="auto"/>
              </w:rPr>
              <w:t>per ordinary share and US$  per ADS to the existing</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and an immediate dilution in net tangible book value of US$  per ordinary share and US$</w:t>
            </w:r>
          </w:p>
        </w:tc>
        <w:tc>
          <w:tcPr>
            <w:tcW w:w="38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per ADS to investors purchasing ADSs in this</w:t>
            </w:r>
          </w:p>
        </w:tc>
        <w:tc>
          <w:tcPr>
            <w:tcW w:w="0" w:type="dxa"/>
            <w:vAlign w:val="bottom"/>
          </w:tcPr>
          <w:p>
            <w:pPr>
              <w:spacing w:after="0"/>
              <w:rPr>
                <w:sz w:val="1"/>
                <w:szCs w:val="1"/>
                <w:color w:val="auto"/>
              </w:rPr>
            </w:pPr>
          </w:p>
        </w:tc>
      </w:t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offering. The following table illustrates such dilution:</w:t>
            </w:r>
          </w:p>
        </w:tc>
        <w:tc>
          <w:tcPr>
            <w:tcW w:w="10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6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20" w:type="dxa"/>
            <w:vAlign w:val="bottom"/>
          </w:tcPr>
          <w:p>
            <w:pPr>
              <w:jc w:val="center"/>
              <w:ind w:right="848"/>
              <w:spacing w:after="0"/>
              <w:rPr>
                <w:sz w:val="20"/>
                <w:szCs w:val="20"/>
                <w:color w:val="auto"/>
              </w:rPr>
            </w:pPr>
            <w:r>
              <w:rPr>
                <w:rFonts w:ascii="Times New Roman" w:cs="Times New Roman" w:eastAsia="Times New Roman" w:hAnsi="Times New Roman"/>
                <w:sz w:val="14"/>
                <w:szCs w:val="14"/>
                <w:b w:val="1"/>
                <w:bCs w:val="1"/>
                <w:color w:val="auto"/>
              </w:rPr>
              <w:t>Per ordinary</w:t>
            </w:r>
          </w:p>
        </w:tc>
        <w:tc>
          <w:tcPr>
            <w:tcW w:w="5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0" w:type="dxa"/>
            <w:vAlign w:val="bottom"/>
          </w:tcPr>
          <w:p>
            <w:pPr>
              <w:spacing w:after="0"/>
              <w:rPr>
                <w:sz w:val="1"/>
                <w:szCs w:val="1"/>
                <w:color w:val="auto"/>
              </w:rPr>
            </w:pPr>
          </w:p>
        </w:tc>
      </w:tr>
      <w:tr>
        <w:trPr>
          <w:trHeight w:val="173"/>
        </w:trPr>
        <w:tc>
          <w:tcPr>
            <w:tcW w:w="6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20" w:type="dxa"/>
            <w:vAlign w:val="bottom"/>
          </w:tcPr>
          <w:p>
            <w:pPr>
              <w:jc w:val="center"/>
              <w:ind w:right="848"/>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720" w:type="dxa"/>
            <w:vAlign w:val="bottom"/>
            <w:tcBorders>
              <w:top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5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w:t>
            </w:r>
          </w:p>
        </w:tc>
        <w:tc>
          <w:tcPr>
            <w:tcW w:w="10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Actual net tangible book value per ordinary share as of June 30, 2017</w:t>
            </w:r>
          </w:p>
        </w:tc>
        <w:tc>
          <w:tcPr>
            <w:tcW w:w="1060" w:type="dxa"/>
            <w:vAlign w:val="bottom"/>
          </w:tcPr>
          <w:p>
            <w:pPr>
              <w:spacing w:after="0"/>
              <w:rPr>
                <w:sz w:val="18"/>
                <w:szCs w:val="18"/>
                <w:color w:val="auto"/>
              </w:rPr>
            </w:pPr>
          </w:p>
        </w:tc>
        <w:tc>
          <w:tcPr>
            <w:tcW w:w="32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(2.9)</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84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 forma net tangible book value per ordinary share after giving effect to the automatic conversion of all of our</w:t>
            </w: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convertible preferred shares into ordinary shares</w:t>
            </w:r>
          </w:p>
        </w:tc>
        <w:tc>
          <w:tcPr>
            <w:tcW w:w="10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08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Pro forma as adjusted net tangible book value per ordinary share after giving effect to (i) the automatic conversion</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of all of our issued and outstanding convertible preferred shares into ordinary shares and (ii) the issuance</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ordinary shares in the form of ADSs in this offering</w:t>
            </w:r>
          </w:p>
        </w:tc>
        <w:tc>
          <w:tcPr>
            <w:tcW w:w="10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net tangible book value per ordinary share to new investors in the offering</w:t>
            </w:r>
          </w:p>
        </w:tc>
        <w:tc>
          <w:tcPr>
            <w:tcW w:w="10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 US$1.00 increase (decrease) in the assumed initial public offering price of US$</w:t>
            </w:r>
          </w:p>
        </w:tc>
        <w:tc>
          <w:tcPr>
            <w:tcW w:w="490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per ADS (the mid-point of the estimated initial public offering</w:t>
            </w:r>
          </w:p>
        </w:tc>
        <w:tc>
          <w:tcPr>
            <w:tcW w:w="0" w:type="dxa"/>
            <w:vAlign w:val="bottom"/>
          </w:tcPr>
          <w:p>
            <w:pPr>
              <w:spacing w:after="0"/>
              <w:rPr>
                <w:sz w:val="1"/>
                <w:szCs w:val="1"/>
                <w:color w:val="auto"/>
              </w:rPr>
            </w:pPr>
          </w:p>
        </w:tc>
      </w:tr>
    </w:tbl>
    <w:p>
      <w:pPr>
        <w:ind w:right="80"/>
        <w:spacing w:after="0" w:line="254" w:lineRule="auto"/>
        <w:rPr>
          <w:sz w:val="20"/>
          <w:szCs w:val="20"/>
          <w:color w:val="auto"/>
        </w:rPr>
      </w:pPr>
      <w:r>
        <w:rPr>
          <w:rFonts w:ascii="Times New Roman" w:cs="Times New Roman" w:eastAsia="Times New Roman" w:hAnsi="Times New Roman"/>
          <w:sz w:val="18"/>
          <w:szCs w:val="18"/>
          <w:color w:val="auto"/>
        </w:rPr>
        <w:t>price range shown on the cover page of this prospectus) would increase (decrease) our pro forma net tangible book value after giving effect to the offering by US$ million, the pro forma net tangible book value per ordinary share and per ADS after giving effect to the automatic conversion of our convertible preferred shares and this offering by US$ per ordinary share and US$ per ADS and the dilution in pro forma net tangible book value per ordinary share and per ADS to new investors in this offering by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455" w:right="2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US$ per ordinary share and US$ per ADS, assuming no change to the number of ADSs offered by us as set forth on the cover page of this prospectus, and after deducting the estimated underwriting discounts and commissions and estimated offering expenses payable by us.</w:t>
      </w:r>
    </w:p>
    <w:p>
      <w:pPr>
        <w:spacing w:after="0" w:line="16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following table summarizes, on a pro forma basis as adjusted basis as of June 30, 2017, the differences between existing shareholders, including holders of our convertible preferred shares, and new investors with respect to the number of ordinary shares (in the form of ADSs or ordinary shares) purchased from us, the total consideration paid and the average price per ordinary share/ADS paid before deducting the estimated underwriting discounts and commissions and estimated offering expenses payable by us. The total number of ordinary shares does not include ordinary shares underlying the ADSs issuable upon the exercise of the option to purchase additional ADSs granted to the underwriters.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900" w:type="dxa"/>
            <w:vAlign w:val="bottom"/>
            <w:gridSpan w:val="4"/>
          </w:tcPr>
          <w:p>
            <w:pPr>
              <w:jc w:val="center"/>
              <w:ind w:right="448"/>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540" w:type="dxa"/>
            <w:vAlign w:val="bottom"/>
            <w:vMerge w:val="restart"/>
          </w:tcPr>
          <w:p>
            <w:pPr>
              <w:spacing w:after="0"/>
              <w:rPr>
                <w:sz w:val="13"/>
                <w:szCs w:val="13"/>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 Price per</w:t>
            </w: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0" w:type="dxa"/>
            <w:vAlign w:val="bottom"/>
          </w:tcPr>
          <w:p>
            <w:pPr>
              <w:spacing w:after="0"/>
              <w:rPr>
                <w:sz w:val="1"/>
                <w:szCs w:val="1"/>
                <w:color w:val="auto"/>
              </w:rPr>
            </w:pPr>
          </w:p>
        </w:tc>
      </w:tr>
      <w:tr>
        <w:trPr>
          <w:trHeight w:val="173"/>
        </w:trPr>
        <w:tc>
          <w:tcPr>
            <w:tcW w:w="5120" w:type="dxa"/>
            <w:vAlign w:val="bottom"/>
          </w:tcPr>
          <w:p>
            <w:pPr>
              <w:spacing w:after="0"/>
              <w:rPr>
                <w:sz w:val="15"/>
                <w:szCs w:val="15"/>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520" w:type="dxa"/>
            <w:vAlign w:val="bottom"/>
          </w:tcPr>
          <w:p>
            <w:pPr>
              <w:spacing w:after="0"/>
              <w:rPr>
                <w:sz w:val="15"/>
                <w:szCs w:val="15"/>
                <w:color w:val="auto"/>
              </w:rPr>
            </w:pPr>
          </w:p>
        </w:tc>
        <w:tc>
          <w:tcPr>
            <w:tcW w:w="1460" w:type="dxa"/>
            <w:vAlign w:val="bottom"/>
            <w:tcBorders>
              <w:bottom w:val="single" w:sz="8" w:color="auto"/>
            </w:tcBorders>
            <w:gridSpan w:val="3"/>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38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8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56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75"/>
              </w:rPr>
              <w:t>, except</w:t>
            </w:r>
          </w:p>
        </w:tc>
        <w:tc>
          <w:tcPr>
            <w:tcW w:w="540" w:type="dxa"/>
            <w:vAlign w:val="bottom"/>
            <w:tcBorders>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of shares and percentages)</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jc w:val="center"/>
              <w:ind w:left="159"/>
              <w:spacing w:after="0" w:line="129" w:lineRule="exact"/>
              <w:rPr>
                <w:sz w:val="20"/>
                <w:szCs w:val="20"/>
                <w:color w:val="auto"/>
              </w:rPr>
            </w:pPr>
            <w:r>
              <w:rPr>
                <w:rFonts w:ascii="Times New Roman" w:cs="Times New Roman" w:eastAsia="Times New Roman" w:hAnsi="Times New Roman"/>
                <w:sz w:val="14"/>
                <w:szCs w:val="14"/>
                <w:b w:val="1"/>
                <w:bCs w:val="1"/>
                <w:color w:val="auto"/>
                <w:w w:val="97"/>
              </w:rPr>
              <w:t>(in</w:t>
            </w:r>
          </w:p>
        </w:tc>
        <w:tc>
          <w:tcPr>
            <w:tcW w:w="520" w:type="dxa"/>
            <w:vAlign w:val="bottom"/>
            <w:vMerge w:val="continue"/>
          </w:tcPr>
          <w:p>
            <w:pPr>
              <w:spacing w:after="0"/>
              <w:rPr>
                <w:sz w:val="11"/>
                <w:szCs w:val="11"/>
                <w:color w:val="auto"/>
              </w:rPr>
            </w:pPr>
          </w:p>
        </w:tc>
        <w:tc>
          <w:tcPr>
            <w:tcW w:w="560" w:type="dxa"/>
            <w:vAlign w:val="bottom"/>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w w:val="99"/>
              </w:rPr>
              <w:t>of US$</w:t>
            </w:r>
          </w:p>
        </w:tc>
        <w:tc>
          <w:tcPr>
            <w:tcW w:w="360" w:type="dxa"/>
            <w:vAlign w:val="bottom"/>
            <w:vMerge w:val="continue"/>
          </w:tcPr>
          <w:p>
            <w:pPr>
              <w:spacing w:after="0"/>
              <w:rPr>
                <w:sz w:val="11"/>
                <w:szCs w:val="11"/>
                <w:color w:val="auto"/>
              </w:rPr>
            </w:pPr>
          </w:p>
        </w:tc>
        <w:tc>
          <w:tcPr>
            <w:tcW w:w="540" w:type="dxa"/>
            <w:vAlign w:val="bottom"/>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w w:val="84"/>
              </w:rPr>
              <w:t>number</w:t>
            </w:r>
          </w:p>
        </w:tc>
        <w:tc>
          <w:tcPr>
            <w:tcW w:w="204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0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shareholders</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5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100.0%</w:t>
            </w:r>
          </w:p>
        </w:tc>
        <w:tc>
          <w:tcPr>
            <w:tcW w:w="1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A US$1.00 increase (decrease) in the assumed public offering price of US$</w:t>
            </w:r>
          </w:p>
        </w:tc>
        <w:tc>
          <w:tcPr>
            <w:tcW w:w="540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per ADS (the mid-point of the estimated initial public offering price</w:t>
            </w:r>
          </w:p>
        </w:tc>
        <w:tc>
          <w:tcPr>
            <w:tcW w:w="0" w:type="dxa"/>
            <w:vAlign w:val="bottom"/>
          </w:tcPr>
          <w:p>
            <w:pPr>
              <w:spacing w:after="0"/>
              <w:rPr>
                <w:sz w:val="1"/>
                <w:szCs w:val="1"/>
                <w:color w:val="auto"/>
              </w:rPr>
            </w:pPr>
          </w:p>
        </w:tc>
      </w:tr>
    </w:tbl>
    <w:p>
      <w:pPr>
        <w:ind w:right="240"/>
        <w:spacing w:after="0" w:line="261" w:lineRule="auto"/>
        <w:rPr>
          <w:sz w:val="20"/>
          <w:szCs w:val="20"/>
          <w:color w:val="auto"/>
        </w:rPr>
      </w:pPr>
      <w:r>
        <w:rPr>
          <w:rFonts w:ascii="Times New Roman" w:cs="Times New Roman" w:eastAsia="Times New Roman" w:hAnsi="Times New Roman"/>
          <w:sz w:val="18"/>
          <w:szCs w:val="18"/>
          <w:color w:val="auto"/>
        </w:rPr>
        <w:t>range shown on the cover page of this prospectus) would increase (decrease) total consideration paid by new investors by US$ million, assuming that the number of shares offered by us, as set forth on the cover page of this prospectus, remains the same.</w:t>
      </w:r>
    </w:p>
    <w:p>
      <w:pPr>
        <w:spacing w:after="0" w:line="180"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The pro forma information discussed above is illustrative only. Our net tangible book value following the completion of this offering is subject to adjustment based on the actual initial public offering price of our ADSs and other terms of this offering determined at pricing.</w:t>
      </w:r>
    </w:p>
    <w:p>
      <w:pPr>
        <w:spacing w:after="0" w:line="162"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there are 1,791,271 ordinary shares issuable upon the exercise of outstanding options to purchase ordinary shares and an additional 334,111 ordinary shares reserved for future issuance under the share option incentive scheme we adopted in 2010, or the 2010 Plan. To the extent that any of the unvested options later vest are exercised to purchase ordinary shares, there will be further dilution to new investors.</w:t>
      </w:r>
    </w:p>
    <w:p>
      <w:pPr>
        <w:spacing w:after="0" w:line="176"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Under the 2010 Plan, the maximum number of ordinary shares that may be issued to the beneficiaries is 2,398,137, which have been issued to Arda Holdings Limited, or Arda, as trustee to the beneficiaries of the 2010 Plan. As of the date of this prospectus, options to purchase 2,064,026 ordinary shares were granted under the 2010 Plan, 757,933 of which are not vested, 1,033,338 are fully vested but not exercised, and 272,755 have been exercised. In addition, 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88"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plan to adopt a share incentive plan prior to the completion of this offering, or the 2017 Plan, to provide additional incentives to employees, directors and consultants and promote the success of our business. The maximum aggregate number of shares which may be issued pursuant to all awards under the proposed 2017 Plan shall initially be 1,000,000, plus an annual increase on the first day of each of our fiscal year during the term of the 2017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such shares will be Class A ordinary shares.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Our business is primarily conducted in China, and the financial records of our subsidiaries and VIE and VIE’s subsidiary in China are maintained in Renminbi, their functional currency. The financial records of our non-PRC subsidiaries are denominated in their respective currencies, including Hong Kong dollar, Singapore dollars or New Taiwan dollars. However, we use the U.S. dollar as our reporting and functional currency; therefore, periodic reports made to shareholders will include current period amounts translated into U.S. dollars using the then-current exchange rates, for the convenience of the readers. The financial information of our subsidiaries in China is first prepared in Renminbi and then translated into the U.S. dollars, and the financial information of our non-PRC subsidiaries is first prepared in their respective currencies, including Hong Kong dollar, Singapore dollars or New Taiwan dollars, and then translated into the U.S. dollars, both at period-end exchange rates as to assets and liabilities and average exchange rates as to revenue and expenses. Capital accounts are translated at their historical exchange rates when the capital transactions occurred. The effects of foreign currency translation adjustments are included as a component of accumulated other comprehensive income in shareholders’ equity.</w:t>
      </w:r>
    </w:p>
    <w:p>
      <w:pPr>
        <w:spacing w:after="0" w:line="189"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We make no representation that any Renminbi or U.S. dollar amounts could have been, or could be, converted into U.S. dollars or Renminbi, as the case may be, at any particular rate, or at all. The PRC government imposes control over its foreign currency reserves in part through direct regulation of the conversion of Renminbi into foreign exchange and through restrictions on foreign trade. We do not currently engage in currency hedging transactions.</w:t>
      </w:r>
    </w:p>
    <w:p>
      <w:pPr>
        <w:spacing w:after="0" w:line="176"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following table sets forth, for the periods indicated, information concerning exchange rates between the Renminbi and the U.S. dollar based on the exchange rates set forth in the H.10 statistical release of the Federal Reserve Board. These rates are provided solely for your reference and convenience. Unless otherwise stated, all translations of Renminbi into U.S. dollars in this prospectus were made at the rate of RMB6.7793 to US$1.00 and all translations of Hong Kong dollars into U.S. dollars in this prospectus were made at the rate of HK$7.8055 to US$1.00, each being the noon buying rates on June 30, 2017 as set forth in the H.10 statistical release of the U.S. Federal Reserve Board. We make no representation that the Renminbi referred to in this prospectus could have been or could be converted into U.S. dollars at any particular rate or at all. On August 11, 2017, the noon buying rate for Renminbi was RMB6.6612 to US$1.00 as set forth in the H.10 statistical release of the U.S. Federal Reserve Board.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Certified Exchange Rate</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980" w:type="dxa"/>
            <w:vAlign w:val="bottom"/>
            <w:gridSpan w:val="2"/>
            <w:vMerge w:val="continue"/>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Period-End</w:t>
            </w:r>
          </w:p>
        </w:tc>
        <w:tc>
          <w:tcPr>
            <w:tcW w:w="18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Average</w:t>
            </w:r>
            <w:r>
              <w:rPr>
                <w:rFonts w:ascii="Times New Roman" w:cs="Times New Roman" w:eastAsia="Times New Roman" w:hAnsi="Times New Roman"/>
                <w:sz w:val="12"/>
                <w:szCs w:val="12"/>
                <w:b w:val="1"/>
                <w:bCs w:val="1"/>
                <w:color w:val="auto"/>
              </w:rPr>
              <w:t>(1)</w:t>
            </w: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Low</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75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6.2990</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6.2221</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75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6.0537</w:t>
            </w: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6.1478</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6.0537</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6.2438</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7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6.2046</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6.1620</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6.0402</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6.2591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75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6.4778</w:t>
            </w: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6.2827</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6.1870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6.4896</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7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6.9430</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6.6400</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6.4480</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6.9580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7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February</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6.8665</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6.8694</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6.8517</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6.8821</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March</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6.8832</w:t>
            </w: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6.8940</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6.8687</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6.9132</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April</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6.8900</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6.8876</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6.8778</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6.8988</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May</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6.8098</w:t>
            </w: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6.8843</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6.8098</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6.9060</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June</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6.7793</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6.8066</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6.7793</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6.8382</w:t>
            </w:r>
          </w:p>
        </w:tc>
        <w:tc>
          <w:tcPr>
            <w:tcW w:w="0" w:type="dxa"/>
            <w:vAlign w:val="bottom"/>
          </w:tcPr>
          <w:p>
            <w:pPr>
              <w:spacing w:after="0"/>
              <w:rPr>
                <w:sz w:val="1"/>
                <w:szCs w:val="1"/>
                <w:color w:val="auto"/>
              </w:rPr>
            </w:pPr>
          </w:p>
        </w:tc>
      </w:tr>
      <w:tr>
        <w:trPr>
          <w:trHeight w:val="216"/>
        </w:trPr>
        <w:tc>
          <w:tcPr>
            <w:tcW w:w="7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July</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6.724</w:t>
            </w:r>
          </w:p>
        </w:tc>
        <w:tc>
          <w:tcPr>
            <w:tcW w:w="10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6.7679</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6.7240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6.8039</w:t>
            </w:r>
          </w:p>
        </w:tc>
        <w:tc>
          <w:tcPr>
            <w:tcW w:w="0" w:type="dxa"/>
            <w:vAlign w:val="bottom"/>
          </w:tcPr>
          <w:p>
            <w:pPr>
              <w:spacing w:after="0"/>
              <w:rPr>
                <w:sz w:val="1"/>
                <w:szCs w:val="1"/>
                <w:color w:val="auto"/>
              </w:rPr>
            </w:pPr>
          </w:p>
        </w:tc>
      </w:tr>
      <w:tr>
        <w:trPr>
          <w:trHeight w:val="216"/>
        </w:trPr>
        <w:tc>
          <w:tcPr>
            <w:tcW w:w="79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August (through August 11, 2017)</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6.6612</w:t>
            </w:r>
          </w:p>
        </w:tc>
        <w:tc>
          <w:tcPr>
            <w:tcW w:w="11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6.6982</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6.6460</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6.7272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Federal Reserve Statistical Release</w:t>
      </w:r>
    </w:p>
    <w:p>
      <w:pPr>
        <w:spacing w:after="0" w:line="27" w:lineRule="exact"/>
        <w:rPr>
          <w:sz w:val="20"/>
          <w:szCs w:val="20"/>
          <w:color w:val="auto"/>
        </w:rPr>
      </w:pPr>
    </w:p>
    <w:p>
      <w:pPr>
        <w:ind w:left="460" w:right="200" w:hanging="452"/>
        <w:spacing w:after="0" w:line="261"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averages were calculated by using the average of the exchange rates on the last day of each month during the relevant year. Monthly averages are calculated by using the average of the daily rates during the relevant month.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455" w:right="2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are incorporated in the Cayman Islands to take advantage of certain benefits associated with being a Cayman Islands exempted limited liability company, such as political and economic stability, an effective judicial system (except for certain disadvantages discussed below), a favorable tax system, the absence of exchange control or currency restrictions and the availability of professional and support services. However, certain disadvantages accompany incorporation in the Cayman Islands. These disadvantages include that the Cayman Islands has a less developed body of securities laws as compared to the United States and provides significantly less protection to investors. In addition, Cayman Islands companies may not have standing to sue before the federal courts of the United States. Our constituent documents do not contain provisions requiring that disputes be submitted to arbitration, including those arising under the securities laws of the United States, between us, our officers, directors and shareholders.</w:t>
      </w:r>
    </w:p>
    <w:p>
      <w:pPr>
        <w:spacing w:after="0" w:line="18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conduct substantially all of our current operations outside the United States, and substantially all of our assets are located outside the United States. All of our directors and executive officers are nationals or residents of jurisdictions other than the United States and a substantial portion of their assets are located outside of the United States. As a result, it may be difficult for a shareholder to effect service of process within the United States upon us or such persons, or to enforce against us or them judgments obtained in United States courts, including judgments predicated upon the civil liability provisions of the securities laws of the United States or any state in the United States.</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have appointed Law Debenture Corporate Services, Inc. as our agent to receive service of process with respect to any action brought against us in the United States District Court for the Southern District of New York under the federal securities laws of the United States or of any state in the United States or any action brought against us in the Supreme Court of the State of New York in the County of New York under the securities laws of the State of New York.</w:t>
      </w:r>
    </w:p>
    <w:p>
      <w:pPr>
        <w:spacing w:after="0" w:line="18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Travers Thorp Alberga, Attorneys at Law, our counsel as to Cayman Islands law, has advised us that there is uncertainty as to whether the courts of the Cayman Islands would (1) recognize or enforce judgments of U.S. courts obtained against us or our directors or officers, predicated upon the civil liability provisions of the securities laws of the United States or any state in the United States, or (2) entertain original actions brought in the Cayman Islands against us or our directors or officers, predicated upon the securities laws of the United States or any state in the United States.</w:t>
      </w:r>
    </w:p>
    <w:p>
      <w:pPr>
        <w:spacing w:after="0" w:line="18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Travers Thorp Alberga, Attorneys at Law, has informed us that although there is no statutory enforcement in the Cayman Islands of judgments obtained in the federal or state courts of the United States (and the Cayman Islands are not a party to any treaties for the reciprocal enforcement or recognition of such judgments), a judgment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(a) is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w:t>
      </w:r>
    </w:p>
    <w:p>
      <w:pPr>
        <w:spacing w:after="0" w:line="186"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Under the PRC Civil Procedures Law, courts in China may recognize and enforce foreign judgments pursuant to treaties between China and the country where the judgment is rendered or reciprocity arrangements for the recognition and enforcement of foreign judgments. China does not have any treaties or other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arrangements that provide for the reciprocal recognition and enforcement of foreign judgments with the United States or the Cayman Islands. Therefore, Jingtian &amp; Gongcheng, our counsel as to PRC law, has advised us that there is substantial uncertainty as to whether the courts of the PRC would (1) recognize or enforce judgments of U.S. courts obtained against us or our directors or officers, predicated upon the civil liability provisions of the securities laws of the United States or any state in the United States, or (2) entertain original actions brought in the PRC against us or our directors or officers, predicated upon the securities laws of the United States or any state in the United States.</w:t>
      </w:r>
    </w:p>
    <w:p>
      <w:pPr>
        <w:spacing w:after="0" w:line="184"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Judgment of United States courts will not be directly enforced in Hong Kong. There are currently no treaties or other arrangements providing for reciprocal enforcement of foreign judgments between Hong Kong and the United States. However, subject to certain conditions, including but not limited to when the judgment is for a liquidated amount in a civil matter and not in respect of taxes, fines, penalties or similar charges, the judgment is final and conclusive and has not been stayed or satisfied in full, the proceedings in which the judgment was obtained were not contrary to natural justice and the enforcement of the judgment is not contrary to public policy of Hong Kong, Hong Kong courts may accept such judgment obtained from a United States court as a debt due under the rules of common law enforcement. However, a separate legal action for debt must be commenced in Hong Kong in order to recover such debt from the judgment debtor.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455" w:right="2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commenced our online marketing business in 2009. Two of our subsidiaries, Digital Marketing Group Limited and Tetris Media Limited, existed without significant operational activities prior to 2009. In February 2010, we restructured our holding structuring by incorporating Optimix Media Asia Limited in the Cayman Islands as the holding company of Optimix HK to facilitate financing and offshore listing. In March 2017, we changed our name from Optimix Media Asia Limited to iClick Interactive Asia Group Limited.</w:t>
      </w:r>
    </w:p>
    <w:p>
      <w:pPr>
        <w:spacing w:after="0" w:line="180"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In September 2010, we set up Diablo Holdings Corporation, a company incorporated in the British Virgin Islands, which focuses on search engine marketing and operates in China through Search Asia Technology (Shenzhen) Co., Ltd., its wholly owned subsidiary.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January 2011, we set up our Singapore subsidiary, iClick Interactive (Singapore) Pte. Ltd., to provide localized services to customers in Southeast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Asia.</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January 2013, we incorporated Performance Media Group Limited in Hong Kong to further expand our online marketing business.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Also in January 2013, we set up Tetris Media (Shanghai) Co., Ltd., as our wholly owned PRC subsidiary.</w:t>
      </w:r>
    </w:p>
    <w:p>
      <w:pPr>
        <w:spacing w:after="0" w:line="225"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In November 2014, we enhanced our data analytics capabilities by acquiring Buzzinate Company Limited, or Buzzinate, a company incorporated in Hong Kong. Buzzinate is an online marketing platform with strong data analytics capabilities and deep understanding of behavior of internet users in China. Buzzinate operates in China through Buzzinate (Shanghai) Information Technology Co., Ltd., its wholly owned subsidiary.</w:t>
      </w:r>
    </w:p>
    <w:p>
      <w:pPr>
        <w:spacing w:after="0" w:line="17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July 2015, we acquired all shares in OptAim Ltd., or OptAim, and substantially expanded our online marketing business into mobile channels to identify, engage and convert mobile audience. Under the terms of the share purchase agreement, we acquired all equity interests in OptAim Ltd., including those of OptAim Ltd.’s VIE entity, OptAim Network, from its existing shareholders Igomax Inc. (an entity controlled by Jian Tang), Zaffre Investments Inc., Sohu. com Limited, and BAI GmbH, for a total consideration of RMB10 million and US$14,365,345 in cash and 2,535,091 of our ordinary shares. As part of the agreement, Jian Tang and Jie Jiao became the nominee shareholders of OptAim Network. Jian Tang is our co-founder, director, chief operating officer and chief technology officer. Jie Jiao is our chief financial officer. In addition, Optimix Media Asia Limited made two loans in the aggregate amount of US$5.0 million to OptAim, Ltd. to pay a special dividend to Igomax Inc. Igomax Inc., Sohu.com Limited and Jian Tang each agreed to a non-compete and non-solicitation undertaking with respect to OptAim Ltd. and its consolidated subsidiaries for a period of three years. OptAim operates in China through OptAim Beijing, its wholly owned subsidiary. OptAim Beijing has entered into a set of contractual arrangements with OptAim Network, a company incorporated in China, OptAim Network’s nominee shareholders, and Zhiyunzhong, the wholly owned Chinese subsidiary of OptAim Network. See “— Contractual Arrangements with OptAim Network.”</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380"/>
          </w:cols>
          <w:pgMar w:left="240" w:top="455" w:right="27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20" w:firstLine="456"/>
        <w:spacing w:after="0" w:line="282" w:lineRule="auto"/>
        <w:rPr>
          <w:sz w:val="20"/>
          <w:szCs w:val="20"/>
          <w:color w:val="auto"/>
        </w:rPr>
      </w:pPr>
      <w:r>
        <w:rPr>
          <w:rFonts w:ascii="Times New Roman" w:cs="Times New Roman" w:eastAsia="Times New Roman" w:hAnsi="Times New Roman"/>
          <w:sz w:val="18"/>
          <w:szCs w:val="18"/>
          <w:color w:val="auto"/>
        </w:rPr>
        <w:t>The following diagram illustrates our organizational structure, including our subsidiaries, our VIE, and the VIE’s subsidiary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6165850" cy="53943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65850" cy="539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right="100" w:hanging="452"/>
        <w:spacing w:after="0" w:line="282"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shareholders of OptAim Network are Jie Jiao and Jian Tang, who hold 51% and 49% equity interests in OptAim Network, respectively. Jie Jiao is our chief financial officer, and Jian Tang is our co-founder, director, chief operating officer and chief technology officer.</w:t>
      </w:r>
    </w:p>
    <w:p>
      <w:pPr>
        <w:spacing w:after="0" w:line="16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substantially all our operations through the following consolidated subsidiaries:</w:t>
      </w:r>
    </w:p>
    <w:p>
      <w:pPr>
        <w:spacing w:after="0" w:line="252" w:lineRule="exact"/>
        <w:rPr>
          <w:sz w:val="20"/>
          <w:szCs w:val="20"/>
          <w:color w:val="auto"/>
        </w:rPr>
      </w:pPr>
    </w:p>
    <w:p>
      <w:pPr>
        <w:ind w:left="900" w:hanging="325"/>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iClick Interactive Asia Limited: primarily focusing on providing both mobile audience solutions and other solutions to Hong Kong and overseas customers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300"/>
          </w:cols>
          <w:pgMar w:left="240" w:top="455" w:right="3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Tetris Media Limited and its subsidiary: primarily focusing on providing our other solutions to Hong Kong agency customers and its business are gradually being transferred to iClick Interactive Asia Limited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Media Group Limited: primarily focusing on providing mobile audience solutions and other solutions to Hong Kong customers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Search (Asia) Limited and its subsidiaries: promoting content distribution opportunities for certain publisher</w:t>
      </w:r>
    </w:p>
    <w:p>
      <w:pPr>
        <w:spacing w:after="0" w:line="130" w:lineRule="exact"/>
        <w:rPr>
          <w:rFonts w:ascii="Times New Roman" w:cs="Times New Roman" w:eastAsia="Times New Roman" w:hAnsi="Times New Roman"/>
          <w:sz w:val="18"/>
          <w:szCs w:val="18"/>
          <w:color w:val="auto"/>
        </w:rPr>
      </w:pPr>
    </w:p>
    <w:p>
      <w:pPr>
        <w:ind w:left="900" w:right="360" w:hanging="325"/>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iClick Interactive (Singapore) Pte. Ltd: primarily focusing on providing both mobile audience solutions and other solutions to Singapore and other overseas customers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iClick Interactive (Beijing) Advertisement Co., Ltd.: primarily focusing on providing our other solutions to PRC customers</w:t>
      </w:r>
    </w:p>
    <w:p>
      <w:pPr>
        <w:spacing w:after="0" w:line="130"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OptAim (Beijing) Information Technology Co. Ltd.: primarily focusing on providing mobile audience solutions to PRC customers through our VIE and the VIE’s subsidiary</w:t>
      </w:r>
    </w:p>
    <w:p>
      <w:pPr>
        <w:spacing w:after="0" w:line="67"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Beijing OptAim Network Technology Co., Ltd. which is our VIE, and its subsidiary: primarily focusing on providing mobile audience solutions to PRC customers</w:t>
      </w:r>
    </w:p>
    <w:p>
      <w:pPr>
        <w:spacing w:after="0" w:line="16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are in the process of transferring the business operated by our VIE, OptAim Network, to our wholly owned subsidiaries. We expect that by the end of 2018, OptAim (Beijing) Information Technology Co., Ltd. will replace Beijing OptAim Network Technology Co., Ltd. as contracting party for all our mobile audience solution business that are operated by OptAim. Please refer to “Risk Factors —Risks Related to Our Corporate Structure — We will need to continue to rely on the contractual arrangements that establish the structure for certain of our operations in China when and to the extent our operations are deemed as foreign-related survey.”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OptAim Network</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Foreign ownership in advertising companies used to be subject to certain restrictions under the PRC laws and regulations. For example, according to the Administrative Provisions on Foreign-Invested Advertising Enterprises, foreign investors were required to meet several conditions in order to invest in the PRC advertising business, such as a minimum number of years of advertising-related experience and an approval from the relevant PRC regulatory authority. OptAim is a Cayman Islands company and OptAim Beijing, its PRC subsidiary, is considered an FIE. To comply with the then-effective PRC laws and regulations, including the Administrative Provisions on Foreign-Invested Advertising Enterprises, OptAim Beijing entered into a set of contractual arrangements with OptAim Network and its shareholders. The laws and regulations that imposed restrictions on foreign ownership in advertising companies, including the Administrative Provisions on Foreign-Invested Advertising Enterprises were abolished in June 2015. We are in the process of transferring the business operated by our VIE, OptAim Network, to our wholly owned subsidiaries. We expect that by the end of 2018, OptAim Beijing will replace OptAim Network as contracting party for all our mobile audience solution business that are operated by OptAim.</w:t>
      </w:r>
    </w:p>
    <w:p>
      <w:pPr>
        <w:spacing w:after="0" w:line="18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March 10, 2015, only a domestic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customers and marketers in and outside China fall within the scope of “foreign-related survey”under the Foreign-related Survey Measures. However, there are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00"/>
          </w:cols>
          <w:pgMar w:left="240" w:top="455" w:right="2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uncertainties under 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foreign-related survey license on June 6, 2017.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Bejing’s contractual arrangements with OptAim Network and its shareholders to conduct certain of our operations in China, including to transfer such operations to our VIE to the extent they are deemed foreign-related survey. See “Risk Factors — Risk Related to Our Corporate Structure — We will need to continue to rely on the contractual arrangements that establish the structure for certain of our operations in China when and to the extent our operations are deemed as foreign-related survey.”</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contractual arrangements between OptAim Beijing, OptAim Network and the shareholders of OptAim Network allow us to:</w:t>
      </w:r>
    </w:p>
    <w:p>
      <w:pPr>
        <w:spacing w:after="0" w:line="131" w:lineRule="exact"/>
        <w:rPr>
          <w:sz w:val="20"/>
          <w:szCs w:val="20"/>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effective control over OptAim Network and Zhiyunzhong;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of OptAim Network and Zhiyunzhong;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exclusive option to purchase all or part of the equity interests and assets in OptAim Network.</w:t>
      </w:r>
    </w:p>
    <w:p>
      <w:pPr>
        <w:spacing w:after="0" w:line="225" w:lineRule="exact"/>
        <w:rPr>
          <w:sz w:val="20"/>
          <w:szCs w:val="20"/>
          <w:color w:val="auto"/>
        </w:rPr>
      </w:pPr>
    </w:p>
    <w:p>
      <w:pPr>
        <w:jc w:val="both"/>
        <w:ind w:right="140" w:firstLine="456"/>
        <w:spacing w:after="0" w:line="266" w:lineRule="auto"/>
        <w:rPr>
          <w:sz w:val="20"/>
          <w:szCs w:val="20"/>
          <w:color w:val="auto"/>
        </w:rPr>
      </w:pPr>
      <w:r>
        <w:rPr>
          <w:rFonts w:ascii="Times New Roman" w:cs="Times New Roman" w:eastAsia="Times New Roman" w:hAnsi="Times New Roman"/>
          <w:sz w:val="18"/>
          <w:szCs w:val="18"/>
          <w:color w:val="auto"/>
        </w:rPr>
        <w:t>As a result of these contractual arrangements, we have effective control over, and are the primary beneficiary of, OptAim Network and therefore treat OptAim Network and its subsidiary as our consolidated affiliated entities under U.S. GAAP and have consolidated their financial results in our consolidated financial statements in accordance with U.S. GAAP.</w:t>
      </w:r>
    </w:p>
    <w:p>
      <w:pPr>
        <w:spacing w:after="0" w:line="176"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currently effective contractual arrangements by and among OptAim Beijing, our wholly owned subsidiary, OptAim Network, our consolidated VIE, the shareholders of OptAim Network and Zhiyunzhong.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Agreements that Provide us with Effective Control over OptAim Network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Amended and Restated Equity Pledge Agreement</w:t>
      </w:r>
    </w:p>
    <w:p>
      <w:pPr>
        <w:spacing w:after="0" w:line="12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OptAim Beijing, OptAim Network and the shareholders of OptAim Network entered into a second amended and restated equity pledge agreement on May 26, 2017. Pursuant to the second amended and restated equity pledge agreement, each shareholder of OptAim Network has pledged all of his or her equity interest in OptAim Network to OptAim Beijing to guarantee the performance by such shareholder and OptAim Network of their respective obligations under the exclusive business cooperation agreement, powers of attorney and the second amended and restated exclusive call option agreement as well as their respective liabilities arising from any breach. If OptAim Network or any of its shareholders breaches any obligations under these agreements, OptAim Beijing, as pledgee, will be entitled to dispose of the pledged equity and have priority to be compensated by the proceeds from the disposal of the pledged equity. Each of the shareholders of OptAim Network agrees that before his or her obligations under the contractual arrangements are discharged, he or she will not dispose of the pledged equity interests, create or allow any encumbrance on the pledged equity interests, or take any action which may result in any change of the pledged equity that may have material adverse effects on the pledgee’s rights under this agreement without the prior written consent of OptAim Beijing. The second amended and restated equity pledge agreement will remain effective until OptAim Network and its shareholders discharge all their obligations under the contractual arrangements and pay out all consulting and services fees under the exclusive business cooperation agreement. We have completed the registration of the equity pledge with the relevant office of the Administration for Industry and Commerce in accordance with PRC Property Rights Law on June 21, 2017.</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00"/>
          </w:cols>
          <w:pgMar w:left="240" w:top="455" w:right="2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Powers of Attorney</w:t>
      </w:r>
    </w:p>
    <w:p>
      <w:pPr>
        <w:spacing w:after="0" w:line="121" w:lineRule="exact"/>
        <w:rPr>
          <w:sz w:val="20"/>
          <w:szCs w:val="20"/>
          <w:color w:val="auto"/>
        </w:rPr>
      </w:pPr>
    </w:p>
    <w:p>
      <w:pPr>
        <w:ind w:right="240" w:firstLine="456"/>
        <w:spacing w:after="0" w:line="256" w:lineRule="auto"/>
        <w:rPr>
          <w:sz w:val="20"/>
          <w:szCs w:val="20"/>
          <w:color w:val="auto"/>
        </w:rPr>
      </w:pPr>
      <w:r>
        <w:rPr>
          <w:rFonts w:ascii="Times New Roman" w:cs="Times New Roman" w:eastAsia="Times New Roman" w:hAnsi="Times New Roman"/>
          <w:sz w:val="18"/>
          <w:szCs w:val="18"/>
          <w:color w:val="auto"/>
        </w:rPr>
        <w:t>Through powers of attorney dated May 26, 2017, each shareholder of OptAim Network irrevocably authorizes OptAim Beijing or any person(s) designated by OptAim Beijing to act as his or her attorney-in-fact to exercise all of such shareholder’s voting and other rights associated with the shareholder’s equity interest in OptAim Network, such as the right to appoint directors, supervisors and officers, as well as the right to sell, transfer, pledge and dispose of all or a portion of the shares held by such shareholder. The powers of attorney will remain in force unless OptAim Beijing gives out any instruction in writing otherwise. Once the powers of attorney are terminated in whole or in part, each shareholder shall revoke his/her power of attorney to OptAim Beijing and immediately sign another power of attorney with the person(s) designated by OptAim Beijing.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Spousal Consent</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spouse of Jian Tang signed a spousal consent letter on May 26, 2017. Jian Tang holds 49% equity interest in OptAim Network. Under the spousal consent letter, the signing spouse unconditionally and irrevocably agreed that she was aware of the disposal of OptAim Network shares held by Jian Tang in the abovementioned second amended and restated exclusive call option agreement, the power of attorney, and the second amended and restated equity pledge agreement. The signing spouse confirmed not having any interest in the OptAim Network shares and committed not to impose any adverse assertions upon those shares. The signing spouse further confirmed that her consent and approval are not needed for any amendment or termination of the abovementioned agreements and committed that she shall take all necessary measures needed for the performance of those agreements.</w:t>
      </w:r>
    </w:p>
    <w:p>
      <w:pPr>
        <w:spacing w:after="0" w:line="292" w:lineRule="exact"/>
        <w:rPr>
          <w:sz w:val="20"/>
          <w:szCs w:val="20"/>
          <w:color w:val="auto"/>
        </w:rPr>
      </w:pPr>
    </w:p>
    <w:p>
      <w:pPr>
        <w:ind w:right="416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Agreement that Allows Us to Receive Economic Benefits from OptAim Network and Zhiyunzhong Exclusive Business Cooperation Agreement</w:t>
      </w:r>
    </w:p>
    <w:p>
      <w:pPr>
        <w:ind w:firstLine="456"/>
        <w:spacing w:after="0" w:line="255" w:lineRule="auto"/>
        <w:rPr>
          <w:sz w:val="20"/>
          <w:szCs w:val="20"/>
          <w:color w:val="auto"/>
        </w:rPr>
      </w:pPr>
      <w:r>
        <w:rPr>
          <w:rFonts w:ascii="Times New Roman" w:cs="Times New Roman" w:eastAsia="Times New Roman" w:hAnsi="Times New Roman"/>
          <w:sz w:val="18"/>
          <w:szCs w:val="18"/>
          <w:color w:val="auto"/>
        </w:rPr>
        <w:t>OptAim Beijing, OptAim Network and Zhiyunzhong entered into an exclusive business cooperation agreement on January 16, 2015. Pursuant to this agreement, OptAim Beijing or its designated party has the exclusive right to provide OptAim Network and Zhiyunzhong with technical support, consulting services and other services. Without OptAim Beijing’s prior written consent, OptAim Network and Zhiyunzhong shall not accept any technical support and services covered by this agreement from any third party. OptAim Network and Zhiyunzhong agree to pay service fees in an amount equal to 100% of their respective net income for the relevant period on a monthly basis. OptAim Beijing owns the intellectual property rights arising out of the provisions of services under this agreement. OptAim Network and Zhiyunzhong shall grant an irrevocable call option to OptAim Beijing to purchase all or any of their assets or business with the lowest price allowed by PRC law. Unless OptAim Beijing terminates this agreement, this agreement will remain effective until any party thereto is dissolved in accordance with PRC law.</w:t>
      </w:r>
    </w:p>
    <w:p>
      <w:pPr>
        <w:spacing w:after="0" w:line="289" w:lineRule="exact"/>
        <w:rPr>
          <w:sz w:val="20"/>
          <w:szCs w:val="20"/>
          <w:color w:val="auto"/>
        </w:rPr>
      </w:pPr>
    </w:p>
    <w:p>
      <w:pPr>
        <w:ind w:right="430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Agreement that Provides Us with the Option to Purchase the Equity Interest in OptAim Network Second Amended and Restated Exclusive Call Option Agreement</w:t>
      </w: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OptAim Beijing, OptAim Network and the shareholders of OptAim Network entered into a second amended and restated exclusive call option agreement on May 26, 2017. Pursuant to the second amended and restated exclusive call option agreement, the shareholders of OptAim Network have irrevocably granted OptAim Beijing or any third party designated by OptAim Beijing a second amended and restated exclusive call option to purchase all or part of their respective equity interests in OptAim Network. Until there is any evaluation request by PRC law, the purchase price is equal to RMB100 or the lowest price allowed by PRC law. Unless otherwise agreed, the shareholders of OptAim Network will immediately gift OptAim Beijing or any third party designated by OptAim Beijing with the purchase price after OptAim Beijing or any third party designated by OptAim Beijing exercises the option. OptAim Beijing may transfer all or part of its option under this agreement to a third party under the approval of the shareholders of OptAim Beijing. Without OptAim Beijing’s prior written consent, the shareholders of OptAim Network shall not, among other things, amend its articles of association, increase or</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455" w:right="2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decrease the registered capital, sell, dispose of or set any encumbrance on its assets, business or revenue outside the ordinary course of business, enter into any material contract, merge with any other persons or make any investments, distribute dividends, or enter into any transactions which have material adverse effects on its business. The shareholders of OptAim Network also jointly and severally undertake that they will not sale, transfer, pledge, or otherwise dispose of their equity interests in OptAim Network to any third party or create or allow any encumbrance on their equity interests. This agreement will remain effective until OptAim Beijing or any third party designated by OptAim Beijing has acquired all equity interest of OptAim Network from its shareholders.</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opinion of Jingtian &amp; Gongcheng, our PRC legal counsel:</w:t>
      </w:r>
    </w:p>
    <w:p>
      <w:pPr>
        <w:spacing w:after="0" w:line="131" w:lineRule="exact"/>
        <w:rPr>
          <w:sz w:val="20"/>
          <w:szCs w:val="20"/>
          <w:color w:val="auto"/>
        </w:rPr>
      </w:pPr>
    </w:p>
    <w:p>
      <w:pPr>
        <w:ind w:left="900" w:right="260" w:hanging="325"/>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structures of OptAim Beijing and OptAim Network, both currently and immediately after giving effect to this offering, will not result in any violation of applicable PRC laws or regulations currently in effect; and</w:t>
      </w:r>
    </w:p>
    <w:p>
      <w:pPr>
        <w:spacing w:after="0" w:line="67" w:lineRule="exact"/>
        <w:rPr>
          <w:rFonts w:ascii="Times New Roman" w:cs="Times New Roman" w:eastAsia="Times New Roman" w:hAnsi="Times New Roman"/>
          <w:sz w:val="18"/>
          <w:szCs w:val="18"/>
          <w:color w:val="auto"/>
        </w:rPr>
      </w:pPr>
    </w:p>
    <w:p>
      <w:pPr>
        <w:ind w:left="900" w:right="20" w:hanging="325"/>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arrangements among OptAim Beijing, OptAim Network, the shareholders of OptAim Network and Zhiyunzhong governed by PRC law both currently and immediately after giving effect to this offering are valid, binding and enforceable, and will not result in any violation of PRC laws or regulations currently in effect.</w:t>
      </w:r>
    </w:p>
    <w:p>
      <w:pPr>
        <w:spacing w:after="0" w:line="17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However, there are substantial uncertainties regarding the interpretation and application of current and future PRC laws, regulations and rules. Accordingly, the PRC regulatory authorities may in the future take a view that is contrary to or otherwise different from the above opinion of our PRC legal counsel. It is uncertain whether any new PRC laws or regulations relating to VIE structures will be adopted or if adopted, what they would provide. If the PRC government finds that the agreements that establish the structure for the operation of OptAim Network do not comply with PRC government restrictions on foreign investment in our businesses, we could be subject to severe penalties including being prohibited from continuing operations. See “Risk Factors — Risks Related to Our Corporate Structure — We will need to continue to rely on the contractual arrangements that establish the structure for certain of our operations in China when and to the extent our operations are deemed as foreign-related survey,” and “— Substantial uncertainties exist with respect to the enactment timetable, interpretation and implementation of draft PRC Foreign Investment Law and how it may impact the viability of our current corporate structure, corporate government and business operations.”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380"/>
          </w:cols>
          <w:pgMar w:left="240" w:top="455" w:right="27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CONSOLIDATED FINANCIAL AND OTHER DATA</w:t>
      </w:r>
    </w:p>
    <w:p>
      <w:pPr>
        <w:spacing w:after="0" w:line="22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following selected consolidated statements of comprehensive income/(loss) data for the year ended December 31, 2015 and 2016, and selected consolidated balance sheet data as of December 31, 2015 and 2016 have been derived from our audited consolidated financial statements included elsewhere in this prospectus. The selected consolidated statements of comprehensive income/(loss) data for the six months ended June 30, 2016 and 2017 and the selected consolidated balance sheet data as of June 30, 2017 are derived from our unaudited condensed consolidated financial statements included elsewhere in this prospectus. Our audited and unaudited consolidated financial statements are prepared and presented in accordance with U.S. GAAP. Our historical results do not necessarily indicate results expected for any future periods. You should read this Selected Consolidated Financial Data section together with our consolidated financial statements and the related notes and “Management’s Discussion and Analysis of Financial Condition and Results of Operations” included elsewhere in this prospectus.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6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340" w:type="dxa"/>
            <w:vAlign w:val="bottom"/>
            <w:gridSpan w:val="7"/>
          </w:tcPr>
          <w:p>
            <w:pPr>
              <w:ind w:left="840"/>
              <w:spacing w:after="0" w:line="155" w:lineRule="exact"/>
              <w:rPr>
                <w:sz w:val="20"/>
                <w:szCs w:val="20"/>
                <w:color w:val="auto"/>
              </w:rPr>
            </w:pPr>
            <w:r>
              <w:rPr>
                <w:rFonts w:ascii="Times New Roman" w:cs="Times New Roman" w:eastAsia="Times New Roman" w:hAnsi="Times New Roman"/>
                <w:sz w:val="14"/>
                <w:szCs w:val="14"/>
                <w:b w:val="1"/>
                <w:bCs w:val="1"/>
                <w:color w:val="auto"/>
              </w:rPr>
              <w:t>(US$ in thousands, except for per share and share data)</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Statements of Comprehensive Loss:</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65,242</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95,357</w:t>
            </w:r>
          </w:p>
        </w:tc>
        <w:tc>
          <w:tcPr>
            <w:tcW w:w="13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45,269</w:t>
            </w: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(34,531)</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(61,048)</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(28,003)</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(42,431)</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30,711</w:t>
            </w:r>
          </w:p>
        </w:tc>
        <w:tc>
          <w:tcPr>
            <w:tcW w:w="38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34,309</w:t>
            </w:r>
          </w:p>
        </w:tc>
        <w:tc>
          <w:tcPr>
            <w:tcW w:w="36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17,266</w:t>
            </w:r>
          </w:p>
        </w:tc>
        <w:tc>
          <w:tcPr>
            <w:tcW w:w="3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(8,106)</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(8,584)</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(4,426)</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(31,385)</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(28,266)</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(14,083)</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(12,745)</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(26,767)</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(4,936)</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(52,236)</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(63,617)</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(23,445)</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(19,948)</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7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(21,525)</w:t>
            </w:r>
          </w:p>
        </w:tc>
        <w:tc>
          <w:tcPr>
            <w:tcW w:w="3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(29,308)</w:t>
            </w:r>
          </w:p>
        </w:tc>
        <w:tc>
          <w:tcPr>
            <w:tcW w:w="3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3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(107)</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(713)</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(290)</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gains/(losses), net</w:t>
            </w:r>
          </w:p>
        </w:tc>
        <w:tc>
          <w:tcPr>
            <w:tcW w:w="20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791</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(1,082)</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(loss)/gain on derivative liabilities</w:t>
            </w:r>
          </w:p>
        </w:tc>
        <w:tc>
          <w:tcPr>
            <w:tcW w:w="2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(19,390)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(14,727)</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7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(40,231)</w:t>
            </w:r>
          </w:p>
        </w:tc>
        <w:tc>
          <w:tcPr>
            <w:tcW w:w="38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(27,108)</w:t>
            </w:r>
          </w:p>
        </w:tc>
        <w:tc>
          <w:tcPr>
            <w:tcW w:w="36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3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benefit/(expenses)</w:t>
            </w:r>
          </w:p>
        </w:tc>
        <w:tc>
          <w:tcPr>
            <w:tcW w:w="20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555</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(222)</w:t>
            </w:r>
          </w:p>
        </w:tc>
        <w:tc>
          <w:tcPr>
            <w:tcW w:w="13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 of losses from an equity investee</w:t>
            </w:r>
          </w:p>
        </w:tc>
        <w:tc>
          <w:tcPr>
            <w:tcW w:w="70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w:t>
            </w: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(39,714)</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(27,330)</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(6,586)</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(22,245)</w:t>
            </w: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Accretion to convertible redeemable preferred shares redemption value</w:t>
            </w:r>
          </w:p>
        </w:tc>
        <w:tc>
          <w:tcPr>
            <w:tcW w:w="7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to redeemable ordinary shares redemption value</w:t>
            </w:r>
          </w:p>
        </w:tc>
        <w:tc>
          <w:tcPr>
            <w:tcW w:w="2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(1,982)</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(1,556)</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(757)</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Deemed contribution from Series B-1 preferred shareholders</w:t>
            </w:r>
          </w:p>
        </w:tc>
        <w:tc>
          <w:tcPr>
            <w:tcW w:w="20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2,591</w:t>
            </w: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iClick Interactive Asia Group Limited’s ordinary</w:t>
            </w:r>
          </w:p>
        </w:tc>
        <w:tc>
          <w:tcPr>
            <w:tcW w:w="70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shareholders</w:t>
            </w:r>
          </w:p>
        </w:tc>
        <w:tc>
          <w:tcPr>
            <w:tcW w:w="2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(41,797)</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(29,659)</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(7,724)</w:t>
            </w:r>
          </w:p>
        </w:tc>
        <w:tc>
          <w:tcPr>
            <w:tcW w:w="3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(23,488)</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7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 net of US$nil tax</w:t>
            </w:r>
          </w:p>
        </w:tc>
        <w:tc>
          <w:tcPr>
            <w:tcW w:w="2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(129)</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(139)</w:t>
            </w: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 attributable to iClick Interactive Asia Group Limited</w:t>
            </w:r>
          </w:p>
        </w:tc>
        <w:tc>
          <w:tcPr>
            <w:tcW w:w="7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(39,843)</w:t>
            </w:r>
          </w:p>
        </w:tc>
        <w:tc>
          <w:tcPr>
            <w:tcW w:w="3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(27,469)</w:t>
            </w:r>
          </w:p>
        </w:tc>
        <w:tc>
          <w:tcPr>
            <w:tcW w:w="3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(6,664)</w:t>
            </w:r>
          </w:p>
        </w:tc>
        <w:tc>
          <w:tcPr>
            <w:tcW w:w="3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78</w:t>
            </w: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20" w:type="dxa"/>
            <w:vAlign w:val="bottom"/>
            <w:gridSpan w:val="7"/>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320" w:type="dxa"/>
            <w:vAlign w:val="bottom"/>
            <w:gridSpan w:val="9"/>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Borders>
              <w:top w:val="single" w:sz="8" w:color="auto"/>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60" w:type="dxa"/>
            <w:vAlign w:val="bottom"/>
            <w:gridSpan w:val="12"/>
          </w:tcPr>
          <w:p>
            <w:pPr>
              <w:ind w:left="820"/>
              <w:spacing w:after="0" w:line="155" w:lineRule="exact"/>
              <w:rPr>
                <w:sz w:val="20"/>
                <w:szCs w:val="20"/>
                <w:color w:val="auto"/>
              </w:rPr>
            </w:pPr>
            <w:r>
              <w:rPr>
                <w:rFonts w:ascii="Times New Roman" w:cs="Times New Roman" w:eastAsia="Times New Roman" w:hAnsi="Times New Roman"/>
                <w:sz w:val="14"/>
                <w:szCs w:val="14"/>
                <w:b w:val="1"/>
                <w:bCs w:val="1"/>
                <w:color w:val="auto"/>
              </w:rPr>
              <w:t>(US$ in thousands, except for per share and share data)</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iClick Interactive Asia Group Limited</w:t>
            </w: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(3.58)</w:t>
            </w:r>
          </w:p>
        </w:tc>
        <w:tc>
          <w:tcPr>
            <w:tcW w:w="1740" w:type="dxa"/>
            <w:vAlign w:val="bottom"/>
            <w:gridSpan w:val="4"/>
          </w:tcPr>
          <w:p>
            <w:pPr>
              <w:jc w:val="right"/>
              <w:ind w:right="328"/>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(0.59)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w:t>
            </w:r>
          </w:p>
        </w:tc>
        <w:tc>
          <w:tcPr>
            <w:tcW w:w="1740" w:type="dxa"/>
            <w:vAlign w:val="bottom"/>
            <w:tcBorders>
              <w:right w:val="single" w:sz="8" w:color="CCEEFF"/>
            </w:tcBorders>
            <w:gridSpan w:val="4"/>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used in per share calculation</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11,661,049</w:t>
            </w:r>
          </w:p>
        </w:tc>
        <w:tc>
          <w:tcPr>
            <w:tcW w:w="1740" w:type="dxa"/>
            <w:vAlign w:val="bottom"/>
            <w:tcBorders>
              <w:right w:val="single" w:sz="8" w:color="CCEEFF"/>
            </w:tcBorders>
            <w:gridSpan w:val="4"/>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13,151,063</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13,130,027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13,618,905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11,661,049</w:t>
            </w: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13,151,063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13,130,027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rPr>
              <w:t>13,618,905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0520" w:type="dxa"/>
            <w:vAlign w:val="bottom"/>
            <w:gridSpan w:val="14"/>
          </w:tcPr>
          <w:p>
            <w:pPr>
              <w:ind w:left="440"/>
              <w:spacing w:after="0"/>
              <w:rPr>
                <w:sz w:val="20"/>
                <w:szCs w:val="20"/>
                <w:color w:val="auto"/>
              </w:rPr>
            </w:pPr>
            <w:r>
              <w:rPr>
                <w:rFonts w:ascii="Times New Roman" w:cs="Times New Roman" w:eastAsia="Times New Roman" w:hAnsi="Times New Roman"/>
                <w:sz w:val="18"/>
                <w:szCs w:val="18"/>
                <w:color w:val="auto"/>
              </w:rPr>
              <w:t>The following table presents our selected consolidated balance sheet data as of December 31, 2015, 2016 and June 30, 2017.</w:t>
            </w: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gridSpan w:val="7"/>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40" w:type="dxa"/>
            <w:vAlign w:val="bottom"/>
          </w:tcPr>
          <w:p>
            <w:pPr>
              <w:spacing w:after="0"/>
              <w:rPr>
                <w:sz w:val="24"/>
                <w:szCs w:val="24"/>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40" w:type="dxa"/>
            <w:vAlign w:val="bottom"/>
            <w:gridSpan w:val="7"/>
            <w:vMerge w:val="continue"/>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2"/>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5"/>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Balance Sheet Data:</w:t>
            </w: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10,395</w:t>
            </w:r>
          </w:p>
        </w:tc>
        <w:tc>
          <w:tcPr>
            <w:tcW w:w="12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27,280</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28,223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080" w:type="dxa"/>
            <w:vAlign w:val="bottom"/>
            <w:gridSpan w:val="9"/>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receivables of US$1,733, US$1,693 and US$678 as of</w:t>
            </w: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2015, 2016 and June 30, 2017, respectively</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28,423</w:t>
            </w: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30,694</w:t>
            </w:r>
          </w:p>
        </w:tc>
        <w:tc>
          <w:tcPr>
            <w:tcW w:w="18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28,197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Rebates receivable</w:t>
            </w: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3,642</w:t>
            </w:r>
          </w:p>
        </w:tc>
        <w:tc>
          <w:tcPr>
            <w:tcW w:w="12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media cost</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24,793</w:t>
            </w: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34,409</w:t>
            </w:r>
          </w:p>
        </w:tc>
        <w:tc>
          <w:tcPr>
            <w:tcW w:w="18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20,939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19,095</w:t>
            </w: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14,804</w:t>
            </w:r>
          </w:p>
        </w:tc>
        <w:tc>
          <w:tcPr>
            <w:tcW w:w="18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12,689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48,496</w:t>
            </w:r>
          </w:p>
        </w:tc>
        <w:tc>
          <w:tcPr>
            <w:tcW w:w="12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48,496</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146,110</w:t>
            </w: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169,640</w:t>
            </w:r>
          </w:p>
        </w:tc>
        <w:tc>
          <w:tcPr>
            <w:tcW w:w="1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149,395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mezzanine equity and shareholders’ deficit:</w:t>
            </w: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115,124</w:t>
            </w: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126,572</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125,825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3,705</w:t>
            </w:r>
          </w:p>
        </w:tc>
        <w:tc>
          <w:tcPr>
            <w:tcW w:w="12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gridSpan w:val="2"/>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118,829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129,569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129,770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mezzanine equity</w:t>
            </w: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4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83,210</w:t>
            </w:r>
          </w:p>
        </w:tc>
        <w:tc>
          <w:tcPr>
            <w:tcW w:w="12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104,383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(55,929)</w:t>
            </w:r>
          </w:p>
        </w:tc>
        <w:tc>
          <w:tcPr>
            <w:tcW w:w="12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(64,312)</w:t>
            </w:r>
          </w:p>
        </w:tc>
        <w:tc>
          <w:tcPr>
            <w:tcW w:w="18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(86,001)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mezzanine equity and shareholders’ deficit</w:t>
            </w: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146,110</w:t>
            </w:r>
          </w:p>
        </w:tc>
        <w:tc>
          <w:tcPr>
            <w:tcW w:w="12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169,640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149,395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8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79</w:t>
            </w: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section entitled “Selected Consolidated Financial and Other Data” and our consolidated financial statements and the consolidated financial statements of OptAim and the related notes included elsewhere in this prospectus. The discussion in this section contains forward-looking statements that involve risks and uncertainties. As a result of various factors, including those set forth under “Risk Factors” and elsewhere in this prospectus, our actual future results may be materially different from what we expect.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We are an integrated cross-channel gateway providing marketers with innovative and cost-effective end-to-end solutions to optimize their online marketing efforts. Our solutions help marketers identify, engage and activate potential customers, monitor and measure the results of online marketing campaigns, and create content catering to audience across different online channels through both PC and mobile devices. We collaborate closely with leading content distribution channels in China, which enables marketers to access a wide variety of cross-channel content distribution opportunities in a single platform to achieve their branding and performance-based marketing goals.</w:t>
      </w:r>
    </w:p>
    <w:p>
      <w:pPr>
        <w:spacing w:after="0" w:line="18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offer both mobile audience solutions and other solutions based on channels desired by our customers. Our mobile audience solutions are non-search engine marketing solutions designed to identify, engage and activate audience exclusively on mobile apps, and monitor and measure the results of online marketing activities on such channels. Mobile audience solutions have exhibited high growth potential for online marketing in light of the increasing mobile penetration rate and users’ engagement with mobile apps. We have been prioritizing our mobile strategy since 2014, including through our acquisition of OptAim on July 24, 2015, to capture a larger share of online marketing spend on mobile apps. Our gross billing from mobile audience solutions increased by US$71.1 million, or 172.0%, from US$41.3 million in 2015 to US$112.4 million in 2016 and by US$12.6 million, or 25.1%, from US$50.4 million in the six months ended June 30, 2016 to US$63.0 million in the same period in 2017. OptAim contributed US$41.1 million to our gross billing from July 24, 2015, when we acquired OptAim, to December 31, 2015, and contributed US$105.7 million to our gross billing in 2016. All such gross billing contribution from OptAim related to our mobile audience solutions. Our gross billing from mobile audience solutions represented 47.6% of our total gross billing in 2016, compared to 23.2% in 2015 and 60.9% of our total gross billing in the six months ended June 30, 2017, compared to 42.4% in the same period in 2016. Our net revenues from mobile audience solutions represented 60.6% of our net revenues in 2016, compared to 18.3% in 2015 and 75.8% of our net revenues in the six months ended June 30, 2017, compared to 54.2% in the same period in 2016. In addition to mobile audience solutions, we have other online marketing solutions that are primarily focused on non-mobile app channels and search engine marketing.</w:t>
      </w:r>
    </w:p>
    <w:p>
      <w:pPr>
        <w:spacing w:after="0" w:line="18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We take a flexible approach to the delivery model of our solutions in order to cater to the preferences and levels of internal resources and sophistication of customers. Customers may choose to access our solutions either through (i) a self-service model, under which they have the flexibility to utilize our solutions “a la carte” to complement their existing marketing resources, and (ii) a managed service model, where our account management team provides in-depth services that suit customers’ specific marketing objectives and budgets utilizing our solutions. We seamlessly address marketers’ needs and deliver a highly integrated customer experience throughout their marketing cycle.</w:t>
      </w:r>
    </w:p>
    <w:p>
      <w:pPr>
        <w:spacing w:after="0" w:line="184"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Our customers, referring to entities from which we recognize revenue under our marketing campaign contracts with them, include direct marketer customers and marketing agencies. We derived over 70% of our gross billing from direct marketer customers in 2015 and 2016 and over 60% of our gross billing from direct marketer customers in the six months ended June 30, 2017.</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20"/>
          </w:cols>
          <w:pgMar w:left="240" w:top="455" w:right="2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generate revenues primarily from customers’ marketing spend through our platform as they utilize our solutions, and to a lesser extent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incentives or rebates from certain publishers. Our gross billing grew by 32.5% from US$178.2 million in 2015 to US$236.3 million in 2016. Our gross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billings decreased by 12.9% from US$118.7 million in the six months ended June 30, 2016 to US$103.4 million in the same period in 2017 due to a decrease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gross billing from other solutions as we terminated relationship with certain customers of other solutions in the first half of 2017 as part of our efforts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optimize the customer base for other solutions to focus on profitability and liquidity. Our net revenues grew by 46.2% from US$65.2 million in 2015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US$95.4 million in 2016 and by 23.1% from US$45.3 million in the six months ended June 30, 2016 to US$55.7 million in the same period in 2017. Our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amounted to US$39.7 million, US$27.3 million and US$22.2 million in 2015, 2016 and the six months ended June 30, 2017, respectively.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Effect of Our Acquisition of OptAim</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Since our acquisition of OptAim on July 24, 2015, OptAim has been our wholly owned subsidiary and has been consolidated into our results of operations. Please refer to note 4(b) of our consolidated financial statements as of and for the years ended December 31, 2015 and 2016 included elsewhere in this prospectus. OptAim contributed US$41.1 million to our gross billing and US$11.7 million to our net revenues from July 24, 2015, when we acquired OptAim, to December 31, 2015, contributed US$105.7 million to our gross billing and US$51.1 million to our net revenues in 2016 and contributed US$62.1 million to our gross billing and US$41.3 million to our net revenues in the six months ended June 30, 2017. Intangible assets identified in connection with our acquisition of OptAim are amortized. Amortization expenses of US$1.8 million, US$4.0 million and US$2.0 million were recognized under our cost of revenues in 2015, 2016 and the six months ended June 30, 2017, respectively. In addition, as of June 30, 2017, we had US$48.5 million of goodwill, which represented approximately 32.5% of our total assets, primarily related to our acquisition of OptAim. Goodwill is recorded at fair value and is not amortized, but is reviewed for impairment at least annually or more frequently if impairment indicators arise. Impairment charges could substantially affect our results of operations in the periods of such charges. In addition, impairment charges would negatively impact our financial ratios and could limit our ability to obtain financing in the future. See “Risk Factors — Risks Related to Our Business and Industry — We may be required to record significant impairment charges as a result of our acquisition of OptAim.”</w:t>
      </w:r>
    </w:p>
    <w:p>
      <w:pPr>
        <w:spacing w:after="0" w:line="19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As we integrate OptAim’s operations, we have realized synergies and economies of scale. Our operating expenses as a percentage of net revenues decreased from 80.1% in 2015 to 66.7% in 2016 as we benefited from the complementary sales and marketing capabilities and research and development capabilities of OptAim. Our operating expense as a percentage of net revenues decreased from 51.8% in the six months ended June 30, 2016 to 35.8% in the same period in 2017 in part due to our streamlining of sales and marketing and general and administrative functions as we further integrated OptAim’s operations, which had been completed by the end of June 30, 2017.</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00"/>
          </w:cols>
          <w:pgMar w:left="240" w:top="455" w:right="2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21" w:lineRule="exact"/>
        <w:rPr>
          <w:sz w:val="20"/>
          <w:szCs w:val="20"/>
          <w:color w:val="auto"/>
        </w:rPr>
      </w:pPr>
    </w:p>
    <w:p>
      <w:pPr>
        <w:ind w:right="640" w:firstLine="456"/>
        <w:spacing w:after="0" w:line="266" w:lineRule="auto"/>
        <w:rPr>
          <w:sz w:val="20"/>
          <w:szCs w:val="20"/>
          <w:color w:val="auto"/>
        </w:rPr>
      </w:pPr>
      <w:r>
        <w:rPr>
          <w:rFonts w:ascii="Times New Roman" w:cs="Times New Roman" w:eastAsia="Times New Roman" w:hAnsi="Times New Roman"/>
          <w:sz w:val="18"/>
          <w:szCs w:val="18"/>
          <w:color w:val="auto"/>
        </w:rPr>
        <w:t>We regularly review a number of financial and operating metrics, including those set forth below, to help us evaluate our business, measure our performance, identify trends affecting our business, establish budgets, measure the effectiveness of sales and marketing, and assess our operational efficiencies.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40" w:type="dxa"/>
            <w:vAlign w:val="bottom"/>
            <w:gridSpan w:val="3"/>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9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660" w:type="dxa"/>
            <w:vAlign w:val="bottom"/>
            <w:tcBorders>
              <w:bottom w:val="single" w:sz="8" w:color="auto"/>
            </w:tcBorders>
            <w:gridSpan w:val="2"/>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5"/>
                <w:szCs w:val="15"/>
                <w:color w:val="auto"/>
              </w:rPr>
            </w:pPr>
          </w:p>
        </w:tc>
        <w:tc>
          <w:tcPr>
            <w:tcW w:w="1660" w:type="dxa"/>
            <w:vAlign w:val="bottom"/>
            <w:tcBorders>
              <w:bottom w:val="single" w:sz="8" w:color="auto"/>
            </w:tcBorders>
            <w:gridSpan w:val="2"/>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280" w:type="dxa"/>
            <w:vAlign w:val="bottom"/>
          </w:tcPr>
          <w:p>
            <w:pPr>
              <w:spacing w:after="0"/>
              <w:rPr>
                <w:sz w:val="15"/>
                <w:szCs w:val="15"/>
                <w:color w:val="auto"/>
              </w:rPr>
            </w:pPr>
          </w:p>
        </w:tc>
        <w:tc>
          <w:tcPr>
            <w:tcW w:w="1660" w:type="dxa"/>
            <w:vAlign w:val="bottom"/>
            <w:tcBorders>
              <w:bottom w:val="single" w:sz="8" w:color="auto"/>
            </w:tcBorders>
            <w:gridSpan w:val="2"/>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Pr>
          <w:p>
            <w:pPr>
              <w:spacing w:after="0"/>
              <w:rPr>
                <w:sz w:val="15"/>
                <w:szCs w:val="15"/>
                <w:color w:val="auto"/>
              </w:rPr>
            </w:pPr>
          </w:p>
        </w:tc>
        <w:tc>
          <w:tcPr>
            <w:tcW w:w="1660" w:type="dxa"/>
            <w:vAlign w:val="bottom"/>
            <w:tcBorders>
              <w:bottom w:val="single" w:sz="8" w:color="auto"/>
            </w:tcBorders>
            <w:gridSpan w:val="2"/>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840" w:type="dxa"/>
            <w:vAlign w:val="bottom"/>
          </w:tcPr>
          <w:p>
            <w:pPr>
              <w:jc w:val="right"/>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8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gross</w:t>
            </w:r>
          </w:p>
        </w:tc>
        <w:tc>
          <w:tcPr>
            <w:tcW w:w="280" w:type="dxa"/>
            <w:vAlign w:val="bottom"/>
          </w:tcPr>
          <w:p>
            <w:pPr>
              <w:spacing w:after="0"/>
              <w:rPr>
                <w:sz w:val="10"/>
                <w:szCs w:val="10"/>
                <w:color w:val="auto"/>
              </w:rPr>
            </w:pPr>
          </w:p>
        </w:tc>
        <w:tc>
          <w:tcPr>
            <w:tcW w:w="840" w:type="dxa"/>
            <w:vAlign w:val="bottom"/>
          </w:tcPr>
          <w:p>
            <w:pPr>
              <w:jc w:val="right"/>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8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gross</w:t>
            </w:r>
          </w:p>
        </w:tc>
        <w:tc>
          <w:tcPr>
            <w:tcW w:w="280" w:type="dxa"/>
            <w:vAlign w:val="bottom"/>
          </w:tcPr>
          <w:p>
            <w:pPr>
              <w:spacing w:after="0"/>
              <w:rPr>
                <w:sz w:val="10"/>
                <w:szCs w:val="10"/>
                <w:color w:val="auto"/>
              </w:rPr>
            </w:pPr>
          </w:p>
        </w:tc>
        <w:tc>
          <w:tcPr>
            <w:tcW w:w="860" w:type="dxa"/>
            <w:vAlign w:val="bottom"/>
          </w:tcPr>
          <w:p>
            <w:pPr>
              <w:jc w:val="right"/>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800" w:type="dxa"/>
            <w:vAlign w:val="bottom"/>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 of gross</w:t>
            </w:r>
          </w:p>
        </w:tc>
        <w:tc>
          <w:tcPr>
            <w:tcW w:w="300" w:type="dxa"/>
            <w:vAlign w:val="bottom"/>
          </w:tcPr>
          <w:p>
            <w:pPr>
              <w:spacing w:after="0"/>
              <w:rPr>
                <w:sz w:val="10"/>
                <w:szCs w:val="10"/>
                <w:color w:val="auto"/>
              </w:rPr>
            </w:pPr>
          </w:p>
        </w:tc>
        <w:tc>
          <w:tcPr>
            <w:tcW w:w="840" w:type="dxa"/>
            <w:vAlign w:val="bottom"/>
          </w:tcPr>
          <w:p>
            <w:pPr>
              <w:jc w:val="right"/>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8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gross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billing</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billing</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w:t>
            </w: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billing</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w:t>
            </w: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billing</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metrics:</w:t>
            </w: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Gross billing</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178,239</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236,253</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118,674</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103,420</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billing from mobile audience solutions</w:t>
            </w:r>
          </w:p>
        </w:tc>
        <w:tc>
          <w:tcPr>
            <w:tcW w:w="8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41,323</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23.2</w:t>
            </w:r>
          </w:p>
        </w:tc>
        <w:tc>
          <w:tcPr>
            <w:tcW w:w="8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112,403</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47.6</w:t>
            </w:r>
          </w:p>
        </w:tc>
        <w:tc>
          <w:tcPr>
            <w:tcW w:w="8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50,371</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42.4</w:t>
            </w: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63,031</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billing from other solutions</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136,916</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76.8</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123,850</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52.4</w:t>
            </w: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68,303</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57.6</w:t>
            </w: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40,389</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3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metrics:</w:t>
            </w: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65,242</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36.6</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95,357</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40.4</w:t>
            </w: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45,269</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38.1</w:t>
            </w: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55,741</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revenues from mobile audience solutions</w:t>
            </w:r>
          </w:p>
        </w:tc>
        <w:tc>
          <w:tcPr>
            <w:tcW w:w="8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11,908</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28.8</w:t>
            </w:r>
          </w:p>
        </w:tc>
        <w:tc>
          <w:tcPr>
            <w:tcW w:w="8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57,761</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51.4</w:t>
            </w:r>
          </w:p>
        </w:tc>
        <w:tc>
          <w:tcPr>
            <w:tcW w:w="8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24,517</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48.7</w:t>
            </w:r>
          </w:p>
        </w:tc>
        <w:tc>
          <w:tcPr>
            <w:tcW w:w="8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42.262</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revenues from other solutions</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53,334</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38.9</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37,596</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30.4</w:t>
            </w:r>
          </w:p>
        </w:tc>
        <w:tc>
          <w:tcPr>
            <w:tcW w:w="8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20,752</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30.4</w:t>
            </w:r>
          </w:p>
        </w:tc>
        <w:tc>
          <w:tcPr>
            <w:tcW w:w="8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13,479</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(8,850)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8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(2,240)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(1,414)</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(1,881)</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loss</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(11,583)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(8,999)</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(4,477)</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w:t>
            </w:r>
          </w:p>
        </w:tc>
        <w:tc>
          <w:tcPr>
            <w:tcW w:w="8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(5,602)</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340" w:right="280" w:hanging="332"/>
        <w:spacing w:after="0" w:line="262" w:lineRule="auto"/>
        <w:tabs>
          <w:tab w:leader="none" w:pos="3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With respect to net revenues from mobile audience solutions and net revenues from other solutions, % of gross billing refers to the % of gross billing for mobile audience solutions or % of gross billing for other solutions, as the case may be.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Billing</w:t>
      </w:r>
    </w:p>
    <w:p>
      <w:pPr>
        <w:spacing w:after="0" w:line="12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Gross billing is an important operating measure by which we evaluate and manage our business. We define gross billing as the aggregate dollar amount that our customers pay us, after deducting rebates paid and discounts given to customers.</w:t>
      </w:r>
    </w:p>
    <w:p>
      <w:pPr>
        <w:spacing w:after="0" w:line="162" w:lineRule="exact"/>
        <w:rPr>
          <w:sz w:val="20"/>
          <w:szCs w:val="20"/>
          <w:color w:val="auto"/>
        </w:rPr>
      </w:pPr>
    </w:p>
    <w:p>
      <w:pPr>
        <w:jc w:val="both"/>
        <w:ind w:right="100" w:firstLine="456"/>
        <w:spacing w:after="0" w:line="266" w:lineRule="auto"/>
        <w:rPr>
          <w:sz w:val="20"/>
          <w:szCs w:val="20"/>
          <w:color w:val="auto"/>
        </w:rPr>
      </w:pPr>
      <w:r>
        <w:rPr>
          <w:rFonts w:ascii="Times New Roman" w:cs="Times New Roman" w:eastAsia="Times New Roman" w:hAnsi="Times New Roman"/>
          <w:sz w:val="18"/>
          <w:szCs w:val="18"/>
          <w:color w:val="auto"/>
        </w:rPr>
        <w:t>We use gross billing to assess our business growth, market share and scale of operations, and our ability to generate gross billing is strongly correlated to our ability to generate net revenues. As we have defined gross billing for internal uses, it may not be comparable to similarly titled measures used by other companies in the industry which present the impact of media costs differently.</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Gross billing from our mobile audience solutions increased, both in absolute amount and as a percentage of total gross billing, from 2015 to 2016 and from the six months ended June 30, 2016 to the same period in 2017 as we prioritized the execution of our mobile strategy to capture a larger share of online marketing spend on mobile apps. This is evidenced by our acquisition of OptAim, which is focused on providing performance-driven mobile audience solutions, in July 2015. OptAim contributed US$41.1 million to our gross billing and US$11.7 million to our net revenues from July 24, 2015, when we acquired OptAim, to December 31, 2015, and contributed US$105.7 million to our gross billing and US$51.1 million to our net revenues in 2016. All such gross billing and net revenues contribution from OptAim related to our mobile audience solutions. Gross billing from our other solutions decreased from 2015 to 2016 and from the six months ended June 30, 2016 to the same period in 2017 and from the six months ended June 30, 2016 to the same period in 2017 as we optimized the customer base for other solutions to focus on profitability and liquidity. For example, we terminated relationship with certain customers for our other solutions, as they had relatively long account receivable cycles and yielded relatively low operating profit margins. Some of these customers were large marketers and had individually accounted for more than 5% of our annual gross billing historically.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455" w:right="23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Our gross billing per customer increased by US$32,020, or 47.5%, from US$67,413 in 2015 to US$99,433 in 2016, while the total number of our customers decreased by 10.1% from 2,644 in 2015 to 2,376 in 2016. Our gross billing per customer increased by US$17,104, or 29.9%, from US$57,192 in the six months ended June 30, 2016 to US$74,296 in the same period in 2017, while the total number of our customers decreased by 32.9% from 2,075 in the six months ended June 30, 2016 to 1,392 in the same period in 2017. This was due to our efforts in optimizing the customer base for other solutions.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derive and report our revenue under two models. Our revenue from incentives earned from the website publisher for which we act as sales agent for its content distribution opportunities, or the sales agency model, and our revenue from performing cost-plus marketing campaigns are reported under the net model. Our revenue from performing specified actions advertising campaigns (i.e., a CPM, CPC, CPA, CPS, CPL or ROI basis) is reported under the gross model.</w:t>
      </w:r>
    </w:p>
    <w:p>
      <w:pPr>
        <w:spacing w:after="0" w:line="180"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With respect to the sales agency model, we record incentives from the publisher for which we act as sales agent for its content distribution opportunities as net revenues. The amount of such incentives is determined based on a variety of factors, including yearly market spending at the publisher’s platforms. We do not receive any rebate from the publisher under our sales agency model.</w:t>
      </w:r>
    </w:p>
    <w:p>
      <w:pPr>
        <w:spacing w:after="0" w:line="176" w:lineRule="exact"/>
        <w:rPr>
          <w:sz w:val="20"/>
          <w:szCs w:val="20"/>
          <w:color w:val="auto"/>
        </w:rPr>
      </w:pPr>
    </w:p>
    <w:p>
      <w:pPr>
        <w:jc w:val="both"/>
        <w:ind w:right="280" w:firstLine="456"/>
        <w:spacing w:after="0" w:line="266" w:lineRule="auto"/>
        <w:rPr>
          <w:sz w:val="20"/>
          <w:szCs w:val="20"/>
          <w:color w:val="auto"/>
        </w:rPr>
      </w:pPr>
      <w:r>
        <w:rPr>
          <w:rFonts w:ascii="Times New Roman" w:cs="Times New Roman" w:eastAsia="Times New Roman" w:hAnsi="Times New Roman"/>
          <w:sz w:val="18"/>
          <w:szCs w:val="18"/>
          <w:color w:val="auto"/>
        </w:rPr>
        <w:t>With respect to cost-plus advertising campaigns, we record service fees, net of media costs and, rebates and discounts to customers, as net revenues. Service fees are generally calculated as a percentage of media cost. Such percentage is negotiated on a customer-by-customer, and campaign-by-campaign basis. Rebates received from the publishers for cost-plus advertising campaigns are recorded as net revenues.</w:t>
      </w:r>
    </w:p>
    <w:p>
      <w:pPr>
        <w:spacing w:after="0" w:line="17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With respect to specified action advertising campaigns, we record the aggregate gross dollar amount that our customers spend through our platform, which includes media cost, as net revenues. We charge our customers for specified actions, such as when a user clicks on their marketing messages, or a CPC pricing model, or when their marketing messages are displayed, or a CPM pricing model. Rebates received from publishers are recorded as deduction of cost of revenues under this model.</w:t>
      </w:r>
    </w:p>
    <w:p>
      <w:pPr>
        <w:spacing w:after="0" w:line="180" w:lineRule="exact"/>
        <w:rPr>
          <w:sz w:val="20"/>
          <w:szCs w:val="20"/>
          <w:color w:val="auto"/>
        </w:rPr>
      </w:pPr>
    </w:p>
    <w:p>
      <w:pPr>
        <w:ind w:right="20" w:firstLine="456"/>
        <w:spacing w:after="0" w:line="272" w:lineRule="auto"/>
        <w:rPr>
          <w:sz w:val="20"/>
          <w:szCs w:val="20"/>
          <w:color w:val="auto"/>
        </w:rPr>
      </w:pPr>
      <w:r>
        <w:rPr>
          <w:rFonts w:ascii="Times New Roman" w:cs="Times New Roman" w:eastAsia="Times New Roman" w:hAnsi="Times New Roman"/>
          <w:sz w:val="17"/>
          <w:szCs w:val="17"/>
          <w:color w:val="auto"/>
        </w:rPr>
        <w:t>We grant rebates to our customers under the sales agency model, and rebates and discounts to our customers under cost-plus and specified action advertising campaigns to incentivize and encourage them to use our marketing solutions. These rebates and discounts are calculated based on certain factors, including the customers’ yearly market spending that we reasonably estimate that they are able to achieve based on the historical spending patterns of similar customers on our platform. The rebates and discounts to customers, as the case may be, are settled when the relevant account receivables from the customers are settled, and the timing of settlement is independent of the settlement of the rebates or incentives, as the case may be, from the publishers, which is generally three to six months after the end of the relevant period to which such rebates or incentives, as the case may be, relate. With respect to our sales agency model, rebates granted to our customers are recorded as cost of revenues as we consider these rebates are identifiable and separable from the incentive revenue generated from the publisher. In all other circumstances, rebates and discounts granted to our customers are recorded as reduction of revenues.</w:t>
      </w:r>
    </w:p>
    <w:p>
      <w:pPr>
        <w:spacing w:after="0" w:line="172"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Net revenues as a percentage of gross billing for our mobile audience solutions and other solutions, respectively, represent our share of gross billing under mobile solutions and other solutions, respectively. Net revenues as a percentage of gross billing can be affected by a variety of factors, in particular, the terms of our arrangement with our customers, including whether to conduct their marketing campaigns on a specified-action (i.e., gross) or cost-plus (i.e., net) basis in a particular period, which in turn depends on customers’ needs and goals. Please refer to “— Key Factors Affecting Our Results of Operations — Our Revenue Models” on the impact of our revenue recognition models on our results of operations.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00"/>
          </w:cols>
          <w:pgMar w:left="240" w:top="455" w:right="2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Net revenues as a percentage of gross billing for mobile audience solutions increased from 28.8% in 2015 to 51.4% in 2016, and from 48.7% in the six months ended June 30, 2016 to 67.0% in the same period in 2017 as a larger percentage of marketing campaigns involving mobile audience solutions were conducted on specified-action (i.e., gross) basis in 2016 compared to 2015 and in the six months ended June 30, 2017 compared to the same period in 2016. US$54.2 million, or 48.2%, of gross billing from mobile audience solutions was recognized as net revenues on a gross basis in 2016, compared to US$7.9 million, or 19.1%, in 2015, and US$41.5 million, or 65.9%, of gross billing from mobile audience solutions was recognized as net revenues on a gross basis in the six months ended June 30, 2017, compared to US$21.6 million, or 43.0%, in the same period in 2016. This was a result of the implementation of our go-to-market strategy for mobile audience solutions to capture a larger share of customers’ marketing spend for these solutions. According to Frost &amp; Sullivan, online marketing on mobile channels currently tends to focus on data traffic and action results, such as app-downloads and completion of other specified actions on mobile channels. In order to better control marketing costs and make their marketing spend more effective, instead of paying a fixed rate of service fees, marketers conducting marketing campaigns on mobile channels increasingly prefer to negotiate CPX ranges (e.g., CPM, CPC, CPA, CPS, CPL, etc.) with marketing technology companies for their services. These arrangements generally lead to marketing campaigns on specified-action (i.e., gross) basis. Our go-to-market strategy for mobile audience solutions is intended to be responsive to these industry trends.</w:t>
      </w:r>
    </w:p>
    <w:p>
      <w:pPr>
        <w:spacing w:after="0" w:line="191" w:lineRule="exact"/>
        <w:rPr>
          <w:sz w:val="20"/>
          <w:szCs w:val="20"/>
          <w:color w:val="auto"/>
        </w:rPr>
      </w:pPr>
    </w:p>
    <w:p>
      <w:pPr>
        <w:ind w:right="320" w:firstLine="456"/>
        <w:spacing w:after="0" w:line="261" w:lineRule="auto"/>
        <w:rPr>
          <w:sz w:val="20"/>
          <w:szCs w:val="20"/>
          <w:color w:val="auto"/>
        </w:rPr>
      </w:pPr>
      <w:r>
        <w:rPr>
          <w:rFonts w:ascii="Times New Roman" w:cs="Times New Roman" w:eastAsia="Times New Roman" w:hAnsi="Times New Roman"/>
          <w:sz w:val="18"/>
          <w:szCs w:val="18"/>
          <w:color w:val="auto"/>
        </w:rPr>
        <w:t>Net revenues as a percentage of gross billing for our other solutions decreased from 38.9% in 2015 to 30.4% in 2016 primarily because a larger percentage of marketing campaigns involving other solutions were conducted on cost-plus (i.e., net) basis in 2016 compared to 2015. US$17.9 million, or</w:t>
      </w:r>
    </w:p>
    <w:p>
      <w:pPr>
        <w:ind w:right="20"/>
        <w:spacing w:after="0" w:line="251" w:lineRule="auto"/>
        <w:rPr>
          <w:sz w:val="20"/>
          <w:szCs w:val="20"/>
          <w:color w:val="auto"/>
        </w:rPr>
      </w:pPr>
      <w:r>
        <w:rPr>
          <w:rFonts w:ascii="Times New Roman" w:cs="Times New Roman" w:eastAsia="Times New Roman" w:hAnsi="Times New Roman"/>
          <w:sz w:val="18"/>
          <w:szCs w:val="18"/>
          <w:color w:val="auto"/>
        </w:rPr>
        <w:t>14.4%, of gross billing from other solutions were recognized as net revenues on a gross basis in 2016, compared to US$30.8 million or 22.5% in 2015. Such negative impact on net revenues a percentage of gross billing for other solutions was partially offset by our termination of relationship with certain customers of other solutions, most of which conducted their marketing campaigns on a cost-plus (i.e., net) basis as we started a comprehensive review of our customer base for other solutions in 2016 to focus on profitability and liquidity. Net revenues as a percentage of gross billing for other solutions increased slightly from 30.4% in the six months ended June 30, 2016 to 33.4% in the same period in 2017 as we terminated relationship with certain customers of other solutions with low profitability in the first half of 2017 as part of our efforts to optimize our customer base for other solutions. Such positive impact on net revenues as a percentage of gross billing for other solutions was partially offset by the fact that a larger percentage of marketing campaigns involving other solutions were conducted on a cost-plus (i.e., net) basis in the six months ended June 30, 2017 compared to the same period in 2016. US$35.0 million, or 86.7%, of gross billing from other solutions was recognized as net revenues on a net basis in the six months ended June 30, 2017, compared to US$57.9 million, or 84.8%, in the same period in 2016. According to Frost &amp; Sullivan, compared to online marketing on mobile channels, online marketing on non-mobile channels is more established and tends to increasingly focus on transparency of cost structure. Therefore, marketers conducting online marketing campaigns on non-mobile channels increasingly pay a fixed rate of service fees to marketing technology companies for their services. These arrangements generally lead to marketing campaigns on cost-plus (i.e., net) basis.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21" w:lineRule="exact"/>
        <w:rPr>
          <w:sz w:val="20"/>
          <w:szCs w:val="20"/>
          <w:color w:val="auto"/>
        </w:rPr>
      </w:pPr>
    </w:p>
    <w:p>
      <w:pPr>
        <w:ind w:right="700" w:firstLine="456"/>
        <w:spacing w:after="0" w:line="282" w:lineRule="auto"/>
        <w:rPr>
          <w:sz w:val="20"/>
          <w:szCs w:val="20"/>
          <w:color w:val="auto"/>
        </w:rPr>
      </w:pPr>
      <w:r>
        <w:rPr>
          <w:rFonts w:ascii="Times New Roman" w:cs="Times New Roman" w:eastAsia="Times New Roman" w:hAnsi="Times New Roman"/>
          <w:sz w:val="18"/>
          <w:szCs w:val="18"/>
          <w:color w:val="auto"/>
        </w:rPr>
        <w:t>We use adjusted EBITDA and adjusted net loss, each a non-GAAP financial measure, in evaluating our operating results and for financial and operational decision making purposes.</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believe that adjusted EBITDA and adjusted net loss help identify underlying trends in our business that could otherwise be distorted by the effect of the expenses and gains that we include in net loss. We believe that adjusted EBITDA and adjusted net loss provide useful information about our operating results, enhance the overall understanding of our past performance and future prospects and allow for greater visibility with respect to key metrics used by our management in its financial and operational decision-making.</w:t>
      </w:r>
    </w:p>
    <w:p>
      <w:pPr>
        <w:spacing w:after="0" w:line="180" w:lineRule="exact"/>
        <w:rPr>
          <w:sz w:val="20"/>
          <w:szCs w:val="20"/>
          <w:color w:val="auto"/>
        </w:rPr>
      </w:pPr>
    </w:p>
    <w:p>
      <w:pPr>
        <w:ind w:right="660" w:firstLine="456"/>
        <w:spacing w:after="0" w:line="282" w:lineRule="auto"/>
        <w:rPr>
          <w:sz w:val="20"/>
          <w:szCs w:val="20"/>
          <w:color w:val="auto"/>
        </w:rPr>
      </w:pPr>
      <w:r>
        <w:rPr>
          <w:rFonts w:ascii="Times New Roman" w:cs="Times New Roman" w:eastAsia="Times New Roman" w:hAnsi="Times New Roman"/>
          <w:sz w:val="18"/>
          <w:szCs w:val="18"/>
          <w:color w:val="auto"/>
        </w:rPr>
        <w:t>Adjusted EBITDA and adjusted net loss should not be considered in isolation or construed as an alternative to net loss or any other measure of performance or as an indicator of our operating performance. Investors are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00"/>
          </w:cols>
          <w:pgMar w:left="240" w:top="455" w:right="2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encouraged to review the historical non-GAAP financial measures to the most directly comparable GAAP measures. Adjusted EBITDA and adjusted net loss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Adjusted EBITDA represents net loss before (i) depreciation and amortization, (ii) interest expense, (iii) income tax (benefit)/expense, (iv) share-based compensation, (v) fair value loss/(gain) on derivative liabilities, (vi) share of loss from an equity investee, (vii) compensation in relation to the acquisition of OptAim, and (viii) other (gains)/losses, net.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sets forth a reconciliation of our net loss to adjusted EBITDA for the periods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234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1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9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r>
      <w:tr>
        <w:trPr>
          <w:trHeight w:val="156"/>
        </w:trPr>
        <w:tc>
          <w:tcPr>
            <w:tcW w:w="69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20" w:type="dxa"/>
            <w:vAlign w:val="bottom"/>
            <w:gridSpan w:val="4"/>
          </w:tcPr>
          <w:p>
            <w:pPr>
              <w:jc w:val="right"/>
              <w:ind w:right="820"/>
              <w:spacing w:after="0" w:line="155"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(39,714)</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(27,330)</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(6,586)</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(22,245)</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Add / (less):</w:t>
            </w: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3,181</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5,824</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2,902</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2,834</w:t>
            </w: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107</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713</w:t>
            </w: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290</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(555)</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222</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(129)</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r>
      <w:tr>
        <w:trPr>
          <w:trHeight w:val="223"/>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EBITDA</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(36,981)</w:t>
            </w:r>
          </w:p>
        </w:tc>
        <w:tc>
          <w:tcPr>
            <w:tcW w:w="56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(20,571)</w:t>
            </w:r>
          </w:p>
        </w:tc>
        <w:tc>
          <w:tcPr>
            <w:tcW w:w="5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5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(18,524)</w:t>
            </w:r>
          </w:p>
        </w:tc>
        <w:tc>
          <w:tcPr>
            <w:tcW w:w="100" w:type="dxa"/>
            <w:vAlign w:val="bottom"/>
          </w:tcPr>
          <w:p>
            <w:pPr>
              <w:spacing w:after="0"/>
              <w:rPr>
                <w:sz w:val="19"/>
                <w:szCs w:val="19"/>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w:t>
            </w: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6,494</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21,244</w:t>
            </w: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1,863</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1,923</w:t>
            </w: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loss/(gain) on derivative liabilities</w:t>
            </w: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19,390</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(3,995)</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177</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14,727</w:t>
            </w: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of loss from an equity investee</w:t>
            </w: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38</w:t>
            </w: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 in relation to the acquisition of OptAim</w:t>
            </w: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3,000</w:t>
            </w: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(gains)/losses, net</w:t>
            </w: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(791)</w:t>
            </w: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1,082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5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69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Adjusted EBITDA</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(8,850)</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(2,240)</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(1,414)</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(1,881)</w:t>
            </w:r>
          </w:p>
        </w:tc>
      </w:tr>
      <w:tr>
        <w:trPr>
          <w:trHeight w:val="20"/>
        </w:trPr>
        <w:tc>
          <w:tcPr>
            <w:tcW w:w="69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Loss</w:t>
      </w:r>
    </w:p>
    <w:p>
      <w:pPr>
        <w:spacing w:after="0" w:line="121"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Adjusted net loss represents net loss before (i) share-based compensation, (ii) fair value loss/(gain) on derivative liabilities, (iii) share of loss from an equity investee, (iv) compensation in relation to the acquisition of OptAim, and (v) other (gains)/losses, net.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455" w:right="23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sets forth a reconciliation of our net loss to adjusted net loss for the periods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234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18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69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r>
      <w:tr>
        <w:trPr>
          <w:trHeight w:val="156"/>
        </w:trPr>
        <w:tc>
          <w:tcPr>
            <w:tcW w:w="6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20" w:type="dxa"/>
            <w:vAlign w:val="bottom"/>
            <w:gridSpan w:val="4"/>
          </w:tcPr>
          <w:p>
            <w:pPr>
              <w:jc w:val="right"/>
              <w:ind w:right="820"/>
              <w:spacing w:after="0" w:line="155"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(39,714)</w:t>
            </w: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(27,330)</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(6,586)</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(22,245)</w:t>
            </w: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6,494</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21,244</w:t>
            </w:r>
          </w:p>
        </w:tc>
        <w:tc>
          <w:tcPr>
            <w:tcW w:w="12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1,863</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1,923</w:t>
            </w: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loss/(gain) on derivative liabilities</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19,390</w:t>
            </w: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(3,995)</w:t>
            </w: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177</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14,727</w:t>
            </w: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of loss from an equity investee</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38</w:t>
            </w: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in relation to the acquisition of OptAim</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3,000</w:t>
            </w: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(gains)/losses, net</w:t>
            </w:r>
          </w:p>
        </w:tc>
        <w:tc>
          <w:tcPr>
            <w:tcW w:w="11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(791)</w:t>
            </w: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1,082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 net loss</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540" w:type="dxa"/>
            <w:vAlign w:val="bottom"/>
          </w:tcPr>
          <w:p>
            <w:pPr>
              <w:jc w:val="right"/>
              <w:ind w:right="460"/>
              <w:spacing w:after="0"/>
              <w:rPr>
                <w:sz w:val="20"/>
                <w:szCs w:val="20"/>
                <w:color w:val="auto"/>
              </w:rPr>
            </w:pPr>
            <w:r>
              <w:rPr>
                <w:rFonts w:ascii="Times New Roman" w:cs="Times New Roman" w:eastAsia="Times New Roman" w:hAnsi="Times New Roman"/>
                <w:sz w:val="8"/>
                <w:szCs w:val="8"/>
                <w:color w:val="auto"/>
                <w:w w:val="73"/>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5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5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10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the key factors affecting our financial condition and results of operations include the following:</w:t>
      </w:r>
    </w:p>
    <w:p>
      <w:pPr>
        <w:spacing w:after="0" w:line="131" w:lineRule="exact"/>
        <w:rPr>
          <w:sz w:val="20"/>
          <w:szCs w:val="20"/>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mobile app channels;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models;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optimize customer base and increase customer spending;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enlarge audience data set, strengthen data analytics capabilities and innovate technologies;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Expand Mobile App Channels</w:t>
      </w:r>
    </w:p>
    <w:p>
      <w:pPr>
        <w:spacing w:after="0" w:line="121"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Our future growth depends on our ability to expand our content distribution channels, in particular mobile app channels, to capture a larger share of the marketing spend in China. We have been prioritizing the execution of our mobile strategy since 2014 to capture a larger share of marketing spend on mobile apps, including through our acquisition of OptAim on July 24, 2015, which have significantly strengthened our mobile capabilities.</w:t>
      </w:r>
    </w:p>
    <w:p>
      <w:pPr>
        <w:spacing w:after="0" w:line="176"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While marketing via non-mobile channels has been established for several years, marketing via mobile channels, in particular via mobile apps, which has a more dynamic competitive landscape, is a relatively new phenomena in China driven by recent innovations in mobile technologies and the growing popularity and prevalence of mobile devices and mobile apps. We have experienced and expect to continue to face significant competition for our mobile audience solutions, which have resulted in a downward pricing pressure on our mobile audience solutions. In addition, in light of the rising demand for marketing via mobile apps, mobile app publishers, especially popular mobile app publishers tend to command stronger bargaining power compared to their non-mobile app publisher counterparts, which has increased media costs for our mobile audience solutions. Furthermore, consistent with the general industry trends for online marketing on mobile channels and on non-mobile channels, an increasing percentage of marketing campaigns involving our mobile audience solutions were conducted on a specified action (i.e., gross) basis while an increasing percentage of marketing campaigns involving our other solutions were conducted on a cost-plus (i.e., net) basis in 2016 compared to 2015 and in the six months ended June 30, 2017 compared to the same period in 2016. See “— Key Operating and Financial Metrics — Net Revenues” and “— Key Factors Affecting Our Results — Net Revenues”. Therefore, gross profit margins for our mobile audience solutions were significantly lower than those for our other solutions for the same periods historically, and we expect the trend to continue. As a result, an increase in the percentage of revenue from our mobile audience solutions may have a positive impact on our gross billing and net revenues but a negative impact on our gross profit margin.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455" w:right="2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We do not currently own or control any of our content distribution channels. To further expand our content distribution network, we need to develop new and enhance our existing relationships with content distribution channel partners, which depends, in part, on our ability to continually generate sufficient marketing spend from our customers on these channels, especially mobile app channels. We also intend to strengthen our relationships with content distribution channel partners through technology collaboration to faciliate innovative and effective user engagement.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Models</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derive revenue under two models. Our revenue from incentives earned from the website publisher for which we act as sales agent for its content distribution opportunities, or the sales agency model, and our revenue from performing cost-plus advertising campaigns are reported under the net model. Our revenue from performing specified actions advertising campaigns (i.e., a CPM, CPC, CPA, CPS, CPL or ROI basis) is reported under the gross model. Please see “— Key Operating and Financial Metrics — Net Revenues” above for more details. The gross profit margin under our net model is higher than the gross model as cost of revenues under the net model does not include media cost. As a result, an increase in the percentage of gross billing recognized as net revenues under our gross model will have a positive impact on our net revenues and a negative impact on gross profit margin. Our mobile audience solutions, on one hand and other solutions, on the other hand, each represents a mixture of revenue recognized on gross basis and on net basis and the proportion of each fluctuates from period to period. Therefore our net revenues, net revenues as a percentage of gross billing, gross margin and the comparability of our financial results in one period to another may be affected by the relative percentage of gross billing recognized as net revenues under the gross model and net model. The relative percentage of gross billing recognized as net revenues under the gross model and net model is in turn, affected by a variety of factors, in particular, the terms of our arrangement with our customers, including whether to conduct their marketing campaigns on a specified-action (i.e., gross) or cost-plus (i.e., net) basis in a particular period, which in turn depends on customers’ needs and goals.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Optimize Customer Base and Increase Customer Spending</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Our growth and profitability are dependent upon our ability to optimize customer base and increase customer’s marketing spend on our platform. We started a comprehensive review of our customer base for other solutions in 2016 to focus on profitability and liquidity. For example, we terminated relationship with certain customers for our other solutions, which had relatively long account receivable cycles and yielded relatively low operating profit margins in 2016 and the first half of 2017. We have also been focused, and expect to continue our focus, on sales to direct marketer customers, which tend to command higher gross profit margin compared to agency customers. Furthermore, our growth and profitability also depend on our ability to attract more customers to our self-service model, and to further diversify our customers base to capture the growth in additional industry verticals and geographic markets.</w:t>
      </w:r>
    </w:p>
    <w:p>
      <w:pPr>
        <w:spacing w:after="0" w:line="188"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Our ability to increase customer’s marketing spend on our platform depends on whether our solutions can effectively address customers’ evolving and diverse needs in a cost-efficient manner. To that end, we plan to develop and offer more tailored, innovative and user-friendly solutions and services and enhance our sales, marketing and account servicing efforts.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Enlarge Audience Data Set, Strengthen Data Analytics Capabilities and Innovate Technologies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Our performance is significantly dependent on our ability to enlarge audience data set, strengthen data analytics capabilities and innovate technologies. This helps customers achieve more precise audience targeting and enables us to retain customers and increase their marketing spend. It also helps drive up our gross profit margin under our gross revenue model as we make better decisions about which content distribution opportunities to bid for and at which price, and better predict user interaction with a marketing message to achieve our customers’ minimum key performance indicator, or KPI requirements without having to purchase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455" w:right="2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additional content distribution opportunities and incur additional media cost. Such KPIs generally include target audience reach (i.e., the percentage of target audience we successfully engage through our platform), click-through rate (i.e., the ratio of users who click on a specific link to the number of total users who view a marketing message) and landing rate (i.e., the ratio of users who arrive at the customers’ websites to the number of total users who view a marketing message). Furthermore, our ability to enlarge audience data set, strengthen data analytics capabilities and innovate technologies enables us to extend our data application across more aspects in online marketing and beyond to capitalize on more growth opportunities.</w:t>
      </w:r>
    </w:p>
    <w:p>
      <w:pPr>
        <w:spacing w:after="0" w:line="184" w:lineRule="exact"/>
        <w:rPr>
          <w:sz w:val="20"/>
          <w:szCs w:val="20"/>
          <w:color w:val="auto"/>
        </w:rPr>
      </w:pPr>
    </w:p>
    <w:p>
      <w:pPr>
        <w:ind w:right="260" w:firstLine="456"/>
        <w:spacing w:after="0" w:line="266" w:lineRule="auto"/>
        <w:rPr>
          <w:sz w:val="20"/>
          <w:szCs w:val="20"/>
          <w:color w:val="auto"/>
        </w:rPr>
      </w:pPr>
      <w:r>
        <w:rPr>
          <w:rFonts w:ascii="Times New Roman" w:cs="Times New Roman" w:eastAsia="Times New Roman" w:hAnsi="Times New Roman"/>
          <w:sz w:val="18"/>
          <w:szCs w:val="18"/>
          <w:color w:val="auto"/>
        </w:rPr>
        <w:t>We plan to continue collaborating with customers and other third parties to increase the dimensions and varieties of our data assets and develop new strategic relationships to exploit new data sources and enlarge audience data set. We also plan to continue investing in our data science technologies and upgrading our technology infrastructure.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have experienced seasonal fluctuations in revenue. The fourth quarter of each calendar year generally contributes the largest portion of our annual gross billing as marketers tend to allocate a significant portion of their online marketing budgets to that quarter, which coincides with Chinese consumers’ increased purchases around the holidays and shopping events in that quarter, such as Single’s Day on November 11 of each year. The first quarter of each calendar year generally contributes the smallest portion of our annual gross billing, primarily due to a lower level of allocation of online marketing budgets by marketers at the beginning of the calendar year in which the Chinese New Year holidays fall, during which time businesses in China are generally closed. We expect our gross billing to continue fluctuating based on seasonal factors that affect the online marketing industry as a whole.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which requires us to make judgments, estimates and assumptions that affect (i) the reported amounts of assets and liabilities, (ii) disclosure of contingent assets and liabilities at the end of each reporting period and (iii) the reported amounts of revenues and expenses during each reporting period. We continually evaluate these estimates and assumptions based on historical experience, knowledge and assessment of current business and other conditions, expectations regarding the future based on available information and reasonable assumptions, which together form a basis for making judgments about matters not readily apparent from other sources. Since the use of estimates is an integral component of the financial reporting process, actual results could differ from those estimates. Some of our accounting policies require higher degrees of judgment than others in their application. We consider the policies discussed below to be critical to an understanding of our financial statements as their application places the most significant demands on the judgment of our management.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of Variable Interest Entities</w:t>
      </w:r>
    </w:p>
    <w:p>
      <w:pPr>
        <w:spacing w:after="0" w:line="121" w:lineRule="exact"/>
        <w:rPr>
          <w:sz w:val="20"/>
          <w:szCs w:val="20"/>
          <w:color w:val="auto"/>
        </w:rPr>
      </w:pPr>
    </w:p>
    <w:p>
      <w:pPr>
        <w:ind w:right="580" w:firstLine="456"/>
        <w:spacing w:after="0" w:line="266" w:lineRule="auto"/>
        <w:rPr>
          <w:sz w:val="20"/>
          <w:szCs w:val="20"/>
          <w:color w:val="auto"/>
        </w:rPr>
      </w:pPr>
      <w:r>
        <w:rPr>
          <w:rFonts w:ascii="Times New Roman" w:cs="Times New Roman" w:eastAsia="Times New Roman" w:hAnsi="Times New Roman"/>
          <w:sz w:val="18"/>
          <w:szCs w:val="18"/>
          <w:color w:val="auto"/>
        </w:rPr>
        <w:t>Foreign ownership in advertising companies used to be subject to certain restrictions under PRC laws and regulations. To comply with the then-effective PRC laws and regulations, OptAim Beijing entered into a set of contractual arrangements with OptAim Network and its shareholders. The contractual arrangements between OptAim Beijing, OptAim Network and the shareholders of OptAim Network allow us to:</w:t>
      </w:r>
    </w:p>
    <w:p>
      <w:pPr>
        <w:spacing w:after="0" w:line="82" w:lineRule="exact"/>
        <w:rPr>
          <w:sz w:val="20"/>
          <w:szCs w:val="20"/>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effective control over OptAim Network and Zhiyunzhong;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of OptAim Network and Zhiyunzhong; and</w:t>
      </w:r>
    </w:p>
    <w:p>
      <w:pPr>
        <w:spacing w:after="0" w:line="130" w:lineRule="exact"/>
        <w:rPr>
          <w:rFonts w:ascii="Times New Roman" w:cs="Times New Roman" w:eastAsia="Times New Roman" w:hAnsi="Times New Roman"/>
          <w:sz w:val="18"/>
          <w:szCs w:val="18"/>
          <w:color w:val="auto"/>
        </w:rPr>
      </w:pPr>
    </w:p>
    <w:p>
      <w:pPr>
        <w:ind w:left="900" w:right="600" w:hanging="325"/>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exclusive option to purchase all or part of the equity interests and assets in OptAim Network when and to the extent permitted by PRC law.</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00"/>
          </w:cols>
          <w:pgMar w:left="240" w:top="455" w:right="2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include the financial statements of the Company, its subsidiaries, its VIE and the VIE’s subsidiary for which we are the primary beneficiary. All transactions and balances among we, our subsidiaries, our VIE and the VIE’s subsidiary have been eliminated upon consolidation.</w:t>
      </w:r>
    </w:p>
    <w:p>
      <w:pPr>
        <w:spacing w:after="0" w:line="176"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A subsidiary is an entity in which we, directly or indirectly, control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176" w:lineRule="exact"/>
        <w:rPr>
          <w:sz w:val="20"/>
          <w:szCs w:val="20"/>
          <w:color w:val="auto"/>
        </w:rPr>
      </w:pPr>
    </w:p>
    <w:p>
      <w:pPr>
        <w:jc w:val="both"/>
        <w:ind w:firstLine="456"/>
        <w:spacing w:after="0" w:line="258" w:lineRule="auto"/>
        <w:rPr>
          <w:sz w:val="20"/>
          <w:szCs w:val="20"/>
          <w:color w:val="auto"/>
        </w:rPr>
      </w:pPr>
      <w:r>
        <w:rPr>
          <w:rFonts w:ascii="Times New Roman" w:cs="Times New Roman" w:eastAsia="Times New Roman" w:hAnsi="Times New Roman"/>
          <w:sz w:val="18"/>
          <w:szCs w:val="18"/>
          <w:color w:val="auto"/>
        </w:rPr>
        <w:t>A VIE is an entity in which we, or our subsidiary, through contractual agreements, bears the risks of, and enjoys the rewards normally associated with ownership of the entity. In determining whether we or our subsidiaries are the primary beneficiary, we considered whether it has the power to direct activities that are significant to the VIE’s economic performance, and also our obligation to absorb losses of the VIE that could potentially be significant to the VIE or the right to receive benefits from the VIE that could potentially be significant to the VIE. OptAim Beijing, and ultimately we, hold all the variable interests of the VIE and its subsidiary, and has been determined to be the primary beneficiary of the VIE.</w:t>
      </w:r>
    </w:p>
    <w:p>
      <w:pPr>
        <w:spacing w:after="0" w:line="1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accordance with the contractual agreements among the OptAim Beijing, OptAim Network and the shareholders of OptAim Network, we have power to direct activities of the VIE, and can have assets transferred out of the VIE. Therefore, we consider that there is no asset in the VIE that can be used only to settle obligations of the VIE, except for registered capital and PRC statutory reserves of the VIE and the VIE’s subsidiary amounting to US$2.1 million and US$2.1 million, respectively, as of December 31, 2015 and 2016. As the VIE was incorporated as limited liability company under the PRC Company Law, the creditors do not have recourse to the general credit of the Company for all the liabilities of the VIE. Currently there is no contractual arrangement that could require us to provide additional financial support to the VIE.</w:t>
      </w:r>
    </w:p>
    <w:p>
      <w:pPr>
        <w:spacing w:after="0" w:line="188"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As we are conducting our PRC online advertising services business through OptAim Network, we will, if needed, provide such support on a discretion basis in the future, which could expose us to a loss.</w:t>
      </w:r>
    </w:p>
    <w:p>
      <w:pPr>
        <w:spacing w:after="0" w:line="162"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We believe that the contractual arrangements among OptAim Beijing, OptAim Network and the shareholders of OptAim Network are in compliance with PRC law and are legally enforceable. However, uncertainties in the PRC legal system could limit our ability to enforce these contractual arrangements and if the shareholders of VIE were to reduce their interest in us, their interests may diverge from ours and that may potentially increase the risk that they would seek to act contrary to the contractual terms.</w:t>
      </w:r>
    </w:p>
    <w:p>
      <w:pPr>
        <w:spacing w:after="0" w:line="180"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Our ability to control the VIE also depends on the power of attorney and OptAim Beijing has to vote on all matters requiring shareholder approval in the VIE. As noted above, we believe this power of attorney is legally enforceable but may not be as effective as direct equity ownership.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Determination Related to the Accounting for Business Combinations</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We completed business combinations during 2015 which require us to perform purchase price allocations. In order to recognize the fair value of assets acquired and liabilities assumed, mainly consisting of intangible assets and goodwill, we use valuation techniques such as discounted cash flow analysis under the income approach. Major factors considered include historical financial results and assumptions including future growth rates, terminal rate and an estimate of weighted average cost of capital. Most of the valuations of our acquired businesses have been performed by independent valuation specialists under our management’s supervision. We believe that the estimated fair value assigned to the assets acquired and liabilities assumed are based on reasonable assumptions and estimates that market participants would use. However, such assumptions are inherently uncertain and actual results could differ from those estimates.</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380"/>
          </w:cols>
          <w:pgMar w:left="240" w:top="455" w:right="27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Goodwill</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is, a likelihood of more than 50 percent) that the fair value of a reporting unit is less than its carrying amount, including goodwill. We, however, select to proceed directly to perform a two-step goodwill impairment test. The first step compares the fair values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adjusting the value of any assets or liabilities. An impairment loss is recognized for any excess in the carrying value of goodwill over the implied fair value of goodwill. The judgment in estimating the fair value of a reporting unit includes estimating future cash flows, determining appropriate discount rates and making other assumptions. Changes in these estimates and assumptions could materially affect the determination of the fair value of a reporting unit. No goodwill impairment losses were recognized for the years ended December 31, 2015 and 2016.</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Our services are the provisions of online marketing services. We utilize a combination of pricing models and revenue is recognized when the related services are delivered based on the specific terms of the contract, which are commonly based on (i) agreed incentive to be earned for being a sales agent of a publisher, (ii) cost-plus, or (iii) specified actions (i.e. CPM, CPC, CPA, CPS, CPL or ROI) and related campaign budgets, depending on the customers’ preferences and their campaigns launched.</w:t>
      </w:r>
    </w:p>
    <w:p>
      <w:pPr>
        <w:spacing w:after="0" w:line="180" w:lineRule="exact"/>
        <w:rPr>
          <w:sz w:val="20"/>
          <w:szCs w:val="20"/>
          <w:color w:val="auto"/>
        </w:rPr>
      </w:pPr>
    </w:p>
    <w:p>
      <w:pPr>
        <w:ind w:right="320" w:firstLine="456"/>
        <w:spacing w:after="0" w:line="276" w:lineRule="auto"/>
        <w:rPr>
          <w:sz w:val="20"/>
          <w:szCs w:val="20"/>
          <w:color w:val="auto"/>
        </w:rPr>
      </w:pPr>
      <w:r>
        <w:rPr>
          <w:rFonts w:ascii="Times New Roman" w:cs="Times New Roman" w:eastAsia="Times New Roman" w:hAnsi="Times New Roman"/>
          <w:sz w:val="17"/>
          <w:szCs w:val="17"/>
          <w:color w:val="auto"/>
        </w:rPr>
        <w:t>We recognize revenue when four basic criteria are met: (1) persuasive evidence of an arrangement with the customer exists reflecting the terms and conditions under which the services will be provided; (2) services have been provided or delivery has occurred; (3) the fee is fixed or determinable; and</w:t>
      </w:r>
    </w:p>
    <w:p>
      <w:pPr>
        <w:spacing w:after="0" w:line="1" w:lineRule="exact"/>
        <w:rPr>
          <w:sz w:val="20"/>
          <w:szCs w:val="20"/>
          <w:color w:val="auto"/>
        </w:rPr>
      </w:pPr>
    </w:p>
    <w:p>
      <w:pPr>
        <w:jc w:val="both"/>
        <w:ind w:right="60" w:firstLine="8"/>
        <w:spacing w:after="0" w:line="255" w:lineRule="auto"/>
        <w:tabs>
          <w:tab w:leader="none" w:pos="2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 Revenues are recorded net of value-added taxes and surcharges.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agent</w:t>
      </w:r>
    </w:p>
    <w:p>
      <w:pPr>
        <w:spacing w:after="0" w:line="227"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In the arrangement with a particular publisher, we act as a sales agent for this publisher by having marketing customers market with this publisher. In return, we earn incentives from this publisher based on contractually stipulated amounts once certain spending thresholds are achieved and record such incentives as net revenues. Incentives from this publisher are calculated on both a quarterly and an annual basis in accordance with the terms as listed in the arrangement.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Cost-Plus</w:t>
      </w:r>
    </w:p>
    <w:p>
      <w:pPr>
        <w:spacing w:after="0" w:line="119"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For cost-plus advertisement campaigns, sales are valued at the fair value of the amount received. Discounts granted to clients under cost-plus marketing campaigns, along with free or extended advertising campaigns, are recorded as a deduction from revenue. In the normal course of business, we act as an intermediary in executing transactions with third parties, specifically, we are not the principal in executing these transactions as we are acting on behalf of the website publishers.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00"/>
          </w:cols>
          <w:pgMar w:left="240" w:top="455" w:right="2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determination of whether revenue should be reported on a gross or net basis is based on an assessment of whether we are acting as the principal or an agent in our transactions. In determining whether we act as the principal or an agent, we follow the accounting guidance for principal-agent considerations. The determination of whether we are acting as a principal or an agent in a transaction involves judgment and is based on an evaluation of the terms of each arrangement. While none of the factors individually are considered presumptive or determinative, because we are facilitating the customers and the publishers to purchase and to sell advertising inventory and the pricing is generally restricted by the costs incurred through purchasing the advertising inventory, we conclude that we are not the principal in these arrangements and therefore report revenue earned and costs incurred related to these transaction on a net basis.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Specified Actions</w:t>
      </w:r>
    </w:p>
    <w:p>
      <w:pPr>
        <w:spacing w:after="0" w:line="119"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We also generate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we are the primary obligor and are responsible for (1) identifying and contracting with third-party customers; (2) identifying website publishers to provide website spaces where the Group views the website publishers as suppliers; (3) establishing the selling prices of each of the CPM, CPC, CPA, CPS, CPL or ROI pricing model; (4) performing all billing and collection activities, including retaining credit risk; and (5) bearing sole responsibility for fulfillment of the advertising, the Group acts as the principal of these arrangements and therefore reports revenue earned and costs incurred related to these transactions on a gross basis.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Rebates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Throughout the various services delivered to our customers, we earn rebates from our publishers and grant rebates to customers. With respect to rebates granted to our customers, they are recorded as costs of revenue under the sales agent arrangement while under cost-plus/specified actions arrangement, they are recorded as deduction from revenue. The corresponding rebates are recorded based on the amount our customers would ultimately need to spend to earn the corresponding level of rebates. We are also able to reasonably estimate the spending our customers can ultimately achieve based on the historical spending patterns of our customers with similar arrangements. With respect to rebates received from our publishers, they are recorded as reduction of cost of revenue under the specified actions arrangement while under the cost-plus arrangement, they are recorded as revenue. The corresponding rebates are recognized when a particular milestone is achieved (i.e. applying the relevant rebates based on the level of spending threshold actually achieved) and spending has actually occurred. Furthermore, no rebates has been received from the publisher under the sales agent arrangement.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Ordinary Shares, Preferred Shares and Share Options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Preferred Shares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determining fair value of our preferred shares, we, with the assistance of independent appraisers, adopted a two-step method as follows: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Step 1: to derive the fair value of total equity by adopting the discounted cash flow (“DCF”) Method;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Step 2: based on the total equity value derived in step 1, to derive the fair value of each class of shares by adopting equity allocation method.</w:t>
      </w:r>
    </w:p>
    <w:p>
      <w:pPr>
        <w:spacing w:after="0" w:line="3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Significant Factors, Assumptions, and Methodologies Used in Determining Fair Value of Total Equity</w:t>
      </w:r>
    </w:p>
    <w:p>
      <w:pPr>
        <w:spacing w:after="0" w:line="119"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We, with the assistance of an independent appraiser, mainly performed retrospective valuations instead of contemporaneous valuations because, at the time of valuation, our financial resources and limited human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400"/>
          </w:cols>
          <w:pgMar w:left="240" w:top="455" w:right="2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resources were principally focused on business development efforts. This approach is consistent with the guidance prescribed by the AICPA Audit and Accounting Practice Aid, Valuation of Privately-Held-Company Equity Securities Issued as Compensation, or the Practice Aid. We, with the assistance of an independent appraiser, evaluated the use of three generally accepted valuation approaches: market, cost and income approaches to estimate our enterprise value. We and our appraisers considered the market and cost approaches as inappropriate for valuing our total equity because no exactly comparable market transaction could be found for the market valuation approach, and the cost approach does not directly incorporate information about the economic benefits contributed by our business operations. Consequently, we and our appraisers relied solely on the income approach in determining the fair value of our total equity and we adopted market approach in verifying the fair value. This method eliminates the discrepancy in the time value of money by using a discount rate to reflect all business risks including intrinsic and extrinsic uncertainties in relation to our company.</w:t>
      </w:r>
    </w:p>
    <w:p>
      <w:pPr>
        <w:spacing w:after="0" w:line="185"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income approach involves applying discounted cash flow analysis based on our projected cash flows using management’s best estimate as of the valuation dates. Estimating future cash flow requires us to analyze projected revenue growth, gross margins, operating expense levels, effective tax rates, capital expenditures, working capital requirements, and discount rates. Our projected revenues were based on expected annual growth rates derived from a combination of our historical experience and the general trend in our industry. The revenue and cost assumptions we used are consistent with our long-term business plan and market conditions in our industry. We also have to make complex and subjective judgments regarding our unique business risks, our limited operating history, and future prospects at the time of valuation.</w:t>
      </w:r>
    </w:p>
    <w:p>
      <w:pPr>
        <w:spacing w:after="0" w:line="188"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The table below sets forth the fair value of total equity as of January 1, 2015, August 1, 2015, December 31, 2015, December 28, 2016, March 31, 2017 and June 30, 2017, respectively:</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5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 in millions</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2015</w:t>
            </w:r>
          </w:p>
        </w:tc>
        <w:tc>
          <w:tcPr>
            <w:tcW w:w="5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August 1, 2015</w:t>
            </w:r>
          </w:p>
        </w:tc>
        <w:tc>
          <w:tcPr>
            <w:tcW w:w="5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5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December 28, 2016</w:t>
            </w:r>
          </w:p>
        </w:tc>
        <w:tc>
          <w:tcPr>
            <w:tcW w:w="5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2017</w:t>
            </w:r>
          </w:p>
        </w:tc>
        <w:tc>
          <w:tcPr>
            <w:tcW w:w="5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June 30, 2017</w:t>
            </w:r>
          </w:p>
        </w:tc>
        <w:tc>
          <w:tcPr>
            <w:tcW w:w="5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other major assumptions used in calculating the fair value of total equity include:</w:t>
      </w:r>
    </w:p>
    <w:p>
      <w:pPr>
        <w:spacing w:after="0" w:line="223" w:lineRule="exact"/>
        <w:rPr>
          <w:sz w:val="20"/>
          <w:szCs w:val="20"/>
          <w:color w:val="auto"/>
        </w:rPr>
      </w:pPr>
    </w:p>
    <w:p>
      <w:pPr>
        <w:ind w:right="40" w:firstLine="456"/>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Weighted average cost of capital, or WACC. </w:t>
      </w:r>
      <w:r>
        <w:rPr>
          <w:rFonts w:ascii="Times New Roman" w:cs="Times New Roman" w:eastAsia="Times New Roman" w:hAnsi="Times New Roman"/>
          <w:sz w:val="17"/>
          <w:szCs w:val="17"/>
          <w:color w:val="auto"/>
        </w:rPr>
        <w:t>Our cash flows were discounted to present value using discount rates that reflect the risks the management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perceived as being associated with achieving the forecasts and are based on the estimate of our weighted average cost of capital, or WACC, on the issuance date. The WACCs were determined considering the risk-free rate, industry-average correlated relative volatility coefficient, or beta, equity risk premium, country risk premium, size of our company, scale of our business and our ability in achieving forecast projections. We used WACCs of 15.6%, 16.1%, 16.2%, 18.3%, 18.0% and 17.8% for January 1, 2015, August 1, 2015, December 31, 2015, December 28, 2016, March 31, 2017 and June 30, 2017, respectively.</w:t>
      </w:r>
    </w:p>
    <w:p>
      <w:pPr>
        <w:spacing w:after="0" w:line="168"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Comparable companies. </w:t>
      </w:r>
      <w:r>
        <w:rPr>
          <w:rFonts w:ascii="Times New Roman" w:cs="Times New Roman" w:eastAsia="Times New Roman" w:hAnsi="Times New Roman"/>
          <w:sz w:val="18"/>
          <w:szCs w:val="18"/>
          <w:color w:val="auto"/>
        </w:rPr>
        <w:t>In deriving the WACCs, which are used as the discount rates under the income approach, four publicly traded companies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were selected for reference as our guideline companies.</w:t>
      </w:r>
    </w:p>
    <w:p>
      <w:pPr>
        <w:spacing w:after="0" w:line="158"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Discount for lack of marketability, or DLOM</w:t>
      </w:r>
      <w:r>
        <w:rPr>
          <w:rFonts w:ascii="Times New Roman" w:cs="Times New Roman" w:eastAsia="Times New Roman" w:hAnsi="Times New Roman"/>
          <w:sz w:val="18"/>
          <w:szCs w:val="18"/>
          <w:color w:val="auto"/>
        </w:rPr>
        <w:t>. At the time of each issuance, we were a closely-held company and there was no public market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securities. To determine the discount for lack of marketability, we and the independent appraisers used the Black-Scholes put option model. A put option was used because it incorporates certain company-specific factors, including timing of the expected initial public offering and the volatility of the share price of the guideline companies. Based on the analysis, we used DLOM of 12.4%, 9.4%, 20.7%, 19.2%, 9.6% and 5.7% for January 1, 2015, August 1, 2015, December 31, 2015, December 28, 2016, March 31, 2017 and June 30, 2017 respectively.</w:t>
      </w:r>
    </w:p>
    <w:p>
      <w:pPr>
        <w:spacing w:after="0" w:line="2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Significant Factors Contributing to the Difference in Fair Value Determined of Total Equity</w:t>
      </w:r>
    </w:p>
    <w:p>
      <w:pPr>
        <w:spacing w:after="0" w:line="119"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determined fair value of total equity increased from US$324.6 million as of January 1, 2015 to US$485.4 million as of August 1, 2015, decrease to US$478.0 million as of December 31, 2015 and further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20"/>
          </w:cols>
          <w:pgMar w:left="240" w:top="455" w:right="2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US$440.8 million as of December 31, 2016, and increase to US$513.5 million as of March 31, 2017 and further to US$566.2 million as of June 30, 2017.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change in the fair value of our total equity was primarily attributable to the following factors:</w:t>
      </w:r>
    </w:p>
    <w:p>
      <w:pPr>
        <w:spacing w:after="0" w:line="9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increase of equity value from January 2015 to August 2015 was mainly attributable to the acquisition of OptAim. Our equity values have remained fairly stable from August 2015 to December 2016 and certain fluctuation is attributable to the changes in discount rate as a result of the change in market data adopted in the CAPM model for derivation of WACC (i.e. increase in risk-free rates and unlevered beta of comparable companies has been observed by end of 2015 and 2016). The increase of equity value from December 2016 to June 2017 was attributed to the decrease in lack of marketability discount as a result of the closer timing of the expected initial public offering.</w:t>
      </w: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Significant Factors, Assumptions, and Methodologies Used in Determining Fair Value of Preferred Shares</w:t>
      </w:r>
    </w:p>
    <w:p>
      <w:pPr>
        <w:spacing w:after="0" w:line="119"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Based on the total equity value as determined by step 1, we, with the assistance of independent appraisers, adopted the Equity Allocation Model, which was referenced to the “Practice Aid — Valuation of Privately Held Company Equity Securities Issued as Compensation” issued by the AICPA in 2013, to allocate the equity value of the Company to different class of shares.</w:t>
      </w:r>
    </w:p>
    <w:p>
      <w:pPr>
        <w:spacing w:after="0" w:line="176"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We have six classes of shares — ordinary shares, series A preferred shares, series B preferred shares, series C preferred shares, series D preferred shares and series E preferred shares. Under such capital structure, different classes of shareholders have economic or control rights disproportionate to their ownership percentage. As such, the fair value of total equity value is allocated to different classes of shareholders regarding to the economic and control rights associated.</w:t>
      </w:r>
    </w:p>
    <w:p>
      <w:pPr>
        <w:spacing w:after="0" w:line="180"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As mentioned in the Amended and Restated Memorandum of Association, total equity value will be allocated to different classes of shareholders under three different scenarios, namely liquidation scenario, redemption scenario and conversion scenario (i.e. the IPO scenario).</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Under the liquidation scenario and redemption scenario, we applied the Black-Scholes put option model to allocate the total equity value to these four classes of shares while total equity value is allocated on as-if-fully converted basis under the conversion scenario.</w:t>
      </w:r>
    </w:p>
    <w:p>
      <w:pPr>
        <w:spacing w:after="0" w:line="162"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The key assumptions used in the equity allocation model with contingent claim to allocate the total equity value under the liquidation scenario and redemption scenario include:</w:t>
      </w:r>
    </w:p>
    <w:p>
      <w:pPr>
        <w:spacing w:after="0" w:line="65" w:lineRule="exact"/>
        <w:rPr>
          <w:sz w:val="20"/>
          <w:szCs w:val="20"/>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Current equity value. </w:t>
      </w:r>
      <w:r>
        <w:rPr>
          <w:rFonts w:ascii="Times New Roman" w:cs="Times New Roman" w:eastAsia="Times New Roman" w:hAnsi="Times New Roman"/>
          <w:sz w:val="18"/>
          <w:szCs w:val="18"/>
          <w:color w:val="auto"/>
        </w:rPr>
        <w:t>Current equity value is determined as the total equity value derived by step 1;</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Life to expiration. </w:t>
      </w:r>
      <w:r>
        <w:rPr>
          <w:rFonts w:ascii="Times New Roman" w:cs="Times New Roman" w:eastAsia="Times New Roman" w:hAnsi="Times New Roman"/>
          <w:sz w:val="18"/>
          <w:szCs w:val="18"/>
          <w:color w:val="auto"/>
        </w:rPr>
        <w:t>Life to expiration is determined based on the remaining contractual life of each class of preferred shares;</w:t>
      </w:r>
    </w:p>
    <w:p>
      <w:pPr>
        <w:spacing w:after="0" w:line="130" w:lineRule="exact"/>
        <w:rPr>
          <w:rFonts w:ascii="Times New Roman" w:cs="Times New Roman" w:eastAsia="Times New Roman" w:hAnsi="Times New Roman"/>
          <w:sz w:val="18"/>
          <w:szCs w:val="18"/>
          <w:color w:val="auto"/>
        </w:rPr>
      </w:pPr>
    </w:p>
    <w:p>
      <w:pPr>
        <w:ind w:left="900" w:right="280" w:hanging="325"/>
        <w:spacing w:after="0" w:line="284"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 free interest rate. </w:t>
      </w:r>
      <w:r>
        <w:rPr>
          <w:rFonts w:ascii="Times New Roman" w:cs="Times New Roman" w:eastAsia="Times New Roman" w:hAnsi="Times New Roman"/>
          <w:sz w:val="18"/>
          <w:szCs w:val="18"/>
          <w:color w:val="auto"/>
        </w:rPr>
        <w:t>Risk free interest rate is determined based on the yield of U.S. Treasury Strips with a maturity life equal to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 to expiration; and</w:t>
      </w:r>
    </w:p>
    <w:p>
      <w:pPr>
        <w:spacing w:after="0" w:line="6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volatility is determined based on our comparable companies.</w:t>
      </w:r>
    </w:p>
    <w:p>
      <w:pPr>
        <w:spacing w:after="0" w:line="227"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After deriving the values of preferred and ordinary shares under each of the liquidation scenario, redemption scenario and conversion scenario, we then assigned the probabilities of each scenario to arrive at the probability weighted value of each class of shares. The table below sets forth the probability of the three scenarios used in calculating the fair value of the preferred shares as of January 1, 2015, August 1, 2015, December 31, 2015, December 28, 2016, March 31, 2017 and June 30, 2017, respectively:</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60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62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Conversion</w:t>
            </w:r>
          </w:p>
        </w:tc>
      </w:tr>
      <w:tr>
        <w:trPr>
          <w:trHeight w:val="173"/>
        </w:trPr>
        <w:tc>
          <w:tcPr>
            <w:tcW w:w="3520" w:type="dxa"/>
            <w:vAlign w:val="bottom"/>
            <w:tcBorders>
              <w:bottom w:val="single" w:sz="8" w:color="CCEEFF"/>
            </w:tcBorders>
          </w:tcPr>
          <w:p>
            <w:pPr>
              <w:spacing w:after="0"/>
              <w:rPr>
                <w:sz w:val="15"/>
                <w:szCs w:val="15"/>
                <w:color w:val="auto"/>
              </w:rPr>
            </w:pPr>
          </w:p>
        </w:tc>
        <w:tc>
          <w:tcPr>
            <w:tcW w:w="37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8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Scenario</w:t>
            </w:r>
          </w:p>
        </w:tc>
        <w:tc>
          <w:tcPr>
            <w:tcW w:w="86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Scenario</w:t>
            </w:r>
          </w:p>
        </w:tc>
        <w:tc>
          <w:tcPr>
            <w:tcW w:w="200" w:type="dxa"/>
            <w:vAlign w:val="bottom"/>
            <w:tcBorders>
              <w:bottom w:val="single" w:sz="8" w:color="CCEEFF"/>
            </w:tcBorders>
          </w:tcPr>
          <w:p>
            <w:pPr>
              <w:spacing w:after="0"/>
              <w:rPr>
                <w:sz w:val="15"/>
                <w:szCs w:val="15"/>
                <w:color w:val="auto"/>
              </w:rPr>
            </w:pP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2015</w:t>
            </w:r>
          </w:p>
        </w:tc>
        <w:tc>
          <w:tcPr>
            <w:tcW w:w="37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12.5%</w:t>
            </w:r>
          </w:p>
        </w:tc>
        <w:tc>
          <w:tcPr>
            <w:tcW w:w="16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12.5%</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August 1, 2015</w:t>
            </w:r>
          </w:p>
        </w:tc>
        <w:tc>
          <w:tcPr>
            <w:tcW w:w="53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536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10.0%</w:t>
            </w:r>
          </w:p>
        </w:tc>
        <w:tc>
          <w:tcPr>
            <w:tcW w:w="16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10.0%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December 28, 2016</w:t>
            </w:r>
          </w:p>
        </w:tc>
        <w:tc>
          <w:tcPr>
            <w:tcW w:w="53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5.0%</w:t>
            </w:r>
          </w:p>
        </w:tc>
        <w:tc>
          <w:tcPr>
            <w:tcW w:w="16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90.0%</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2017</w:t>
            </w:r>
          </w:p>
        </w:tc>
        <w:tc>
          <w:tcPr>
            <w:tcW w:w="536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5.0%</w:t>
            </w:r>
          </w:p>
        </w:tc>
        <w:tc>
          <w:tcPr>
            <w:tcW w:w="16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90.0%</w:t>
            </w: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June 30, 2017</w:t>
            </w:r>
          </w:p>
        </w:tc>
        <w:tc>
          <w:tcPr>
            <w:tcW w:w="536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5.0%</w:t>
            </w:r>
          </w:p>
        </w:tc>
        <w:tc>
          <w:tcPr>
            <w:tcW w:w="16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5.0%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90.0%</w:t>
            </w:r>
          </w:p>
        </w:tc>
      </w:tr>
      <w:tr>
        <w:trPr>
          <w:trHeight w:val="346"/>
        </w:trPr>
        <w:tc>
          <w:tcPr>
            <w:tcW w:w="3520" w:type="dxa"/>
            <w:vAlign w:val="bottom"/>
          </w:tcPr>
          <w:p>
            <w:pPr>
              <w:spacing w:after="0"/>
              <w:rPr>
                <w:sz w:val="24"/>
                <w:szCs w:val="24"/>
                <w:color w:val="auto"/>
              </w:rPr>
            </w:pPr>
          </w:p>
        </w:tc>
        <w:tc>
          <w:tcPr>
            <w:tcW w:w="376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93</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920" w:firstLine="456"/>
        <w:spacing w:after="0" w:line="282" w:lineRule="auto"/>
        <w:rPr>
          <w:sz w:val="20"/>
          <w:szCs w:val="20"/>
          <w:color w:val="auto"/>
        </w:rPr>
      </w:pPr>
      <w:r>
        <w:rPr>
          <w:rFonts w:ascii="Times New Roman" w:cs="Times New Roman" w:eastAsia="Times New Roman" w:hAnsi="Times New Roman"/>
          <w:sz w:val="18"/>
          <w:szCs w:val="18"/>
          <w:color w:val="auto"/>
        </w:rPr>
        <w:t>The table below sets forth the fair value of ordinary shares and preferred shares as of January 1, 2015, August 1, 2015, December 31, 2015, December 28, 2016, March 31, 2017 and June 30, 2017, respectively.</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2"/>
          </w:tcPr>
          <w:p>
            <w:pPr>
              <w:jc w:val="right"/>
              <w:ind w:right="1154"/>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8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Ordinary Shares</w:t>
            </w:r>
          </w:p>
        </w:tc>
      </w:tr>
      <w:tr>
        <w:trPr>
          <w:trHeight w:val="142"/>
        </w:trPr>
        <w:tc>
          <w:tcPr>
            <w:tcW w:w="4460" w:type="dxa"/>
            <w:vAlign w:val="bottom"/>
          </w:tcPr>
          <w:p>
            <w:pPr>
              <w:spacing w:after="0"/>
              <w:rPr>
                <w:sz w:val="12"/>
                <w:szCs w:val="12"/>
                <w:color w:val="auto"/>
              </w:rPr>
            </w:pPr>
          </w:p>
        </w:tc>
        <w:tc>
          <w:tcPr>
            <w:tcW w:w="880" w:type="dxa"/>
            <w:vAlign w:val="bottom"/>
            <w:tcBorders>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w w:val="97"/>
              </w:rPr>
              <w:t>Series - A</w:t>
            </w:r>
          </w:p>
        </w:tc>
        <w:tc>
          <w:tcPr>
            <w:tcW w:w="1060" w:type="dxa"/>
            <w:vAlign w:val="bottom"/>
            <w:tcBorders>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Series - B</w:t>
            </w: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Series - C</w:t>
            </w:r>
          </w:p>
        </w:tc>
        <w:tc>
          <w:tcPr>
            <w:tcW w:w="146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Series - D</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Series - E</w:t>
            </w:r>
          </w:p>
        </w:tc>
        <w:tc>
          <w:tcPr>
            <w:tcW w:w="3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60" w:type="dxa"/>
            <w:vAlign w:val="bottom"/>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(US$ in millions)</w:t>
            </w: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2015</w:t>
            </w:r>
          </w:p>
        </w:tc>
        <w:tc>
          <w:tcPr>
            <w:tcW w:w="8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35</w:t>
            </w:r>
          </w:p>
        </w:tc>
        <w:tc>
          <w:tcPr>
            <w:tcW w:w="10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48</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August 1, 2015</w:t>
            </w:r>
          </w:p>
        </w:tc>
        <w:tc>
          <w:tcPr>
            <w:tcW w:w="8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48</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58</w:t>
            </w: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8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49</w:t>
            </w:r>
          </w:p>
        </w:tc>
        <w:tc>
          <w:tcPr>
            <w:tcW w:w="10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59</w:t>
            </w:r>
          </w:p>
        </w:tc>
        <w:tc>
          <w:tcPr>
            <w:tcW w:w="11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December 28, 2016</w:t>
            </w:r>
          </w:p>
        </w:tc>
        <w:tc>
          <w:tcPr>
            <w:tcW w:w="8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44</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49</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2017</w:t>
            </w:r>
          </w:p>
        </w:tc>
        <w:tc>
          <w:tcPr>
            <w:tcW w:w="8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49</w:t>
            </w:r>
          </w:p>
        </w:tc>
        <w:tc>
          <w:tcPr>
            <w:tcW w:w="10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54</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327</w:t>
            </w: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June 30, 2017</w:t>
            </w:r>
          </w:p>
        </w:tc>
        <w:tc>
          <w:tcPr>
            <w:tcW w:w="8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54</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58</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361</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right="820" w:firstLine="456"/>
        <w:spacing w:after="0" w:line="282" w:lineRule="auto"/>
        <w:rPr>
          <w:sz w:val="20"/>
          <w:szCs w:val="20"/>
          <w:color w:val="auto"/>
        </w:rPr>
      </w:pPr>
      <w:r>
        <w:rPr>
          <w:rFonts w:ascii="Times New Roman" w:cs="Times New Roman" w:eastAsia="Times New Roman" w:hAnsi="Times New Roman"/>
          <w:sz w:val="18"/>
          <w:szCs w:val="18"/>
          <w:color w:val="auto"/>
        </w:rPr>
        <w:t>We grant share options to eligible employees and account for these share-based awards in accordance with ASC 718 Compensation — Stock Compensation.</w:t>
      </w:r>
    </w:p>
    <w:p>
      <w:pPr>
        <w:spacing w:after="0" w:line="162"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Share-based awards are measured at the grant date fair value of the awards and recognized as expenses using graded vesting method, net of estimated forfeitures, over the requisite service period, which is the vesting period. Compensation cost is accrued if it is probable that a performance condition will be achieved. We estimate the forfeiture rate based on historical forfeitures of equity awards and adjust the rate to reflect changes in facts and circumstances, if any. We revise our estimated forfeiture rate if actual forfeitures differ from our initial estimates. Grant date fair values of the awards are calculated using the binomial option pricing model with the assistance from an independent appraiser. The binomial option pricing model is used to measure the value of the awards. The determination of the fair value is affected by the share price as well as assumptions regarding a number of complex and subjective variables, including the expected volatility, risk-free interest rates, exercise multiple, expected dividend yield and expected term. The table below sets forth the key assumptions used in the binomial option model:</w:t>
      </w:r>
    </w:p>
    <w:p>
      <w:pPr>
        <w:spacing w:after="0" w:line="185"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The binomial option pricing model is used to determine the fair value of the share options granted to employees and non-employees. The fair values of share options granted during the years ended December 31, 2015 and 2016 and six months ended June 30, 2017 were estimated using the following assumptions: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3560" w:type="dxa"/>
            <w:vAlign w:val="bottom"/>
            <w:vMerge w:val="restart"/>
          </w:tcPr>
          <w:p>
            <w:pPr>
              <w:spacing w:after="0"/>
              <w:rPr>
                <w:sz w:val="13"/>
                <w:szCs w:val="13"/>
                <w:color w:val="auto"/>
              </w:rPr>
            </w:pPr>
          </w:p>
        </w:tc>
        <w:tc>
          <w:tcPr>
            <w:tcW w:w="202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Risk-free interest</w:t>
            </w:r>
          </w:p>
        </w:tc>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Dividend yield</w:t>
            </w:r>
            <w:r>
              <w:rPr>
                <w:rFonts w:ascii="Times New Roman" w:cs="Times New Roman" w:eastAsia="Times New Roman" w:hAnsi="Times New Roman"/>
                <w:sz w:val="12"/>
                <w:szCs w:val="12"/>
                <w:b w:val="1"/>
                <w:bCs w:val="1"/>
                <w:color w:val="auto"/>
              </w:rPr>
              <w:t>(2)</w:t>
            </w:r>
          </w:p>
        </w:tc>
        <w:tc>
          <w:tcPr>
            <w:tcW w:w="960" w:type="dxa"/>
            <w:vAlign w:val="bottom"/>
            <w:vMerge w:val="restart"/>
          </w:tcPr>
          <w:p>
            <w:pPr>
              <w:spacing w:after="0"/>
              <w:rPr>
                <w:sz w:val="13"/>
                <w:szCs w:val="13"/>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Volatility rate</w:t>
            </w:r>
            <w:r>
              <w:rPr>
                <w:rFonts w:ascii="Times New Roman" w:cs="Times New Roman" w:eastAsia="Times New Roman" w:hAnsi="Times New Roman"/>
                <w:sz w:val="12"/>
                <w:szCs w:val="12"/>
                <w:b w:val="1"/>
                <w:bCs w:val="1"/>
                <w:color w:val="auto"/>
              </w:rPr>
              <w:t>(3)</w:t>
            </w:r>
          </w:p>
        </w:tc>
        <w:tc>
          <w:tcPr>
            <w:tcW w:w="960" w:type="dxa"/>
            <w:vAlign w:val="bottom"/>
            <w:vMerge w:val="restart"/>
          </w:tcPr>
          <w:p>
            <w:pPr>
              <w:spacing w:after="0"/>
              <w:rPr>
                <w:sz w:val="13"/>
                <w:szCs w:val="13"/>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Expected term (in</w:t>
            </w:r>
          </w:p>
        </w:tc>
        <w:tc>
          <w:tcPr>
            <w:tcW w:w="0" w:type="dxa"/>
            <w:vAlign w:val="bottom"/>
          </w:tcPr>
          <w:p>
            <w:pPr>
              <w:spacing w:after="0"/>
              <w:rPr>
                <w:sz w:val="1"/>
                <w:szCs w:val="1"/>
                <w:color w:val="auto"/>
              </w:rPr>
            </w:pPr>
          </w:p>
        </w:tc>
      </w:tr>
      <w:tr>
        <w:trPr>
          <w:trHeight w:val="173"/>
        </w:trPr>
        <w:tc>
          <w:tcPr>
            <w:tcW w:w="720" w:type="dxa"/>
            <w:vAlign w:val="bottom"/>
            <w:tcBorders>
              <w:bottom w:val="single" w:sz="8" w:color="auto"/>
            </w:tcBorders>
            <w:vMerge w:val="continue"/>
          </w:tcPr>
          <w:p>
            <w:pPr>
              <w:spacing w:after="0"/>
              <w:rPr>
                <w:sz w:val="15"/>
                <w:szCs w:val="15"/>
                <w:color w:val="auto"/>
              </w:rPr>
            </w:pPr>
          </w:p>
        </w:tc>
        <w:tc>
          <w:tcPr>
            <w:tcW w:w="3560" w:type="dxa"/>
            <w:vAlign w:val="bottom"/>
            <w:tcBorders>
              <w:bottom w:val="single" w:sz="8" w:color="CCEEFF"/>
            </w:tcBorders>
            <w:vMerge w:val="continue"/>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r>
              <w:rPr>
                <w:rFonts w:ascii="Times New Roman" w:cs="Times New Roman" w:eastAsia="Times New Roman" w:hAnsi="Times New Roman"/>
                <w:sz w:val="12"/>
                <w:szCs w:val="12"/>
                <w:b w:val="1"/>
                <w:bCs w:val="1"/>
                <w:color w:val="auto"/>
                <w:w w:val="99"/>
              </w:rPr>
              <w:t>(1)</w:t>
            </w:r>
          </w:p>
        </w:tc>
        <w:tc>
          <w:tcPr>
            <w:tcW w:w="9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CCEEFF"/>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 xml:space="preserve">years) </w:t>
            </w:r>
            <w:r>
              <w:rPr>
                <w:rFonts w:ascii="Times New Roman" w:cs="Times New Roman" w:eastAsia="Times New Roman" w:hAnsi="Times New Roman"/>
                <w:sz w:val="12"/>
                <w:szCs w:val="12"/>
                <w:b w:val="1"/>
                <w:bCs w:val="1"/>
                <w:color w:val="auto"/>
              </w:rPr>
              <w:t>(4)</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2015</w:t>
            </w:r>
          </w:p>
        </w:tc>
        <w:tc>
          <w:tcPr>
            <w:tcW w:w="20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0.09%</w:t>
            </w:r>
          </w:p>
        </w:tc>
        <w:tc>
          <w:tcPr>
            <w:tcW w:w="20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47.34%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1, 2015</w:t>
            </w:r>
          </w:p>
        </w:tc>
        <w:tc>
          <w:tcPr>
            <w:tcW w:w="20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2.37%</w:t>
            </w:r>
          </w:p>
        </w:tc>
        <w:tc>
          <w:tcPr>
            <w:tcW w:w="20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53.47%</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2015</w:t>
            </w:r>
          </w:p>
        </w:tc>
        <w:tc>
          <w:tcPr>
            <w:tcW w:w="20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1.88%</w:t>
            </w:r>
          </w:p>
        </w:tc>
        <w:tc>
          <w:tcPr>
            <w:tcW w:w="20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54.55%</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2015</w:t>
            </w:r>
          </w:p>
        </w:tc>
        <w:tc>
          <w:tcPr>
            <w:tcW w:w="20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2.57%</w:t>
            </w:r>
          </w:p>
        </w:tc>
        <w:tc>
          <w:tcPr>
            <w:tcW w:w="20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52.87%</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6, 2015</w:t>
            </w:r>
          </w:p>
        </w:tc>
        <w:tc>
          <w:tcPr>
            <w:tcW w:w="20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2.53%</w:t>
            </w:r>
          </w:p>
        </w:tc>
        <w:tc>
          <w:tcPr>
            <w:tcW w:w="20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52.60%</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6, 2015</w:t>
            </w:r>
          </w:p>
        </w:tc>
        <w:tc>
          <w:tcPr>
            <w:tcW w:w="20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2.58%</w:t>
            </w:r>
          </w:p>
        </w:tc>
        <w:tc>
          <w:tcPr>
            <w:tcW w:w="20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52.64%</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w:t>
            </w:r>
          </w:p>
        </w:tc>
        <w:tc>
          <w:tcPr>
            <w:tcW w:w="20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2.34%</w:t>
            </w:r>
          </w:p>
        </w:tc>
        <w:tc>
          <w:tcPr>
            <w:tcW w:w="20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52.78%</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20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2.52%</w:t>
            </w:r>
          </w:p>
        </w:tc>
        <w:tc>
          <w:tcPr>
            <w:tcW w:w="20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55.54%</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2016</w:t>
            </w:r>
          </w:p>
        </w:tc>
        <w:tc>
          <w:tcPr>
            <w:tcW w:w="20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2.00%</w:t>
            </w:r>
          </w:p>
        </w:tc>
        <w:tc>
          <w:tcPr>
            <w:tcW w:w="20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49.37%</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 2016</w:t>
            </w:r>
          </w:p>
        </w:tc>
        <w:tc>
          <w:tcPr>
            <w:tcW w:w="20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1.62%</w:t>
            </w:r>
          </w:p>
        </w:tc>
        <w:tc>
          <w:tcPr>
            <w:tcW w:w="20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50.52%</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2017</w:t>
            </w:r>
          </w:p>
        </w:tc>
        <w:tc>
          <w:tcPr>
            <w:tcW w:w="20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2.67%</w:t>
            </w:r>
          </w:p>
        </w:tc>
        <w:tc>
          <w:tcPr>
            <w:tcW w:w="20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50.75%</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1, 2017</w:t>
            </w:r>
          </w:p>
        </w:tc>
        <w:tc>
          <w:tcPr>
            <w:tcW w:w="202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2.59%</w:t>
            </w:r>
          </w:p>
        </w:tc>
        <w:tc>
          <w:tcPr>
            <w:tcW w:w="200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w:t>
            </w:r>
          </w:p>
        </w:tc>
        <w:tc>
          <w:tcPr>
            <w:tcW w:w="19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50.79%</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right="20" w:hanging="452"/>
        <w:spacing w:after="0" w:line="261"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of periods within the contractual life of the share option is based on the yield of U.S. Treasury Strips sourced from Bloomberg as of the valuation dates.</w:t>
      </w:r>
    </w:p>
    <w:p>
      <w:pPr>
        <w:ind w:left="460" w:hanging="452"/>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history or expectation of paying dividends on its ordinary shares.</w:t>
      </w:r>
    </w:p>
    <w:p>
      <w:pPr>
        <w:spacing w:after="0" w:line="9" w:lineRule="exact"/>
        <w:rPr>
          <w:rFonts w:ascii="Times New Roman" w:cs="Times New Roman" w:eastAsia="Times New Roman" w:hAnsi="Times New Roman"/>
          <w:sz w:val="18"/>
          <w:szCs w:val="18"/>
          <w:color w:val="auto"/>
        </w:rPr>
      </w:pPr>
    </w:p>
    <w:p>
      <w:pPr>
        <w:ind w:left="460" w:right="420" w:hanging="452"/>
        <w:spacing w:after="0" w:line="250"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is estimated based on the average of historical volatilities of the comparable companies in the same industry as at the valuation dates.</w:t>
      </w:r>
    </w:p>
    <w:p>
      <w:pPr>
        <w:ind w:left="460" w:hanging="452"/>
        <w:spacing w:after="0"/>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developed by assuming the share options will be exercised towards the end of maturity dates.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455" w:right="2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20" w:firstLine="456"/>
        <w:spacing w:after="0" w:line="281" w:lineRule="auto"/>
        <w:rPr>
          <w:sz w:val="20"/>
          <w:szCs w:val="20"/>
          <w:color w:val="auto"/>
        </w:rPr>
      </w:pPr>
      <w:r>
        <w:rPr>
          <w:rFonts w:ascii="Times New Roman" w:cs="Times New Roman" w:eastAsia="Times New Roman" w:hAnsi="Times New Roman"/>
          <w:sz w:val="17"/>
          <w:szCs w:val="17"/>
          <w:color w:val="auto"/>
        </w:rPr>
        <w:t>The following table sets forth a summary of our consolidated results of operations for the periods indicated. This information should be read together with our consolidated financial statements and related notes included elsewhere in this prospectus. Due to our limited operating history, period-to-period comparisons discussed below may not be meaningful and are not indicative of our future trends. See “Risk Factors — Risks Related to Our Business and Industry — We have experienced fluctuation in growth in recent periods, and our historical growth rates may not be indicative of our future growth.”</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900" w:type="dxa"/>
            <w:vAlign w:val="bottom"/>
            <w:gridSpan w:val="2"/>
          </w:tcPr>
          <w:p>
            <w:pPr>
              <w:jc w:val="right"/>
              <w:ind w:right="268"/>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20" w:type="dxa"/>
            <w:vAlign w:val="bottom"/>
          </w:tcPr>
          <w:p>
            <w:pPr>
              <w:spacing w:after="0"/>
              <w:rPr>
                <w:sz w:val="10"/>
                <w:szCs w:val="10"/>
                <w:color w:val="auto"/>
              </w:rPr>
            </w:pPr>
          </w:p>
        </w:tc>
        <w:tc>
          <w:tcPr>
            <w:tcW w:w="900" w:type="dxa"/>
            <w:vAlign w:val="bottom"/>
            <w:gridSpan w:val="2"/>
          </w:tcPr>
          <w:p>
            <w:pPr>
              <w:jc w:val="right"/>
              <w:ind w:right="248"/>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00" w:type="dxa"/>
            <w:vAlign w:val="bottom"/>
          </w:tcPr>
          <w:p>
            <w:pPr>
              <w:spacing w:after="0"/>
              <w:rPr>
                <w:sz w:val="10"/>
                <w:szCs w:val="10"/>
                <w:color w:val="auto"/>
              </w:rPr>
            </w:pPr>
          </w:p>
        </w:tc>
        <w:tc>
          <w:tcPr>
            <w:tcW w:w="90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revenues)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revenues)</w:t>
            </w: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revenues)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7"/>
              </w:rPr>
              <w:t>revenues)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65,242</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95,357</w:t>
            </w: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45,269</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55,741</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(34,531)</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(52.9)</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(61,048)</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(64.0)</w:t>
            </w: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(28,003)</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(61.9)</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(42,431)</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30,711</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34,309</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9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17,266</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38.1</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13,310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(8,106)</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(8,584)</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9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(4,426)</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(3,234)</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(31,385)</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(48.1)</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(28,266)</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w:t>
            </w: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(14,083)</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(12,205)</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(12,745)</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(26,767)</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(28.1)</w:t>
            </w:r>
          </w:p>
        </w:tc>
        <w:tc>
          <w:tcPr>
            <w:tcW w:w="9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(4,936)</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(4,509)</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(52,236)</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(63,617)</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(23,445)</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(19,948)</w:t>
            </w:r>
          </w:p>
        </w:tc>
        <w:tc>
          <w:tcPr>
            <w:tcW w:w="22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9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(21,525)</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(29,308)</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w:t>
            </w:r>
          </w:p>
        </w:tc>
        <w:tc>
          <w:tcPr>
            <w:tcW w:w="9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(6,179)</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(13.7)</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(6,638)</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(107)</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(713)</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(290)</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gains/(losses), net</w:t>
            </w:r>
          </w:p>
        </w:tc>
        <w:tc>
          <w:tcPr>
            <w:tcW w:w="9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791</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(1,082)</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9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(69)</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Fair value (loss)/gain on derivative liabilities</w:t>
            </w: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(19,390)</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3,995</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(177)</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(14,727)</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9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(40,231)</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(61.7)</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(27,108)</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w:t>
            </w:r>
          </w:p>
        </w:tc>
        <w:tc>
          <w:tcPr>
            <w:tcW w:w="9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(6,715)</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(21,644)</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benefit/(expense)</w:t>
            </w: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555</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9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129</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(601)</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 of loss from an equity investee</w:t>
            </w:r>
          </w:p>
        </w:tc>
        <w:tc>
          <w:tcPr>
            <w:tcW w:w="9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(38)</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(39,714)</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(27,330)</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w:t>
            </w:r>
          </w:p>
        </w:tc>
        <w:tc>
          <w:tcPr>
            <w:tcW w:w="220" w:type="dxa"/>
            <w:vAlign w:val="bottom"/>
            <w:vMerge w:val="continue"/>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(22,245)</w:t>
            </w:r>
          </w:p>
        </w:tc>
        <w:tc>
          <w:tcPr>
            <w:tcW w:w="22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We generate revenue primarily from customers’ marketing spend through our platform as they utilize our solutions, and to a less extent from incentives or rebates granted by certain publishers. Please refer to “— Key Operating and Financial Metrics — Net Revenues”, “— Critical Accounting Policies — Revenue Recognition” and “— Critical Accounting Policies — Rebates” for a description of the components of our net revenues and revenue recognition policies.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455" w:right="2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shows our net revenues breakdown for our mobile audience solutions and other solutions for the periods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60" w:type="dxa"/>
            <w:vAlign w:val="bottom"/>
            <w:gridSpan w:val="2"/>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80" w:type="dxa"/>
            <w:vAlign w:val="bottom"/>
          </w:tcPr>
          <w:p>
            <w:pPr>
              <w:spacing w:after="0"/>
              <w:rPr>
                <w:sz w:val="10"/>
                <w:szCs w:val="10"/>
                <w:color w:val="auto"/>
              </w:rPr>
            </w:pPr>
          </w:p>
        </w:tc>
        <w:tc>
          <w:tcPr>
            <w:tcW w:w="106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80" w:type="dxa"/>
            <w:vAlign w:val="bottom"/>
          </w:tcPr>
          <w:p>
            <w:pPr>
              <w:spacing w:after="0"/>
              <w:rPr>
                <w:sz w:val="10"/>
                <w:szCs w:val="10"/>
                <w:color w:val="auto"/>
              </w:rPr>
            </w:pPr>
          </w:p>
        </w:tc>
        <w:tc>
          <w:tcPr>
            <w:tcW w:w="98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 w:type="dxa"/>
            <w:vAlign w:val="bottom"/>
          </w:tcPr>
          <w:p>
            <w:pPr>
              <w:spacing w:after="0"/>
              <w:rPr>
                <w:sz w:val="10"/>
                <w:szCs w:val="10"/>
                <w:color w:val="auto"/>
              </w:rPr>
            </w:pP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80" w:type="dxa"/>
            <w:vAlign w:val="bottom"/>
          </w:tcPr>
          <w:p>
            <w:pPr>
              <w:spacing w:after="0"/>
              <w:rPr>
                <w:sz w:val="10"/>
                <w:szCs w:val="10"/>
                <w:color w:val="auto"/>
              </w:rPr>
            </w:pPr>
          </w:p>
        </w:tc>
        <w:tc>
          <w:tcPr>
            <w:tcW w:w="680" w:type="dxa"/>
            <w:vAlign w:val="bottom"/>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38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revenues)</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revenues)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 from mobile audience solutions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11,908</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57,761</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2"/>
              </w:rPr>
              <w:t>24,517</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42,262</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Net revenues from other solutions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53,334</w:t>
            </w:r>
          </w:p>
        </w:tc>
        <w:tc>
          <w:tcPr>
            <w:tcW w:w="3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81.7</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37,596</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39.4</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20,752</w:t>
            </w: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45.8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13,479</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65,242</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95,357</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45,269</w:t>
            </w: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55,741</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table below shows our rebates received from publishers and recognized as net revenues for our mobile audience solutions and other solutions for the periods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580" w:type="dxa"/>
            <w:vAlign w:val="bottom"/>
          </w:tcPr>
          <w:p>
            <w:pPr>
              <w:spacing w:after="0"/>
              <w:rPr>
                <w:sz w:val="12"/>
                <w:szCs w:val="12"/>
                <w:color w:val="auto"/>
              </w:rPr>
            </w:pPr>
          </w:p>
        </w:tc>
        <w:tc>
          <w:tcPr>
            <w:tcW w:w="92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7"/>
        </w:trPr>
        <w:tc>
          <w:tcPr>
            <w:tcW w:w="4580" w:type="dxa"/>
            <w:vAlign w:val="bottom"/>
          </w:tcPr>
          <w:p>
            <w:pPr>
              <w:spacing w:after="0"/>
              <w:rPr>
                <w:sz w:val="10"/>
                <w:szCs w:val="10"/>
                <w:color w:val="auto"/>
              </w:rPr>
            </w:pPr>
          </w:p>
        </w:tc>
        <w:tc>
          <w:tcPr>
            <w:tcW w:w="780" w:type="dxa"/>
            <w:vAlign w:val="bottom"/>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140" w:type="dxa"/>
            <w:vAlign w:val="bottom"/>
          </w:tcPr>
          <w:p>
            <w:pPr>
              <w:spacing w:after="0"/>
              <w:rPr>
                <w:sz w:val="10"/>
                <w:szCs w:val="10"/>
                <w:color w:val="auto"/>
              </w:rPr>
            </w:pPr>
          </w:p>
        </w:tc>
        <w:tc>
          <w:tcPr>
            <w:tcW w:w="600" w:type="dxa"/>
            <w:vAlign w:val="bottom"/>
          </w:tcPr>
          <w:p>
            <w:pPr>
              <w:jc w:val="right"/>
              <w:ind w:right="4"/>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240" w:type="dxa"/>
            <w:vAlign w:val="bottom"/>
          </w:tcPr>
          <w:p>
            <w:pPr>
              <w:spacing w:after="0"/>
              <w:rPr>
                <w:sz w:val="10"/>
                <w:szCs w:val="10"/>
                <w:color w:val="auto"/>
              </w:rPr>
            </w:pPr>
          </w:p>
        </w:tc>
        <w:tc>
          <w:tcPr>
            <w:tcW w:w="9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40" w:type="dxa"/>
            <w:vAlign w:val="bottom"/>
          </w:tcPr>
          <w:p>
            <w:pPr>
              <w:spacing w:after="0"/>
              <w:rPr>
                <w:sz w:val="10"/>
                <w:szCs w:val="10"/>
                <w:color w:val="auto"/>
              </w:rPr>
            </w:pPr>
          </w:p>
        </w:tc>
        <w:tc>
          <w:tcPr>
            <w:tcW w:w="920" w:type="dxa"/>
            <w:vAlign w:val="bottom"/>
            <w:gridSpan w:val="2"/>
          </w:tcPr>
          <w:p>
            <w:pPr>
              <w:jc w:val="right"/>
              <w:ind w:right="288"/>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40" w:type="dxa"/>
            <w:vAlign w:val="bottom"/>
          </w:tcPr>
          <w:p>
            <w:pPr>
              <w:spacing w:after="0"/>
              <w:rPr>
                <w:sz w:val="10"/>
                <w:szCs w:val="10"/>
                <w:color w:val="auto"/>
              </w:rPr>
            </w:pPr>
          </w:p>
        </w:tc>
        <w:tc>
          <w:tcPr>
            <w:tcW w:w="92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60" w:type="dxa"/>
            <w:vAlign w:val="bottom"/>
          </w:tcPr>
          <w:p>
            <w:pPr>
              <w:spacing w:after="0"/>
              <w:rPr>
                <w:sz w:val="10"/>
                <w:szCs w:val="10"/>
                <w:color w:val="auto"/>
              </w:rPr>
            </w:pPr>
          </w:p>
        </w:tc>
      </w:tr>
      <w:tr>
        <w:trPr>
          <w:trHeight w:val="173"/>
        </w:trPr>
        <w:tc>
          <w:tcPr>
            <w:tcW w:w="458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revenues)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revenues)</w:t>
            </w: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Rebates received from publishers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14,311</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Borders>
              <w:top w:val="single" w:sz="8" w:color="CCEEFF"/>
            </w:tcBorders>
            <w:shd w:val="clear" w:color="auto" w:fill="CCEEFF"/>
          </w:tcPr>
          <w:p>
            <w:pPr>
              <w:spacing w:after="0"/>
              <w:rPr>
                <w:sz w:val="18"/>
                <w:szCs w:val="18"/>
                <w:color w:val="auto"/>
              </w:rPr>
            </w:pPr>
          </w:p>
        </w:tc>
      </w:tr>
      <w:tr>
        <w:trPr>
          <w:trHeight w:val="198"/>
        </w:trPr>
        <w:tc>
          <w:tcPr>
            <w:tcW w:w="4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Rebates received from publishers for mobile audience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solutions</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10,429</w:t>
            </w: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16.0</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7,940</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w:t>
            </w:r>
          </w:p>
        </w:tc>
        <w:tc>
          <w:tcPr>
            <w:tcW w:w="9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3,931</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26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Rebates received from publishers for other solutions</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9,863</w:t>
            </w: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15.1</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6,371</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w:t>
            </w:r>
          </w:p>
        </w:tc>
        <w:tc>
          <w:tcPr>
            <w:tcW w:w="9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3,145</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r>
    </w:tbl>
    <w:p>
      <w:pPr>
        <w:spacing w:after="0" w:line="198"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table below shows our incentives received from the publisher under our sales agency model, which are recognized as net revenues for our mobile audience solutions and other solutions for the periods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500" w:type="dxa"/>
            <w:vAlign w:val="bottom"/>
          </w:tcPr>
          <w:p>
            <w:pPr>
              <w:spacing w:after="0"/>
              <w:rPr>
                <w:sz w:val="12"/>
                <w:szCs w:val="12"/>
                <w:color w:val="auto"/>
              </w:rPr>
            </w:pPr>
          </w:p>
        </w:tc>
        <w:tc>
          <w:tcPr>
            <w:tcW w:w="92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Borders>
              <w:bottom w:val="single" w:sz="8" w:color="auto"/>
            </w:tcBorders>
            <w:gridSpan w:val="3"/>
          </w:tcPr>
          <w:p>
            <w:pPr>
              <w:jc w:val="right"/>
              <w:ind w:right="57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2"/>
                <w:szCs w:val="12"/>
                <w:color w:val="auto"/>
              </w:rPr>
            </w:pPr>
          </w:p>
        </w:tc>
        <w:tc>
          <w:tcPr>
            <w:tcW w:w="92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7"/>
        </w:trPr>
        <w:tc>
          <w:tcPr>
            <w:tcW w:w="4500" w:type="dxa"/>
            <w:vAlign w:val="bottom"/>
          </w:tcPr>
          <w:p>
            <w:pPr>
              <w:spacing w:after="0"/>
              <w:rPr>
                <w:sz w:val="10"/>
                <w:szCs w:val="10"/>
                <w:color w:val="auto"/>
              </w:rPr>
            </w:pPr>
          </w:p>
        </w:tc>
        <w:tc>
          <w:tcPr>
            <w:tcW w:w="780" w:type="dxa"/>
            <w:vAlign w:val="bottom"/>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140" w:type="dxa"/>
            <w:vAlign w:val="bottom"/>
          </w:tcPr>
          <w:p>
            <w:pPr>
              <w:spacing w:after="0"/>
              <w:rPr>
                <w:sz w:val="10"/>
                <w:szCs w:val="10"/>
                <w:color w:val="auto"/>
              </w:rPr>
            </w:pP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40" w:type="dxa"/>
            <w:vAlign w:val="bottom"/>
          </w:tcPr>
          <w:p>
            <w:pPr>
              <w:spacing w:after="0"/>
              <w:rPr>
                <w:sz w:val="10"/>
                <w:szCs w:val="10"/>
                <w:color w:val="auto"/>
              </w:rPr>
            </w:pPr>
          </w:p>
        </w:tc>
        <w:tc>
          <w:tcPr>
            <w:tcW w:w="92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80" w:type="dxa"/>
            <w:vAlign w:val="bottom"/>
          </w:tcPr>
          <w:p>
            <w:pPr>
              <w:jc w:val="right"/>
              <w:ind w:right="38"/>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240" w:type="dxa"/>
            <w:vAlign w:val="bottom"/>
          </w:tcPr>
          <w:p>
            <w:pPr>
              <w:spacing w:after="0"/>
              <w:rPr>
                <w:sz w:val="10"/>
                <w:szCs w:val="10"/>
                <w:color w:val="auto"/>
              </w:rPr>
            </w:pPr>
          </w:p>
        </w:tc>
        <w:tc>
          <w:tcPr>
            <w:tcW w:w="74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180" w:type="dxa"/>
            <w:vAlign w:val="bottom"/>
          </w:tcPr>
          <w:p>
            <w:pPr>
              <w:spacing w:after="0"/>
              <w:rPr>
                <w:sz w:val="10"/>
                <w:szCs w:val="10"/>
                <w:color w:val="auto"/>
              </w:rPr>
            </w:pP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40" w:type="dxa"/>
            <w:vAlign w:val="bottom"/>
          </w:tcPr>
          <w:p>
            <w:pPr>
              <w:spacing w:after="0"/>
              <w:rPr>
                <w:sz w:val="10"/>
                <w:szCs w:val="10"/>
                <w:color w:val="auto"/>
              </w:rPr>
            </w:pPr>
          </w:p>
        </w:tc>
        <w:tc>
          <w:tcPr>
            <w:tcW w:w="92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60" w:type="dxa"/>
            <w:vAlign w:val="bottom"/>
          </w:tcPr>
          <w:p>
            <w:pPr>
              <w:spacing w:after="0"/>
              <w:rPr>
                <w:sz w:val="10"/>
                <w:szCs w:val="10"/>
                <w:color w:val="auto"/>
              </w:rPr>
            </w:pPr>
          </w:p>
        </w:tc>
      </w:tr>
      <w:tr>
        <w:trPr>
          <w:trHeight w:val="173"/>
        </w:trPr>
        <w:tc>
          <w:tcPr>
            <w:tcW w:w="450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8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revenues)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revenues)</w:t>
            </w: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Incentives received from the publisher</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0" w:type="dxa"/>
            <w:vAlign w:val="bottom"/>
            <w:tcBorders>
              <w:top w:val="single" w:sz="8" w:color="CCEEFF"/>
            </w:tcBorders>
            <w:shd w:val="clear" w:color="auto" w:fill="CCEEFF"/>
          </w:tcPr>
          <w:p>
            <w:pPr>
              <w:spacing w:after="0"/>
              <w:rPr>
                <w:sz w:val="18"/>
                <w:szCs w:val="18"/>
                <w:color w:val="auto"/>
              </w:rPr>
            </w:pP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Incentives received from the publisher for our mobile</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audience solutions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Incentives received from the publisher for our other</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solutions</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11,236</w:t>
            </w:r>
          </w:p>
        </w:tc>
        <w:tc>
          <w:tcPr>
            <w:tcW w:w="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9.3</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5,491</w:t>
            </w:r>
          </w:p>
        </w:tc>
        <w:tc>
          <w:tcPr>
            <w:tcW w:w="1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2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r>
      <w:tr>
        <w:trPr>
          <w:trHeight w:val="365"/>
        </w:trPr>
        <w:tc>
          <w:tcPr>
            <w:tcW w:w="4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The table below shows our rebates and discounts granted to our customers and recognized as reduction of net revenues for our mobile audience solutions and other solutions for the periods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6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160" w:type="dxa"/>
            <w:vAlign w:val="bottom"/>
          </w:tcPr>
          <w:p>
            <w:pPr>
              <w:spacing w:after="0"/>
              <w:rPr>
                <w:sz w:val="10"/>
                <w:szCs w:val="10"/>
                <w:color w:val="auto"/>
              </w:rPr>
            </w:pPr>
          </w:p>
        </w:tc>
        <w:tc>
          <w:tcPr>
            <w:tcW w:w="960" w:type="dxa"/>
            <w:vAlign w:val="bottom"/>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80" w:type="dxa"/>
            <w:vAlign w:val="bottom"/>
          </w:tcPr>
          <w:p>
            <w:pPr>
              <w:spacing w:after="0"/>
              <w:rPr>
                <w:sz w:val="10"/>
                <w:szCs w:val="10"/>
                <w:color w:val="auto"/>
              </w:rPr>
            </w:pPr>
          </w:p>
        </w:tc>
        <w:tc>
          <w:tcPr>
            <w:tcW w:w="960" w:type="dxa"/>
            <w:vAlign w:val="bottom"/>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80" w:type="dxa"/>
            <w:vAlign w:val="bottom"/>
          </w:tcPr>
          <w:p>
            <w:pPr>
              <w:jc w:val="right"/>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280" w:type="dxa"/>
            <w:vAlign w:val="bottom"/>
          </w:tcPr>
          <w:p>
            <w:pPr>
              <w:spacing w:after="0"/>
              <w:rPr>
                <w:sz w:val="10"/>
                <w:szCs w:val="10"/>
                <w:color w:val="auto"/>
              </w:rPr>
            </w:pPr>
          </w:p>
        </w:tc>
        <w:tc>
          <w:tcPr>
            <w:tcW w:w="960" w:type="dxa"/>
            <w:vAlign w:val="bottom"/>
            <w:gridSpan w:val="2"/>
          </w:tcPr>
          <w:p>
            <w:pPr>
              <w:jc w:val="center"/>
              <w:ind w:right="228"/>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80" w:type="dxa"/>
            <w:vAlign w:val="bottom"/>
          </w:tcPr>
          <w:p>
            <w:pPr>
              <w:spacing w:after="0"/>
              <w:rPr>
                <w:sz w:val="10"/>
                <w:szCs w:val="10"/>
                <w:color w:val="auto"/>
              </w:rPr>
            </w:pPr>
          </w:p>
        </w:tc>
        <w:tc>
          <w:tcPr>
            <w:tcW w:w="96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960" w:type="dxa"/>
            <w:vAlign w:val="bottom"/>
            <w:gridSpan w:val="2"/>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Rebates and discounts granted to customers</w:t>
            </w: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(17,765)</w:t>
            </w:r>
          </w:p>
        </w:tc>
        <w:tc>
          <w:tcPr>
            <w:tcW w:w="280" w:type="dxa"/>
            <w:vAlign w:val="bottom"/>
            <w:tcBorders>
              <w:right w:val="single" w:sz="8" w:color="CCEEFF"/>
            </w:tcBorders>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(18,125)</w:t>
            </w:r>
          </w:p>
        </w:tc>
        <w:tc>
          <w:tcPr>
            <w:tcW w:w="28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w:t>
            </w:r>
          </w:p>
        </w:tc>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3"/>
              </w:rPr>
              <w:t>(7,447)</w:t>
            </w:r>
          </w:p>
        </w:tc>
        <w:tc>
          <w:tcPr>
            <w:tcW w:w="2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w:t>
            </w:r>
          </w:p>
        </w:tc>
        <w:tc>
          <w:tcPr>
            <w:tcW w:w="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7"/>
              </w:rPr>
              <w:t>(9,225)</w:t>
            </w:r>
          </w:p>
        </w:tc>
        <w:tc>
          <w:tcPr>
            <w:tcW w:w="28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198"/>
        </w:trPr>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Rebates and discounts granted to customers for mobile</w:t>
            </w: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audience solutions</w:t>
            </w:r>
            <w:r>
              <w:rPr>
                <w:rFonts w:ascii="Times New Roman" w:cs="Times New Roman" w:eastAsia="Times New Roman" w:hAnsi="Times New Roman"/>
                <w:sz w:val="15"/>
                <w:szCs w:val="15"/>
                <w:color w:val="auto"/>
              </w:rPr>
              <w:t>(1)</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(6,820)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(10,675)</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(3,724)</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(7,912)</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198"/>
        </w:trPr>
        <w:tc>
          <w:tcPr>
            <w:tcW w:w="4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Rebates and discounts granted to customers for other</w:t>
            </w:r>
          </w:p>
        </w:tc>
        <w:tc>
          <w:tcPr>
            <w:tcW w:w="6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solutions</w:t>
            </w:r>
            <w:r>
              <w:rPr>
                <w:rFonts w:ascii="Times New Roman" w:cs="Times New Roman" w:eastAsia="Times New Roman" w:hAnsi="Times New Roman"/>
                <w:sz w:val="15"/>
                <w:szCs w:val="15"/>
                <w:color w:val="auto"/>
              </w:rPr>
              <w:t>(2)</w:t>
            </w:r>
          </w:p>
        </w:tc>
        <w:tc>
          <w:tcPr>
            <w:tcW w:w="9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(7,450)</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(3,723)</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w:t>
            </w:r>
          </w:p>
        </w:tc>
        <w:tc>
          <w:tcPr>
            <w:tcW w:w="9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(1,313)</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ind w:left="340" w:hanging="332"/>
        <w:spacing w:after="0" w:line="229" w:lineRule="auto"/>
        <w:tabs>
          <w:tab w:leader="none" w:pos="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which US$(412) thousand, US$(6,347) thousand, US$(1,764) thousand and US$(5,598) thousand were in connection with our specified action (i.e., gross) model, and US$(6,408) thousand, US$(4,328) thousand, US$(1,961) thousand and US$(2,314) thousand were in connection with our cost-plus (i.e., net) model in 2015, 2016 and the six months ended June 30, 2016 and 2017, respectively.</w:t>
      </w:r>
    </w:p>
    <w:p>
      <w:pPr>
        <w:ind w:left="340" w:hanging="332"/>
        <w:spacing w:after="0" w:line="233" w:lineRule="auto"/>
        <w:tabs>
          <w:tab w:leader="none" w:pos="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which US$(3,620) thousand, US$(2,047) thousand, US$(1,120) thousand and US$(554) thousand were in connection with our specified action (i.e., gross) model, and US$(7,325) thousand, US$(5,402) thousand, US$(2,604) thousand and US$(759) thousand were in connection with our cost-plus (i.e., net) model in 2015, 2016 and the six months ended June 30, 2016 and 2017, respectively.</w:t>
      </w:r>
    </w:p>
    <w:p>
      <w:pPr>
        <w:spacing w:after="0" w:line="18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have a diverse customer base in terms of the geographic location of our customers’ or marketers’ headquarters as we help them, especially multinational marketers, navigate through the fragmented online marketing landscapes in China to identify and reach their potential audience. In determining the geographic classification of our revenue, we look at the geographic location of our subsidiary or VIE which executed the marketing campaign contract. Our subsidiaries or VIE in China generally are our signing entities for marketing campaign contracts with customers which are based in China. Our Singapore subsidiary generally is our signing entity for marketing campaign contracts with customers based in Southeast Asia. Our Hong Kong subsidiaries generally are our signing entities for the other customers. In 2015, 2016 and the six months ended June 30, 2016 and 2017, we derived 53.2%, 25.3%, 27.0% and 18.0% of our net revenues from outside China, respectively. Our net revenues from customers in China increased significantly from 2015 to 2016 and from the six months ended June 30, 2016 compared to the same period in 2017 as a result of our acquisition of OptAim, which used its consolidated subsidiaries in China to execute marketing campaign contracts, and as we continued to prioritize the execution of our mobile strategy. Customers for our mobile audience solutions are primarily based in China. Our net revenues from customers outside China decreased from 2015 to 2016 and from the six months ended June 30, 2016 compared to the same period in 2017 as we continued to optimize the customer base for other solutions to focus on profitability and liquidity. Customers outside of China primarily use our other solutions. The table below shows our net revenues breakdown by geographic region for the periods presented.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3640" w:type="dxa"/>
            <w:vAlign w:val="bottom"/>
          </w:tcPr>
          <w:p>
            <w:pPr>
              <w:spacing w:after="0"/>
              <w:rPr>
                <w:sz w:val="12"/>
                <w:szCs w:val="12"/>
                <w:color w:val="auto"/>
              </w:rPr>
            </w:pPr>
          </w:p>
        </w:tc>
        <w:tc>
          <w:tcPr>
            <w:tcW w:w="100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7"/>
        </w:trPr>
        <w:tc>
          <w:tcPr>
            <w:tcW w:w="3640" w:type="dxa"/>
            <w:vAlign w:val="bottom"/>
          </w:tcPr>
          <w:p>
            <w:pPr>
              <w:spacing w:after="0"/>
              <w:rPr>
                <w:sz w:val="10"/>
                <w:szCs w:val="10"/>
                <w:color w:val="auto"/>
              </w:rPr>
            </w:pPr>
          </w:p>
        </w:tc>
        <w:tc>
          <w:tcPr>
            <w:tcW w:w="100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380" w:type="dxa"/>
            <w:vAlign w:val="bottom"/>
          </w:tcPr>
          <w:p>
            <w:pPr>
              <w:spacing w:after="0"/>
              <w:rPr>
                <w:sz w:val="10"/>
                <w:szCs w:val="10"/>
                <w:color w:val="auto"/>
              </w:rPr>
            </w:pP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80" w:type="dxa"/>
            <w:vAlign w:val="bottom"/>
          </w:tcPr>
          <w:p>
            <w:pPr>
              <w:spacing w:after="0"/>
              <w:rPr>
                <w:sz w:val="10"/>
                <w:szCs w:val="10"/>
                <w:color w:val="auto"/>
              </w:rPr>
            </w:pPr>
          </w:p>
        </w:tc>
        <w:tc>
          <w:tcPr>
            <w:tcW w:w="98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 w:type="dxa"/>
            <w:vAlign w:val="bottom"/>
          </w:tcPr>
          <w:p>
            <w:pPr>
              <w:spacing w:after="0"/>
              <w:rPr>
                <w:sz w:val="10"/>
                <w:szCs w:val="10"/>
                <w:color w:val="auto"/>
              </w:rPr>
            </w:pP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80" w:type="dxa"/>
            <w:vAlign w:val="bottom"/>
          </w:tcPr>
          <w:p>
            <w:pPr>
              <w:spacing w:after="0"/>
              <w:rPr>
                <w:sz w:val="10"/>
                <w:szCs w:val="10"/>
                <w:color w:val="auto"/>
              </w:rPr>
            </w:pPr>
          </w:p>
        </w:tc>
        <w:tc>
          <w:tcPr>
            <w:tcW w:w="680" w:type="dxa"/>
            <w:vAlign w:val="bottom"/>
          </w:tcPr>
          <w:p>
            <w:pPr>
              <w:jc w:val="right"/>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38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60" w:type="dxa"/>
            <w:vAlign w:val="bottom"/>
          </w:tcPr>
          <w:p>
            <w:pPr>
              <w:spacing w:after="0"/>
              <w:rPr>
                <w:sz w:val="10"/>
                <w:szCs w:val="10"/>
                <w:color w:val="auto"/>
              </w:rPr>
            </w:pPr>
          </w:p>
        </w:tc>
      </w:tr>
      <w:tr>
        <w:trPr>
          <w:trHeight w:val="173"/>
        </w:trPr>
        <w:tc>
          <w:tcPr>
            <w:tcW w:w="364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revenues)</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8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6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8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revenues)</w:t>
            </w: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30,505</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71,214</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2"/>
              </w:rPr>
              <w:t>33,030</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45,695</w:t>
            </w:r>
          </w:p>
        </w:tc>
        <w:tc>
          <w:tcPr>
            <w:tcW w:w="3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34,442</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52.8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22,766</w:t>
            </w:r>
          </w:p>
        </w:tc>
        <w:tc>
          <w:tcPr>
            <w:tcW w:w="13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23.9</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11,800</w:t>
            </w: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26.0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9,179</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295</w:t>
            </w: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3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439</w:t>
            </w: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65,242</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95,357</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2"/>
              </w:rPr>
              <w:t>45,269</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55,741</w:t>
            </w: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97</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Gross Profit Margin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 of revenues primarily consists of:</w:t>
      </w:r>
    </w:p>
    <w:p>
      <w:pPr>
        <w:spacing w:after="0" w:line="129" w:lineRule="exact"/>
        <w:rPr>
          <w:sz w:val="20"/>
          <w:szCs w:val="20"/>
          <w:color w:val="auto"/>
        </w:rPr>
      </w:pPr>
    </w:p>
    <w:p>
      <w:pPr>
        <w:ind w:left="900" w:right="280" w:hanging="325"/>
        <w:spacing w:after="0" w:line="261"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Media cost in connection with specified-action marketing campaigns</w:t>
      </w:r>
      <w:r>
        <w:rPr>
          <w:rFonts w:ascii="Times New Roman" w:cs="Times New Roman" w:eastAsia="Times New Roman" w:hAnsi="Times New Roman"/>
          <w:sz w:val="18"/>
          <w:szCs w:val="18"/>
          <w:color w:val="auto"/>
        </w:rPr>
        <w:t>. Media cost refers to cost we pay to publishers for acquisition of content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opportunities, which is partially offset by rebates we receive from publishers in specified-action marketing campaigns. Media cost represented 81.8%, 88.2%, 90.3% and 95.2% of our cost of revenues in 2015, 2016 and the six months ended June 30, 2016 and 2017, respectively.</w:t>
      </w:r>
    </w:p>
    <w:p>
      <w:pPr>
        <w:spacing w:after="0" w:line="85" w:lineRule="exact"/>
        <w:rPr>
          <w:rFonts w:ascii="Times New Roman" w:cs="Times New Roman" w:eastAsia="Times New Roman" w:hAnsi="Times New Roman"/>
          <w:sz w:val="18"/>
          <w:szCs w:val="18"/>
          <w:color w:val="auto"/>
        </w:rPr>
      </w:pPr>
    </w:p>
    <w:p>
      <w:pPr>
        <w:ind w:left="900" w:right="40" w:hanging="325"/>
        <w:spacing w:after="0" w:line="254"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Rebates to customers under our sales agency model</w:t>
      </w:r>
      <w:r>
        <w:rPr>
          <w:rFonts w:ascii="Times New Roman" w:cs="Times New Roman" w:eastAsia="Times New Roman" w:hAnsi="Times New Roman"/>
          <w:sz w:val="18"/>
          <w:szCs w:val="18"/>
          <w:color w:val="auto"/>
        </w:rPr>
        <w:t>. We pay rebates to our customers in connection with their marketing campaigns. Rebates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under our sales agency model are recognized as cost of revenues and represented 9.5%, 4.2%, 5.0% and 2.8% of our cost of revenues in 2015, 2016 and the six months ended June 30, 2016 and 2017, respectively. The decrease from 2015 to 2016 was mainly due to the decrease in rebate rates for rebates to customers under our sales agency model as a result of our increased bargaining power as we solidified our market position as the largest independent online marketing technology platform in China in terms of gross billing, partially offset by the increase in gross billing under our sales agency model from US$46.4 million in 2015 to US$56.8 million in 2016. The decrease the six months ended June 30, 2016 to the same period in 2017 was mainly due to a decrease in gross billing under our sales agency model from US$30.9 million in the six months ended June 30, 2016 to US$23.8 million in the same period in 2017, and the decrease in rebate rates for rebates to customers under our sales agency model as a result of our increased bargaining power as we solidified our market position as the largest independent online marketing technology platform in China in terms of gross billing.</w:t>
      </w:r>
    </w:p>
    <w:p>
      <w:pPr>
        <w:spacing w:after="0" w:line="80"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The table below shows our rebates granted to customers and recognized as cost of revenues for our mobile audience solutions and other solutions for the periods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9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160" w:type="dxa"/>
            <w:vAlign w:val="bottom"/>
          </w:tcPr>
          <w:p>
            <w:pPr>
              <w:spacing w:after="0"/>
              <w:rPr>
                <w:sz w:val="10"/>
                <w:szCs w:val="10"/>
                <w:color w:val="auto"/>
              </w:rPr>
            </w:pPr>
          </w:p>
        </w:tc>
        <w:tc>
          <w:tcPr>
            <w:tcW w:w="8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14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cost</w:t>
            </w:r>
          </w:p>
        </w:tc>
        <w:tc>
          <w:tcPr>
            <w:tcW w:w="300" w:type="dxa"/>
            <w:vAlign w:val="bottom"/>
          </w:tcPr>
          <w:p>
            <w:pPr>
              <w:spacing w:after="0"/>
              <w:rPr>
                <w:sz w:val="10"/>
                <w:szCs w:val="10"/>
                <w:color w:val="auto"/>
              </w:rPr>
            </w:pPr>
          </w:p>
        </w:tc>
        <w:tc>
          <w:tcPr>
            <w:tcW w:w="9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00" w:type="dxa"/>
            <w:vAlign w:val="bottom"/>
          </w:tcPr>
          <w:p>
            <w:pPr>
              <w:spacing w:after="0"/>
              <w:rPr>
                <w:sz w:val="10"/>
                <w:szCs w:val="10"/>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180" w:type="dxa"/>
            <w:vAlign w:val="bottom"/>
          </w:tcPr>
          <w:p>
            <w:pPr>
              <w:spacing w:after="0"/>
              <w:rPr>
                <w:sz w:val="10"/>
                <w:szCs w:val="10"/>
                <w:color w:val="auto"/>
              </w:rPr>
            </w:pPr>
          </w:p>
        </w:tc>
        <w:tc>
          <w:tcPr>
            <w:tcW w:w="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00" w:type="dxa"/>
            <w:vAlign w:val="bottom"/>
          </w:tcPr>
          <w:p>
            <w:pPr>
              <w:spacing w:after="0"/>
              <w:rPr>
                <w:sz w:val="10"/>
                <w:szCs w:val="10"/>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980" w:type="dxa"/>
            <w:vAlign w:val="bottom"/>
            <w:gridSpan w:val="2"/>
            <w:vMerge w:val="continue"/>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cost of</w:t>
            </w: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cost of</w:t>
            </w:r>
          </w:p>
        </w:tc>
        <w:tc>
          <w:tcPr>
            <w:tcW w:w="980" w:type="dxa"/>
            <w:vAlign w:val="bottom"/>
            <w:gridSpan w:val="2"/>
            <w:vMerge w:val="continue"/>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cost of</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80" w:type="dxa"/>
            <w:vAlign w:val="bottom"/>
          </w:tcPr>
          <w:p>
            <w:pPr>
              <w:spacing w:after="0"/>
              <w:rPr>
                <w:sz w:val="15"/>
                <w:szCs w:val="15"/>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
        </w:trPr>
        <w:tc>
          <w:tcPr>
            <w:tcW w:w="4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Rebates granted to customers</w:t>
            </w: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(9.5)</w:t>
            </w:r>
          </w:p>
        </w:tc>
        <w:tc>
          <w:tcPr>
            <w:tcW w:w="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7"/>
              </w:rPr>
              <w:t>(2,568)</w:t>
            </w:r>
          </w:p>
        </w:tc>
        <w:tc>
          <w:tcPr>
            <w:tcW w:w="3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(4.2)</w:t>
            </w:r>
          </w:p>
        </w:tc>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3"/>
              </w:rPr>
              <w:t>(1,389)</w:t>
            </w:r>
          </w:p>
        </w:tc>
        <w:tc>
          <w:tcPr>
            <w:tcW w:w="1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(5.0)</w:t>
            </w:r>
          </w:p>
        </w:tc>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3"/>
              </w:rPr>
              <w:t>(1,196)</w:t>
            </w:r>
          </w:p>
        </w:tc>
        <w:tc>
          <w:tcPr>
            <w:tcW w:w="300" w:type="dxa"/>
            <w:vAlign w:val="bottom"/>
            <w:vMerge w:val="continue"/>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8"/>
        </w:trPr>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Rebates granted to customers for mobile audience</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solutions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Rebates granted to customers for other solutions</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(3,291)</w:t>
            </w:r>
          </w:p>
        </w:tc>
        <w:tc>
          <w:tcPr>
            <w:tcW w:w="104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(9.5)</w:t>
            </w:r>
          </w:p>
        </w:tc>
        <w:tc>
          <w:tcPr>
            <w:tcW w:w="9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(2,568)</w:t>
            </w:r>
          </w:p>
        </w:tc>
        <w:tc>
          <w:tcPr>
            <w:tcW w:w="8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(4.2)</w:t>
            </w:r>
          </w:p>
        </w:tc>
        <w:tc>
          <w:tcPr>
            <w:tcW w:w="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(1,389)</w:t>
            </w:r>
          </w:p>
        </w:tc>
        <w:tc>
          <w:tcPr>
            <w:tcW w:w="106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(5.0)</w:t>
            </w:r>
          </w:p>
        </w:tc>
        <w:tc>
          <w:tcPr>
            <w:tcW w:w="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(1,196)</w:t>
            </w: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table below shows our rebates received from website publishers and recognized as deduction of cost of revenues for our mobile audience solutions and other solutions for the periods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34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5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7"/>
        </w:trPr>
        <w:tc>
          <w:tcPr>
            <w:tcW w:w="3460" w:type="dxa"/>
            <w:vAlign w:val="bottom"/>
          </w:tcPr>
          <w:p>
            <w:pPr>
              <w:spacing w:after="0"/>
              <w:rPr>
                <w:sz w:val="10"/>
                <w:szCs w:val="10"/>
                <w:color w:val="auto"/>
              </w:rPr>
            </w:pPr>
          </w:p>
        </w:tc>
        <w:tc>
          <w:tcPr>
            <w:tcW w:w="680" w:type="dxa"/>
            <w:vAlign w:val="bottom"/>
          </w:tcPr>
          <w:p>
            <w:pPr>
              <w:jc w:val="right"/>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40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400" w:type="dxa"/>
            <w:vAlign w:val="bottom"/>
          </w:tcPr>
          <w:p>
            <w:pPr>
              <w:spacing w:after="0"/>
              <w:rPr>
                <w:sz w:val="10"/>
                <w:szCs w:val="10"/>
                <w:color w:val="auto"/>
              </w:rPr>
            </w:pPr>
          </w:p>
        </w:tc>
        <w:tc>
          <w:tcPr>
            <w:tcW w:w="700" w:type="dxa"/>
            <w:vAlign w:val="bottom"/>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360" w:type="dxa"/>
            <w:vAlign w:val="bottom"/>
          </w:tcPr>
          <w:p>
            <w:pPr>
              <w:spacing w:after="0"/>
              <w:rPr>
                <w:sz w:val="10"/>
                <w:szCs w:val="10"/>
                <w:color w:val="auto"/>
              </w:rPr>
            </w:pPr>
          </w:p>
        </w:tc>
        <w:tc>
          <w:tcPr>
            <w:tcW w:w="680" w:type="dxa"/>
            <w:vAlign w:val="bottom"/>
          </w:tcPr>
          <w:p>
            <w:pPr>
              <w:jc w:val="right"/>
              <w:ind w:right="24"/>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400" w:type="dxa"/>
            <w:vAlign w:val="bottom"/>
          </w:tcPr>
          <w:p>
            <w:pPr>
              <w:spacing w:after="0"/>
              <w:rPr>
                <w:sz w:val="10"/>
                <w:szCs w:val="10"/>
                <w:color w:val="auto"/>
              </w:rPr>
            </w:pPr>
          </w:p>
        </w:tc>
        <w:tc>
          <w:tcPr>
            <w:tcW w:w="980" w:type="dxa"/>
            <w:vAlign w:val="bottom"/>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80" w:type="dxa"/>
            <w:vAlign w:val="bottom"/>
          </w:tcPr>
          <w:p>
            <w:pPr>
              <w:spacing w:after="0"/>
              <w:rPr>
                <w:sz w:val="10"/>
                <w:szCs w:val="10"/>
                <w:color w:val="auto"/>
              </w:rPr>
            </w:pP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80" w:type="dxa"/>
            <w:vAlign w:val="bottom"/>
          </w:tcPr>
          <w:p>
            <w:pPr>
              <w:spacing w:after="0"/>
              <w:rPr>
                <w:sz w:val="10"/>
                <w:szCs w:val="10"/>
                <w:color w:val="auto"/>
              </w:rPr>
            </w:pPr>
          </w:p>
        </w:tc>
        <w:tc>
          <w:tcPr>
            <w:tcW w:w="680" w:type="dxa"/>
            <w:vAlign w:val="bottom"/>
          </w:tcPr>
          <w:p>
            <w:pPr>
              <w:jc w:val="right"/>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400" w:type="dxa"/>
            <w:vAlign w:val="bottom"/>
          </w:tcPr>
          <w:p>
            <w:pPr>
              <w:spacing w:after="0"/>
              <w:rPr>
                <w:sz w:val="10"/>
                <w:szCs w:val="10"/>
                <w:color w:val="auto"/>
              </w:rPr>
            </w:pP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60" w:type="dxa"/>
            <w:vAlign w:val="bottom"/>
          </w:tcPr>
          <w:p>
            <w:pPr>
              <w:spacing w:after="0"/>
              <w:rPr>
                <w:sz w:val="10"/>
                <w:szCs w:val="10"/>
                <w:color w:val="auto"/>
              </w:rPr>
            </w:pPr>
          </w:p>
        </w:tc>
      </w:tr>
      <w:tr>
        <w:trPr>
          <w:trHeight w:val="173"/>
        </w:trPr>
        <w:tc>
          <w:tcPr>
            <w:tcW w:w="34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40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7"/>
              </w:rPr>
              <w:t>revenues)</w:t>
            </w: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60" w:type="dxa"/>
            <w:vAlign w:val="bottom"/>
          </w:tcPr>
          <w:p>
            <w:pPr>
              <w:spacing w:after="0"/>
              <w:rPr>
                <w:sz w:val="15"/>
                <w:szCs w:val="15"/>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8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40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revenues)</w:t>
            </w: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Rebates received from publishers</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6,847</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60" w:type="dxa"/>
            <w:vAlign w:val="bottom"/>
            <w:tcBorders>
              <w:top w:val="single" w:sz="8" w:color="CCEEFF"/>
            </w:tcBorders>
            <w:shd w:val="clear" w:color="auto" w:fill="CCEEFF"/>
          </w:tcPr>
          <w:p>
            <w:pPr>
              <w:spacing w:after="0"/>
              <w:rPr>
                <w:sz w:val="18"/>
                <w:szCs w:val="18"/>
                <w:color w:val="auto"/>
              </w:rPr>
            </w:pPr>
          </w:p>
        </w:tc>
      </w:tr>
      <w:tr>
        <w:trPr>
          <w:trHeight w:val="198"/>
        </w:trPr>
        <w:tc>
          <w:tcPr>
            <w:tcW w:w="3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Rebates received from publishers for</w:t>
            </w: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3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mobile audience solutions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3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0.3</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5,875</w:t>
            </w:r>
          </w:p>
        </w:tc>
        <w:tc>
          <w:tcPr>
            <w:tcW w:w="14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6.2</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1,931</w:t>
            </w: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4.3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12.2</w:t>
            </w:r>
          </w:p>
        </w:tc>
      </w:tr>
      <w:tr>
        <w:trPr>
          <w:trHeight w:val="198"/>
        </w:trPr>
        <w:tc>
          <w:tcPr>
            <w:tcW w:w="3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Rebates received from publishers for other</w:t>
            </w: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solutions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3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0.5</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144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r>
      <w:tr>
        <w:trPr>
          <w:trHeight w:val="608"/>
        </w:trPr>
        <w:tc>
          <w:tcPr>
            <w:tcW w:w="3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00" w:right="260" w:hanging="325"/>
        <w:spacing w:after="0" w:line="315" w:lineRule="auto"/>
        <w:tabs>
          <w:tab w:leader="none" w:pos="9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Amortization of expenses</w:t>
      </w:r>
      <w:r>
        <w:rPr>
          <w:rFonts w:ascii="Times New Roman" w:cs="Times New Roman" w:eastAsia="Times New Roman" w:hAnsi="Times New Roman"/>
          <w:sz w:val="17"/>
          <w:szCs w:val="17"/>
          <w:color w:val="auto"/>
        </w:rPr>
        <w:t>. This relates to amortization of computer software acquired in the acquisitions of Buzzinate and OptAim,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represented 5.4%, 6.8%, 7.4% and 4.9% of our cost of revenues in 2015, 2016 and the six months ended June 30, 2016 and 2017, respectively.</w:t>
      </w:r>
    </w:p>
    <w:p>
      <w:pPr>
        <w:spacing w:after="0" w:line="137"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The table below shows the cost of revenues, gross profit and gross profit margin for our mobile audience solutions for the periods presented. Gross profit margin for our mobile audience solutions represents gross profit as a percentage of net revenues for mobile audience solutions.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92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mobile</w:t>
            </w: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mobile</w:t>
            </w:r>
          </w:p>
        </w:tc>
        <w:tc>
          <w:tcPr>
            <w:tcW w:w="920" w:type="dxa"/>
            <w:vAlign w:val="bottom"/>
            <w:gridSpan w:val="2"/>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(US$ in</w:t>
            </w: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mobile</w:t>
            </w: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6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mobile</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audience</w:t>
            </w: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audience</w:t>
            </w:r>
          </w:p>
        </w:tc>
        <w:tc>
          <w:tcPr>
            <w:tcW w:w="920" w:type="dxa"/>
            <w:vAlign w:val="bottom"/>
            <w:gridSpan w:val="2"/>
            <w:vMerge w:val="continue"/>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audience</w:t>
            </w:r>
          </w:p>
        </w:tc>
        <w:tc>
          <w:tcPr>
            <w:tcW w:w="940" w:type="dxa"/>
            <w:vAlign w:val="bottom"/>
            <w:gridSpan w:val="2"/>
            <w:vMerge w:val="continue"/>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audience</w:t>
            </w: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920" w:type="dxa"/>
            <w:vAlign w:val="bottom"/>
            <w:gridSpan w:val="2"/>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for mobile audience solutions</w:t>
            </w:r>
          </w:p>
        </w:tc>
        <w:tc>
          <w:tcPr>
            <w:tcW w:w="6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3"/>
              </w:rPr>
              <w:t>8,511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48,212</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20,717</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38,722</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for mobile audience solutions</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3,397</w:t>
            </w: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28.5</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9,549</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24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15.5</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3,540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table below shows the cost of revenues, gross profit and gross profit margin for our other solutions for the periods presented. Gross profit margin for our other solutions represents gross profit as a percentage of net revenues for other solutions.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92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5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1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8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18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(US$ in</w:t>
            </w:r>
          </w:p>
        </w:tc>
        <w:tc>
          <w:tcPr>
            <w:tcW w:w="6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 other</w:t>
            </w:r>
          </w:p>
        </w:tc>
        <w:tc>
          <w:tcPr>
            <w:tcW w:w="920" w:type="dxa"/>
            <w:vAlign w:val="bottom"/>
            <w:gridSpan w:val="2"/>
            <w:vMerge w:val="continue"/>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for other</w:t>
            </w:r>
          </w:p>
        </w:tc>
        <w:tc>
          <w:tcPr>
            <w:tcW w:w="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 other</w:t>
            </w:r>
          </w:p>
        </w:tc>
        <w:tc>
          <w:tcPr>
            <w:tcW w:w="940" w:type="dxa"/>
            <w:vAlign w:val="bottom"/>
            <w:gridSpan w:val="2"/>
            <w:vMerge w:val="continue"/>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for other</w:t>
            </w:r>
          </w:p>
        </w:tc>
        <w:tc>
          <w:tcPr>
            <w:tcW w:w="0" w:type="dxa"/>
            <w:vAlign w:val="bottom"/>
          </w:tcPr>
          <w:p>
            <w:pPr>
              <w:spacing w:after="0"/>
              <w:rPr>
                <w:sz w:val="1"/>
                <w:szCs w:val="1"/>
                <w:color w:val="auto"/>
              </w:rPr>
            </w:pPr>
          </w:p>
        </w:tc>
      </w:tr>
      <w:tr>
        <w:trPr>
          <w:trHeight w:val="173"/>
        </w:trPr>
        <w:tc>
          <w:tcPr>
            <w:tcW w:w="4500" w:type="dxa"/>
            <w:vAlign w:val="bottom"/>
          </w:tcPr>
          <w:p>
            <w:pPr>
              <w:spacing w:after="0"/>
              <w:rPr>
                <w:sz w:val="15"/>
                <w:szCs w:val="15"/>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6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8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for other solutions</w:t>
            </w:r>
          </w:p>
        </w:tc>
        <w:tc>
          <w:tcPr>
            <w:tcW w:w="6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2"/>
              </w:rPr>
              <w:t>26,020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2"/>
              </w:rPr>
              <w:t>12,836</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34.1</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7,286</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for other solutions</w:t>
            </w: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27,314</w:t>
            </w: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51.2</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24,760</w:t>
            </w: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65.9</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13,466</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64.9</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9,770</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Due to competitive landscape and pricing pressure as mobile audience solutions are relatively nascent compared to other solutions, with companies competing for more market share as they enter into this market and as mobile apps publishers tend to have stronger bargaining power compared to other online publishers as a result of the growing popularity of mobile apps, mobile audience solutions tend to command a lower gross profit margin compared to non-mobile marketing solutions. In addition, a larger percentage of gross billing from mobile audience solutions was recognized as net revenues on a gross basis in 2016 and in the six months ended June 30, 2016 and 2017, which was 48.2%, 43.0% and 65.9% respectively, compared to that for our other solutions in the same period, which was 14.4%, 15.2% and 13.3%, respectively. As a result, gross profit margins for our mobile audience solutions in 2015, 2016 and the six months ended June 30, 2016 and 2017, which were 28.5%, 16.5%, 15.5% and 8.4%, respectively, were significantly lower than those for our other solutions, which were 51.2%, 65.9%, 64.9% and 72.5%, respectively, for the same periods.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455" w:right="2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500" w:firstLine="456"/>
        <w:spacing w:after="0" w:line="266" w:lineRule="auto"/>
        <w:rPr>
          <w:sz w:val="20"/>
          <w:szCs w:val="20"/>
          <w:color w:val="auto"/>
        </w:rPr>
      </w:pPr>
      <w:r>
        <w:rPr>
          <w:rFonts w:ascii="Times New Roman" w:cs="Times New Roman" w:eastAsia="Times New Roman" w:hAnsi="Times New Roman"/>
          <w:sz w:val="18"/>
          <w:szCs w:val="18"/>
          <w:color w:val="auto"/>
        </w:rPr>
        <w:t>We classify our operating expenses into three categories: research and development expenses, sales and marketing expenses and general and administrative expenses. The following table sets forth our operating expenses, both in absolute amount and as a percentage of our net revenues, for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9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960" w:type="dxa"/>
            <w:vAlign w:val="bottom"/>
            <w:gridSpan w:val="2"/>
          </w:tcPr>
          <w:p>
            <w:pPr>
              <w:jc w:val="right"/>
              <w:ind w:right="328"/>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00" w:type="dxa"/>
            <w:vAlign w:val="bottom"/>
          </w:tcPr>
          <w:p>
            <w:pPr>
              <w:spacing w:after="0"/>
              <w:rPr>
                <w:sz w:val="10"/>
                <w:szCs w:val="10"/>
                <w:color w:val="auto"/>
              </w:rPr>
            </w:pPr>
          </w:p>
        </w:tc>
        <w:tc>
          <w:tcPr>
            <w:tcW w:w="980" w:type="dxa"/>
            <w:vAlign w:val="bottom"/>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58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00" w:type="dxa"/>
            <w:vAlign w:val="bottom"/>
          </w:tcPr>
          <w:p>
            <w:pPr>
              <w:spacing w:after="0"/>
              <w:rPr>
                <w:sz w:val="10"/>
                <w:szCs w:val="10"/>
                <w:color w:val="auto"/>
              </w:rPr>
            </w:pPr>
          </w:p>
        </w:tc>
        <w:tc>
          <w:tcPr>
            <w:tcW w:w="980" w:type="dxa"/>
            <w:vAlign w:val="bottom"/>
            <w:gridSpan w:val="2"/>
          </w:tcPr>
          <w:p>
            <w:pPr>
              <w:jc w:val="right"/>
              <w:ind w:right="348"/>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58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00" w:type="dxa"/>
            <w:vAlign w:val="bottom"/>
          </w:tcPr>
          <w:p>
            <w:pPr>
              <w:spacing w:after="0"/>
              <w:rPr>
                <w:sz w:val="10"/>
                <w:szCs w:val="10"/>
                <w:color w:val="auto"/>
              </w:rPr>
            </w:pPr>
          </w:p>
        </w:tc>
        <w:tc>
          <w:tcPr>
            <w:tcW w:w="98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(US$ in</w:t>
            </w:r>
          </w:p>
        </w:tc>
        <w:tc>
          <w:tcPr>
            <w:tcW w:w="60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96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8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(8,106)</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(8,584)</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w:t>
            </w:r>
          </w:p>
        </w:tc>
        <w:tc>
          <w:tcPr>
            <w:tcW w:w="9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(4,426)</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(3,234)</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(31,385)</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(48.1)</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(28,266)</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(29.6)</w:t>
            </w:r>
          </w:p>
        </w:tc>
        <w:tc>
          <w:tcPr>
            <w:tcW w:w="98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(14,083)</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(31.1)</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(12,205)</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(12,745)</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(19.5)</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(26,767)</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(28.1)</w:t>
            </w:r>
          </w:p>
        </w:tc>
        <w:tc>
          <w:tcPr>
            <w:tcW w:w="9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(4,936)</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(4,509)</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(52,236)</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(80.0)</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(63,617)</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(66.7)</w:t>
            </w:r>
          </w:p>
        </w:tc>
        <w:tc>
          <w:tcPr>
            <w:tcW w:w="98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(23,445)</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(51.8)</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(19,948)</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900" w:right="180" w:hanging="325"/>
        <w:spacing w:after="0" w:line="284"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consist primarily of (i) advertising and market promotion expenses, and (ii) salary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welfare for sales and marketing personnel.</w:t>
      </w:r>
    </w:p>
    <w:p>
      <w:pPr>
        <w:spacing w:after="0" w:line="63" w:lineRule="exact"/>
        <w:rPr>
          <w:rFonts w:ascii="Times New Roman" w:cs="Times New Roman" w:eastAsia="Times New Roman" w:hAnsi="Times New Roman"/>
          <w:sz w:val="18"/>
          <w:szCs w:val="18"/>
          <w:color w:val="auto"/>
        </w:rPr>
      </w:pPr>
    </w:p>
    <w:p>
      <w:pPr>
        <w:ind w:left="900" w:hanging="325"/>
        <w:spacing w:after="0" w:line="255"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consist primarily of (i) salary and welfare for general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personnel, (ii) allowance for doubtful receivables, (iii) professional service fees, and (iv) compensation to certain senior management of OptAim in 2015 in connection with our acquisition. Allowance for doubtful receivables, which related to account receivable from certain agency customers was US$1.7 million, US$0.1 million, US$0.0 million and US$0.0 million in 2015, 2016 and the six months ended June 30, 2016 and 2017, respectively. Professional service fees primarily related to legal and audit service in connection with our private placements and OptAim acquisition and preparation for this offering. We expect to continue to invest in our corporate infrastructure and incur expenses related to being a public company, including increased accounting and legal fees, investor relations costs and compliance costs. As a result, we anticipate that general and administrative expenses will continue to increase in future periods.</w:t>
      </w:r>
    </w:p>
    <w:p>
      <w:pPr>
        <w:spacing w:after="0" w:line="90" w:lineRule="exact"/>
        <w:rPr>
          <w:rFonts w:ascii="Times New Roman" w:cs="Times New Roman" w:eastAsia="Times New Roman" w:hAnsi="Times New Roman"/>
          <w:sz w:val="18"/>
          <w:szCs w:val="18"/>
          <w:color w:val="auto"/>
        </w:rPr>
      </w:pPr>
    </w:p>
    <w:p>
      <w:pPr>
        <w:ind w:left="900" w:right="660" w:hanging="325"/>
        <w:spacing w:after="0" w:line="267" w:lineRule="auto"/>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consist primarily of (i) salary and welfare for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personnel, (ii) rental expenses and (iii) depreciation of office premise and (iv) servers utilized by research and development personnel.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Cayman Islands</w:t>
      </w:r>
    </w:p>
    <w:p>
      <w:pPr>
        <w:spacing w:after="0" w:line="121"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We and our subsidiary incorporated in the Cayman Islands are not subject to income, corporation or capital gains tax, estate duty, inheritance tax or gift tax. In addition, payment of dividends to our shareholders or the shareholder of our subsidiary in the Cayman Islands are not subject to withholding tax in the Cayman Islands.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British Virgin Islands</w:t>
      </w:r>
    </w:p>
    <w:p>
      <w:pPr>
        <w:spacing w:after="0" w:line="121" w:lineRule="exact"/>
        <w:rPr>
          <w:sz w:val="20"/>
          <w:szCs w:val="20"/>
          <w:color w:val="auto"/>
        </w:rPr>
      </w:pPr>
    </w:p>
    <w:p>
      <w:pPr>
        <w:jc w:val="both"/>
        <w:ind w:right="80" w:firstLine="456"/>
        <w:spacing w:after="0" w:line="313" w:lineRule="auto"/>
        <w:rPr>
          <w:sz w:val="20"/>
          <w:szCs w:val="20"/>
          <w:color w:val="auto"/>
        </w:rPr>
      </w:pPr>
      <w:r>
        <w:rPr>
          <w:rFonts w:ascii="Times New Roman" w:cs="Times New Roman" w:eastAsia="Times New Roman" w:hAnsi="Times New Roman"/>
          <w:sz w:val="17"/>
          <w:szCs w:val="17"/>
          <w:color w:val="auto"/>
        </w:rPr>
        <w:t>Our subsidiaries incorporated in the British Virgin Islands are not subject to income or capital gains taxes, estate duty, inheritance tax or gift tax. In addition, payment of dividends to the shareholders of our subsidiaries in British Virgin Islands are not subject to withholding tax in the British Virgin Islands.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Our subsidiaries incorporated in Hong Kong are subject to 16.5% Hong Kong profit tax on their taxable income generated from operations in Hong Kong under the current Hong Kong Inland Revenue Ordinance.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420"/>
          </w:cols>
          <w:pgMar w:left="240" w:top="455" w:right="2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Under the Hong Kong tax laws, we are exempted from the Hong Kong income tax on our foreign-derived income. In addition, payments of dividends from our Hong Kong subsidiary to us are not subject to any Hong Kong withholding tax.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Generally, our PRC subsidiaries, our consolidated VIE and its subsidiary, which are considered PRC resident enterprises under PRC tax law, are subject to enterprise income tax on their worldwide taxable income as determined under PRC tax laws and accounting standards at a rate of 25%.</w:t>
      </w:r>
    </w:p>
    <w:p>
      <w:pPr>
        <w:spacing w:after="0" w:line="162"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We are subject to value added tax, or VAT, at a rate of 6% on the services we provide, less any deductible VAT we have already paid or borne. We are also subject to surcharges on VAT payments in accordance with PRC law. VAT has been phased in since August 2013 to replace the business tax that was previously applicable to the services we provide. During the periods presented, we were not subject to business tax on the services we provide.</w:t>
      </w:r>
    </w:p>
    <w:p>
      <w:pPr>
        <w:spacing w:after="0" w:line="176"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Dividends paid by our wholly foreign-owned subsidiary in China to our intermediary holding company in Hong Kong will be subject to a withholding tax rate of 10%, unless the relevant Hong Kong entity satisfies all the requirements under the Arrangement between the PRC and the Hong Kong Special Administrative Region on the Avoidance of Double Taxation and Prevention of Fiscal Evasion with respect to Taxes on Income and receives approval from the relevant tax authority. If our Hong Kong subsidiary satisfies all the requirements under the tax arrangement and receives approval from the relevant tax authority, then the dividends paid to the Hong Kong subsidiary would be subject to withholding tax at the standard rate of 5%. See “Risk Factors —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85"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“Risk Factors — Risks Related to Doing Business in China — If we are classified as a PRC resident enterprise for PRC income tax purposes, such classification could result in unfavorable tax consequences to us and our non-PRC shareholders or ADS holders.”</w:t>
      </w:r>
    </w:p>
    <w:p>
      <w:pPr>
        <w:spacing w:after="0" w:line="284" w:lineRule="exact"/>
        <w:rPr>
          <w:sz w:val="20"/>
          <w:szCs w:val="20"/>
          <w:color w:val="auto"/>
        </w:rPr>
      </w:pPr>
    </w:p>
    <w:p>
      <w:pPr>
        <w:ind w:right="526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Six Months Ended June 30, 2017 Compared to Six Months Ended June 30, 2016 </w:t>
      </w:r>
      <w:r>
        <w:rPr>
          <w:rFonts w:ascii="Times New Roman" w:cs="Times New Roman" w:eastAsia="Times New Roman" w:hAnsi="Times New Roman"/>
          <w:sz w:val="18"/>
          <w:szCs w:val="18"/>
          <w:b w:val="1"/>
          <w:bCs w:val="1"/>
          <w:i w:val="1"/>
          <w:iCs w:val="1"/>
          <w:color w:val="auto"/>
        </w:rPr>
        <w:t>Net Revenues</w:t>
      </w: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Our net revenues increased by US$10.4 million, or 23.1%, from US$45.3 million in the six months ended June 30, 2016 to US$55.7 million in the same period in 2017, primarily as a result of an increase in our net revenues from our mobile audience solutions and partially offset by a decrease in our net revenues from our other solutions.</w:t>
      </w:r>
    </w:p>
    <w:p>
      <w:pPr>
        <w:spacing w:after="0" w:line="17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Net revenues from our mobile audience solutions increased by US$17.8 million, or 72.4% from US$24.5 million in the six months ended June 30, 2016 to US$42.3 million in the same period in 2017 as a result of an increase in gross billing from mobile audience solutions and a larger percentage of our gross billing from mobile audience solutions being recognized as net revenues on a gross basis in the six months ended June 30, 2017 compared to the same period in 2016. US$21.6 million, or 43.0%, of gross billing from mobile audience solutions was recognized as net revenues on a gross basis in the six months ended June 30, 2016, compared to US$41.5 million, or 65.9%, in the same period in 2017. Rebates received from publishers and recognized as net revenues decreased by US$1.0 million or 25.6% from US$3.9 million in the six months ended June 30, 2016 to US$2.9 million in the six months ended June 30, 2017 for our mobile audience solutions as gross billing from</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400"/>
          </w:cols>
          <w:pgMar w:left="240" w:top="455" w:right="2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mobile audience solutions that was recognized on a net basis decreased. We did not receive any incentives from the publisher under our sales agency model in the six months ended June 30, 2016 and the same period in 2017 for our mobile audience solutions. Rebates and discounts granted to our customers and recognized as deduction of revenues increased by US$4.2 million, or 113.5% from US$3.7 million in the six months ended June 30, 2016 to US$7.9 million in the same period in 2017 for our mobile solutions as gross billing from mobile audience solutions increased.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revenues from our other solutions decreased by US$7.3 million or 35.0% from US$20.8 million in the six months ended June 30, 2016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US$13.5 million in the same period in 2017 primarily as a result of a decrease in gross billing from other solutions and smaller percentage of our gross billing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other solutions being recognized as net revenues on a gross basis. US$5.3 million, or 13.3%, of gross billing from other solutions was recognized as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on a gross basis in the six months ended June 30, 2017, compared to US$10.4 million, or 15.2%, in the same period in 2016. Rebates received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publishers and recognized as net revenues decreased by US$2.1 million or 67.4% from US$3.1 million in the six months ended June 30, 2016 to US$1.0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 the same period in 2017 for our other solutions as gross billing from other solutions that were conducted on a cost-plus basis decreased. Incentives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from the publisher under our sales agency model, which were recognized as net revenues decreased by US$1.3 million, or 23.6% from US$5.5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in the six months ended June 30, 2016 to US$4.2 million in the same period in 2017 for our other solutions due to a decrease in gross billing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agency model. Rebates granted to our customers and recognized as deduction of revenues decreased by US$2.4 million, or 64.7% from US$3.7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six months ended June 30, 2017 to US$1.3 million in the same period in 2017 for our other solutions as gross billing from other solutions decreased.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Gross Profit and Gross Profit Margin</w:t>
      </w:r>
    </w:p>
    <w:p>
      <w:pPr>
        <w:spacing w:after="0" w:line="250"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7620</wp:posOffset>
            </wp:positionV>
            <wp:extent cx="14579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9140"/>
        <w:spacing w:after="0"/>
        <w:tabs>
          <w:tab w:leader="none" w:pos="1066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-3175</wp:posOffset>
            </wp:positionV>
            <wp:extent cx="14579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9160"/>
        <w:spacing w:after="0" w:line="233" w:lineRule="auto"/>
        <w:rPr>
          <w:sz w:val="20"/>
          <w:szCs w:val="20"/>
          <w:color w:val="auto"/>
        </w:rPr>
      </w:pPr>
      <w:r>
        <w:rPr>
          <w:rFonts w:ascii="Times New Roman" w:cs="Times New Roman" w:eastAsia="Times New Roman" w:hAnsi="Times New Roman"/>
          <w:sz w:val="14"/>
          <w:szCs w:val="14"/>
          <w:b w:val="1"/>
          <w:bCs w:val="1"/>
          <w:color w:val="auto"/>
        </w:rPr>
        <w:t>(US$ in thousands, except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9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(28,003)</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(42,431)</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9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17,266</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13,310</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49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38.1%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bl>
    <w:p>
      <w:pPr>
        <w:spacing w:after="0" w:line="198"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Our cost of revenues increased by US$14.4 million, or 51.4%, from US$28.0 million in the six months ended June 30, 2016 to US$42.4 million in the same period in 2017, primarily as a result of an increase in media cost, which increased by US$14.7 million, or 60.4%, from US$24.3 million in the six months ended June 30, 2016 to US$39.0 million in the same period in 2017 as a result of a larger percentage of gross billing being recognized as net revenues on a gross basis. 45.4% of our gross billing in the six months ended June 30, 2017 was recognized as net revenues on a gross basis, compared to 27.0% in the same period in 2016. Cost of revenues for our mobile audience solutions increased by US$18.0 million, or 86.9%, from US$20.7 million to US$38.7 million, while cost of revenues for our other solutions decreased by US$3.6 million, or 49.1%, from US$7.3 million to US$3.7 million.</w:t>
      </w:r>
    </w:p>
    <w:p>
      <w:pPr>
        <w:spacing w:after="0" w:line="188"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increase in cost of revenues for our mobile audience solutions was in line with the growth of gross billing from mobile audience solutions and also due to an increased percentage of gross billing from mobile audience solutions being recognized as net revenues on a gross basis. US$41.5 million, or 65.9%, of gross billing from mobile audience solutions was recognized as net revenues on a gross basis in the six months ended June 30, 2017, compared to US$21.6 million, or 43.0%, in the same period in 2016. No rebate or discount granted to customers was recognized as cost of revenues for our mobile audience solutions in the six months ended June 30, 2016 or 2017. Rebates received from website publishers recognized as deduction of cost of revenues increased by US$4.9 million, or 252.5% from US$1.9 million in the six months ended June 30, 2016 to US$6.8 million in the same period in 2017 for our mobile audience solutions as gross billing from mobile audience solutions that was recognized as net revenues on a gross basis increased.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420"/>
          </w:cols>
          <w:pgMar w:left="240" w:top="455" w:right="2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The decrease in cost of revenues from our other solutions was in line with the decrease of gross billing from other solutions and also due to a decreased percentage of gross billing from other solutions being recognized as net revenues on a gross basis. US$5.3 million, or 13.3%, of gross billing from other solutions was recognized as net revenues on a gross basis in the six months ended June 30, 2017, compared to US$10.4 million or 15.2% in the same period in 2016. Rebates granted to customers and recognized as cost of revenues decreased by US$0.2 million, or 13.9%, from US$1.4 million in the six months ended June 30, 2016 to US$1.2 million in the same period in 2017 for other solutions in line with the decrease of gross billing from our sales agency model. Rebates received from website publishers recognized as deduction of cost of revenues decreased by US$55,000, or 57.9%, from US$95,000 in the six months ended June 30, 2016 to US$40,000 in the same period in 2017 for our other solutions as gross billing from other solutions that was recognized on a gross basis decreased.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result of the above, our gross profit decreased from US$17.3 million in the six months ended June 30, 2016 to US$13.3 million in the same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2017. Specifically, gross profit for our mobile audience solutions decreased by US$0.3 million, or 6.8%, from US$3.8 million in the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2016 to US$3.5 million in the same period in 2017, and gross profit for our other solutions decreased by US$3.7 million, or 27.4%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US$13.5 million in the six months ended June 30, 2016 to US$9.8 million in the same period in 2017. Our gross profit margin decreased from 38.1% in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23.9% in 2017 primarily due to the expansion in our mobile audience solutions. Gross profit margin for our mobile audience solutions decreased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15.5% in the six months ended June 30, 2016 to 8.4% in the same period in 2017 as a result of competitive pressure and a larger percentage of gross billing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mobile audience solutions being recognized as net revenues on a gross basis in the six months ended June 30, 2017 compared to the same period in</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2016. Gross margin for our other solutions increased from 64.9% in the six months ended June 30, 2016 to 72.5% in the six months ended June 30, 2017 as we continued to optimize the customer base for other solutions to focus on profitability and liquidity and as a result of a smaller percentage of gross billing for our other solutions being recognized as net revenues on a gross basis in the six months ended June 30, 2017 compared to the same period in 2016.</w:t>
      </w:r>
    </w:p>
    <w:p>
      <w:pPr>
        <w:spacing w:after="0" w:line="18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Due to competitive landscape and pricing pressure as mobile audience solutions are relatively nascent compared to other solutions, with companies competing for more market share as they enter into this market and as mobile apps publishers tend to have stronger bargaining power compared to other online publishers as a result of the growing popularity of mobile apps, mobile audience solutions tend to command a lower gross profit margin compared to non-mobile marketing solutions. In addition, consistent with the general industry trends for online marketing on mobile channels and on non-mobile channels, a large percentage of gross billing from our mobile audience solutions was recognized as net revenues on a gross basis in the six months ended June 30, 2017, which was 65.9%, compared to that for our other solutions in the same period, which was 13.3%. As a result, gross profit margins for our mobile audience solutions in the six months ended June 30, 2016 and 2017 were significantly lower than those for our other solutions for the same periods.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jc w:val="both"/>
        <w:ind w:right="440" w:firstLine="456"/>
        <w:spacing w:after="0" w:line="266" w:lineRule="auto"/>
        <w:rPr>
          <w:sz w:val="20"/>
          <w:szCs w:val="20"/>
          <w:color w:val="auto"/>
        </w:rPr>
      </w:pPr>
      <w:r>
        <w:rPr>
          <w:rFonts w:ascii="Times New Roman" w:cs="Times New Roman" w:eastAsia="Times New Roman" w:hAnsi="Times New Roman"/>
          <w:sz w:val="18"/>
          <w:szCs w:val="18"/>
          <w:color w:val="auto"/>
        </w:rPr>
        <w:t>Our operating expenses decreased by US$3.5 million, or 14.9%, during the six months ended June 30, 2017 compared to the same period in 2016, primarily due to decreases in research and development expenses, sales and marketing expenses and general and administrative expenses. Our operating expenses as a percentage of net revenues decreased from 51.8% in the six months ended June 30, 2016 to 35.8% in the same period in 2017.</w:t>
      </w:r>
    </w:p>
    <w:p>
      <w:pPr>
        <w:spacing w:after="0" w:line="80" w:lineRule="exact"/>
        <w:rPr>
          <w:sz w:val="20"/>
          <w:szCs w:val="20"/>
          <w:color w:val="auto"/>
        </w:rPr>
      </w:pPr>
    </w:p>
    <w:p>
      <w:pPr>
        <w:ind w:left="900" w:right="180" w:hanging="325"/>
        <w:spacing w:after="0" w:line="255"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Our sales and marketing expenses decreased by US$1.9 million, or 13.5%, from US$14.1 million in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2016 to US$12.2 million in the same period in 2017. The decrease was primarily due to a decrease in staff costs as we continued to optimize the customer base for other solutions to focus on profitability and liquidity and as we continued to benefit from the synergies from the integration of complementary sales and marketing capabilities of OptAim, which had been completed by the end of June 30, 2017 and economies of scale. As a result, sales and marketing expenses as a percentage of net revenues also decreased from 31.1% in the</w:t>
      </w:r>
    </w:p>
    <w:p>
      <w:pPr>
        <w:spacing w:after="0" w:line="1"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months ended June 30, 2016 to 21.9% in the same period in 2017.</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420"/>
          </w:cols>
          <w:pgMar w:left="240" w:top="455" w:right="2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00" w:hanging="325"/>
        <w:spacing w:after="0" w:line="259"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Our general and administrative expenses decreased by US$0.4 million, or 8.2%, from US$4.9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2016 to US$4.5 million in the same period in 2017, primarily due to a decrease in staff costs as we streamlined our general and administrative functions and reduced the relevant staff headcount as we further integrated OptAim’s operations, which had been completed by the end of June 30, 2017. General and administrative expenses as a percentage of net revenues decreased from 10.9% in the six months ended June 30, 2016 to 8.1% in the same period in 2017.</w:t>
      </w:r>
    </w:p>
    <w:p>
      <w:pPr>
        <w:spacing w:after="0" w:line="85" w:lineRule="exact"/>
        <w:rPr>
          <w:rFonts w:ascii="Times New Roman" w:cs="Times New Roman" w:eastAsia="Times New Roman" w:hAnsi="Times New Roman"/>
          <w:sz w:val="18"/>
          <w:szCs w:val="18"/>
          <w:color w:val="auto"/>
        </w:rPr>
      </w:pPr>
    </w:p>
    <w:p>
      <w:pPr>
        <w:ind w:left="900" w:right="100" w:hanging="325"/>
        <w:spacing w:after="0" w:line="259"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Our research and development expenses decreased by US$1.2 million, or 27.3%, from US$4.4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2016 to US$3.2 million in the same period in 2017, primarily due to a decrease in staff costs, as we continued to benefit from the synergies from the integration of the complementary research and development capabilities of OptAim and economies of scale. As a result, research and development expenses as a percentage of our net revenues decreased from 9.8% in the six months ended June 30, 2016 to 5.8% in the same period in 2017.</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interest expense was flat at US$0.3 million for the six months ended June 30, 2016 and the same period in 2017.</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Gains/(Losses), Net</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Our other losses, net was US$69,166 in the six months ended June 30, 2016, compared to other gains, net of US$7,290 in the same period in 2017. The change was primarily due to an decrease by 83.9%, or US$105,922, from US$126,238 in the six months ended June 30, 2016 to US$20,316 in the same period in 2017 in net exchange loss mainly due to the depreciation of Renminbi against the US dollars.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(Loss)/Gain on Derivative Liabilities</w:t>
      </w:r>
    </w:p>
    <w:p>
      <w:pPr>
        <w:spacing w:after="0" w:line="121" w:lineRule="exact"/>
        <w:rPr>
          <w:sz w:val="20"/>
          <w:szCs w:val="20"/>
          <w:color w:val="auto"/>
        </w:rPr>
      </w:pPr>
    </w:p>
    <w:p>
      <w:pPr>
        <w:ind w:right="440" w:firstLine="456"/>
        <w:spacing w:after="0" w:line="258" w:lineRule="auto"/>
        <w:rPr>
          <w:sz w:val="20"/>
          <w:szCs w:val="20"/>
          <w:color w:val="auto"/>
        </w:rPr>
      </w:pPr>
      <w:r>
        <w:rPr>
          <w:rFonts w:ascii="Times New Roman" w:cs="Times New Roman" w:eastAsia="Times New Roman" w:hAnsi="Times New Roman"/>
          <w:sz w:val="18"/>
          <w:szCs w:val="18"/>
          <w:color w:val="auto"/>
        </w:rPr>
        <w:t>Our fair value loss on derivative liabilities was US$0.2 million in the six months ended June 30, 2016, compared to a fair value loss on derivative liabilities of US$14.7 million in the same period in 2017. The fair value loss on derivative liabilities related to our preferred shares, the conversion and redemption features of which are required to be bifurcated and accounted for as derivative liabilities. The increase in the fair value loss on derivative liabilities from the six months ended June 30, 2016 to the same period in 2017 was primarily due to an increase in our enterprise value as a result of a decrease in lack of marketability discount as we are approaching an initial public offering.</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Benefit/(Expenses)</w:t>
      </w:r>
    </w:p>
    <w:p>
      <w:pPr>
        <w:spacing w:after="0" w:line="12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We recorded an income tax benefit of US$0.1 million in the six months ended June 30, 2016 and an income tax expense of US$0.6 million in the same period in 2017.</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As a result of the foregoing, our net loss increased by 236.4% from US$6.6 million in the six months ended June 30, 2016 to US$22.2 million in the same period in 2017.</w:t>
      </w:r>
    </w:p>
    <w:p>
      <w:pPr>
        <w:spacing w:after="0" w:line="266" w:lineRule="exact"/>
        <w:rPr>
          <w:sz w:val="20"/>
          <w:szCs w:val="20"/>
          <w:color w:val="auto"/>
        </w:rPr>
      </w:pPr>
    </w:p>
    <w:p>
      <w:pPr>
        <w:ind w:right="546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Year Ended December 31, 2016 Compared to Year Ended December 31, 2015 </w:t>
      </w:r>
      <w:r>
        <w:rPr>
          <w:rFonts w:ascii="Times New Roman" w:cs="Times New Roman" w:eastAsia="Times New Roman" w:hAnsi="Times New Roman"/>
          <w:sz w:val="18"/>
          <w:szCs w:val="18"/>
          <w:b w:val="1"/>
          <w:bCs w:val="1"/>
          <w:i w:val="1"/>
          <w:iCs w:val="1"/>
          <w:color w:val="auto"/>
        </w:rPr>
        <w:t>Net Revenues</w:t>
      </w: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Our net revenues increased by US$30.2 million, or 46.2%, from US$65.2 million in 2015 to US$95.4 million in 2016, primarily as a result of an increase in our net revenues from our mobile audience solutions and partially offset by a decrease in our net revenues from our other solutions.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380"/>
          </w:cols>
          <w:pgMar w:left="240" w:top="455" w:right="27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Net revenues from our mobile audience solutions increased by US$45.9 million, or 385.1% from US$11.9 million in 2015 to US$57.8 million in 2016 as a result of an increase in gross billing from mobile audience solutions and a larger percentage of our gross billing from mobile audience solutions being recognized as net revenues on a gross basis in 2016 compared to 2015. US$54.2 million, or 48.2%, of gross billing from mobile audience solutions was recognized as net revenues on a gross basis in 2016, compared to US$7.9 million, or 19.1%, in 2015. Rebates received from publishers and recognized as net revenues decreased by US$2.5 million or 24.0% from US$10.4 million in 2015 to US$7.9 million in 2016 for our mobile audience solutions as gross billing from mobile audience solutions that was recognized on a net basis decreased. We did not receive any incentives from the publisher under our sales agency model in 2015 and 2016 for our mobile audience solutions. OptAim contributed US$51.1 million to our net revenues in 2016, compared to US$11.7 million from July 24, 2015, when we acquired OptAim, to December 31, 2015. All such net revenues contribution from OptAim related to our mobile audience solutions. Rebates and discounts granted to our customers and recognized as deduction of revenues increased by US$3.9 million, or 56.5% from US$6.8 million in 2015 to US$10.7 million in 2016 for our mobile audience solutions as gross billing from mobile audience solutions increased.</w:t>
      </w:r>
    </w:p>
    <w:p>
      <w:pPr>
        <w:spacing w:after="0" w:line="18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Net revenues from our other solutions decreased by US$15.7 million or 29.5% from US$53.3 million in 2015 to US$37.6 million in 2016 primarily as a result of a decrease in gross billing from other solutions and smaller percentage of our gross billing from other solutions being recognized as net revenues on a gross basis in 2016 compared to 2015. US$17.9 million, or 14.4%, of gross billing from other solutions was recognized as net revenues on a gross basis in 2016, compared to US$30.8 million or 22.5% in 2015. Rebates received from publishers and recognized as net revenues decreased by US$3.5 million or</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35.4% from US$9.9 million in 2015 to US$6.4 million in 2016 for our other solutions as gross billing from other solutions that were conducted on a cost-plus basis decreased. Incentives received from the publisher under our sales agency model, which were recognized as net revenues decreased by US$2.3 million, or 20.8% from US$11.2 million in 2015 to US$8.9 million in 2016 for our other solutions as a result of decrease in the incentive rate from the publisher. Rebates and discounts granted to our customers and recognized as deduction of revenues decreased by US$3.5 million, or 31.9% from US$11.0 million in 2015 to US$7.5 million in 2016 for our other solutions.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Gross Profit and Gross Profit Margin</w:t>
      </w:r>
    </w:p>
    <w:p>
      <w:pPr>
        <w:spacing w:after="0" w:line="250"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7620</wp:posOffset>
            </wp:positionV>
            <wp:extent cx="14579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9140"/>
        <w:spacing w:after="0"/>
        <w:tabs>
          <w:tab w:leader="none" w:pos="10660" w:val="left"/>
        </w:tabs>
        <w:rPr>
          <w:sz w:val="20"/>
          <w:szCs w:val="20"/>
          <w:color w:val="auto"/>
        </w:rPr>
      </w:pPr>
      <w:r>
        <w:rPr>
          <w:rFonts w:ascii="Times New Roman" w:cs="Times New Roman" w:eastAsia="Times New Roman" w:hAnsi="Times New Roman"/>
          <w:sz w:val="14"/>
          <w:szCs w:val="14"/>
          <w:b w:val="1"/>
          <w:bCs w:val="1"/>
          <w:color w:val="auto"/>
        </w:rPr>
        <w:t>2015</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-3175</wp:posOffset>
            </wp:positionV>
            <wp:extent cx="14579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9160"/>
        <w:spacing w:after="0" w:line="233" w:lineRule="auto"/>
        <w:rPr>
          <w:sz w:val="20"/>
          <w:szCs w:val="20"/>
          <w:color w:val="auto"/>
        </w:rPr>
      </w:pPr>
      <w:r>
        <w:rPr>
          <w:rFonts w:ascii="Times New Roman" w:cs="Times New Roman" w:eastAsia="Times New Roman" w:hAnsi="Times New Roman"/>
          <w:sz w:val="14"/>
          <w:szCs w:val="14"/>
          <w:b w:val="1"/>
          <w:bCs w:val="1"/>
          <w:color w:val="auto"/>
        </w:rPr>
        <w:t>(US$ in thousands, except %)</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9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(34,531)</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(61,048)</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9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30,711</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34,309</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49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47.1%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bl>
    <w:p>
      <w:pPr>
        <w:spacing w:after="0" w:line="198" w:lineRule="exact"/>
        <w:rPr>
          <w:sz w:val="20"/>
          <w:szCs w:val="20"/>
          <w:color w:val="auto"/>
        </w:rPr>
      </w:pPr>
    </w:p>
    <w:p>
      <w:pPr>
        <w:ind w:right="60" w:firstLine="456"/>
        <w:spacing w:after="0" w:line="272" w:lineRule="auto"/>
        <w:rPr>
          <w:sz w:val="20"/>
          <w:szCs w:val="20"/>
          <w:color w:val="auto"/>
        </w:rPr>
      </w:pPr>
      <w:r>
        <w:rPr>
          <w:rFonts w:ascii="Times New Roman" w:cs="Times New Roman" w:eastAsia="Times New Roman" w:hAnsi="Times New Roman"/>
          <w:sz w:val="17"/>
          <w:szCs w:val="17"/>
          <w:color w:val="auto"/>
        </w:rPr>
        <w:t>Our cost of revenues increased by US$26.5 million, or 76.8%, from US$34.5 million in 2015 to US$61.0 million in 2016, primarily as a result of an increase in media cost, which increased by US$25.8 million, or 88.2%, from US$28.1 million in 2015 to US$53.9 million in 2016, consistent with the growth of our gross billing as we scaled up our business and as a result of a larger percentage of gross billing being recognized as net revenues on a gross basis.</w:t>
      </w:r>
    </w:p>
    <w:p>
      <w:pPr>
        <w:spacing w:after="0" w:line="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30.4% of our gross billing in 2016 were recognized as net revenues on a gross basis, compared to 21.7% in 2015. Cost of revenues for our mobile audience solutions increased by US$39.7 million, or 466.4%, from US$8.5 million to US$48.2 million, while cost of revenues for our other solutions decreased by US$13.2 million, or 50.7%, from US$26.1 million to US$12.8 million.</w:t>
      </w:r>
    </w:p>
    <w:p>
      <w:pPr>
        <w:spacing w:after="0" w:line="186" w:lineRule="exact"/>
        <w:rPr>
          <w:sz w:val="20"/>
          <w:szCs w:val="20"/>
          <w:color w:val="auto"/>
        </w:rPr>
      </w:pPr>
    </w:p>
    <w:p>
      <w:pPr>
        <w:jc w:val="both"/>
        <w:ind w:right="60" w:firstLine="456"/>
        <w:spacing w:after="0" w:line="257" w:lineRule="auto"/>
        <w:rPr>
          <w:sz w:val="20"/>
          <w:szCs w:val="20"/>
          <w:color w:val="auto"/>
        </w:rPr>
      </w:pPr>
      <w:r>
        <w:rPr>
          <w:rFonts w:ascii="Times New Roman" w:cs="Times New Roman" w:eastAsia="Times New Roman" w:hAnsi="Times New Roman"/>
          <w:sz w:val="18"/>
          <w:szCs w:val="18"/>
          <w:color w:val="auto"/>
        </w:rPr>
        <w:t>The increase in cost of revenues for our mobile audience solutions was in line with the growth of gross billing from mobile audience solutions and also due to an increased percentage of gross billing from mobile audience solutions being recognized as net revenues on a gross basis. US$54.2 million, or 48.2%, of gross billing from mobile audience solutions was recognized as net revenues on a gross basis in 2016, compared to US$7.9 million, or 19.1%, in 2015.</w:t>
      </w:r>
    </w:p>
    <w:p>
      <w:pPr>
        <w:spacing w:after="0" w:line="2" w:lineRule="exact"/>
        <w:rPr>
          <w:sz w:val="20"/>
          <w:szCs w:val="20"/>
          <w:color w:val="auto"/>
        </w:rPr>
      </w:pPr>
    </w:p>
    <w:p>
      <w:pPr>
        <w:ind w:right="620"/>
        <w:spacing w:after="0" w:line="261" w:lineRule="auto"/>
        <w:rPr>
          <w:sz w:val="20"/>
          <w:szCs w:val="20"/>
          <w:color w:val="auto"/>
        </w:rPr>
      </w:pPr>
      <w:r>
        <w:rPr>
          <w:rFonts w:ascii="Times New Roman" w:cs="Times New Roman" w:eastAsia="Times New Roman" w:hAnsi="Times New Roman"/>
          <w:sz w:val="18"/>
          <w:szCs w:val="18"/>
          <w:color w:val="auto"/>
        </w:rPr>
        <w:t>OptAim contributed US$47.0 million to our cost of revenues in 2016, compared to US$8.5 million from July 24, 2015, when we acquired OptAim, to December 31, 2015. All such cost of revenues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420"/>
          </w:cols>
          <w:pgMar w:left="240" w:top="455" w:right="2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contribution from OptAim related to our mobile audience solutions. No rebate or discount granted to customers was recognized as cost of revenues for our mobile audience solutions in 2015 or 2016. Rebates received from website publishers recognized as deduction of cost of revenues increased by US$5.7 million, or 2,582.6% from US$0.2 million in 2015 to US$5.9 million in 2016 for our mobile audience solutions as more marketing campaigns for mobile audience solutions were conducted on specified action (i.e., gross) basis.</w:t>
      </w:r>
    </w:p>
    <w:p>
      <w:pPr>
        <w:spacing w:after="0" w:line="18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decrease in cost of revenues from our other solutions was in line with the decrease of gross billing from other solutions and also due to a decreased percentage of gross billing from other solutions being recognized as net revenues on a gross basis. US$17.9 million, or 14.4%, of gross billing from other solutions was recognized as net revenues on a gross basis in 2016, compared to US$30.8 million or 22.5% in 2015. Rebates granted to customers and recognized as cost of revenues decreased by US$0.7 million or 22.0% from US$3.3 million in 2015 to US$2.6 million in 2016 for other solutions. Rebates received from website publishers recognized as deduction of cost of revenues decreased by US$0.1 million, or 48.1% from US$0.3 million in 2015 to US$0.2 million in 2016 for our other solutions as less marketing campaigns for other solutions were conducted on a specified action (i.e., gross) basis.</w:t>
      </w:r>
    </w:p>
    <w:p>
      <w:pPr>
        <w:spacing w:after="0" w:line="188"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As a result of the above, our gross profit increased slightly from US$30.7 million in 2015 to US$34.3 million in 2016. Specifically, gross profit for our mobile audience solutions increased significantly by US$6.1 million, or 179.4%, from US$3.4 million in 2015 to US$9.5 million in 2016, and gross profit for our other solutions decreased by US$2.5 million, or 9.2% from US$27.3 million in 2015 to US$24.8 million in 2016. Our gross profit margin decreased from 47.1% in 2015 to 36.0% in 2016 primarily due to the expansion in our mobile audience solutions. In addition, a larger percentage of our gross billing in 2016 was recognized as net revenues on a gross basis compared to 2015, which also contributed to an overall lower gross profit margin in 2016 compared to 2015. Gross profit margin for our mobile audience solutions decreased from 28.5% in 2015 to 16.5% in 2016 as a result of competitive pressure and a larger percentage of gross billing for our mobile audience solutions being recognized as net revenues on a gross basis in 2016 compared to 2015. Gross margin for our other solutions increased from 51.2% in 2015 to 65.9% in 2016 as a result of a smaller percentage of gross billing for our other solutions being recognized as net revenues on a gross basis in 2016 compared to 2015.</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Due to competitive landscape and pricing pressure as mobile audience solutions are relatively nascent compared to other solutions, with companies competing for more market share as they enter into this market and as mobile apps publishers tend to have stronger bargaining power compared to other online publishers as a result of the growing popularity of mobile apps, mobile audience solutions tend to command a lower gross profit margin compared to non-mobile marketing solutions. In addition, consistent with the general industry trends for online marketing on mobile channels and on non-mobile channels, a larger percentage of gross billing from our mobile audience solution was recognized as net revenues on a gross basis in 2016, which was 48.2%, compared to that for our other solutions in the same period, which was 14.4%. As a result, gross profit margins for our mobile audience solutions in 2015 and 2016 were significantly lower than those for our other solutions for the same periods.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140" w:firstLine="456"/>
        <w:spacing w:after="0" w:line="266" w:lineRule="auto"/>
        <w:rPr>
          <w:sz w:val="20"/>
          <w:szCs w:val="20"/>
          <w:color w:val="auto"/>
        </w:rPr>
      </w:pPr>
      <w:r>
        <w:rPr>
          <w:rFonts w:ascii="Times New Roman" w:cs="Times New Roman" w:eastAsia="Times New Roman" w:hAnsi="Times New Roman"/>
          <w:sz w:val="18"/>
          <w:szCs w:val="18"/>
          <w:color w:val="auto"/>
        </w:rPr>
        <w:t>Our operating expenses increased by US$11.4 million, or 21.8%, during 2016 compared to 2015, primarily due to increases in general and administrative expenses and research and development expenses, partially offset by a decrease in sales and marketing expenses. Our operating expenses as a percentage of net revenue decreased from 80.1% in 2015 to 66.7% in 2016.</w:t>
      </w:r>
    </w:p>
    <w:p>
      <w:pPr>
        <w:spacing w:after="0" w:line="80" w:lineRule="exact"/>
        <w:rPr>
          <w:sz w:val="20"/>
          <w:szCs w:val="20"/>
          <w:color w:val="auto"/>
        </w:rPr>
      </w:pPr>
    </w:p>
    <w:p>
      <w:pPr>
        <w:ind w:left="900" w:right="420" w:hanging="325"/>
        <w:spacing w:after="0" w:line="261" w:lineRule="auto"/>
        <w:tabs>
          <w:tab w:leader="none" w:pos="9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Our sales and marketing expenses decreased by US$3.1 million, or 9.9%, from US$31.4 million in 2015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US$28.3 million in 2016. Sales and marketing expenses as a percentage of net revenues also decreased significantly from 48.1% in 2015 to 29.6% in 2016, as a result of synergies from the integration of complementary sales and marketing capabilities of OptAim and economies of scale, and as we optimized our sales and marketing efforts to focus on profitability and liquidity.</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420"/>
          </w:cols>
          <w:pgMar w:left="240" w:top="455" w:right="2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00" w:right="100" w:hanging="325"/>
        <w:spacing w:after="0" w:line="256"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Our general and administrative expenses increased by US$14.1 million, or 111.0%, from US$12.7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2015 to US$26.8 million in 2016, primarily due to an increase in personnel costs of US$18.2 million related to share based compensation of US$17.6 million to one of our founders and certain other employees in the fourth quarter of 2016, and an increase in headcount for our general and administrative personnel as a result of OptAim acquisition. The increase was partially offset by a decrease in legal and professional fees of US$1.6 million, and the absence of a compensation payment of US$3.0 million to certain existing shareholders of OptAim, both of which were incurred in 2015 in connection with our acquisition of OptAim. As a result, general and administrative expenses as a percentage of net revenues increased from 19.5% in 2015 to 28.1% in 2016.</w:t>
      </w:r>
    </w:p>
    <w:p>
      <w:pPr>
        <w:spacing w:after="0" w:line="88" w:lineRule="exact"/>
        <w:rPr>
          <w:rFonts w:ascii="Times New Roman" w:cs="Times New Roman" w:eastAsia="Times New Roman" w:hAnsi="Times New Roman"/>
          <w:sz w:val="18"/>
          <w:szCs w:val="18"/>
          <w:color w:val="auto"/>
        </w:rPr>
      </w:pPr>
    </w:p>
    <w:p>
      <w:pPr>
        <w:ind w:left="900" w:right="60" w:hanging="325"/>
        <w:spacing w:after="0" w:line="290" w:lineRule="auto"/>
        <w:tabs>
          <w:tab w:leader="none" w:pos="9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Research and development expenses</w:t>
      </w:r>
      <w:r>
        <w:rPr>
          <w:rFonts w:ascii="Times New Roman" w:cs="Times New Roman" w:eastAsia="Times New Roman" w:hAnsi="Times New Roman"/>
          <w:sz w:val="17"/>
          <w:szCs w:val="17"/>
          <w:color w:val="auto"/>
        </w:rPr>
        <w:t>. Our research and development expenses increased by US$0.5 million, or 5.9%, from US$8.1 million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2015 to US$8.6 million in 2016. Research and development expenses as a percentage of our net revenues decreased from 12.4% in 2015 to 9.0% in 2016, primarily as a result of synergies from the integration of the complementary technology capabilities of OptAim and economies of scale.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Our interest expense increased by 566.4%, or US$0.6 million, from US$0.1 million in 2015 to US$0.7 million in 2016. This increase was primarily due to an increase in the average balance of our outstanding bank borrowings in 2016 compared to 2015.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Gains/(Losses), Net</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Our other gains, net was US$0.8 million in 2015, compared to other losses, net of US$1.1 million in 2016. The change was primarily due to an increase by 24.3%, or US$0.2 million, from US$0.9 million in 2015 to US$1.1 million in 2016 in net exchange loss due to the depreciation of Renminbi against the US dollars. In addition, we recorded 1) fair value gain on re-measurement of previously held equity interest in associate of US$1.2 million and 2) management fee income of US$0.4 million in 2015 in relation to our provision of office and human resource service to a third-party to help its expansion in China. We did not incur similar fair value gain and management fee in 2016.</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(Loss)/Gain on Derivative Liabilities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fair value loss on derivative liabilities was US$19.4 million in 2015, compared to a fair value gain on derivative liabilities of US$4.0 million in 2016. The fair value loss or gain on derivative liabilities related to our preferred shares, the conversion and redemption features of which are required to be bifurcated and accounted for as derivative liabilities. The fair value gain on derivative liabilities of US$4.0 million in 2016 was primarily related to our series A, B, D and E preferred shares. The fair value loss on derivative liabilities of US$19.4 million in 2015 was primarily related to our series A, B and D preferred shares, subsequent to which we grew our business substantially as we acquired OptAim.</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of Losses from an Equity Investee</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We incurred US$38 thousand share of losses from an equity investee, Buzzinate, in 2015. We acquired the remaining equity interest in Buzzinate in February 2015 and as a result Buzzinate has become our wholly owned subsidiary and been consolidated in our financial statements since February 2015. We did not have share of losses from an equity investee in 2016.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 (Expenses)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recorded an income tax benefit of US$0.6 million in 2015 and an income tax expense of US$0.2 million in 2016.</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400"/>
          </w:cols>
          <w:pgMar w:left="240" w:top="455" w:right="25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result of the foregoing, our net loss decreased by 31.2% from US$39.7 million in 2015 to US$27.3 million in 2016.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Quarterly Results of Operations</w:t>
      </w:r>
    </w:p>
    <w:p>
      <w:pPr>
        <w:spacing w:after="0" w:line="121" w:lineRule="exact"/>
        <w:rPr>
          <w:sz w:val="20"/>
          <w:szCs w:val="20"/>
          <w:color w:val="auto"/>
        </w:rPr>
      </w:pPr>
    </w:p>
    <w:p>
      <w:pPr>
        <w:ind w:right="24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historical unaudited consolidated selected quarterly results of operations for the periods indicated. You should read the following table in conjunction with our audited consolidated financial statements and related notes included elsewhere in this prospectus. We have prepared the unaudited consolidated quarterly financial information on the same basis as our annual audited consolidated financial statements.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96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940" w:type="dxa"/>
            <w:vAlign w:val="bottom"/>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2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160" w:type="dxa"/>
            <w:vAlign w:val="bottom"/>
            <w:gridSpan w:val="2"/>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96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40" w:type="dxa"/>
            <w:vAlign w:val="bottom"/>
          </w:tcPr>
          <w:p>
            <w:pPr>
              <w:spacing w:after="0"/>
              <w:rPr>
                <w:sz w:val="15"/>
                <w:szCs w:val="15"/>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80" w:type="dxa"/>
            <w:vAlign w:val="bottom"/>
            <w:gridSpan w:val="4"/>
          </w:tcPr>
          <w:p>
            <w:pPr>
              <w:jc w:val="right"/>
              <w:ind w:right="760"/>
              <w:spacing w:after="0" w:line="142"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21,221</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24,048</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24,704</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25,384</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25,884</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(12,177)</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(15,826)</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(16,844)</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(16,201)</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(19,527)</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9,183</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6,357</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6,953</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(2,248)</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(2,178)</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(2,054)</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(2,104)</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(1,771)</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(7,068)</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(7,015)</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(6,650)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(7,533)</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(6,617)</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(2,736)</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(2,200)</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(2,229)</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(19,602)</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(2,374)</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(12,052)</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(11,393)</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(10,933)</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(29,239)</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(10,762)</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(3,008)</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(3,171)</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(3,073)</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(20,056)</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(4,405)</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(199)</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(224)</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(145)</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gains/(losses), net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(165)</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(308)</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(705)</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Fair value gain on re-measurement of equity investee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3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(4,543)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3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2,498</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(7,430)</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(8,019)</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(1,906)</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(18,487)</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(12,013)</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benefit/(expenses)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(462)</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(7,972)</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(1,795)</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(18,949)</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(12,004)</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6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key operating and financial metrics for each of the quarters for the period between January 1, 2016 to June 30, 2017.</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1560" w:type="dxa"/>
            <w:vAlign w:val="bottom"/>
            <w:gridSpan w:val="4"/>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2016</w:t>
            </w:r>
          </w:p>
        </w:tc>
        <w:tc>
          <w:tcPr>
            <w:tcW w:w="1560" w:type="dxa"/>
            <w:vAlign w:val="bottom"/>
            <w:gridSpan w:val="4"/>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June 30, 2016</w:t>
            </w:r>
          </w:p>
        </w:tc>
        <w:tc>
          <w:tcPr>
            <w:tcW w:w="1580" w:type="dxa"/>
            <w:vAlign w:val="bottom"/>
            <w:gridSpan w:val="4"/>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2016</w:t>
            </w:r>
          </w:p>
        </w:tc>
        <w:tc>
          <w:tcPr>
            <w:tcW w:w="1560" w:type="dxa"/>
            <w:vAlign w:val="bottom"/>
            <w:gridSpan w:val="4"/>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2016</w:t>
            </w:r>
          </w:p>
        </w:tc>
        <w:tc>
          <w:tcPr>
            <w:tcW w:w="1560" w:type="dxa"/>
            <w:vAlign w:val="bottom"/>
            <w:gridSpan w:val="4"/>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2017</w:t>
            </w:r>
          </w:p>
        </w:tc>
        <w:tc>
          <w:tcPr>
            <w:tcW w:w="1340" w:type="dxa"/>
            <w:vAlign w:val="bottom"/>
            <w:gridSpan w:val="3"/>
          </w:tcPr>
          <w:p>
            <w:pPr>
              <w:jc w:val="right"/>
              <w:ind w:right="209"/>
              <w:spacing w:after="0" w:line="142" w:lineRule="exact"/>
              <w:rPr>
                <w:sz w:val="20"/>
                <w:szCs w:val="20"/>
                <w:color w:val="auto"/>
              </w:rPr>
            </w:pPr>
            <w:r>
              <w:rPr>
                <w:rFonts w:ascii="Times New Roman" w:cs="Times New Roman" w:eastAsia="Times New Roman" w:hAnsi="Times New Roman"/>
                <w:sz w:val="14"/>
                <w:szCs w:val="14"/>
                <w:b w:val="1"/>
                <w:bCs w:val="1"/>
                <w:color w:val="auto"/>
              </w:rPr>
              <w:t>June 30, 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160" w:type="dxa"/>
            <w:vAlign w:val="bottom"/>
          </w:tcPr>
          <w:p>
            <w:pPr>
              <w:spacing w:after="0"/>
              <w:rPr>
                <w:sz w:val="10"/>
                <w:szCs w:val="10"/>
                <w:color w:val="auto"/>
              </w:rPr>
            </w:pPr>
          </w:p>
        </w:tc>
        <w:tc>
          <w:tcPr>
            <w:tcW w:w="860" w:type="dxa"/>
            <w:vAlign w:val="bottom"/>
            <w:tcBorders>
              <w:top w:val="single" w:sz="8" w:color="auto"/>
            </w:tcBorders>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4"/>
              </w:rPr>
              <w:t>(US$</w:t>
            </w:r>
          </w:p>
        </w:tc>
        <w:tc>
          <w:tcPr>
            <w:tcW w:w="4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 of</w:t>
            </w:r>
          </w:p>
        </w:tc>
        <w:tc>
          <w:tcPr>
            <w:tcW w:w="220" w:type="dxa"/>
            <w:vAlign w:val="bottom"/>
          </w:tcPr>
          <w:p>
            <w:pPr>
              <w:spacing w:after="0"/>
              <w:rPr>
                <w:sz w:val="10"/>
                <w:szCs w:val="10"/>
                <w:color w:val="auto"/>
              </w:rPr>
            </w:pPr>
          </w:p>
        </w:tc>
        <w:tc>
          <w:tcPr>
            <w:tcW w:w="860" w:type="dxa"/>
            <w:vAlign w:val="bottom"/>
            <w:tcBorders>
              <w:top w:val="single" w:sz="8" w:color="auto"/>
            </w:tcBorders>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4"/>
              </w:rPr>
              <w:t>(US$</w:t>
            </w:r>
          </w:p>
        </w:tc>
        <w:tc>
          <w:tcPr>
            <w:tcW w:w="4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 of</w:t>
            </w:r>
          </w:p>
        </w:tc>
        <w:tc>
          <w:tcPr>
            <w:tcW w:w="220" w:type="dxa"/>
            <w:vAlign w:val="bottom"/>
          </w:tcPr>
          <w:p>
            <w:pPr>
              <w:spacing w:after="0"/>
              <w:rPr>
                <w:sz w:val="10"/>
                <w:szCs w:val="10"/>
                <w:color w:val="auto"/>
              </w:rPr>
            </w:pPr>
          </w:p>
        </w:tc>
        <w:tc>
          <w:tcPr>
            <w:tcW w:w="880" w:type="dxa"/>
            <w:vAlign w:val="bottom"/>
            <w:tcBorders>
              <w:top w:val="single" w:sz="8" w:color="auto"/>
            </w:tcBorders>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4"/>
              </w:rPr>
              <w:t>(US$</w:t>
            </w:r>
          </w:p>
        </w:tc>
        <w:tc>
          <w:tcPr>
            <w:tcW w:w="4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0"/>
                <w:szCs w:val="10"/>
                <w:color w:val="auto"/>
              </w:rPr>
            </w:pPr>
          </w:p>
        </w:tc>
        <w:tc>
          <w:tcPr>
            <w:tcW w:w="860" w:type="dxa"/>
            <w:vAlign w:val="bottom"/>
            <w:tcBorders>
              <w:top w:val="single" w:sz="8" w:color="auto"/>
            </w:tcBorders>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4"/>
              </w:rPr>
              <w:t>(US$</w:t>
            </w:r>
          </w:p>
        </w:tc>
        <w:tc>
          <w:tcPr>
            <w:tcW w:w="4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 of</w:t>
            </w:r>
          </w:p>
        </w:tc>
        <w:tc>
          <w:tcPr>
            <w:tcW w:w="220" w:type="dxa"/>
            <w:vAlign w:val="bottom"/>
          </w:tcPr>
          <w:p>
            <w:pPr>
              <w:spacing w:after="0"/>
              <w:rPr>
                <w:sz w:val="10"/>
                <w:szCs w:val="10"/>
                <w:color w:val="auto"/>
              </w:rPr>
            </w:pPr>
          </w:p>
        </w:tc>
        <w:tc>
          <w:tcPr>
            <w:tcW w:w="860" w:type="dxa"/>
            <w:vAlign w:val="bottom"/>
            <w:tcBorders>
              <w:top w:val="single" w:sz="8" w:color="auto"/>
            </w:tcBorders>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4"/>
              </w:rPr>
              <w:t>(US$</w:t>
            </w:r>
          </w:p>
        </w:tc>
        <w:tc>
          <w:tcPr>
            <w:tcW w:w="48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4"/>
              </w:rPr>
              <w:t>(% of</w:t>
            </w:r>
          </w:p>
        </w:tc>
        <w:tc>
          <w:tcPr>
            <w:tcW w:w="220" w:type="dxa"/>
            <w:vAlign w:val="bottom"/>
          </w:tcPr>
          <w:p>
            <w:pPr>
              <w:spacing w:after="0"/>
              <w:rPr>
                <w:sz w:val="10"/>
                <w:szCs w:val="10"/>
                <w:color w:val="auto"/>
              </w:rPr>
            </w:pPr>
          </w:p>
        </w:tc>
        <w:tc>
          <w:tcPr>
            <w:tcW w:w="880" w:type="dxa"/>
            <w:vAlign w:val="bottom"/>
            <w:tcBorders>
              <w:top w:val="single" w:sz="8" w:color="auto"/>
            </w:tcBorders>
            <w:gridSpan w:val="2"/>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4"/>
              </w:rPr>
              <w:t>(US$</w:t>
            </w:r>
          </w:p>
        </w:tc>
        <w:tc>
          <w:tcPr>
            <w:tcW w:w="460" w:type="dxa"/>
            <w:vAlign w:val="bottom"/>
            <w:tcBorders>
              <w:top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85"/>
              </w:rPr>
              <w:t>in</w:t>
            </w:r>
          </w:p>
        </w:tc>
        <w:tc>
          <w:tcPr>
            <w:tcW w:w="7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8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85"/>
              </w:rPr>
              <w:t>in</w:t>
            </w:r>
          </w:p>
        </w:tc>
        <w:tc>
          <w:tcPr>
            <w:tcW w:w="7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5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billing</w:t>
            </w:r>
            <w:r>
              <w:rPr>
                <w:rFonts w:ascii="Times New Roman" w:cs="Times New Roman" w:eastAsia="Times New Roman" w:hAnsi="Times New Roman"/>
                <w:sz w:val="11"/>
                <w:szCs w:val="11"/>
                <w:b w:val="1"/>
                <w:bCs w:val="1"/>
                <w:color w:val="auto"/>
                <w:w w:val="99"/>
              </w:rPr>
              <w:t>1</w:t>
            </w:r>
            <w:r>
              <w:rPr>
                <w:rFonts w:ascii="Times New Roman" w:cs="Times New Roman" w:eastAsia="Times New Roman" w:hAnsi="Times New Roman"/>
                <w:sz w:val="14"/>
                <w:szCs w:val="14"/>
                <w:b w:val="1"/>
                <w:bCs w:val="1"/>
                <w:color w:val="auto"/>
                <w:w w:val="99"/>
              </w:rPr>
              <w:t>)</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billing</w:t>
            </w:r>
            <w:r>
              <w:rPr>
                <w:rFonts w:ascii="Times New Roman" w:cs="Times New Roman" w:eastAsia="Times New Roman" w:hAnsi="Times New Roman"/>
                <w:sz w:val="11"/>
                <w:szCs w:val="11"/>
                <w:b w:val="1"/>
                <w:bCs w:val="1"/>
                <w:color w:val="auto"/>
                <w:w w:val="99"/>
              </w:rPr>
              <w:t>1</w:t>
            </w:r>
            <w:r>
              <w:rPr>
                <w:rFonts w:ascii="Times New Roman" w:cs="Times New Roman" w:eastAsia="Times New Roman" w:hAnsi="Times New Roman"/>
                <w:sz w:val="14"/>
                <w:szCs w:val="14"/>
                <w:b w:val="1"/>
                <w:bCs w:val="1"/>
                <w:color w:val="auto"/>
                <w:w w:val="99"/>
              </w:rPr>
              <w:t>)</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billing</w:t>
            </w:r>
            <w:r>
              <w:rPr>
                <w:rFonts w:ascii="Times New Roman" w:cs="Times New Roman" w:eastAsia="Times New Roman" w:hAnsi="Times New Roman"/>
                <w:sz w:val="11"/>
                <w:szCs w:val="11"/>
                <w:b w:val="1"/>
                <w:bCs w:val="1"/>
                <w:color w:val="auto"/>
                <w:w w:val="95"/>
              </w:rPr>
              <w:t>1</w:t>
            </w:r>
            <w:r>
              <w:rPr>
                <w:rFonts w:ascii="Times New Roman" w:cs="Times New Roman" w:eastAsia="Times New Roman" w:hAnsi="Times New Roman"/>
                <w:sz w:val="14"/>
                <w:szCs w:val="14"/>
                <w:b w:val="1"/>
                <w:bCs w:val="1"/>
                <w:color w:val="auto"/>
                <w:w w:val="95"/>
              </w:rPr>
              <w:t>)</w:t>
            </w: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billing</w:t>
            </w:r>
            <w:r>
              <w:rPr>
                <w:rFonts w:ascii="Times New Roman" w:cs="Times New Roman" w:eastAsia="Times New Roman" w:hAnsi="Times New Roman"/>
                <w:sz w:val="11"/>
                <w:szCs w:val="11"/>
                <w:b w:val="1"/>
                <w:bCs w:val="1"/>
                <w:color w:val="auto"/>
                <w:w w:val="99"/>
              </w:rPr>
              <w:t>1</w:t>
            </w:r>
            <w:r>
              <w:rPr>
                <w:rFonts w:ascii="Times New Roman" w:cs="Times New Roman" w:eastAsia="Times New Roman" w:hAnsi="Times New Roman"/>
                <w:sz w:val="14"/>
                <w:szCs w:val="14"/>
                <w:b w:val="1"/>
                <w:bCs w:val="1"/>
                <w:color w:val="auto"/>
                <w:w w:val="99"/>
              </w:rPr>
              <w:t>)</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billing</w:t>
            </w:r>
            <w:r>
              <w:rPr>
                <w:rFonts w:ascii="Times New Roman" w:cs="Times New Roman" w:eastAsia="Times New Roman" w:hAnsi="Times New Roman"/>
                <w:sz w:val="11"/>
                <w:szCs w:val="11"/>
                <w:b w:val="1"/>
                <w:bCs w:val="1"/>
                <w:color w:val="auto"/>
                <w:w w:val="99"/>
              </w:rPr>
              <w:t>1</w:t>
            </w:r>
            <w:r>
              <w:rPr>
                <w:rFonts w:ascii="Times New Roman" w:cs="Times New Roman" w:eastAsia="Times New Roman" w:hAnsi="Times New Roman"/>
                <w:sz w:val="14"/>
                <w:szCs w:val="14"/>
                <w:b w:val="1"/>
                <w:bCs w:val="1"/>
                <w:color w:val="auto"/>
                <w:w w:val="99"/>
              </w:rPr>
              <w:t>)</w:t>
            </w: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billing</w:t>
            </w:r>
            <w:r>
              <w:rPr>
                <w:rFonts w:ascii="Times New Roman" w:cs="Times New Roman" w:eastAsia="Times New Roman" w:hAnsi="Times New Roman"/>
                <w:sz w:val="11"/>
                <w:szCs w:val="11"/>
                <w:b w:val="1"/>
                <w:bCs w:val="1"/>
                <w:color w:val="auto"/>
                <w:w w:val="95"/>
              </w:rPr>
              <w:t>1</w:t>
            </w:r>
            <w:r>
              <w:rPr>
                <w:rFonts w:ascii="Times New Roman" w:cs="Times New Roman" w:eastAsia="Times New Roman" w:hAnsi="Times New Roman"/>
                <w:sz w:val="14"/>
                <w:szCs w:val="14"/>
                <w:b w:val="1"/>
                <w:bCs w:val="1"/>
                <w:color w:val="auto"/>
                <w:w w:val="95"/>
              </w:rPr>
              <w:t>)</w:t>
            </w:r>
          </w:p>
        </w:tc>
        <w:tc>
          <w:tcPr>
            <w:tcW w:w="0" w:type="dxa"/>
            <w:vAlign w:val="bottom"/>
          </w:tcPr>
          <w:p>
            <w:pPr>
              <w:spacing w:after="0"/>
              <w:rPr>
                <w:sz w:val="1"/>
                <w:szCs w:val="1"/>
                <w:color w:val="auto"/>
              </w:rPr>
            </w:pPr>
          </w:p>
        </w:tc>
      </w:tr>
      <w:tr>
        <w:trPr>
          <w:trHeight w:val="129"/>
        </w:trPr>
        <w:tc>
          <w:tcPr>
            <w:tcW w:w="21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Operating Metrics:</w:t>
            </w: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Gross billing</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58,315</w:t>
            </w: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60,359</w:t>
            </w: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61,138</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56,441</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46,879</w:t>
            </w: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2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56,541</w:t>
            </w: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160" w:type="dxa"/>
            <w:vAlign w:val="bottom"/>
            <w:shd w:val="clear" w:color="auto" w:fill="CCEEFF"/>
          </w:tcPr>
          <w:p>
            <w:pPr>
              <w:ind w:left="300"/>
              <w:spacing w:after="0" w:line="126" w:lineRule="exact"/>
              <w:rPr>
                <w:sz w:val="20"/>
                <w:szCs w:val="20"/>
                <w:color w:val="auto"/>
              </w:rPr>
            </w:pPr>
            <w:r>
              <w:rPr>
                <w:rFonts w:ascii="Times New Roman" w:cs="Times New Roman" w:eastAsia="Times New Roman" w:hAnsi="Times New Roman"/>
                <w:sz w:val="14"/>
                <w:szCs w:val="14"/>
                <w:color w:val="auto"/>
              </w:rPr>
              <w:t>Gross billing from mobile</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23,825</w:t>
            </w:r>
          </w:p>
        </w:tc>
        <w:tc>
          <w:tcPr>
            <w:tcW w:w="7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40.9</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26,546</w:t>
            </w:r>
          </w:p>
        </w:tc>
        <w:tc>
          <w:tcPr>
            <w:tcW w:w="7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44.0</w:t>
            </w: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33,585</w:t>
            </w: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54.9</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28,447</w:t>
            </w:r>
          </w:p>
        </w:tc>
        <w:tc>
          <w:tcPr>
            <w:tcW w:w="7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50.4</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24,993</w:t>
            </w:r>
          </w:p>
        </w:tc>
        <w:tc>
          <w:tcPr>
            <w:tcW w:w="7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53.3</w:t>
            </w: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38,038</w:t>
            </w:r>
          </w:p>
        </w:tc>
        <w:tc>
          <w:tcPr>
            <w:tcW w:w="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67.3</w:t>
            </w: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audience solutions</w:t>
            </w:r>
          </w:p>
        </w:tc>
        <w:tc>
          <w:tcPr>
            <w:tcW w:w="8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tcPr>
          <w:p>
            <w:pPr>
              <w:ind w:left="300"/>
              <w:spacing w:after="0" w:line="126" w:lineRule="exact"/>
              <w:rPr>
                <w:sz w:val="20"/>
                <w:szCs w:val="20"/>
                <w:color w:val="auto"/>
              </w:rPr>
            </w:pPr>
            <w:r>
              <w:rPr>
                <w:rFonts w:ascii="Times New Roman" w:cs="Times New Roman" w:eastAsia="Times New Roman" w:hAnsi="Times New Roman"/>
                <w:sz w:val="14"/>
                <w:szCs w:val="14"/>
                <w:color w:val="auto"/>
              </w:rPr>
              <w:t>Gross billing from other</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34,489</w:t>
            </w: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59.1</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33,813</w:t>
            </w: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56.0</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27,553</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45.1</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27,994</w:t>
            </w: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49.6</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21,886</w:t>
            </w: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46.7</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18,503</w:t>
            </w:r>
          </w:p>
        </w:tc>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32.7</w:t>
            </w:r>
          </w:p>
        </w:tc>
        <w:tc>
          <w:tcPr>
            <w:tcW w:w="0" w:type="dxa"/>
            <w:vAlign w:val="bottom"/>
          </w:tcPr>
          <w:p>
            <w:pPr>
              <w:spacing w:after="0"/>
              <w:rPr>
                <w:sz w:val="1"/>
                <w:szCs w:val="1"/>
                <w:color w:val="auto"/>
              </w:rPr>
            </w:pPr>
          </w:p>
        </w:tc>
      </w:tr>
      <w:tr>
        <w:trPr>
          <w:trHeight w:val="171"/>
        </w:trPr>
        <w:tc>
          <w:tcPr>
            <w:tcW w:w="2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solutions</w:t>
            </w:r>
          </w:p>
        </w:tc>
        <w:tc>
          <w:tcPr>
            <w:tcW w:w="8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Financial Metrics:</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revenues</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21,221</w:t>
            </w: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36.4</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24,048</w:t>
            </w: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39.8</w:t>
            </w: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24,704</w:t>
            </w:r>
          </w:p>
        </w:tc>
        <w:tc>
          <w:tcPr>
            <w:tcW w:w="7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40.4</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25,384</w:t>
            </w: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25,884</w:t>
            </w:r>
          </w:p>
        </w:tc>
        <w:tc>
          <w:tcPr>
            <w:tcW w:w="7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55.2</w:t>
            </w: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29,857</w:t>
            </w: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52.8</w:t>
            </w:r>
          </w:p>
        </w:tc>
        <w:tc>
          <w:tcPr>
            <w:tcW w:w="0" w:type="dxa"/>
            <w:vAlign w:val="bottom"/>
          </w:tcPr>
          <w:p>
            <w:pPr>
              <w:spacing w:after="0"/>
              <w:rPr>
                <w:sz w:val="1"/>
                <w:szCs w:val="1"/>
                <w:color w:val="auto"/>
              </w:rPr>
            </w:pPr>
          </w:p>
        </w:tc>
      </w:tr>
      <w:tr>
        <w:trPr>
          <w:trHeight w:val="126"/>
        </w:trPr>
        <w:tc>
          <w:tcPr>
            <w:tcW w:w="2160" w:type="dxa"/>
            <w:vAlign w:val="bottom"/>
            <w:shd w:val="clear" w:color="auto" w:fill="CCEEFF"/>
          </w:tcPr>
          <w:p>
            <w:pPr>
              <w:ind w:left="300"/>
              <w:spacing w:after="0" w:line="126" w:lineRule="exact"/>
              <w:rPr>
                <w:sz w:val="20"/>
                <w:szCs w:val="20"/>
                <w:color w:val="auto"/>
              </w:rPr>
            </w:pPr>
            <w:r>
              <w:rPr>
                <w:rFonts w:ascii="Times New Roman" w:cs="Times New Roman" w:eastAsia="Times New Roman" w:hAnsi="Times New Roman"/>
                <w:sz w:val="14"/>
                <w:szCs w:val="14"/>
                <w:color w:val="auto"/>
              </w:rPr>
              <w:t>Net revenues from mobile</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10,828</w:t>
            </w:r>
          </w:p>
        </w:tc>
        <w:tc>
          <w:tcPr>
            <w:tcW w:w="7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45.4</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13,688</w:t>
            </w:r>
          </w:p>
        </w:tc>
        <w:tc>
          <w:tcPr>
            <w:tcW w:w="7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51.6</w:t>
            </w: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17,501</w:t>
            </w:r>
          </w:p>
        </w:tc>
        <w:tc>
          <w:tcPr>
            <w:tcW w:w="7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52.1</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15,743</w:t>
            </w:r>
          </w:p>
        </w:tc>
        <w:tc>
          <w:tcPr>
            <w:tcW w:w="7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55.3</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18,170</w:t>
            </w:r>
          </w:p>
        </w:tc>
        <w:tc>
          <w:tcPr>
            <w:tcW w:w="7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72.7</w:t>
            </w: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24,092</w:t>
            </w:r>
          </w:p>
        </w:tc>
        <w:tc>
          <w:tcPr>
            <w:tcW w:w="5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63.3</w:t>
            </w: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audience solutions</w:t>
            </w:r>
          </w:p>
        </w:tc>
        <w:tc>
          <w:tcPr>
            <w:tcW w:w="8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60" w:type="dxa"/>
            <w:vAlign w:val="bottom"/>
          </w:tcPr>
          <w:p>
            <w:pPr>
              <w:ind w:left="300"/>
              <w:spacing w:after="0" w:line="126" w:lineRule="exact"/>
              <w:rPr>
                <w:sz w:val="20"/>
                <w:szCs w:val="20"/>
                <w:color w:val="auto"/>
              </w:rPr>
            </w:pPr>
            <w:r>
              <w:rPr>
                <w:rFonts w:ascii="Times New Roman" w:cs="Times New Roman" w:eastAsia="Times New Roman" w:hAnsi="Times New Roman"/>
                <w:sz w:val="14"/>
                <w:szCs w:val="14"/>
                <w:color w:val="auto"/>
              </w:rPr>
              <w:t>Net revenues from other</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10,393</w:t>
            </w: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30.1</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10,360</w:t>
            </w: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30.6</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7,203</w:t>
            </w: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26.1</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9,641</w:t>
            </w: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34.4</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7,714</w:t>
            </w: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35.2</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5,765</w:t>
            </w:r>
          </w:p>
        </w:tc>
        <w:tc>
          <w:tcPr>
            <w:tcW w:w="5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171"/>
        </w:trPr>
        <w:tc>
          <w:tcPr>
            <w:tcW w:w="216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solutions</w:t>
            </w:r>
          </w:p>
        </w:tc>
        <w:tc>
          <w:tcPr>
            <w:tcW w:w="8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Adjusted EBITDA</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(616)</w:t>
            </w: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(798)</w:t>
            </w: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(744)</w:t>
            </w: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8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(1,911)</w:t>
            </w: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88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88"/>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Adjusted net loss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(2,135)</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(3.7)</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(2,342)</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(3.9)</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(2,238)</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(3.7)</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(2,284)</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(4.0)</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(3,479)</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(7.4)</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(2,123)</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340" w:right="280" w:hanging="332"/>
        <w:spacing w:after="0" w:line="262" w:lineRule="auto"/>
        <w:tabs>
          <w:tab w:leader="none" w:pos="34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With respect to net revenues from mobile audience solutions and net revenues from other solutions, % of gross billing refers to the % of gross billing for mobile audience solutions or % of gross billing for other solutions, as the case may be.</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a reconciliation of our net loss to adjusted EBITDA for each of the quarters for the period between January 1, 2016 to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5740" w:type="dxa"/>
            <w:vAlign w:val="bottom"/>
          </w:tcPr>
          <w:p>
            <w:pPr>
              <w:spacing w:after="0"/>
              <w:rPr>
                <w:sz w:val="10"/>
                <w:szCs w:val="10"/>
                <w:color w:val="auto"/>
              </w:rPr>
            </w:pPr>
          </w:p>
        </w:tc>
        <w:tc>
          <w:tcPr>
            <w:tcW w:w="94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2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0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14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940" w:type="dxa"/>
            <w:vAlign w:val="bottom"/>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5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0" w:type="dxa"/>
            <w:vAlign w:val="bottom"/>
          </w:tcPr>
          <w:p>
            <w:pPr>
              <w:spacing w:after="0"/>
              <w:rPr>
                <w:sz w:val="10"/>
                <w:szCs w:val="10"/>
                <w:color w:val="auto"/>
              </w:rPr>
            </w:pPr>
          </w:p>
        </w:tc>
      </w:tr>
      <w:tr>
        <w:trPr>
          <w:trHeight w:val="173"/>
        </w:trPr>
        <w:tc>
          <w:tcPr>
            <w:tcW w:w="5740" w:type="dxa"/>
            <w:vAlign w:val="bottom"/>
          </w:tcPr>
          <w:p>
            <w:pPr>
              <w:spacing w:after="0"/>
              <w:rPr>
                <w:sz w:val="15"/>
                <w:szCs w:val="15"/>
                <w:color w:val="auto"/>
              </w:rPr>
            </w:pPr>
          </w:p>
        </w:tc>
        <w:tc>
          <w:tcPr>
            <w:tcW w:w="6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2016</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2017</w:t>
            </w:r>
          </w:p>
        </w:tc>
        <w:tc>
          <w:tcPr>
            <w:tcW w:w="3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5"/>
                <w:szCs w:val="15"/>
                <w:color w:val="auto"/>
              </w:rPr>
            </w:pPr>
          </w:p>
        </w:tc>
      </w:tr>
      <w:tr>
        <w:trPr>
          <w:trHeight w:val="142"/>
        </w:trPr>
        <w:tc>
          <w:tcPr>
            <w:tcW w:w="5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40" w:type="dxa"/>
            <w:vAlign w:val="bottom"/>
            <w:gridSpan w:val="4"/>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(7,972)</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(1,795)</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(18,949)</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(12,004)</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(10,241)</w:t>
            </w:r>
          </w:p>
        </w:tc>
      </w:tr>
      <w:tr>
        <w:trPr>
          <w:trHeight w:val="203"/>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Add/(less):</w:t>
            </w: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3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1,432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100" w:type="dxa"/>
            <w:vAlign w:val="bottom"/>
            <w:shd w:val="clear" w:color="auto" w:fill="CCEEFF"/>
          </w:tcPr>
          <w:p>
            <w:pPr>
              <w:spacing w:after="0"/>
              <w:rPr>
                <w:sz w:val="17"/>
                <w:szCs w:val="17"/>
                <w:color w:val="auto"/>
              </w:rPr>
            </w:pPr>
          </w:p>
        </w:tc>
      </w:tr>
      <w:tr>
        <w:trPr>
          <w:trHeight w:val="203"/>
        </w:trPr>
        <w:tc>
          <w:tcPr>
            <w:tcW w:w="5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3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32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145</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7"/>
                <w:szCs w:val="17"/>
                <w:color w:val="auto"/>
              </w:rPr>
            </w:pPr>
          </w:p>
        </w:tc>
      </w:tr>
      <w:tr>
        <w:trPr>
          <w:trHeight w:val="216"/>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 (benefit)/expense</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(82)</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(47)</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(111)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(9)</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shd w:val="clear" w:color="auto" w:fill="CCEEFF"/>
          </w:tcPr>
          <w:p>
            <w:pPr>
              <w:spacing w:after="0"/>
              <w:rPr>
                <w:sz w:val="18"/>
                <w:szCs w:val="18"/>
                <w:color w:val="auto"/>
              </w:rPr>
            </w:pPr>
          </w:p>
        </w:tc>
      </w:tr>
      <w:tr>
        <w:trPr>
          <w:trHeight w:val="203"/>
        </w:trPr>
        <w:tc>
          <w:tcPr>
            <w:tcW w:w="5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EBITDA</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32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(6,428)</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(301)</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(16,747)</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(10,436)</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(8,088)</w:t>
            </w:r>
          </w:p>
        </w:tc>
      </w:tr>
      <w:tr>
        <w:trPr>
          <w:trHeight w:val="203"/>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w:t>
            </w: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5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Share-based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18,458</w:t>
            </w:r>
          </w:p>
        </w:tc>
        <w:tc>
          <w:tcPr>
            <w:tcW w:w="3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1,062</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tcPr>
          <w:p>
            <w:pPr>
              <w:spacing w:after="0"/>
              <w:rPr>
                <w:sz w:val="18"/>
                <w:szCs w:val="18"/>
                <w:color w:val="auto"/>
              </w:rPr>
            </w:pPr>
          </w:p>
        </w:tc>
      </w:tr>
      <w:tr>
        <w:trPr>
          <w:trHeight w:val="219"/>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Fair value loss/(gain) on derivative liabilities</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(4,366)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(1,674)</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(2,498)</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7,430</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7,297</w:t>
            </w:r>
          </w:p>
        </w:tc>
        <w:tc>
          <w:tcPr>
            <w:tcW w:w="100" w:type="dxa"/>
            <w:vAlign w:val="bottom"/>
            <w:shd w:val="clear" w:color="auto" w:fill="CCEEFF"/>
          </w:tcPr>
          <w:p>
            <w:pPr>
              <w:spacing w:after="0"/>
              <w:rPr>
                <w:sz w:val="19"/>
                <w:szCs w:val="19"/>
                <w:color w:val="auto"/>
              </w:rPr>
            </w:pPr>
          </w:p>
        </w:tc>
      </w:tr>
      <w:tr>
        <w:trPr>
          <w:trHeight w:val="203"/>
        </w:trPr>
        <w:tc>
          <w:tcPr>
            <w:tcW w:w="5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Share of loss from an equity investee</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Compensation in relation to the acquisition of OptAim</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gains/(losses), net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(96)</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32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33</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w:t>
            </w:r>
          </w:p>
        </w:tc>
      </w:tr>
      <w:tr>
        <w:trPr>
          <w:trHeight w:val="27"/>
        </w:trPr>
        <w:tc>
          <w:tcPr>
            <w:tcW w:w="57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5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Adjusted EBITDA</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(616)</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(798)</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(744)</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(82)</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(1,911)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20"/>
          </w:cols>
          <w:pgMar w:left="240" w:top="455" w:right="2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a reconciliation of our net loss to adjusted net loss for each of the quarters for the period between January 1, 2016 to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17"/>
        </w:trPr>
        <w:tc>
          <w:tcPr>
            <w:tcW w:w="5460" w:type="dxa"/>
            <w:vAlign w:val="bottom"/>
          </w:tcPr>
          <w:p>
            <w:pPr>
              <w:spacing w:after="0"/>
              <w:rPr>
                <w:sz w:val="10"/>
                <w:szCs w:val="10"/>
                <w:color w:val="auto"/>
              </w:rPr>
            </w:pPr>
          </w:p>
        </w:tc>
        <w:tc>
          <w:tcPr>
            <w:tcW w:w="96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60" w:type="dxa"/>
            <w:vAlign w:val="bottom"/>
            <w:gridSpan w:val="2"/>
          </w:tcPr>
          <w:p>
            <w:pPr>
              <w:jc w:val="right"/>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0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180" w:type="dxa"/>
            <w:vAlign w:val="bottom"/>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0" w:type="dxa"/>
            <w:vAlign w:val="bottom"/>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4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20" w:type="dxa"/>
            <w:vAlign w:val="bottom"/>
          </w:tcPr>
          <w:p>
            <w:pPr>
              <w:spacing w:after="0"/>
              <w:rPr>
                <w:sz w:val="10"/>
                <w:szCs w:val="10"/>
                <w:color w:val="auto"/>
              </w:rPr>
            </w:pPr>
          </w:p>
        </w:tc>
      </w:tr>
      <w:tr>
        <w:trPr>
          <w:trHeight w:val="173"/>
        </w:trPr>
        <w:tc>
          <w:tcPr>
            <w:tcW w:w="5460" w:type="dxa"/>
            <w:vAlign w:val="bottom"/>
          </w:tcPr>
          <w:p>
            <w:pPr>
              <w:spacing w:after="0"/>
              <w:rPr>
                <w:sz w:val="15"/>
                <w:szCs w:val="15"/>
                <w:color w:val="auto"/>
              </w:rPr>
            </w:pPr>
          </w:p>
        </w:tc>
        <w:tc>
          <w:tcPr>
            <w:tcW w:w="6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2016</w:t>
            </w:r>
          </w:p>
        </w:tc>
        <w:tc>
          <w:tcPr>
            <w:tcW w:w="3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2016</w:t>
            </w: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5"/>
                <w:szCs w:val="15"/>
                <w:color w:val="auto"/>
              </w:rPr>
            </w:pPr>
          </w:p>
        </w:tc>
      </w:tr>
      <w:tr>
        <w:trPr>
          <w:trHeight w:val="142"/>
        </w:trPr>
        <w:tc>
          <w:tcPr>
            <w:tcW w:w="5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380" w:type="dxa"/>
            <w:vAlign w:val="bottom"/>
            <w:gridSpan w:val="4"/>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1,386</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(7,972)</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(1,795)</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(18,949)</w:t>
            </w: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(12,004)</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(10,241)</w:t>
            </w: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941</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922</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923</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18,458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861</w:t>
            </w: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loss/(gain) on derivative liabilities</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(4,366)</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4,543</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(1,674)</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(2,498)</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20" w:type="dxa"/>
            <w:vAlign w:val="bottom"/>
          </w:tcPr>
          <w:p>
            <w:pPr>
              <w:spacing w:after="0"/>
              <w:rPr>
                <w:sz w:val="18"/>
                <w:szCs w:val="18"/>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 of loss from an equity investee</w:t>
            </w:r>
          </w:p>
        </w:tc>
        <w:tc>
          <w:tcPr>
            <w:tcW w:w="9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in relation to the acquisition of OptAim</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gains/(losses), net</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165</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308</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 net loss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3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2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We have experienced seasonality in our gross billing, mainly reflecting seasonal fluctuations of the online marketing business, which may be affected by the online spending cycles of consumers and marketers’ practices in marketing budget allocation. Please refer to “— Key Factors Affecting Our Results of Operations — Seasonality”. The seasonal trends that we have experienced in the past may not apply to, or be indicative of, our future operating results.</w:t>
      </w:r>
    </w:p>
    <w:p>
      <w:pPr>
        <w:spacing w:after="0" w:line="17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In addition, as we continued to optimize the customer base for our other solutions to focus on sales profitability and liquidity, we may experience decrease in gross billing for a particular period. Furthermore, our ability to retain and attract customers may be affected by the competitiveness of our pricing and credit terms for our customers, which, in turn, may be constrained by our capital and financial resources for a particular period. Please refer to “Risk Factors — Risks Related to Our Business and Industry — We have experienced fluctuation in growth in recent periods, and our historical growth rates may not be indicative of our future growth.” and “— Failure to retain existing customers or attract new ones could adversely impact our business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and Working Capital</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To date, we have financed our operations primarily through the issuance of shares in private placements and bank financing. As of June 30, 2017, we had US$28.2 million in cash and cash equivalents, and borrowing capacity of US$11.9 million under our revolving credit facilities and term loan facilities of a total principal amount of US$21.6 million. As of June 30, 2017, our cash and cash equivalents primarily consisted of cash on hand, cash held at bank, and time deposits placed with banks or other financial institutions, which have original maturities of three months or less. As of June 30, 2017, we had violated certain financial covenants with respect to our bank borrowings extended by a bank, however, we are in the process to obtain the necessary waiver letters such that the bank would not demand immediate repayment. We believe that our current cash and cash equivalents, together with the borrowing capacity under our revolving credit facilities and the term loan facility and anticipated proceeds from this offering will be sufficient to meet our anticipated working capital requirements and capital expenditures for the 12 months following this offering. We may, however, need additional capital in the future to fund our continued operations. If we determine that our cash requirements exceed our available financial resources, we may seek to issue equity or debt securities or obtain credit facilities. The issuance and sale of additional equity would result in further dilution to our shareholders. The incurrence of indebtedness would result in increased fixed obligations and could result in operating and financial covenants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20"/>
          </w:cols>
          <w:pgMar w:left="240" w:top="455" w:right="2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might restrict our operations. We cannot assure you that financing will be available in amounts or on terms acceptable to us, if at all.</w:t>
      </w:r>
    </w:p>
    <w:p>
      <w:pPr>
        <w:spacing w:after="0" w:line="225"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In addition, although we consolidate the results of our consolidated VIE and its subsidiary, we only have access to the assets or earnings of our consolidated VIE and its subsidiary through our contractual arrangements with our consolidated VIE and its shareholders. See “Corporate History and Structure.” For restrictions and limitations on liquidity and capital resources as a result of our corporate structure, see “— Holding Company Structure.” A substantial amount of our future revenues are likely to be denominated in Renminbi. Under existing PRC foreign exchange regulations, payments of current account items, including profit distributions, interest payments and trade and service-related foreign exchange transactions, can be made in foreign currencies without prior approval from the SAFE as long as certain routine procedural requirements are fulfilled. However, approval from or registration with competent government authorities is required where Renminbi is to be converted into foreign currency and remitted out of China to pay capital expenses such as the repayment of loans denominated in foreign currencies. The PRC government may at its discretion restrict access to foreign currencies for current account transactions or change the foreign exchange control policy in the future. In addition, current PRC regulations permit our PRC subsidiary to pay dividends to us only out of its accumulated profits, if any, determined in accordance with Chinese accounting standards and regulations. Our PRC subsidiary is required to set aside at least 10% of its after-tax profits after making up previous years’ accumulated losses each year, if any, to fund certain reserve funds until the total amount set aside reaches 50% of its registered capital. These reserves are not distributable as cash dividends. Furthermore, capital account transactions, which include foreign direct investment and loans, must be approved by and/or registered with the SAFE and its local branches. See “Risk Factors — Risks Relating to Doing Business in China — Governmental control of currency conversion may limit our ability to utilize our revenues effectively and affect the value of your investment.”</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periods indicated:</w:t>
      </w:r>
    </w:p>
    <w:p>
      <w:pPr>
        <w:spacing w:after="0" w:line="24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256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74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8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Borders>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94"/>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9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5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0" w:type="dxa"/>
            <w:vAlign w:val="bottom"/>
            <w:gridSpan w:val="3"/>
          </w:tcPr>
          <w:p>
            <w:pPr>
              <w:jc w:val="right"/>
              <w:ind w:right="754"/>
              <w:spacing w:after="0" w:line="142"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Consolidated Cash Flow Data:</w:t>
            </w:r>
          </w:p>
        </w:tc>
        <w:tc>
          <w:tcPr>
            <w:tcW w:w="1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cash from/(used in) operating activities</w:t>
            </w:r>
          </w:p>
        </w:tc>
        <w:tc>
          <w:tcPr>
            <w:tcW w:w="114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(9,797)</w:t>
            </w: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(3,907)</w:t>
            </w:r>
          </w:p>
        </w:tc>
        <w:tc>
          <w:tcPr>
            <w:tcW w:w="1180" w:type="dxa"/>
            <w:vAlign w:val="bottom"/>
          </w:tcPr>
          <w:p>
            <w:pPr>
              <w:jc w:val="right"/>
              <w:ind w:right="314"/>
              <w:spacing w:after="0"/>
              <w:rPr>
                <w:sz w:val="20"/>
                <w:szCs w:val="20"/>
                <w:color w:val="auto"/>
              </w:rPr>
            </w:pPr>
            <w:r>
              <w:rPr>
                <w:rFonts w:ascii="Times New Roman" w:cs="Times New Roman" w:eastAsia="Times New Roman" w:hAnsi="Times New Roman"/>
                <w:sz w:val="18"/>
                <w:szCs w:val="18"/>
                <w:color w:val="auto"/>
              </w:rPr>
              <w:t>(2,219)</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2,514</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from/(used in) investing activities</w:t>
            </w:r>
          </w:p>
        </w:tc>
        <w:tc>
          <w:tcPr>
            <w:tcW w:w="114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(18,095)</w:t>
            </w: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(3,710)</w:t>
            </w:r>
          </w:p>
        </w:tc>
        <w:tc>
          <w:tcPr>
            <w:tcW w:w="11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577</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1,940</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114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(2,612)</w:t>
            </w: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24,564</w:t>
            </w:r>
          </w:p>
        </w:tc>
        <w:tc>
          <w:tcPr>
            <w:tcW w:w="118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2,140</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(3,339)</w:t>
            </w:r>
          </w:p>
        </w:tc>
      </w:tr>
      <w:tr>
        <w:trPr>
          <w:trHeight w:val="23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exchange rate changes on cash and cash equivalents</w:t>
            </w:r>
          </w:p>
        </w:tc>
        <w:tc>
          <w:tcPr>
            <w:tcW w:w="114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(232)</w:t>
            </w:r>
          </w:p>
        </w:tc>
        <w:tc>
          <w:tcPr>
            <w:tcW w:w="14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(62)</w:t>
            </w:r>
          </w:p>
        </w:tc>
        <w:tc>
          <w:tcPr>
            <w:tcW w:w="118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8"/>
                <w:szCs w:val="18"/>
                <w:color w:val="auto"/>
              </w:rPr>
              <w:t>(64)</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114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(30,504)</w:t>
            </w: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16,947</w:t>
            </w:r>
          </w:p>
        </w:tc>
        <w:tc>
          <w:tcPr>
            <w:tcW w:w="118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498</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1,115</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11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41,131</w:t>
            </w: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10,395</w:t>
            </w:r>
          </w:p>
        </w:tc>
        <w:tc>
          <w:tcPr>
            <w:tcW w:w="11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10,395</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27,280</w:t>
            </w: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end of period</w:t>
            </w:r>
          </w:p>
        </w:tc>
        <w:tc>
          <w:tcPr>
            <w:tcW w:w="114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10,395</w:t>
            </w: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27,280</w:t>
            </w:r>
          </w:p>
        </w:tc>
        <w:tc>
          <w:tcPr>
            <w:tcW w:w="1180" w:type="dxa"/>
            <w:vAlign w:val="bottom"/>
          </w:tcPr>
          <w:p>
            <w:pPr>
              <w:jc w:val="right"/>
              <w:ind w:right="374"/>
              <w:spacing w:after="0"/>
              <w:rPr>
                <w:sz w:val="20"/>
                <w:szCs w:val="20"/>
                <w:color w:val="auto"/>
              </w:rPr>
            </w:pPr>
            <w:r>
              <w:rPr>
                <w:rFonts w:ascii="Times New Roman" w:cs="Times New Roman" w:eastAsia="Times New Roman" w:hAnsi="Times New Roman"/>
                <w:sz w:val="18"/>
                <w:szCs w:val="18"/>
                <w:color w:val="auto"/>
              </w:rPr>
              <w:t>10,829</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28,223</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amounted to US$2.5 million in the six months ended June 30, 2017, which was mainly attributable to a net loss of US$22.2 million, partially offset by a net increase in working capital of US$5.5 million and non-cash items of US$19.3 million. The net increase in working capital of US$5.5 million was primarily attributable to a decrease in prepaid media costs of US$13.5 million and a decrease in accounts receivable of US$2.5 million, partially offset by a decrease in accounts payable of US$5.6 million, a decrease in accrued liabilities and other current liabilities of US$3.9 million and a decrease in deferred revenue of US$2.4 million. The decrease in prepaid media costs of US$13.5 million was primarily driven by a decrease in prepaid media cost under our sales agency model. We prepaid more media cost to the publisher under our sales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400"/>
          </w:cols>
          <w:pgMar w:left="240" w:top="455" w:right="2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agency model towards the end of 2016 to secure favorable rates for our incentive revenue as we had additional liquidity following our issuance of series E convertible redeemable shares in December 2016. The non-cash items of US$19.3 million were primarily attributable to fair value loss on derivative liabilities of US$14.7 million due to an increase in our enterprise value as a result of a decrease in lack of marketability discount as we are approaching an initial public offering, amortization of intangible assets of US$2.1 million relating to intangible asset and share-based compensation of US$1.9 million.</w:t>
      </w:r>
    </w:p>
    <w:p>
      <w:pPr>
        <w:spacing w:after="0" w:line="180"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amounted to US$3.9 million in 2016, which was mainly attributable to a net loss of $27.3 million, partially offset by a net increase in working capital of US$1.3 million and non-cash items of US$22.1 million. The net increase in working capital of US$1.3 million was primarily attributable to a increase in deferred revenue of US$10.8 million, and increase in income tax payable of US$1.9 million and a decrease in rebates receivables of US$1.4 million, partially offset by an increase in prepaid media cost of US$9.6 million and an increase in accounts receivable of</w:t>
      </w:r>
    </w:p>
    <w:p>
      <w:pPr>
        <w:spacing w:after="0" w:line="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US$2.3 million. The increase in deferred revenue of US$10.8 million was primarily driven by an increase in receipt in advance from customers. The increase in prepaid media cost of US$9.6 million was primarily driven by an increase in prepaid media cost under our sales agency model towards the end of 2016 to secure favorable rates for our incentive revenue as we had additional liquidity following our issuance of Series E convertible redeemable shares in December 2016. The non-cash items of US$22.1 million were primarily attributable to share-based compensation of US$21.2 million in relation to our share based payment to one of our founders and certain members of OptAim management team of US$17.6 million and employees of US$3.6 million in 2016, and amortization of intangible assets of US$4.3 million relating to intangible assets, partially offset by fair value gain on derivative financial instruments of US$4.0 million.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cash used in operating activities was US$9.8 million in 2015, which was mainly attributable to a net loss of $39.7 million, partially offset by a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working capital of US$1.6 million and non-cash items of US$28.4 million. The net increase in working capital of US$1.6 million was primarily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attributable to an increase in accrued liabilities and other current liabilities of US$9.3 million and a decrease in prepaid media costs of US$8.1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primarily by an increase in accounts receivable of US$13.7 million. The increase in accrued liabilities and other current liabilities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US$9.3 million was primarily driven by an increase in rebate provision to customers and accrued expenses. The increase in accounts receivable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US$13.7 million was commensurate with the growth of our gross billing. The non-cash items of US$28.4 million were mainly attributable to fair value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derivative financial instruments of US$19.4 million, share-based compensation of US$6.5 million and amortization of intangible assets of US$2.0 million.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in the six months ended June 30, 2017 was US$1.9 million, due to a decrease in restricted cash of US$3.2 million, partially offset by an increase in short-term investments of US$1.2 million.</w:t>
      </w:r>
    </w:p>
    <w:p>
      <w:pPr>
        <w:spacing w:after="0" w:line="162"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2016 was US$3.7 million, due to an increase in restricted cash of US$4.2 million as we incurred more bank borrowings in 2016, and purchase of property and equipment of US$1.0 million, partially offset by a decrease in short-term investments of US$1.6 million.</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2015 was US$18.1 million. This primarily consisted of US$14.5 million acquisition cost of subsidiaries, net of cash received related to the payment of cash consideration for our acquisition of OptAim and purchase of property and equipment of US$2.6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 the six months ended June 30, 2017 was US$3.3 million, which was primarily attributable to repayments from bank borrowings of US$3.4 million.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420"/>
          </w:cols>
          <w:pgMar w:left="240" w:top="455" w:right="23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in 2016 was US$24.6 million, which was primarily attributable to US$20.0 million of proceeds from issuance of series E convertible redeemable preferred shares and US$8.2 million of proceeds from bank borrowings, partially offset by repayment of bank borrowings of US$3.8 million.</w:t>
      </w:r>
    </w:p>
    <w:p>
      <w:pPr>
        <w:spacing w:after="0" w:line="17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in 2015 was US$2.6 million. This was primarily attributable to US$15.0 million of remaining proceeds from issuance of series D convertible redeemable preferred shares, US$7.6 million of proceeds from bank borrowings and US$0.3 million of proceeds from exercise of share options. These were partially offset by the repurchase of ordinary shares in an amount of US$11.6 million, the repurchase of Series B convertible redeemable preferred shares in an amount of US$11.6 million, repayment of bank borrowings in an amount of US$1.6 million and repayment of a loan provided by our director in an amount of US$0.6 million.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We made capital expenditures of US$2.7 million, US$0.9 million, US$0.4 million and US$0.1 million in 2015, 2016 and the six months ended June 30, 2016 and 2017, respectively. In these periods, our capital expenditures were mainly used for the purchase of property and equipment and purchase of software. Our capital expenditures for the second half of 2017 are expected to be approximately US$1.0 million, consisting primarily of expenditures related to the purchase of property and equipment and purchase of software. We will continue to make capital expenditures to support our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and commercial commitments as of December 31, 2016: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4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118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1020" w:type="dxa"/>
            <w:vAlign w:val="bottom"/>
            <w:gridSpan w:val="2"/>
          </w:tcPr>
          <w:p>
            <w:pPr>
              <w:jc w:val="center"/>
              <w:ind w:left="500"/>
              <w:spacing w:after="0" w:line="118" w:lineRule="exact"/>
              <w:rPr>
                <w:sz w:val="20"/>
                <w:szCs w:val="20"/>
                <w:color w:val="auto"/>
              </w:rPr>
            </w:pPr>
            <w:r>
              <w:rPr>
                <w:rFonts w:ascii="Times New Roman" w:cs="Times New Roman" w:eastAsia="Times New Roman" w:hAnsi="Times New Roman"/>
                <w:sz w:val="13"/>
                <w:szCs w:val="13"/>
                <w:b w:val="1"/>
                <w:bCs w:val="1"/>
                <w:color w:val="auto"/>
              </w:rPr>
              <w:t>1-</w:t>
            </w:r>
          </w:p>
        </w:tc>
        <w:tc>
          <w:tcPr>
            <w:tcW w:w="640" w:type="dxa"/>
            <w:vAlign w:val="bottom"/>
          </w:tcPr>
          <w:p>
            <w:pPr>
              <w:spacing w:after="0"/>
              <w:rPr>
                <w:sz w:val="10"/>
                <w:szCs w:val="10"/>
                <w:color w:val="auto"/>
              </w:rPr>
            </w:pPr>
          </w:p>
        </w:tc>
        <w:tc>
          <w:tcPr>
            <w:tcW w:w="460" w:type="dxa"/>
            <w:vAlign w:val="bottom"/>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3-</w:t>
            </w:r>
          </w:p>
        </w:tc>
        <w:tc>
          <w:tcPr>
            <w:tcW w:w="62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6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3"/>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(US$ in thousands)</w:t>
            </w:r>
          </w:p>
        </w:tc>
        <w:tc>
          <w:tcPr>
            <w:tcW w:w="4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1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3,500</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2,065</w:t>
            </w:r>
          </w:p>
        </w:tc>
        <w:tc>
          <w:tcPr>
            <w:tcW w:w="166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1,435</w:t>
            </w: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Debt obligation, including interest</w:t>
            </w:r>
          </w:p>
        </w:tc>
        <w:tc>
          <w:tcPr>
            <w:tcW w:w="11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13,555</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13,471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4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17,055</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15,536</w:t>
            </w:r>
          </w:p>
        </w:tc>
        <w:tc>
          <w:tcPr>
            <w:tcW w:w="166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1,519</w:t>
            </w: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456"/>
        <w:spacing w:after="0" w:line="313" w:lineRule="auto"/>
        <w:rPr>
          <w:sz w:val="20"/>
          <w:szCs w:val="20"/>
          <w:color w:val="auto"/>
        </w:rPr>
      </w:pPr>
      <w:r>
        <w:rPr>
          <w:rFonts w:ascii="Times New Roman" w:cs="Times New Roman" w:eastAsia="Times New Roman" w:hAnsi="Times New Roman"/>
          <w:sz w:val="17"/>
          <w:szCs w:val="17"/>
          <w:color w:val="auto"/>
        </w:rPr>
        <w:t>Our operating lease obligations relate to our leases of office premises. We lease our office premises under a non-cancelable operating lease arrangement. Rental expenses under operating leases for 2016 and the six months ended June 30, 2017 were US$3.0 million and US$1.3 million, respectively.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In December 2015, we entered into a facility agreement for working capital loans with SPD Silicon Valley Bank, which was most recently amended in August 2017. Pursuant to the agreement as amended, we were granted a one-year revolving line of credit up to the lesser of (a) RMB50 million (US$7.4 million) and (b) a borrowing base equal to 70% of eligible accounts receivable (as defined in the agreement). The agreement as amended provides for customary representations, warranties, affirmative and negative covenants and events of default. The agreement as amended also includes a financial covenant that requires that we meet certain minimum monthly adjusted quick ratio and minimum quarterly EBITDA. We provided corporate guarantee and a maximum amount of RMB60 million (US$8.9 million) account receivables as pledge to secure our obligation to SPD Silicon Valley Bank. The interest rate of this facility is the benchmark interest rate determined by the People’s Bank of China for loans over one year granted by financial institutions plus 1.65% per annum. We are required to make monthly interest payments through December 2018, when the loan matures and the principal is due and payable. We are allowed to voluntarily prepay the loan without prepayment charges. As of June 30, 2017, the total outstanding amount of the revolving loan was RMB30 million (US$4.4 million) and RMB20 million (US$3.0 million) was available to be drawn under this facility.</w:t>
      </w:r>
    </w:p>
    <w:p>
      <w:pPr>
        <w:spacing w:after="0" w:line="1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420"/>
          </w:cols>
          <w:pgMar w:left="240" w:top="455" w:right="23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In December 2015, we entered into a facility agreement for working capital loans with SPD Silicon Valley Bank, which was most recently amended in March 2017. Pursuant to the agreement as amended, we were provided with a US$2 million term loan and a revolving line of credit up to the lesser of</w:t>
      </w:r>
    </w:p>
    <w:p>
      <w:pPr>
        <w:ind w:firstLine="8"/>
        <w:spacing w:after="0" w:line="251" w:lineRule="auto"/>
        <w:tabs>
          <w:tab w:leader="none" w:pos="2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US$3 million and (b) a borrowing base equal to 80% of eligible accounts receivable (as defined in the agreement). The agreement as amended provides for customary representations, warranties, affirmative and negative covenants and events of default. The agreement as amended also includes a financial covenant that requires that we meet certain minimum monthly adjusted quick ratio, minimum quarterly EBITDA and minimum month-end unrestricted cash balance. We provided corporate guarantee and debentures constituting a floating charge over all assets of certain of our subsidiaries to secure our obligation to SPD Silicon Valley Bank. The interest rate for the term loan facility is the benchmark interest rate determined by three-month LIBOR plus 7.00% per annum, and we are required to make equal monthly payments of principal plus accrued interest through January 2018. We will be charged a prepayment fee if we prepay the term loan before the maturity date. As of June 30, 2017, the total outstanding amount of the term loan was approximately US$0.6 million and no further amounts were available to be drawn under this facility. The interest rate of the revolving loan is the benchmark interest rate determined by three-month LIBOR plus 5.75% per annum, and we are required to make monthly interest payments through December 2017, when the loan matures and the principal is due and payable. We are allowed to voluntarily prepay the revolving loan without prepayment charges. As of June 30, 2017, the total outstanding amount under the revolving loan was US$2,950,000 and US$50,000 was available to be drawn under this facility. This loan also contains certain repayable on demand clause.</w:t>
      </w:r>
    </w:p>
    <w:p>
      <w:pPr>
        <w:spacing w:after="0" w:line="193"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May 2016, we entered into a facility agreement for working capital loans with Bangkok Bank, which was most recently amended in June 2017. Pursuant to the agreement as amended, we were provided with a RMB30 million (US$4.4 million) revolving line of credit. The agreement as amended provides for customary representations, warranties, affirmative and negative covenants and events of default. The agreement as amended does not include a financial covenant. Our obligations to Bangkok Bank are secured by a pledged deposit in US dollar equals to 105% of our total outstanding amount under this facility. The interest rate of this facility was the benchmark interest rate determined by the People’s Bank of China for loans over six months granted by financial institutions times 115% per annum. We are required to make monthly interest payments through May 2018, when the loan matures and the principal is due and payable. We will be charged a prepayment fee if we prepay the loan before the maturity date. As of June 30, 2017, we had no outstanding balance under this revolving loan.</w:t>
      </w:r>
    </w:p>
    <w:p>
      <w:pPr>
        <w:spacing w:after="0" w:line="18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In July 2016, we entered into a facility agreement for working capital loans with SPD Silicon Valley Bank, which provides for a RMB12 million</w:t>
      </w:r>
    </w:p>
    <w:p>
      <w:pPr>
        <w:spacing w:after="0" w:line="2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(US$1.8 million) one-year non-revolving loan. The agreement contains customary representations, warranties, affirmative and negative covenants and events of default. The agreement also includes a financial covenant that requires that we meet certain foreign debt quota coverage. Our obligations to Silicon Valley Bank are secured by a pledged deposit with an amount of US$2 million. The interest rate of this facility is the benchmark interest rate determined by the People’s Bank of China for loans over one year granted by financial institutions plus 0.435% per annum, and we are required to make monthly interest payments through July, 2017, when the loan matures and the principal is due and payable. We are allowed to voluntarily prepay the loan without prepayment charges. As of June 30, 2017, the total outstanding amount of the non-revolving loan was RMB12 million (US$1.8 million) and no further amounts were available to be drawn under that facility.</w:t>
      </w:r>
    </w:p>
    <w:p>
      <w:pPr>
        <w:spacing w:after="0" w:line="189"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March 2017, we entered into a facility agreement for working capital loans with Eastwest Bank, which provides for a RMB30 million (US$4.4 million) 18-month revolving loan. The agreement includes a financial covenant that requires that we meet certain minimum monthly bank statement balance, annual profit margin requirement and minimum monthly adjusted quick ratio. We provided corporate guarantee and account receivables as pledge to secure our obligations under this revolving loan. The interest rate of this facility is fixed at 5.75% per annum, and we are required to make payment of accrued interest every three months through September 2018, when the loan matures and principal is due and payable. We are required to reimburse the bank with any incurred cost allowance if we prepay the loan before the maturity date. As of June 30, 2017, we had not drawn down under this revolving loan.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420"/>
          </w:cols>
          <w:pgMar w:left="240" w:top="455" w:right="2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than those shown above, we did not have any significant capital and other commitments, long-term obligations, or guarantees as of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2017.</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that engages in leasing, hedging or product development services with us.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Prior to this offering, we have been a private company with limited accounting personnel and other resources with which to address our internal control and procedures over financial reporting. In the course of auditing our consolidated financial statements for the years ended December 31, 2015 and 2016, we and our independent registered public accounting firm identified two material weaknesses in our internal control over financial reporting, as well as other control deficiencies. As defined in the standards established by the PCAOB, a “material weakness” is a deficiency, or combination of deficiencies, in internal control over financial reporting, such that there is a reasonable possibility that a material misstatement of our company’s annual or interim financial statements will not be prevented or detected on a timely basis.</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These two material weaknesses identified relate to (1) the lack of sufficient accounting personnel with appropriate understanding of U.S. GAAP and SEC reporting requirements, and (2) the lack of a comprehensive accounting policies and procedures manual to facilitate preparation of U.S. GAAP financial statements, which inhibits our subsidiaries’ ability to prepare consolidation from local books based on PRC GAAP and Hong Kong Financial Reporting Standards to their U.S. GAAP basis information for group financial reporting and imposes a risk that adjustments to U.S. GAPP are not identified in a timely manner. Neither we nor our independent registered public accounting firm undertook a comprehensive assessment of our internal control under the Sarbanes-Oxley Act for purposes of identifying and reporting any weakness in our internal control over financial reporting. We and they are required to do so only after we become a public company.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185"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To remedy our identified material weaknesses, we have adopted a few measures to improve our internal control over financial reporting, including. In particular, we are in the process of hiring additional accounting staff with an appropriate understanding of U.S. GAAP and SEC reporting requirements. We also plan to establish a comprehensive accounting policies and procedures manual and provide internal training to accounting and operation staff in relation to these policies and procedures.</w:t>
      </w:r>
    </w:p>
    <w:p>
      <w:pPr>
        <w:spacing w:after="0" w:line="180"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remediate our material weaknesses in a timely manner. See “Risk Factors — Risks Related to Our Business — If we fail to implement and maintain an effective system of internal controls, we may be unable to accurately report our results of operations, meet our reporting obligations or prevent fraud.”</w:t>
      </w:r>
    </w:p>
    <w:p>
      <w:pPr>
        <w:spacing w:after="0" w:line="176"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400"/>
          </w:cols>
          <w:pgMar w:left="240" w:top="455" w:right="2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21"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iClick Interactive Asia Group Limited is a Cayman Islands exempted limited liability company, used as a holding company with no material operations of its own. We conduct our operations primarily through our wholly owned subsidiaries, our consolidated VIE and its subsidiary in China. As a result, our ability to pay dividends depends upon dividends paid by our PRC subsidiaries. If our PRC subsidiaries or any newly formed subsidiaries incur debt on their own behalf in the future, the instruments governing their debt may restrict their ability to pay dividends to us. In addition, our wholly owned subsidiaries are permitted to pay dividends to us only out of their retained earnings, if any, as determined in accordance with PRC accounting standards and regulations. Under PRC law, each of our wholly owned PRC subsidiaries and consolidated affiliated entities is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 companies, the reserve funds are not distributable as cash dividends except in the event of liquidation. Remittance of dividends by a wholly foreign-owned company out of China is subject to examination by the banks designated by the SAFE. We currently plan to reinvest all earnings from our PRC subsidiaries to their business developments and do not plan to request dividend distributions from them.</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121"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Since our inception, inflation in China has not materially affected our results of operations. According to the National Bureau of Statistics of China, the year-over-year percent increases in the consumer price index for December 2015 and 2016 were 1.6% and 1.9%, respectively. Although we have not been materially affected by inflation in the past, we may be affected if China experiences higher rates of inflation in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Foreign currency risk arises from future commercial transactions and recognized assets and liabilities. A significant portion of our revenue-generating transactions and expense-related transactions are denominated in Renminbi, which is the functional currency of our subsidiaries, VIE and its subsidiaries in China. Our commercial transactions outside China are primarily denominated in U.S. dollars and Hong Kong dollars, which are pegged to U.S. dollars. We do not hedge against currency risk.</w:t>
      </w:r>
    </w:p>
    <w:p>
      <w:pPr>
        <w:spacing w:after="0" w:line="180"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 value of Renminbi against the U.S. dollar and other currencies may fluctuate and is affected by, among other things, changes in political and economic conditions and the foreign exchange policy adopted by the PRC government. On July 21, 2005, the PRC government changed its policy of pegging the value of the Renminbi to the U.S. dollar. Following the removal of the U.S. dollar peg, the Renminbi appreciated more than 20% against the U.S. dollar over the following three years. Between July 2008 and June 2010, this appreciation halted and the exchange rate between the Renminbi and the U.S. dollar remained within a narrow band. Since June 2010, the PRC government has allowed the Renminbi to appreciate slowly against the U.S. dollar again, and it has appreciated more than 10% since June 2010. On August 11, 2015, the PBOC announced plans to improve the central parity rate of the RMB against the U.S. dollar by authorizing market-makers to provide parity to the China Foreign Exchange Trading Center operated by the PBOC with reference to the interbank foreign exchange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420"/>
          </w:cols>
          <w:pgMar w:left="240" w:top="455" w:right="2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market closing rate of the previous day, the supply and demand for foreign currencies as well as changes in exchange rates of major international currencies. Effective from October 1, 2016, the International Monetary Fund added Renminbi to its Special Drawing Rights currency basket. Such change and additional future changes may increase the volatility in the trading value of the Renminbi against foreign currencies. The PRC government may adopt further reforms of its exchange rate system, including making the Renminbi freely convertible in the future. Accordingly, it is difficult to predict how market forces or PRC or U.S. government policy may impact the exchange rate between Renminbi and the U.S. dollar in the future.</w:t>
      </w:r>
    </w:p>
    <w:p>
      <w:pPr>
        <w:spacing w:after="0" w:line="184"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or ADSs, servicing our outstanding debts, or for other business purposes, appreciation of the U.S. dollar against the Renminbi would reduce the U.S. dollar amounts available to us.</w:t>
      </w:r>
    </w:p>
    <w:p>
      <w:pPr>
        <w:spacing w:after="0" w:line="180"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As of December 31, 2016, we had Renminbi-denominated cash and cash equivalents, accounts receivable, prepaid cost and deferred revenue of RMB67.7 million, RMB159.0 million, RMB238.4 million and RMB167.9 million, respectively. We estimate that a 10% depreciation of Renminbi against the U.S. dollar based on the foreign exchange rate on December 31, 2016 would result in a change of our holding U.S. dollar equivalents of US$(0.9) million, US$(2.1) million, US$(3.1) million and US$2.2 million for cash and cash equivalents, accounts receivable, prepaid cost and deferred revenue, respectively. As of June 30, 2017, we had Renminbi-denominated cash and cash equivalents, accounts receivable, prepaid cost and deferred revenue of RMB49.8 million, RMB164.2 million, RMB145.1 million and RMB151.8 million, respectively. We estimate that a 10% depreciation of Renminbi against the U.S. dollar based on the foreign exchange rate on June 30, 2017 would result in a change of our holding U.S. dollar equivalents of US$(0.7) million, US$(2.1) million, US$(1.9) million and US$2.0 million for cash and cash equivalents, accounts receivable, prepaid cost and deferred revenue, respectively.</w:t>
      </w:r>
    </w:p>
    <w:p>
      <w:pPr>
        <w:spacing w:after="0" w:line="185"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 addition, we estimate that a 10% depreciation of Renminbi against the U.S. dollar based on the foreign exchange rate on December 31, 2015 would result in a decrease of US$3.1 million and US$1.9 million in our net revenues and cost of revenues in 2015, respectively, a 10% depreciation of Renminbi against the U.S. dollar based on the foreign exchange rate on December 31, 2016 would result in a decrease of US$6.7 million and US$5.3 million in our net revenues and cost of revenues in 2016, respectively, a 10% depreciation of Renminbi against the U.S. dollar based on the foreign exchange rate on June 30, 2017 would result in a decrease of US$3.3 million and US$2.6 million in our net revenues and cost of revenues in the six months ended June 30, 2016, respectively, and a 10% depreciation of Renminbi against the U.S. dollar based on the foreign exchange rate on June 30, 2017 would result in a decrease of US$4.6 million and US$4.1 million in our net revenues and cost of revenues in the six months ended June 30, 2017, respectively.</w:t>
      </w:r>
    </w:p>
    <w:p>
      <w:pPr>
        <w:spacing w:after="0" w:line="189"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Certain of our operating activities are transacted in HK dollars. We consider the foreign exchange risk in relation to transactions denominated in HK dollars with respect to U.S. dollars is not significant as HK dollar is pegged to U.S. dollar.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Our main interest rate exposure relates to bank borrowings. We also have interest-bearing assets, including cash and cash equivalents, short-term investments and restricted cash. We manage our interest rate exposure with a focus on reducing our overall cost of debt and exposure to changes in interest rates. All of the aggregate principal outstanding amount of our bank borrowings as of June 30, 2017 was at floating rates.</w:t>
      </w:r>
    </w:p>
    <w:p>
      <w:pPr>
        <w:spacing w:after="0" w:line="176"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As of December 31, 2016, if interest rates increased/decreased by 1%, with all other variables having remained constant, and assuming the amount of bank borrowings outstanding at the end of the year was outstanding for the entire year, our net loss would have been US$129,818 higher/lower, respectively. As of June</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360"/>
          </w:cols>
          <w:pgMar w:left="240" w:top="455" w:right="29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30, 2017, if interest rates increased/decreased by 1%, with all other variables having remained constant, and assuming the amount of bank borrowings outstanding at the end of the year was outstanding for the entire year, our net loss would have been US$95,950 higher/lower, respectively. These were mainly as a result of higher/lower interest expense for our bank borrowings at floating rates.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Recently Issued Accounting Standards</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(“ASU”) No. 2014-09, “Revenue from Contracts with Customers (Topic 606)” (“ASU 2014-09”). ASU 2014 -09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185"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184" w:lineRule="exact"/>
        <w:rPr>
          <w:sz w:val="20"/>
          <w:szCs w:val="20"/>
          <w:color w:val="auto"/>
        </w:rPr>
      </w:pPr>
    </w:p>
    <w:p>
      <w:pPr>
        <w:ind w:right="280" w:firstLine="456"/>
        <w:spacing w:after="0" w:line="258" w:lineRule="auto"/>
        <w:rPr>
          <w:sz w:val="20"/>
          <w:szCs w:val="20"/>
          <w:color w:val="auto"/>
        </w:rPr>
      </w:pPr>
      <w:r>
        <w:rPr>
          <w:rFonts w:ascii="Times New Roman" w:cs="Times New Roman" w:eastAsia="Times New Roman" w:hAnsi="Times New Roman"/>
          <w:sz w:val="18"/>
          <w:szCs w:val="18"/>
          <w:color w:val="auto"/>
        </w:rPr>
        <w:t>We will apply the new revenue standard beginning January 1, 2018 and will not early adopt. We will set up an implementation team to analyze each revenue stream in accordance with the new revenue standard to determine the impact on our consolidated financial statements. We plan to continue the evaluation, analysis and documentation of its adoption of ASU 2014-9 (including those subsequently issued updates that clarify its provisions) throughout 2017 as we work towards the implementation and finalizes our determination of the impact that the adoption will have on our consolidated financial statements.</w:t>
      </w:r>
    </w:p>
    <w:p>
      <w:pPr>
        <w:spacing w:after="0" w:line="184" w:lineRule="exact"/>
        <w:rPr>
          <w:sz w:val="20"/>
          <w:szCs w:val="20"/>
          <w:color w:val="auto"/>
        </w:rPr>
      </w:pPr>
    </w:p>
    <w:p>
      <w:pPr>
        <w:ind w:right="180" w:firstLine="456"/>
        <w:spacing w:after="0" w:line="255" w:lineRule="auto"/>
        <w:rPr>
          <w:sz w:val="20"/>
          <w:szCs w:val="20"/>
          <w:color w:val="auto"/>
        </w:rPr>
      </w:pPr>
      <w:r>
        <w:rPr>
          <w:rFonts w:ascii="Times New Roman" w:cs="Times New Roman" w:eastAsia="Times New Roman" w:hAnsi="Times New Roman"/>
          <w:sz w:val="18"/>
          <w:szCs w:val="18"/>
          <w:color w:val="auto"/>
        </w:rPr>
        <w:t>In February 2015, the FASB issued ASU No. 2015-02, “Consolidation (Topic 810): Amendments to the Consolidation Analysis” (“ASU 2015-02”). ASU 2015-02 focuses on the consolidation evaluation for 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 (ii) 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189"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ASU will be effective for periods beginning after December 15, 2016, for public companies. For public business entities, the amendments in this Update are effective for fiscal years beginning after December 15, 2017, including interim periods within those fiscal years. We adopted ASU 2015-02 on January 1, 2017, and the impact of the adoption did not have a material impact on our consolidated financial statements.</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400"/>
          </w:cols>
          <w:pgMar w:left="240" w:top="455" w:right="2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effective for publicly-traded companies for interim and annual periods beginning after December 15, 2016 (early adoption is permitted). We adopted ASU 2015-17 on January 1, 2017 and the impact of the adoption did not have a material impact on our consolidated financial statements.</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U.S. GAAP, which did not require lease assets and lease liabilities to be recognized for most leases.</w:t>
      </w:r>
    </w:p>
    <w:p>
      <w:pPr>
        <w:spacing w:after="0" w:line="180"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For public business entities, the amendments in this update are effective for fiscal years beginning after December 15, 2018, including interim periods within those fiscal years. We are in the process of evaluating the impact of the standard on our consolidated financial statements.</w:t>
      </w:r>
    </w:p>
    <w:p>
      <w:pPr>
        <w:spacing w:after="0" w:line="16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We are currently evaluating the impact of this standard will have on our consolidated financial statements.</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We do not expect ASU 2016-16 to have a material impact to our consolidated financial statements.</w:t>
      </w:r>
    </w:p>
    <w:p>
      <w:pPr>
        <w:spacing w:after="0" w:line="18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We currently do not expect ASU 2017-01 to have a material impact to our consolidated financial statements, but will apply the guidance upon adoption to business acquisitions, disposals and segment changes, if any.</w:t>
      </w:r>
    </w:p>
    <w:p>
      <w:pPr>
        <w:spacing w:after="0" w:line="1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 (c) classification on the statement of cash flows; (d) accounting for forfeitures of share-based payments. The ASU will be effective for fiscal years beginning after December 15, 2016, including interim periods within those fiscal years. We adopted ASU 2016-09 on January 1, 2017 and the impact of the adoption did not have a material impact on our consolidated financial statements.</w:t>
      </w:r>
    </w:p>
    <w:p>
      <w:pPr>
        <w:spacing w:after="0" w:line="188"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We are currently evaluating the impact of the adoption on our consolidated financial statements.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420"/>
          </w:cols>
          <w:pgMar w:left="240" w:top="455" w:right="2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 January 1, 2017. We are currently evaluating the impact of adopting this standard on our consolidated financial statements.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400"/>
          </w:cols>
          <w:pgMar w:left="240" w:top="455" w:right="2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27"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All the information and data presented in this section have been derived from Frost &amp; Sullivan’s industry report dated August, 2017 entitled “China Online Marketing Market Independent Market Research”, unless otherwise noted. Frost &amp; Sullivan has advised us that the statistical and graphical information contained herein is drawn from its database and other sources. The following discussion includes projections for future growth, which may not occur at the rates that are projected or at all.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China’s Online Marketing Market</w:t>
      </w:r>
    </w:p>
    <w:p>
      <w:pPr>
        <w:spacing w:after="0" w:line="121"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Benefiting from its rapid economic growth and increasing domestic consumption in the past decades, China has the world’s second largest marketing industry with a market size of RMB924.3 billion in 2016, as measured by total marketing spend, growing from RMB697.2 billion in 2012 with a CAGR of 7.3%. It is expected to reach RMB1,371.4 billion in 2021, representing a CAGR of 8.2% from 2016 to 2021.</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Driven by continuous innovations in internet and mobile technologies and the increasing amount of time consumers spend on digital devices as well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data-driven potential of online marketing, marketers are increasingly shifting their marketing spend from offline channels, such as television advertising,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advertising and radio advertising, to online channels in order to achieve wider but more targeted audience reach and provide more tailored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messages in a cost effective manner. Online marketing in China, as measured by total marketing spend, grew from RMB152.6 billion in 2012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RMB343.4 billion in 2016, representing a CAGR of 22.5%, which outpaced the growth of the overall marketing market. Online marketing spend in China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reach RMB767.1 billion in 2021, representing a CAGR of 17.4% from 2016 to 2021. In 2016, online marketing spend accounted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37.2% of total marketing spend in China, surging from 21.9% in 2012. This percentage is expected to continue to increase in the coming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reaching approximately 52.3% in 2020, when online marketing surpasses offline marketing as the primary segment in China’s marketing industry.</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Mobile marketing is gaining increasing popularity in China, which is a major driver of growth of the online marketing market.</w:t>
      </w:r>
    </w:p>
    <w:p>
      <w:pPr>
        <w:spacing w:after="0" w:line="131" w:lineRule="exact"/>
        <w:rPr>
          <w:sz w:val="20"/>
          <w:szCs w:val="20"/>
          <w:color w:val="auto"/>
        </w:rPr>
      </w:pPr>
    </w:p>
    <w:p>
      <w:pPr>
        <w:jc w:val="both"/>
        <w:ind w:left="900" w:right="220" w:hanging="325"/>
        <w:spacing w:after="0" w:line="266"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mobile online marketing market size surged from RMB58.6 billion in 2012 to RMB216.9 billion in 2016, representing a CAGR of 38.7%. The mobile online marketing market replaced the dominant role of PC online marketing in 2015 and it is expected to maintain its upswing and reach RMB689.3 billion by 2021, representing a CAGR of 26.0% from 2016 to 2021.</w:t>
      </w:r>
    </w:p>
    <w:p>
      <w:pPr>
        <w:spacing w:after="0" w:line="81" w:lineRule="exact"/>
        <w:rPr>
          <w:rFonts w:ascii="Times New Roman" w:cs="Times New Roman" w:eastAsia="Times New Roman" w:hAnsi="Times New Roman"/>
          <w:sz w:val="18"/>
          <w:szCs w:val="18"/>
          <w:color w:val="auto"/>
        </w:rPr>
      </w:pPr>
    </w:p>
    <w:p>
      <w:pPr>
        <w:ind w:left="900" w:right="40" w:hanging="325"/>
        <w:spacing w:after="0" w:line="258"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mobile internet users in China is expected to grow from 695 million in 2016 to 876 million in 2021, and the penetration of mobile internet users as a percentage of total internet users in China is expected to grow from 95.1% in 2016 to 97.0% in 2021. Driven by high-speed networks and the growing variety of smartphones, tablets and mobile applications, the average weekly time spent on the internet through mobile devices per capita in China has increased significantly at a CAGR of 21.0% from 2012 to 2016, and is expected to grow from 19.1 hours in 2016 to 37.9 hours in 2021, representing a CAGR of 14.7%.</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400"/>
          </w:cols>
          <w:pgMar w:left="240" w:top="455" w:right="25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diagram below illustrates the historical and projected breakdown of the online marketing market in China by online and offline segments for each of the periods presented.</w:t>
      </w:r>
    </w:p>
    <w:p>
      <w:pPr>
        <w:spacing w:after="0" w:line="26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Online Marketing Market Size Breakdown by Device (China), 2012-2021E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174625</wp:posOffset>
            </wp:positionV>
            <wp:extent cx="4373880" cy="13976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7388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Online marketing is divided into the following four segments:</w:t>
      </w:r>
    </w:p>
    <w:p>
      <w:pPr>
        <w:spacing w:after="0" w:line="129" w:lineRule="exact"/>
        <w:rPr>
          <w:sz w:val="20"/>
          <w:szCs w:val="20"/>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Create</w:t>
      </w:r>
      <w:r>
        <w:rPr>
          <w:rFonts w:ascii="Times New Roman" w:cs="Times New Roman" w:eastAsia="Times New Roman" w:hAnsi="Times New Roman"/>
          <w:sz w:val="18"/>
          <w:szCs w:val="18"/>
          <w:color w:val="auto"/>
        </w:rPr>
        <w:t>: the creation, personalization curation and management of marketing content to be delivered to targeted audience;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Connect</w:t>
      </w:r>
      <w:r>
        <w:rPr>
          <w:rFonts w:ascii="Times New Roman" w:cs="Times New Roman" w:eastAsia="Times New Roman" w:hAnsi="Times New Roman"/>
          <w:sz w:val="18"/>
          <w:szCs w:val="18"/>
          <w:color w:val="auto"/>
        </w:rPr>
        <w:t>: the delivery of marketing content to targeted audience through marketing channels and forms;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w:t>
      </w:r>
      <w:r>
        <w:rPr>
          <w:rFonts w:ascii="Times New Roman" w:cs="Times New Roman" w:eastAsia="Times New Roman" w:hAnsi="Times New Roman"/>
          <w:sz w:val="18"/>
          <w:szCs w:val="18"/>
          <w:color w:val="auto"/>
        </w:rPr>
        <w:t>: the planning and management strategies to accomplish marketing objectives utilizing available resources;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Measure</w:t>
      </w:r>
      <w:r>
        <w:rPr>
          <w:rFonts w:ascii="Times New Roman" w:cs="Times New Roman" w:eastAsia="Times New Roman" w:hAnsi="Times New Roman"/>
          <w:sz w:val="18"/>
          <w:szCs w:val="18"/>
          <w:color w:val="auto"/>
        </w:rPr>
        <w:t>: the gathering of valuable audience insights through monitoring and analyzing campaign performance and other data traffic.</w:t>
      </w:r>
    </w:p>
    <w:p>
      <w:pPr>
        <w:spacing w:after="0" w:line="3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key trends shaping China’s online marketing market include:</w:t>
      </w:r>
    </w:p>
    <w:p>
      <w:pPr>
        <w:spacing w:after="0" w:line="129" w:lineRule="exact"/>
        <w:rPr>
          <w:sz w:val="20"/>
          <w:szCs w:val="20"/>
          <w:color w:val="auto"/>
        </w:rPr>
      </w:pPr>
    </w:p>
    <w:p>
      <w:pPr>
        <w:jc w:val="both"/>
        <w:ind w:left="900" w:right="380" w:hanging="325"/>
        <w:spacing w:after="0" w:line="267"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Integration of media resources</w:t>
      </w:r>
      <w:r>
        <w:rPr>
          <w:rFonts w:ascii="Times New Roman" w:cs="Times New Roman" w:eastAsia="Times New Roman" w:hAnsi="Times New Roman"/>
          <w:sz w:val="18"/>
          <w:szCs w:val="18"/>
          <w:color w:val="auto"/>
        </w:rPr>
        <w:t>. Marketers tend to promote their products and services through the most efficient channels. Companies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one-stop platforms to help marketers deliver marketing content and monitor its effectiveness across a wider spectrum of marketing channels in an cost-efficient manner are expected to benefit from this trend.</w:t>
      </w:r>
    </w:p>
    <w:p>
      <w:pPr>
        <w:spacing w:after="0" w:line="78" w:lineRule="exact"/>
        <w:rPr>
          <w:rFonts w:ascii="Times New Roman" w:cs="Times New Roman" w:eastAsia="Times New Roman" w:hAnsi="Times New Roman"/>
          <w:sz w:val="18"/>
          <w:szCs w:val="18"/>
          <w:color w:val="auto"/>
        </w:rPr>
      </w:pPr>
    </w:p>
    <w:p>
      <w:pPr>
        <w:jc w:val="both"/>
        <w:ind w:left="900" w:hanging="325"/>
        <w:spacing w:after="0" w:line="267"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Enrichment, diversification and personalization of marketing content. </w:t>
      </w:r>
      <w:r>
        <w:rPr>
          <w:rFonts w:ascii="Times New Roman" w:cs="Times New Roman" w:eastAsia="Times New Roman" w:hAnsi="Times New Roman"/>
          <w:sz w:val="18"/>
          <w:szCs w:val="18"/>
          <w:color w:val="auto"/>
        </w:rPr>
        <w:t>Content marketing is a strategic marketing approach focusing on creating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distributing valuable, relevant and consistent content to attract and retain targeted audience and ultimately drive consumption. The ability to enrich, diversify and personalize marketing content will be one of the most critical factors for online marketing companies to succeed.</w:t>
      </w:r>
    </w:p>
    <w:p>
      <w:pPr>
        <w:spacing w:after="0" w:line="78" w:lineRule="exact"/>
        <w:rPr>
          <w:rFonts w:ascii="Times New Roman" w:cs="Times New Roman" w:eastAsia="Times New Roman" w:hAnsi="Times New Roman"/>
          <w:sz w:val="18"/>
          <w:szCs w:val="18"/>
          <w:color w:val="auto"/>
        </w:rPr>
      </w:pPr>
    </w:p>
    <w:p>
      <w:pPr>
        <w:ind w:left="900" w:right="60" w:hanging="325"/>
        <w:spacing w:after="0" w:line="267"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Rise of mobile marketing. </w:t>
      </w:r>
      <w:r>
        <w:rPr>
          <w:rFonts w:ascii="Times New Roman" w:cs="Times New Roman" w:eastAsia="Times New Roman" w:hAnsi="Times New Roman"/>
          <w:sz w:val="18"/>
          <w:szCs w:val="18"/>
          <w:color w:val="auto"/>
        </w:rPr>
        <w:t>Mobile marketing market has demonstrated tremendous growth potential with significant advantages in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accessibility and portability. In light of the growing mobile audience base and continuous innovation in mobile technology, companies that can help marketers better create, connect, manage and measure their marketing through mobile channels are poised to capture greater market share.</w:t>
      </w:r>
    </w:p>
    <w:p>
      <w:pPr>
        <w:spacing w:after="0" w:line="78" w:lineRule="exact"/>
        <w:rPr>
          <w:rFonts w:ascii="Times New Roman" w:cs="Times New Roman" w:eastAsia="Times New Roman" w:hAnsi="Times New Roman"/>
          <w:sz w:val="18"/>
          <w:szCs w:val="18"/>
          <w:color w:val="auto"/>
        </w:rPr>
      </w:pPr>
    </w:p>
    <w:p>
      <w:pPr>
        <w:ind w:left="900" w:right="80" w:hanging="325"/>
        <w:spacing w:after="0" w:line="261"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Development of advanced online marketing technologies. </w:t>
      </w:r>
      <w:r>
        <w:rPr>
          <w:rFonts w:ascii="Times New Roman" w:cs="Times New Roman" w:eastAsia="Times New Roman" w:hAnsi="Times New Roman"/>
          <w:sz w:val="18"/>
          <w:szCs w:val="18"/>
          <w:color w:val="auto"/>
        </w:rPr>
        <w:t>Advanced technologies have proven to boost the efficiency and capability of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content delivery, and to increase the reach of audience group. It also enables marketers to collect, monitor and analyze information and explore valuable insights, which in turn help them develop and implement targeted market strategies. As a result, companies that focus on technology innovations to online marketing to efficiently execute marketing campaigns are expected to capitalize on this trend.</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80"/>
          </w:cols>
          <w:pgMar w:left="240" w:top="455" w:right="37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00" w:right="20" w:hanging="325"/>
        <w:spacing w:after="0" w:line="261"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Rising significance of audience data management. </w:t>
      </w:r>
      <w:r>
        <w:rPr>
          <w:rFonts w:ascii="Times New Roman" w:cs="Times New Roman" w:eastAsia="Times New Roman" w:hAnsi="Times New Roman"/>
          <w:sz w:val="18"/>
          <w:szCs w:val="18"/>
          <w:color w:val="auto"/>
        </w:rPr>
        <w:t>Audience data management can help marketers gather valuable insights to evaluate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of their marketing campaigns and plan future marketing strategies. Companies that are able to apply technologies such as big data and cloud computing to extract most value out of audience data to increase effectiveness and efficiency of marketing objectives for marketers are expected to benefit from this trend.</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main differences between China’s online marketing market and US’s online marketing market include:</w:t>
      </w:r>
    </w:p>
    <w:p>
      <w:pPr>
        <w:spacing w:after="0" w:line="129" w:lineRule="exact"/>
        <w:rPr>
          <w:sz w:val="20"/>
          <w:szCs w:val="20"/>
          <w:color w:val="auto"/>
        </w:rPr>
      </w:pPr>
    </w:p>
    <w:p>
      <w:pPr>
        <w:ind w:left="900" w:right="40" w:hanging="325"/>
        <w:spacing w:after="0" w:line="254"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Diverse marketing technology market in China compared to concentrated online marketing market in the US. </w:t>
      </w:r>
      <w:r>
        <w:rPr>
          <w:rFonts w:ascii="Times New Roman" w:cs="Times New Roman" w:eastAsia="Times New Roman" w:hAnsi="Times New Roman"/>
          <w:sz w:val="18"/>
          <w:szCs w:val="18"/>
          <w:color w:val="auto"/>
        </w:rPr>
        <w:t>In the US, the online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is relatively concentrated, with Google and Facebook, which provide value-added and advanced marketing services to meet advertisers’ various demands, accounting for over 80% of market share in terms of digital marketing in 2016. As such, successful marketing technology companies in the US tend to focus on specific functions such as distribution (for instance, whether to sell through a single distribution channel or multiple channels; online channels or offline channels), promotion (for instance, what type of promotion plan should be implemented, bundle sales, membership sales or discount sales), and positioning (for instance, what are the major target groups, how to segment the products, what business regions should be major focus), thereby consolidating their competitive advantages in the niche segments. In comparison, marketing technology market is relatively diverse and dynamic in China, with top three players, namely, Baidu, Alibaba, and Tencent occupying approximately 60% of the total digital marketing market and the rest of the market being shared by a large number of diverse players.</w:t>
      </w:r>
    </w:p>
    <w:p>
      <w:pPr>
        <w:spacing w:after="0" w:line="94" w:lineRule="exact"/>
        <w:rPr>
          <w:rFonts w:ascii="Times New Roman" w:cs="Times New Roman" w:eastAsia="Times New Roman" w:hAnsi="Times New Roman"/>
          <w:sz w:val="18"/>
          <w:szCs w:val="18"/>
          <w:color w:val="auto"/>
        </w:rPr>
      </w:pPr>
    </w:p>
    <w:p>
      <w:pPr>
        <w:ind w:left="900" w:right="200" w:hanging="325"/>
        <w:spacing w:after="0" w:line="261"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Growth of real time bidding, or RTB-based display in China</w:t>
      </w:r>
      <w:r>
        <w:rPr>
          <w:rFonts w:ascii="Times New Roman" w:cs="Times New Roman" w:eastAsia="Times New Roman" w:hAnsi="Times New Roman"/>
          <w:sz w:val="18"/>
          <w:szCs w:val="18"/>
          <w:color w:val="auto"/>
        </w:rPr>
        <w:t>. Driven by the rapid development of marketing technology in China, RTB-based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display as a percentage of total advertising spend increased dramatically from approximately 2% in 2012 to approximately 16% in 2016, comparing to 34% of that in the US in 2016. Programmatic media buying is gaining ground in China and showing sign to replicate the trend in the US.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China’s Online Marketing Technology Market</w:t>
      </w:r>
    </w:p>
    <w:p>
      <w:pPr>
        <w:spacing w:after="0" w:line="121"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Technologies have been increasingly utilized in online marketing in China in recent years. They help marketers optimize marketing resources and create and deliver tailored marketing content to a wide range of audience effectively and efficiently. They also provide instrumental data insights and feedback on audience engagement. The total size of China’s online marketing technology market, as measured by gross billing, was RMB129.1 billion in 2016, growing from RMB53.7 billion 2012, representing a CAGR of 24.5%, and is expected to further increase to RMB302.3 billion in 2021, representing a CAGR of 18.5% from 2016 to 2021.</w:t>
      </w:r>
    </w:p>
    <w:p>
      <w:pPr>
        <w:spacing w:after="0" w:line="18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China’s online marketing technology market experienced rapid growth in the past years. In the United States, marketers are accustomed to having larger marketing departments well versed in online marketing, including using marketing technologies through self-service model. In China, marketers expect a higher level of customer service support when using marketing technologies or more simplified marketing technology solutions that would enable them to execute marketing campaigns on their own.</w:t>
      </w:r>
    </w:p>
    <w:p>
      <w:pPr>
        <w:spacing w:after="0" w:line="180"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Online marketing technology market can be divided into the same four segments as the online marketing industry, as each segment of the online marketing industry is served by marketing technologies of different functionalities:</w:t>
      </w:r>
    </w:p>
    <w:p>
      <w:pPr>
        <w:spacing w:after="0" w:line="65" w:lineRule="exact"/>
        <w:rPr>
          <w:sz w:val="20"/>
          <w:szCs w:val="20"/>
          <w:color w:val="auto"/>
        </w:rPr>
      </w:pPr>
    </w:p>
    <w:p>
      <w:pPr>
        <w:ind w:left="900" w:right="60" w:hanging="325"/>
        <w:spacing w:after="0" w:line="284"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Create: </w:t>
      </w:r>
      <w:r>
        <w:rPr>
          <w:rFonts w:ascii="Times New Roman" w:cs="Times New Roman" w:eastAsia="Times New Roman" w:hAnsi="Times New Roman"/>
          <w:sz w:val="18"/>
          <w:szCs w:val="18"/>
          <w:color w:val="auto"/>
        </w:rPr>
        <w:t>technologies that assist marketers in designing marketing content, and include content creation tools, graphic creation tools, webinar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creation tools.</w:t>
      </w:r>
    </w:p>
    <w:p>
      <w:pPr>
        <w:spacing w:after="0" w:line="63" w:lineRule="exact"/>
        <w:rPr>
          <w:rFonts w:ascii="Times New Roman" w:cs="Times New Roman" w:eastAsia="Times New Roman" w:hAnsi="Times New Roman"/>
          <w:sz w:val="18"/>
          <w:szCs w:val="18"/>
          <w:color w:val="auto"/>
        </w:rPr>
      </w:pPr>
    </w:p>
    <w:p>
      <w:pPr>
        <w:ind w:left="900" w:right="440" w:hanging="325"/>
        <w:spacing w:after="0" w:line="284"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Connect: </w:t>
      </w:r>
      <w:r>
        <w:rPr>
          <w:rFonts w:ascii="Times New Roman" w:cs="Times New Roman" w:eastAsia="Times New Roman" w:hAnsi="Times New Roman"/>
          <w:sz w:val="18"/>
          <w:szCs w:val="18"/>
          <w:color w:val="auto"/>
        </w:rPr>
        <w:t>technologies that assist marketers in the delivery of marketing content to targeted audience, and include mobile apps design tools,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search engine tools, email tools, video and display processing, analyzing and compressing technologies.</w:t>
      </w:r>
    </w:p>
    <w:p>
      <w:pPr>
        <w:spacing w:after="0" w:line="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380"/>
          </w:cols>
          <w:pgMar w:left="240" w:top="455" w:right="27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900" w:right="260" w:hanging="325"/>
        <w:spacing w:after="0" w:line="284"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w:t>
      </w:r>
      <w:r>
        <w:rPr>
          <w:rFonts w:ascii="Times New Roman" w:cs="Times New Roman" w:eastAsia="Times New Roman" w:hAnsi="Times New Roman"/>
          <w:sz w:val="18"/>
          <w:szCs w:val="18"/>
          <w:color w:val="auto"/>
        </w:rPr>
        <w:t>: technologies that assist marketers in accomplishing marketing objectives, and include customer relationship management system,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CRM system, marketing automation, account-based marketing, or ABM, project and product management tools.</w:t>
      </w:r>
    </w:p>
    <w:p>
      <w:pPr>
        <w:spacing w:after="0" w:line="63" w:lineRule="exact"/>
        <w:rPr>
          <w:rFonts w:ascii="Times New Roman" w:cs="Times New Roman" w:eastAsia="Times New Roman" w:hAnsi="Times New Roman"/>
          <w:sz w:val="18"/>
          <w:szCs w:val="18"/>
          <w:color w:val="auto"/>
        </w:rPr>
      </w:pPr>
    </w:p>
    <w:p>
      <w:pPr>
        <w:ind w:left="900" w:right="220" w:hanging="325"/>
        <w:spacing w:after="0" w:line="284"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Measure: </w:t>
      </w:r>
      <w:r>
        <w:rPr>
          <w:rFonts w:ascii="Times New Roman" w:cs="Times New Roman" w:eastAsia="Times New Roman" w:hAnsi="Times New Roman"/>
          <w:sz w:val="18"/>
          <w:szCs w:val="18"/>
          <w:color w:val="auto"/>
        </w:rPr>
        <w:t>technologies that assist marketers in monitoring and analyzing data to derive valuable insights, and include mobile and web analytic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tools, cloud computing and data integration tools.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diagram below illustrates the historical and projected breakdown of China’s online marketing technology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172085</wp:posOffset>
            </wp:positionV>
            <wp:extent cx="4528185" cy="16205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52818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Each of these four segments has experienced rapid growth in the past five years. From 2012 to 2016, the size of “create”, “connect”, “manage” and “measure” online marketing technology segments, as measured by gross billing, increased from RMB4.9 billion to RMB9.8 billion, from RMB32.6 billion to RMB85.2 billion, from RMB5.5 billion to RMB11.1 billion, and from RMB10.8 billion to RMB23.1 billion, representing CAGRs of 18.8%, 27.2%, 19.3% and 20.9%, respectively. It is expected that each of these segments will continue to grow rapidly, reaching RMB17.3 billion, RMB215.7 billion, RMB22.0 billion and RMB47.3 billion, respectively, in 2021.</w:t>
      </w:r>
    </w:p>
    <w:p>
      <w:pPr>
        <w:spacing w:after="0" w:line="184"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In addition to the trends that drive the growth of China’s online marketing market in general, the following trends have driven, and are expected to continue to drive, the growth of online marketing technology market in China:</w:t>
      </w:r>
    </w:p>
    <w:p>
      <w:pPr>
        <w:spacing w:after="0" w:line="65" w:lineRule="exact"/>
        <w:rPr>
          <w:sz w:val="20"/>
          <w:szCs w:val="20"/>
          <w:color w:val="auto"/>
        </w:rPr>
      </w:pPr>
    </w:p>
    <w:p>
      <w:pPr>
        <w:ind w:left="900" w:right="100" w:hanging="325"/>
        <w:spacing w:after="0" w:line="261"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Big data era. </w:t>
      </w:r>
      <w:r>
        <w:rPr>
          <w:rFonts w:ascii="Times New Roman" w:cs="Times New Roman" w:eastAsia="Times New Roman" w:hAnsi="Times New Roman"/>
          <w:sz w:val="18"/>
          <w:szCs w:val="18"/>
          <w:color w:val="auto"/>
        </w:rPr>
        <w:t>The emergence and use of big data have transformed the planning and execution of marketing campaigns. Marketers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increasingly taking advantage of big data to refine marketing strategies on a real time basis for more cost-effective marketing. Online marketing technology companies with advanced big data analytics capacities that harness large amount of unstructured data to derive valuable insights on consumer behaviors and marketing performance can help marketers achieve this goal.</w:t>
      </w:r>
    </w:p>
    <w:p>
      <w:pPr>
        <w:spacing w:after="0" w:line="85" w:lineRule="exact"/>
        <w:rPr>
          <w:rFonts w:ascii="Times New Roman" w:cs="Times New Roman" w:eastAsia="Times New Roman" w:hAnsi="Times New Roman"/>
          <w:sz w:val="18"/>
          <w:szCs w:val="18"/>
          <w:color w:val="auto"/>
        </w:rPr>
      </w:pPr>
    </w:p>
    <w:p>
      <w:pPr>
        <w:ind w:left="900" w:right="220" w:hanging="325"/>
        <w:spacing w:after="0" w:line="261"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Rising demand from small and medium-sized enterprises</w:t>
      </w:r>
      <w:r>
        <w:rPr>
          <w:rFonts w:ascii="Times New Roman" w:cs="Times New Roman" w:eastAsia="Times New Roman" w:hAnsi="Times New Roman"/>
          <w:sz w:val="18"/>
          <w:szCs w:val="18"/>
          <w:color w:val="auto"/>
        </w:rPr>
        <w:t>. With the help of online marketing technologies, small and medium-sized enterprises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more options to promote their products and services and reach their targeted customers through various online marketing channels at relatively low costs. Online marketing technology companies with solutions and solution delivery models tailored to the need of small and medium-sized enterprises are expected to benefit from this trend.</w:t>
      </w:r>
    </w:p>
    <w:p>
      <w:pPr>
        <w:spacing w:after="0" w:line="85" w:lineRule="exact"/>
        <w:rPr>
          <w:rFonts w:ascii="Times New Roman" w:cs="Times New Roman" w:eastAsia="Times New Roman" w:hAnsi="Times New Roman"/>
          <w:sz w:val="18"/>
          <w:szCs w:val="18"/>
          <w:color w:val="auto"/>
        </w:rPr>
      </w:pPr>
    </w:p>
    <w:p>
      <w:pPr>
        <w:ind w:left="900" w:right="100" w:hanging="325"/>
        <w:spacing w:after="0" w:line="259"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Rising Demand from Multinational Companies. </w:t>
      </w:r>
      <w:r>
        <w:rPr>
          <w:rFonts w:ascii="Times New Roman" w:cs="Times New Roman" w:eastAsia="Times New Roman" w:hAnsi="Times New Roman"/>
          <w:sz w:val="18"/>
          <w:szCs w:val="18"/>
          <w:color w:val="auto"/>
        </w:rPr>
        <w:t>With rapid economic growth and increasing consumer spending power in China, multinational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with global brands have a rising demand in bringing more of their products in China and need to better understand Chinese audience in order to develop more targeted marketing strategies to promote brand awareness and access a wider audience through multiple online marketing channels. Online marketing technology companies that offer one-stop access to a wide variety of cross-channel content distribution opportunities to Chinese audience and with</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360"/>
          </w:cols>
          <w:pgMar w:left="240" w:top="455" w:right="29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resources to bridge multinational companies to the China market are expected to benefit from this trend.</w:t>
      </w:r>
    </w:p>
    <w:p>
      <w:pPr>
        <w:spacing w:after="0" w:line="129" w:lineRule="exact"/>
        <w:rPr>
          <w:sz w:val="20"/>
          <w:szCs w:val="20"/>
          <w:color w:val="auto"/>
        </w:rPr>
      </w:pPr>
    </w:p>
    <w:p>
      <w:pPr>
        <w:ind w:left="900" w:hanging="325"/>
        <w:spacing w:after="0" w:line="259"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Rising demand from and outsourcing of certain services by publishers</w:t>
      </w:r>
      <w:r>
        <w:rPr>
          <w:rFonts w:ascii="Times New Roman" w:cs="Times New Roman" w:eastAsia="Times New Roman" w:hAnsi="Times New Roman"/>
          <w:sz w:val="18"/>
          <w:szCs w:val="18"/>
          <w:color w:val="auto"/>
        </w:rPr>
        <w:t>. Publishers are increasingly looking to online marketing technologies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better monetize their media resources and channels, including innovations on audience engagement formats. In addition, publishers are increasingly outsourcing certain aspects of their services, such as audience data monitoring and analysis and marketing performance evaluation to online marketing technology platforms. Online marketing technology companies with advanced data analytics capabilities and close working relationships with publishers, including through collaborations on research and development initiatives, are expected to benefit from these trends.</w:t>
      </w:r>
    </w:p>
    <w:p>
      <w:pPr>
        <w:spacing w:after="0" w:line="85" w:lineRule="exact"/>
        <w:rPr>
          <w:rFonts w:ascii="Times New Roman" w:cs="Times New Roman" w:eastAsia="Times New Roman" w:hAnsi="Times New Roman"/>
          <w:sz w:val="18"/>
          <w:szCs w:val="18"/>
          <w:color w:val="auto"/>
        </w:rPr>
      </w:pPr>
    </w:p>
    <w:p>
      <w:pPr>
        <w:ind w:left="900" w:right="100" w:hanging="325"/>
        <w:spacing w:after="0" w:line="284"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consolidation. </w:t>
      </w:r>
      <w:r>
        <w:rPr>
          <w:rFonts w:ascii="Times New Roman" w:cs="Times New Roman" w:eastAsia="Times New Roman" w:hAnsi="Times New Roman"/>
          <w:sz w:val="18"/>
          <w:szCs w:val="18"/>
          <w:color w:val="auto"/>
        </w:rPr>
        <w:t>The trend of horizontal integration among small and medium-sized enterprises in the online marketing technology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expected to continue as these enterprises look to diversify their product portfolios and enhance technology capabilities.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China’s Independent Online Marketing Technology Market</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Independent online marketing technology companies are online marketing technology companies which do not own, or are not part of any group which owns, any online publishing resources. Compared to non-independent online marketing technology companies, which own, or are part of any group who owns, any online publishing resources, independent online marketing technology companies are perceived to have the following advantages:</w:t>
      </w:r>
    </w:p>
    <w:p>
      <w:pPr>
        <w:spacing w:after="0" w:line="80" w:lineRule="exact"/>
        <w:rPr>
          <w:sz w:val="20"/>
          <w:szCs w:val="20"/>
          <w:color w:val="auto"/>
        </w:rPr>
      </w:pPr>
    </w:p>
    <w:p>
      <w:pPr>
        <w:ind w:left="900" w:right="380" w:hanging="325"/>
        <w:spacing w:after="0" w:line="315" w:lineRule="auto"/>
        <w:tabs>
          <w:tab w:leader="none" w:pos="9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Access to more diverse sources of data and wider range of content distribution opportunities. </w:t>
      </w:r>
      <w:r>
        <w:rPr>
          <w:rFonts w:ascii="Times New Roman" w:cs="Times New Roman" w:eastAsia="Times New Roman" w:hAnsi="Times New Roman"/>
          <w:sz w:val="17"/>
          <w:szCs w:val="17"/>
          <w:color w:val="auto"/>
        </w:rPr>
        <w:t>Non-independent online marketing technology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companies may be limited in their access to audience data and content distribution opportunities from their competing publishers.</w:t>
      </w:r>
    </w:p>
    <w:p>
      <w:pPr>
        <w:spacing w:after="0" w:line="40" w:lineRule="exact"/>
        <w:rPr>
          <w:rFonts w:ascii="Times New Roman" w:cs="Times New Roman" w:eastAsia="Times New Roman" w:hAnsi="Times New Roman"/>
          <w:sz w:val="17"/>
          <w:szCs w:val="17"/>
          <w:color w:val="auto"/>
        </w:rPr>
      </w:pPr>
    </w:p>
    <w:p>
      <w:pPr>
        <w:jc w:val="both"/>
        <w:ind w:left="900" w:right="640" w:hanging="325"/>
        <w:spacing w:after="0" w:line="267"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Neutrality. </w:t>
      </w:r>
      <w:r>
        <w:rPr>
          <w:rFonts w:ascii="Times New Roman" w:cs="Times New Roman" w:eastAsia="Times New Roman" w:hAnsi="Times New Roman"/>
          <w:sz w:val="18"/>
          <w:szCs w:val="18"/>
          <w:color w:val="auto"/>
        </w:rPr>
        <w:t>Independent online marketing technology companies are perceived to provide more neutral and unbiased value proposition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marketers as its selection of channels to deliver marketing content is solely driven by the evaluation as to which channels would achieve maximum results with minimal costs for marketers.</w:t>
      </w:r>
    </w:p>
    <w:p>
      <w:pPr>
        <w:spacing w:after="0" w:line="78" w:lineRule="exact"/>
        <w:rPr>
          <w:rFonts w:ascii="Times New Roman" w:cs="Times New Roman" w:eastAsia="Times New Roman" w:hAnsi="Times New Roman"/>
          <w:sz w:val="18"/>
          <w:szCs w:val="18"/>
          <w:color w:val="auto"/>
        </w:rPr>
      </w:pPr>
    </w:p>
    <w:p>
      <w:pPr>
        <w:ind w:left="900" w:hanging="325"/>
        <w:spacing w:after="0" w:line="290" w:lineRule="auto"/>
        <w:tabs>
          <w:tab w:leader="none" w:pos="9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More focused business model</w:t>
      </w:r>
      <w:r>
        <w:rPr>
          <w:rFonts w:ascii="Times New Roman" w:cs="Times New Roman" w:eastAsia="Times New Roman" w:hAnsi="Times New Roman"/>
          <w:sz w:val="17"/>
          <w:szCs w:val="17"/>
          <w:color w:val="auto"/>
        </w:rPr>
        <w:t>. The primary business focus and business models of large internet companies with extensive resources of marketing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data, including Baidu, Alibaba, and Tecent, are not marketing technology-oriented or to provide tailored marketing services to advertisers. Independent marketing technology companies focus on marketing technology and provide customized solutions and services to advertisers.</w:t>
      </w:r>
    </w:p>
    <w:p>
      <w:pPr>
        <w:spacing w:after="0" w:line="158"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total size of China’s independent online marketing technology market, as measured by gross billing, was RMB29.6 billion in 2016, growing from RMB8.4 billion in 2012, representing a CAGR of 37.2%, and is expected to reach RMB114.6 billion in 2021, representing a CAGR of 31.1% from 2016 to 2021. This market is highly competitive and fragmented. We were the largest independent online marketing technology company in China in terms of gross billing in 2016, with a market share of 5.4%. The five largest independent online marketing technology companies in China accounted for a total market share of 13.3% in terms of gross billing in 2016.</w:t>
      </w:r>
    </w:p>
    <w:p>
      <w:pPr>
        <w:spacing w:after="0" w:line="184"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The pie chart below illustrates the market shares of the top five largest independent online marketing technology companies in terms of gross billing and other independent online marketing technology companies in China in 2016.</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400"/>
          </w:cols>
          <w:pgMar w:left="240" w:top="455" w:right="2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208280</wp:posOffset>
            </wp:positionV>
            <wp:extent cx="4699635" cy="22383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69963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diagram below illustrates the historical and projected growth of China’s independent online marketing technology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179070</wp:posOffset>
            </wp:positionV>
            <wp:extent cx="4399280" cy="14751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99280"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0219"/>
          </w:cols>
          <w:pgMar w:left="240" w:top="455" w:right="1440"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were the largest independent online marketing technology platform in China in terms of gross billing in 2016 according to Frost &amp; Sullivan. We had the largest Chinese consumer data set in terms of number of active profiled users in 2016 among independent online marketing technology companies in China; during 2016, we bridged the largest number of multinational companies to the China market among all independent online marketing technology platforms in China according to Frost &amp; Sullivan.</w:t>
      </w:r>
    </w:p>
    <w:p>
      <w:pPr>
        <w:spacing w:after="0" w:line="18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We serve as an integrated cross-channel gateway that provides marketers with innovative and cost-effective ways to optimize their online marketing efforts throughout their marketing cycle and achieve their branding and performance-based marketing goals. Our integrated data-driven solutions help marketers identify, engage and activate potential customers, monitor and measure the results of marketing campaigns, and create content catering to potential customers across different content distribution channels through both PC and mobile devices.</w:t>
      </w:r>
    </w:p>
    <w:p>
      <w:pPr>
        <w:spacing w:after="0" w:line="180"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Our solutions are enabled and supported by our extensive data set, sophisticated data analytics capabilities and cutting-edge technologies. We collect data from a wide variety of channels, including through our proprietary tracking tools, from our marketers, publishers and ad exchanges when managing marketing campaigns, and to a lesser extent, from third-party strategic partners. From our large volume of unstructured data, we construct context-rich user profiles, utilizing our proprietary audience profiling and segmentation technologies. These user profiles, which are updated and refined on a continuous basis, typically include information on a user’s attributes, such as his or her demographics, geographic location, device preference, spending history, personal interest and other online or offline behavioral pattern. In the 30 days leading up to April 15, 2017, we analyzed approximately 651.6 million active profiled users with 23 attributes on average for each such profile. Leveraging our sophisticated automation and deep learning technologies, we continually refine our big data analytics and update our user profiles to address the evolving needs of our customers, optimize the effectiveness of our solutions, and increase our operational efficiency while ensuring the stability of our data and platform as we scale up operations.</w:t>
      </w:r>
    </w:p>
    <w:p>
      <w:pPr>
        <w:spacing w:after="0" w:line="189" w:lineRule="exact"/>
        <w:rPr>
          <w:sz w:val="20"/>
          <w:szCs w:val="20"/>
          <w:color w:val="auto"/>
        </w:rPr>
      </w:pPr>
    </w:p>
    <w:p>
      <w:pPr>
        <w:ind w:right="20" w:firstLine="456"/>
        <w:spacing w:after="0" w:line="277" w:lineRule="auto"/>
        <w:rPr>
          <w:sz w:val="20"/>
          <w:szCs w:val="20"/>
          <w:color w:val="auto"/>
        </w:rPr>
      </w:pPr>
      <w:r>
        <w:rPr>
          <w:rFonts w:ascii="Times New Roman" w:cs="Times New Roman" w:eastAsia="Times New Roman" w:hAnsi="Times New Roman"/>
          <w:sz w:val="17"/>
          <w:szCs w:val="17"/>
          <w:color w:val="auto"/>
        </w:rPr>
        <w:t>Our platform appeals to marketers by offering omni-channel reach to the Chinese audience. We provide our customers one-stop access to a wide variety of cross-channel content distribution opportunities, including those from the leading online publishers in China. We offer both mobile audience solutions and other solutions based on channels desired by our customers. In the 30 days leading up to April 15, 2017, we covered approximately 72,000 mobile apps and 2.3 million websites. We work closely with our content distribution partners to facilitate innovative and effective audience engagement. In the six months ended June 30, 2017, our gross billing from mobile audience solutions and other solutions amounted to US$63.0 million and US$40.4 million, respectively.</w:t>
      </w:r>
    </w:p>
    <w:p>
      <w:pPr>
        <w:spacing w:after="0" w:line="168" w:lineRule="exact"/>
        <w:rPr>
          <w:sz w:val="20"/>
          <w:szCs w:val="20"/>
          <w:color w:val="auto"/>
        </w:rPr>
      </w:pPr>
    </w:p>
    <w:p>
      <w:pPr>
        <w:jc w:val="both"/>
        <w:ind w:right="160" w:firstLine="456"/>
        <w:spacing w:after="0" w:line="261" w:lineRule="auto"/>
        <w:rPr>
          <w:sz w:val="20"/>
          <w:szCs w:val="20"/>
          <w:color w:val="auto"/>
        </w:rPr>
      </w:pPr>
      <w:r>
        <w:rPr>
          <w:rFonts w:ascii="Times New Roman" w:cs="Times New Roman" w:eastAsia="Times New Roman" w:hAnsi="Times New Roman"/>
          <w:sz w:val="18"/>
          <w:szCs w:val="18"/>
          <w:color w:val="auto"/>
        </w:rPr>
        <w:t>We take a flexible approach to the delivery model of our solutions in order to cater to the preferences and levels of internal resources and expertise of customers. Customers may choose to access our solutions through (i) a self-service model, under which they have the flexibility to utilize our solutions “a la carte” to complement their existing marketing resources, and (ii) a managed service model, where our account management team provides in-depth services that suit customers’ specified marketing objectives and budgets utilizing our solutions.</w:t>
      </w:r>
    </w:p>
    <w:p>
      <w:pPr>
        <w:spacing w:after="0" w:line="180"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success of our solutions is evidenced by our strong, diverse and loyal customer base from a broad range of industry verticals, including banking and finance, entertainment and media, and E-commerce. Our customers include direct marketer customers and marketing agencies, and feature companies of different sizes, including more than 150 multinationals companies in 2016 and six months ended June 30, 2017, respectively, as well as small and medium-sized enterprises, and from different geographic regions in and outside China. We derived over 70% of our gross billing from direct marketer customers in 2015 and 2016 and over 60% of our gross billing from direct marketer customers in the six months ended June 30, 2017.</w:t>
      </w:r>
    </w:p>
    <w:p>
      <w:pPr>
        <w:spacing w:after="0" w:line="184"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We generate revenue primarily from customers’ marketing spend through our platform as they utilize our solutions, and to a less extent from incentives or rebates granted by certain publishers.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420"/>
          </w:cols>
          <w:pgMar w:left="240" w:top="455" w:right="23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gross billing grew by 32.5% from US$178.2 million in 2015 to US$236.3 million in 2016. Our gross billings decreased by 12.9% from US$118.7 million in the six months ended June 30, 2016 to US$103.4 million in the same period in 2017 due to a decrease in gross billing from other solutions as we terminated relationship with certain customers of other solutions in the first half of 2017 as part of our efforts to optimize our customer base for other solutions to focus on profitability and liquidity. Our net revenues grew by 46.2% from US$65.2 million in 2015 to US$95.4 million in 2016 and grew by</w:t>
      </w:r>
    </w:p>
    <w:p>
      <w:pPr>
        <w:spacing w:after="0" w:line="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23.1% from US$45.3 million in the six months ended June 30, 2016 to US$55.7 million in the same period in 2017. Our net loss was US$39.7 million and US$27.3 million in 2015 and 2016, respectively, and US$6.6 million and US$22.2 million in the six months ended June 30, 2016 and 2017,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believe that the following competitive strengths have contributed to our success and differentiated us from our competitors: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Leading independent online marketing technology platform in China with a highly scalable and flexible business model</w:t>
      </w:r>
    </w:p>
    <w:p>
      <w:pPr>
        <w:spacing w:after="0" w:line="121"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We were the largest independent online marketing technology platform in China in terms of gross billing in 2016, according to Frost &amp; Sullivan. Our gross billing reached US$236.3 million and US$103.4 million in 2016 and the six months ended June 30, 2017, leading to net revenues of US$95.4 million and US$55.7 million during these periods. We are also one of the first independent online marketing technology platforms in China to apply a data-driven approach to address marketers’ needs, according to Frost &amp; Sullivan.</w:t>
      </w:r>
    </w:p>
    <w:p>
      <w:pPr>
        <w:spacing w:after="0" w:line="180"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To address marketers’ needs and deliver highly integrated customer experience throughout their marketing cycle, we have developed a suite of end-to-end solutions spanning from identification, engagement and activation of their potential customers, to monitoring and measurement of the results of online marketing campaigns, to creating content catering to their potential customers across different channels. We offer both mobile audience solutions and other solutions based on channels desired by our customers. Our solutions are delivered under our self-service model or managed service model, which we believe are well suited to the current development stage of online marketing in China. Our self-service model enables sophisticated marketers to run their campaigns on an “a-la-carte”, cost-effective basis. Our managed service model, under which our account management team provides in-depth services utilizing our solutions, enables marketers to navigate through complicated and fragmented online marketing landscapes and manage their marketing activities based on specified objectives and budgets. This model is attractive to a wide spectrum of marketers because of the ease of use and helps us foster long-term strategic relationships with marketers to gain valuable insights into their audience data and refine our data algorithms.</w:t>
      </w:r>
    </w:p>
    <w:p>
      <w:pPr>
        <w:spacing w:after="0" w:line="18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We have been prioritizing our mobile strategy since 2014, including through our acquisition of OptAim on July 24, 2015. We have also launched an increasing number of mobile audience solutions, such as MoSocial in March 2015, and MoTV and MoFeeds in November 2015, to capture a larger share of online marketing spend on mobile apps, which we believe to have significant growth potential. According to Frost &amp; Sullivan, in 2016, 95.1% of Internet users were mobile Internet users, and from 2016 to 2021, per capita mobile weekly time spent on the Internet is expected to grow at a CAGR of 14.7%. In addition, we are continually simplifying and streamlining the features and functions of our solutions so that small and medium-sized enterprises in China may also run their campaigns on a self-serve basis on our platform. For example, our iExpress solution is designed to be used by small and medium-sized enterprises to access audience on various mobile and online channels. Our operation is also highly scalable as our solutions are designed for easy plug-and-play and compatibility with marketers’ own systems and databases requiring minimal additional tailoring.</w:t>
      </w:r>
    </w:p>
    <w:p>
      <w:pPr>
        <w:spacing w:after="0" w:line="185"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Leveraging our market-leading position, we are well-positioned to attract and retain marketers and gain access to premium audience engagement opportunities, creating a virtuous cycle which we expect to continue to</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400"/>
          </w:cols>
          <w:pgMar w:left="240" w:top="455" w:right="25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fuel our growth. As we attract more marketing spend, we are able to gain access to more extensive data, reinforce our content distribution network and enhance our access to audience engagement opportunities to reach more audience, which in turn draws more marketers to our platform.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Largest independent Chinese consumer data set with omni-channel, targeted audience reach</w:t>
      </w:r>
    </w:p>
    <w:p>
      <w:pPr>
        <w:spacing w:after="0" w:line="121" w:lineRule="exact"/>
        <w:rPr>
          <w:sz w:val="20"/>
          <w:szCs w:val="20"/>
          <w:color w:val="auto"/>
        </w:rPr>
      </w:pPr>
    </w:p>
    <w:p>
      <w:pPr>
        <w:jc w:val="both"/>
        <w:ind w:right="360" w:firstLine="456"/>
        <w:spacing w:after="0" w:line="266" w:lineRule="auto"/>
        <w:rPr>
          <w:sz w:val="20"/>
          <w:szCs w:val="20"/>
          <w:color w:val="auto"/>
        </w:rPr>
      </w:pPr>
      <w:r>
        <w:rPr>
          <w:rFonts w:ascii="Times New Roman" w:cs="Times New Roman" w:eastAsia="Times New Roman" w:hAnsi="Times New Roman"/>
          <w:sz w:val="18"/>
          <w:szCs w:val="18"/>
          <w:color w:val="auto"/>
        </w:rPr>
        <w:t>We had the largest Chinese consumer data set in terms of number of active profiled users in 2016 among independent online marketing technology companies in China, according to Frost &amp; Sullivan. In the 30 days leading up to April 15, 2017, we analyzed data of approximately 651.6 million active profiled users. The average daily volume of the data we collected reached 1.2 terabytes in the 30 days leading up to April 15, 2017.</w:t>
      </w:r>
    </w:p>
    <w:p>
      <w:pPr>
        <w:spacing w:after="0" w:line="176"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Our data is robust in terms of comprehensiveness and variety. It comes from a variety of sources, including from our own tracking through proprietary toolbars and software development kits installed on apps and websites, from marketers, publishers and ad exchanges, and from third-party data partners, including major internet companies in China. Our data includes users’ intent, interest, online transaction, offline purchase behavioral data, social data and demographic data, which helps us construct a context-rich user profile. Our proprietary user profiles typically include information on a user’s attributes, such as his or her demographics, geographic location, device preference, spending history, personal interest and other online or offline behavioral pattern, which can be targeted for marketing campaigns by specific industry verticals. These user profiles are continuously fed into our content distribution opportunity matching process, allowing marketers to identify and access or activate the right audience omni-channel. In particular, as internet users spend more time engaging with contents on the mobile channel, a larger proportion of our content distribution takes place on the mobile channel and in the native content format in particular to capitalize on the evolving behavior of internet users. Our data also includes campaign performance data that helps marketers refine campaign strategies and guide future campaign planning.</w:t>
      </w:r>
    </w:p>
    <w:p>
      <w:pPr>
        <w:spacing w:after="0" w:line="186"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As we continue to deliver increasingly targeted and personalized audience engagement opportunities to marketers, more marketers are attracted to, or increase their marketing spend on, our platform. As our engagement with marketers expands and deepens, our data assets and analytics capabilities grow, and such growth in turn enables us to deliver more effective solutions.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Highly sophisticated and automated platform powered by proprietary, cutting-edge technologies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have focused on leveraging cutting-edge and proprietary technologies to propel a highly sophisticated and automated online marketing platform since our inception. Backed by our sophisticated data science technologies and scalable and reliable technology infrastructure, we continually refine our big data analytics to capture the latest behavior of the audience set and address the evolving needs of marketers across different verticals. Our refined big data analytics enable us to offer more effective marketing solutions, and increase our operational efficiency while ensuring the stability of our data and platform as we scale up our operations.</w:t>
      </w:r>
    </w:p>
    <w:p>
      <w:pPr>
        <w:spacing w:after="0" w:line="184"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apply data science technologies extensively throughout their marketing cycle. For example, our digital fingerprinting technology enhances our ability to track user behavior across multiple channels, especially in mobile operating systems where cookies are difficult to collect with traditional tracking technologies. Our data mining and user behavior analytics technologies allow us to build and segment context-rich user profiles and update them in real time. Our state-of-the-art multi-dimensional automation technologies allow us to make cost-efficient decisions on, and continuously optimize our bids for, real-time audience engagement opportunities based on a wide range of parameters and predictions. We can process and match audience engagement opportunities within 30 milliseconds and handle up to 60,000 queries per second on the marketer side.</w:t>
      </w:r>
    </w:p>
    <w:p>
      <w:pPr>
        <w:spacing w:after="0" w:line="188"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Our marketing platform is built on highly scalable and reliable cloud-based infrastructure. This allows us to harness large quantities of real-time data and ensures high speed performance at a larger scale to accommodate more customers and increased complexity of their online marketing campaigns.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400"/>
          </w:cols>
          <w:pgMar w:left="240" w:top="455" w:right="2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Strong, diverse and loyal customer base</w:t>
      </w:r>
    </w:p>
    <w:p>
      <w:pPr>
        <w:spacing w:after="0" w:line="121"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Our effective and flexible solutions, sophisticated data analytics capabilities, and market leadership position have earned us a strong and diverse customer base from a broad range of industry verticals, including banking and finance, entertainment and media, and E-commerce. Our customers included over 150 multinational companies in 2016 and six months ended June 30, 2017, respectively, making us the No.1 independent online marketing technology platform bridging the largest number of multinational companies to the Chinese market, according to Frost &amp; Sullivan.</w:t>
      </w:r>
    </w:p>
    <w:p>
      <w:pPr>
        <w:spacing w:after="0" w:line="180"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In addition to multinational companies, our diverse customer base also includes small and medium-sized enterprises. We provide tailored and user-friendly solutions to cater to customers and marketers of different levels of sophistication and from different industry verticals. This allows us to serve a wide spectrum of customers to capture the growth potentials in the market segments or industry verticals that they represent.</w:t>
      </w:r>
    </w:p>
    <w:p>
      <w:pPr>
        <w:spacing w:after="0" w:line="176"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Through our close working relationship with direct marketer customers, we are able to better understand and anticipate market trends, customize our solutions, foster closer customer relationships and increase customer loyalty and retention. We derived over 70% of our gross billing from direct marketer customers in 2015 and 2016 and over 60% of our gross billing from direct marketer customers in the six months ended June 30, 2017. Our gross billing per customer increased by 47.5% from US$67,413 in 2015 to US$99,433 in 2016. Our gross billing per customer increased by 29.9% from US$57,192 in the six months ended June 30, 2016 to US$74,296 in the same period in 2017. All of these demonstrate the stickiness of our platform and the strength of our solutions in addressing direct marketer customers’ needs through differentiated and tailored service offerings.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Deep knowledge and familiarity with China’s online marketing industry</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Leveraging our deep knowledge in Chinese consumer behavior patterns, we provide marketers with one-stop access to a wide variety of cross-channel audience engagement opportunities in China. According to Frost &amp; Sullivan, with an estimated growth of per capita disposable income of urban households at a CAGR of 7.6% between 2016 and 2021, China represents one of the most important geographies for many marketers, and online marketing has become one of the most attractive options to those marketers in light of increasing mobile and internet penetration in China. According to Frost &amp; Sullivan, in 2016, multinational companies spent RMB338.3 billion (US$48.7 billion) on marketing targeted at the Chinese market, 52.1% of which was spent on online marketing campaigns.</w:t>
      </w:r>
    </w:p>
    <w:p>
      <w:pPr>
        <w:spacing w:after="0" w:line="188"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independent online marketing technology industry in China is highly fragmented and competitive. According to Frost &amp; Sullivan, we are one of the first independent online marketing technology platforms in China to apply a data-driven approach to address marketers’ needs in China. We have fostered in-depth knowledge of, and cooperation with leading online channels. For example, we were also awarded “Platinum Service Partner” of Tencent in 2016 in recognition of our online marketing capabilities on social media. We covered approximately 72,000 mobile apps and 2.3 million websites in the 30 days leading up to April 15, 2017, to help marketers, especially multinational marketers, navigate the fragmented landscape to identify and reach their potential customers. In 2016, we derived approximately 30% of our gross billing from customers outside of China as measured by the location of our sales offices. We are also well-versed with the challenges and opportunities in online marketing in China and have developed solutions that analyze and transform massive amount of unstructured and scattered data into valuable insights on Chinese consumer behavior to help marketers capitalize on the growth opportunities in the China market.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Visionary leadership with proven track record of organic growth and acquisition execution</w:t>
      </w:r>
    </w:p>
    <w:p>
      <w:pPr>
        <w:spacing w:after="0" w:line="121"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Our success is attributable to the deep industry experience and proven execution track record of our senior management team, with global perspectives and insightful knowledge in both technology and the online marketing industry. We are spearheaded by Sammy Hsieh, our chief executive officer and co-founder, Jian Tang,</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420"/>
          </w:cols>
          <w:pgMar w:left="240" w:top="455" w:right="2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chief operating officer, chief technology officer and co-founder, and Yan Lee, our chief product officer, together having an average of 15 years of experience in the online marketing industry in China. Our senior management team includes online marketing veterans and technology and E-commerce marketing experts from leading internet companies including Tencent, Yahoo! and Efficient Frontier (a part of Adobe Systems). Our management team’s experience in multinational companies and roots in China empower us with local know-how to develop and expand our network and reach in the fragmented and complex Chinese online marketing market as well as international perspectives to understand the needs of multinational companies.</w:t>
      </w:r>
    </w:p>
    <w:p>
      <w:pPr>
        <w:spacing w:after="0" w:line="18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management team has navigated us through the development of the online marketing industry in recent years, ensuring that our products and services continue to be attractive to and in demand by customers in the rapidly changing business environment. For example, according to Frost &amp; Sullivan, we were one of the first companies to work with new apps and new media formats and stayed abreast of marketing campaign delivery formats with the shift from PC to mobile channel, which enabled us to maintain and enhance our market-leading position in China. We also have proven track record in successfully executing acquisitions and integrations. For example, we acquired Buzzinate in 2014 and OptAim in 2015 and their two founders have become our chief product officer, and chief operating officer and chief technology officer, respectively. The core technology teams of these two acquired companies have also become an integral part of our team and we have integrated their solution offerings and technologies to enhance the depth and breadth of our existing solutions and improve our technology platform.</w:t>
      </w:r>
    </w:p>
    <w:p>
      <w:pPr>
        <w:spacing w:after="0" w:line="185"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We believe that the extensive industry experience, strategic vision and proven execution capabilities of our senior management team, along with our entrepreneurial corporate culture, have led to our present success, and laid a solid foundation for us to achieve a higher level of success in China’s online marketing industry.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intend to enhance our competitive strengths and pursue the following strategies to expand our business: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Optimize and diversify our customer base</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We plan to continue to optimize and diversify our customer base, including attracting customers to our self-service model and mobile audience solutions, and customers from additional industry verticals and geographic markets, through developing and offering more tailored and user-friendly solutions and services and targeted sales and marketing efforts.</w:t>
      </w:r>
    </w:p>
    <w:p>
      <w:pPr>
        <w:spacing w:after="0" w:line="176" w:lineRule="exact"/>
        <w:rPr>
          <w:sz w:val="20"/>
          <w:szCs w:val="20"/>
          <w:color w:val="auto"/>
        </w:rPr>
      </w:pPr>
    </w:p>
    <w:p>
      <w:pPr>
        <w:ind w:right="60" w:firstLine="456"/>
        <w:spacing w:after="0" w:line="253" w:lineRule="auto"/>
        <w:rPr>
          <w:sz w:val="20"/>
          <w:szCs w:val="20"/>
          <w:color w:val="auto"/>
        </w:rPr>
      </w:pPr>
      <w:r>
        <w:rPr>
          <w:rFonts w:ascii="Times New Roman" w:cs="Times New Roman" w:eastAsia="Times New Roman" w:hAnsi="Times New Roman"/>
          <w:sz w:val="18"/>
          <w:szCs w:val="18"/>
          <w:color w:val="auto"/>
        </w:rPr>
        <w:t>We believe the online marketing needs for small and medium-sized enterprise market segment in China are underserved and there are considerable demands for, and growth opportunities in, simplified marketing technology solutions that would enable small and medium-sized enterprises to execute marketing campaigns on their own. We plan to partner with marketing agencies in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tier and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tier cities in China and invest in their training to strengthen their ability in attracting and retaining high-quality small and medium-sized enterprises locally and educate them to use our solutions on a self-serve basis. In addition, we believe mobile audience solutions have high growth potential in light of the increasing mobile penetration rate and users’ engagement with mobile apps. We plan to continue to prioritize our mobile strategy through improved functionalities of our platform, better understanding of and response to customers’ needs and preferences in mobile marketing campaigns and expanding and deepening cooperation with mobile content distribution channels to capture a larger share of online marketing spend on mobile channels. We also strive to diversify our customer base and penetrate into new industry verticals and geographical markets to capture more growth opportunities. We plan to launch solutions with industry-specific features, such as more user data packages with industry focus, and interfaces to attract customers in additional industry verticals. In addition, we intend to continue to open overseas offices, increase our international presence and attract more overseas customers with timely and localized support. We plan to add new features to our existing solutions that are particularly relevant to overseas customers, such as multi-language, currency and time zone settings. Furthermore, we plan to roll out our self-</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420"/>
          </w:cols>
          <w:pgMar w:left="240" w:top="455" w:right="2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service model in the overseas market to cater to more multinational companies. We believe this will empower a growing number of multinational customers to transact in an automated fashion with minimal additional sales and marketing inputs from us, enabling us to scale up operations efficiently.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customer marketing spend on our platform</w:t>
      </w:r>
    </w:p>
    <w:p>
      <w:pPr>
        <w:spacing w:after="0" w:line="121" w:lineRule="exact"/>
        <w:rPr>
          <w:sz w:val="20"/>
          <w:szCs w:val="20"/>
          <w:color w:val="auto"/>
        </w:rPr>
      </w:pPr>
    </w:p>
    <w:p>
      <w:pPr>
        <w:ind w:right="360" w:firstLine="456"/>
        <w:spacing w:after="0" w:line="282" w:lineRule="auto"/>
        <w:rPr>
          <w:sz w:val="20"/>
          <w:szCs w:val="20"/>
          <w:color w:val="auto"/>
        </w:rPr>
      </w:pPr>
      <w:r>
        <w:rPr>
          <w:rFonts w:ascii="Times New Roman" w:cs="Times New Roman" w:eastAsia="Times New Roman" w:hAnsi="Times New Roman"/>
          <w:sz w:val="18"/>
          <w:szCs w:val="18"/>
          <w:color w:val="auto"/>
        </w:rPr>
        <w:t>We strive to increase customer marketing spend on our platform by staying at the forefront of the online marketing industry and address marketers’ evolving needs with innovative solutions.</w:t>
      </w:r>
    </w:p>
    <w:p>
      <w:pPr>
        <w:spacing w:after="0" w:line="162"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intend to offer new features and enhanced functionalities on our platform to provide more effective and comprehensive solutions, especially mobile audience solutions. For example, we are in the process of beta testing our content creation solution, iExperience, which is designed to enable marketers to syndicate and manage their marketing messages, including to dynamically create and tailor marketing messages to specific audience interest. We expect to officially launch iExperience in the fourth quarter of 2017. In addition, we are working on new partnership initiatives, which would make third-party applications available to our customers through our platform directly, further enhancing customer experience and hence increasing the stickiness of our platform. For example, we intend to make available on our platform certain social listening and enhanced data visualization modules by third-party service providers to help our customers better monitor and optimize their campaigns.</w:t>
      </w:r>
    </w:p>
    <w:p>
      <w:pPr>
        <w:spacing w:after="0" w:line="189"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We also intend to explore innovative audience engagement formats across multiple channels, in particular on mobile apps. For example, we are closely collaborating with over-the-top, or OTT, content partners to capture the growth in OTT marketing spend.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 to enlarge audience data set, strengthen data analytics capabilities and innovate technologies</w:t>
      </w:r>
    </w:p>
    <w:p>
      <w:pPr>
        <w:spacing w:after="0" w:line="12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place a high value on data expansion and technological innovation and intend to continue devoting substantial resources to that end. We will continue to collaborate with customers and other third parties to increase the dimensions and varieties of our data assets. We plan to work on further integration of data management platforms of our customers, publishers and other third-party partners with ours, and develop strategic relationships to exploit new data sources and enlarge audience data set. For example, we expect to form new partnership with selected consumer goods retailers to access their consumer transactional records, which will allow us to gain valuable insight into their spending patterns.</w:t>
      </w:r>
    </w:p>
    <w:p>
      <w:pPr>
        <w:spacing w:after="0" w:line="184"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In addition, we plan to continue investing in our data science technologies, including refreshing and upgrading data modeling and segmentation technologies to meet customer demands in different market segments and industry verticals. We also plan to upgrade our technical infrastructure to support our growing data set and data analytics capabilities as we continue to expand. For example, we have multiple ongoing initiatives to optimize both our hardware and software infrastructure and systems, such as faster reporting and analysis generation and more efficient server management.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Extend data application across more aspects in online marketing and beyond</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We intend to broaden our solution offerings across more aspects in online marketing, including content creation and customer relationship management.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example, we plan to expand our data application to content optimization to help marketers decide how best to upgrade their marketing content.</w:t>
      </w:r>
    </w:p>
    <w:p>
      <w:pPr>
        <w:spacing w:after="0" w:line="207"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In addition, we plan to explore the application of our data in areas beyond online marketing. For example, we are in preliminary discussions with insurance companies to collaborate on the development of data models to be used in credit scoring algorithms and risk pricing rules.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Explore strategic alliance and acquisition opportunities</w:t>
      </w:r>
    </w:p>
    <w:p>
      <w:pPr>
        <w:spacing w:after="0" w:line="121" w:lineRule="exact"/>
        <w:rPr>
          <w:sz w:val="20"/>
          <w:szCs w:val="20"/>
          <w:color w:val="auto"/>
        </w:rPr>
      </w:pPr>
    </w:p>
    <w:p>
      <w:pPr>
        <w:ind w:right="560" w:firstLine="456"/>
        <w:spacing w:after="0" w:line="282" w:lineRule="auto"/>
        <w:rPr>
          <w:sz w:val="20"/>
          <w:szCs w:val="20"/>
          <w:color w:val="auto"/>
        </w:rPr>
      </w:pPr>
      <w:r>
        <w:rPr>
          <w:rFonts w:ascii="Times New Roman" w:cs="Times New Roman" w:eastAsia="Times New Roman" w:hAnsi="Times New Roman"/>
          <w:sz w:val="18"/>
          <w:szCs w:val="18"/>
          <w:color w:val="auto"/>
        </w:rPr>
        <w:t>We plan to take advantage of the fragmented nature and rapid growth of the online marketing technology market in China to continue to explore investment, acquisition and business collaboration opportunities and will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420"/>
          </w:cols>
          <w:pgMar w:left="240" w:top="455" w:right="23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consider opportunities that complement or enhance our existing operations and are strategically beneficial to our long-term goals. Our management plans to judiciously evaluate any such opportunity that may arise from time to time. We believe that our past acquisition experience, our relationship with many industry participants and our knowledge of, and experience in, the online marketing technology market in China will assist us in making sound acquisition decisions. We do not, however, currently have any specific acquisition plans or targets.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121" w:lineRule="exact"/>
        <w:rPr>
          <w:sz w:val="20"/>
          <w:szCs w:val="20"/>
          <w:color w:val="auto"/>
        </w:rPr>
      </w:pPr>
    </w:p>
    <w:p>
      <w:pPr>
        <w:jc w:val="both"/>
        <w:ind w:right="240" w:firstLine="456"/>
        <w:spacing w:after="0" w:line="266" w:lineRule="auto"/>
        <w:rPr>
          <w:sz w:val="20"/>
          <w:szCs w:val="20"/>
          <w:color w:val="auto"/>
        </w:rPr>
      </w:pPr>
      <w:r>
        <w:rPr>
          <w:rFonts w:ascii="Times New Roman" w:cs="Times New Roman" w:eastAsia="Times New Roman" w:hAnsi="Times New Roman"/>
          <w:sz w:val="18"/>
          <w:szCs w:val="18"/>
          <w:color w:val="auto"/>
        </w:rPr>
        <w:t>Through our suite of end-to-end solutions, enabled and supported by our extensive data set, sophisticated data analytics capabilities and cutting-edge technologies, we deliver highly integrated customer experience and address marketers’ needs throughout their marketing cycle and across different online channels to:</w:t>
      </w:r>
    </w:p>
    <w:p>
      <w:pPr>
        <w:spacing w:after="0" w:line="82" w:lineRule="exact"/>
        <w:rPr>
          <w:sz w:val="20"/>
          <w:szCs w:val="20"/>
          <w:color w:val="auto"/>
        </w:rPr>
      </w:pPr>
    </w:p>
    <w:p>
      <w:pPr>
        <w:ind w:left="900" w:hanging="325"/>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their potential customers;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and activate potential customers;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and measure the results of online marketing campaigns;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content catering to their potential customers.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All our solutions, including the solutions from OptAim are integrated in a single user-friendly platform, accessible through both PC and mobile devices.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diagram illustrates the architecture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172085</wp:posOffset>
            </wp:positionV>
            <wp:extent cx="5111115" cy="22980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1111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Suite of Solutions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Audience Identification Solution: iAudience</w:t>
      </w:r>
    </w:p>
    <w:p>
      <w:pPr>
        <w:spacing w:after="0" w:line="11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iAudience is our audience identification solution that allows marketers to search, identify and customize their targeted audience to generate or boost brand awareness. Marketers can simply type in a list of keywords, such as brand names or products of interest, and iAudience will automatically suggest other keywords usually associated with, or used in, the relevant contexts, and then search our database of user profiles to identify the most relevant user profiles to target. Marketers have the flexibility to refine these audience search results, for example, by user attribute, for more focused targeting. In addition, we have built “pre-packaged” audience groups for a wide variety of industries, including travel, education, finance, automobile and real estate to streamline the audience identification process for marketers in these industries, who can identify their desired user profiles in just one click.</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420"/>
          </w:cols>
          <w:pgMar w:left="240" w:top="455" w:right="2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iAudience also helps marketers map out the competitive landscape by showing the overlaps of their consumers and their competitors. This enables marketers to filter out brand loyalists from brand switchers for more effective, bespoke communications.</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a sample interface for our iAudience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172085</wp:posOffset>
            </wp:positionV>
            <wp:extent cx="4931410" cy="38334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931410" cy="383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Audience Engagement and Activation Solutions: iAccess and iActivation</w:t>
      </w:r>
    </w:p>
    <w:p>
      <w:pPr>
        <w:spacing w:after="0" w:line="11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iAccess and iActivation are our cross-channel audience engagement and activation solutions, respectively tailored for brand awareness-driven campaigns and performance-driven campaigns. iAccess and iActivation provide marketers with a comprehensive suite of targeting or re-targeting options to reach out to, or re-connect with, potential audience identified by iAudience. Marketers can choose to target these audience based on their gender, age, income levels, geographic locations, interest, device, and device operating system. Marketers are also afforded the flexibility to select their preferred content format, budgeting requirement, display frequency and time to reach these audience.</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360"/>
          </w:cols>
          <w:pgMar w:left="240" w:top="455" w:right="29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Below is a sample interface for our iAccess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172085</wp:posOffset>
            </wp:positionV>
            <wp:extent cx="4931410" cy="34048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931410" cy="340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Audience Engagement Solution Designed for Small and Medium-Sized Enterprises – iExpress</w:t>
      </w:r>
    </w:p>
    <w:p>
      <w:pPr>
        <w:spacing w:after="0" w:line="119" w:lineRule="exact"/>
        <w:rPr>
          <w:sz w:val="20"/>
          <w:szCs w:val="20"/>
          <w:color w:val="auto"/>
        </w:rPr>
      </w:pPr>
    </w:p>
    <w:p>
      <w:pPr>
        <w:ind w:right="480" w:firstLine="456"/>
        <w:spacing w:after="0" w:line="266" w:lineRule="auto"/>
        <w:rPr>
          <w:sz w:val="20"/>
          <w:szCs w:val="20"/>
          <w:color w:val="auto"/>
        </w:rPr>
      </w:pPr>
      <w:r>
        <w:rPr>
          <w:rFonts w:ascii="Times New Roman" w:cs="Times New Roman" w:eastAsia="Times New Roman" w:hAnsi="Times New Roman"/>
          <w:sz w:val="18"/>
          <w:szCs w:val="18"/>
          <w:color w:val="auto"/>
        </w:rPr>
        <w:t>iExpress is the “lite” version of our iAccess solution. While iAccess is designed for and primarily used by multinational customers, iExpress is designed for small and medium-sized enterprises in China, who value simplicity and flexibility in their marketing activities. iExpress contains the basic functions of iAccess with a more simplified and intuitive user interface.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Campaign Results Monitoring and Measurement Solution: iNsights</w:t>
      </w:r>
    </w:p>
    <w:p>
      <w:pPr>
        <w:spacing w:after="0" w:line="119" w:lineRule="exact"/>
        <w:rPr>
          <w:sz w:val="20"/>
          <w:szCs w:val="20"/>
          <w:color w:val="auto"/>
        </w:rPr>
      </w:pPr>
    </w:p>
    <w:p>
      <w:pPr>
        <w:ind w:right="340" w:firstLine="456"/>
        <w:spacing w:after="0" w:line="258" w:lineRule="auto"/>
        <w:rPr>
          <w:sz w:val="20"/>
          <w:szCs w:val="20"/>
          <w:color w:val="auto"/>
        </w:rPr>
      </w:pPr>
      <w:r>
        <w:rPr>
          <w:rFonts w:ascii="Times New Roman" w:cs="Times New Roman" w:eastAsia="Times New Roman" w:hAnsi="Times New Roman"/>
          <w:sz w:val="18"/>
          <w:szCs w:val="18"/>
          <w:color w:val="auto"/>
        </w:rPr>
        <w:t>iNsights is our online campaign results monitoring and measurement solution. It helps marketers analyze their campaign performance to refine campaign strategies and guide future campaign planning. Through a user-friendly interface, marketers can view their campaign performance information, including marketing costs incurred, number of clicks, click-through rates, number of conversions and other useful information for each online channel individually and for different online channels in the aggregate. In addition to basic campaign performance information, iNsights provides marketers with in-depth analyses, including:</w:t>
      </w:r>
    </w:p>
    <w:p>
      <w:pPr>
        <w:spacing w:after="0" w:line="87" w:lineRule="exact"/>
        <w:rPr>
          <w:sz w:val="20"/>
          <w:szCs w:val="20"/>
          <w:color w:val="auto"/>
        </w:rPr>
      </w:pPr>
    </w:p>
    <w:p>
      <w:pPr>
        <w:jc w:val="both"/>
        <w:ind w:left="900" w:hanging="325"/>
        <w:spacing w:after="0" w:line="267"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Conversion path analyses </w:t>
      </w:r>
      <w:r>
        <w:rPr>
          <w:rFonts w:ascii="Times New Roman" w:cs="Times New Roman" w:eastAsia="Times New Roman" w:hAnsi="Times New Roman"/>
          <w:sz w:val="18"/>
          <w:szCs w:val="18"/>
          <w:color w:val="auto"/>
        </w:rPr>
        <w:t>– Holistic analyses of when, where and how a user interacts with various devices by the multiple touch points he or she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come in contact with, including the “last mile” through which the user is converted, i.e., making a purchase or otherwise taking an action that the marketer desires; and</w:t>
      </w:r>
    </w:p>
    <w:p>
      <w:pPr>
        <w:spacing w:after="0" w:line="78" w:lineRule="exact"/>
        <w:rPr>
          <w:rFonts w:ascii="Times New Roman" w:cs="Times New Roman" w:eastAsia="Times New Roman" w:hAnsi="Times New Roman"/>
          <w:sz w:val="18"/>
          <w:szCs w:val="18"/>
          <w:color w:val="auto"/>
        </w:rPr>
      </w:pPr>
    </w:p>
    <w:p>
      <w:pPr>
        <w:ind w:left="900" w:right="640" w:hanging="325"/>
        <w:spacing w:after="0" w:line="267" w:lineRule="auto"/>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Cross-channel effectiveness analyses </w:t>
      </w:r>
      <w:r>
        <w:rPr>
          <w:rFonts w:ascii="Times New Roman" w:cs="Times New Roman" w:eastAsia="Times New Roman" w:hAnsi="Times New Roman"/>
          <w:sz w:val="18"/>
          <w:szCs w:val="18"/>
          <w:color w:val="auto"/>
        </w:rPr>
        <w:t>– Analyses of the effectiveness of the various marketing channels in achieving different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objectives and their respective cost effectiveness. Combining these with conversion path analyses, marketers can identify the portfolio of channels that work in tandem with each other to generate the greatest marketing impact and effectiveness.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400"/>
          </w:cols>
          <w:pgMar w:left="240" w:top="455" w:right="25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Content Creation Solution: iExperience</w:t>
      </w:r>
    </w:p>
    <w:p>
      <w:pPr>
        <w:spacing w:after="0" w:line="11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recently launched, on trial basis, iExperience, our content creation solution that helps marketers syndicate and manage all their marketing content and assets. iExperience enables marketers to syndicate their marketing messages across all their marketing channels, and provides them with the option to dynamically create and tailor marketing messages to specific audience interest by modifying their content and presentation (including, for example, style of the marketing message, colors displayed, text used and formatting) as well as by selecting specific products and services to include in the marketing messages. iExperience also assists marketers to optimize their websites to convert more visitors into consumers. We expect to officially launch iExperience in the fourth quarter of 2017.</w:t>
      </w:r>
    </w:p>
    <w:p>
      <w:pPr>
        <w:spacing w:after="0" w:line="188"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Our solutions support other technical layers that provide marketers with value-adding features. For example, we screen websites to ensure that a marketing message will not be displayed in adult, political, criminal or other illegal or inappropriate contexts. In addition, we identify and sift out fraudulent clicks that lead to inflated traffic flow, which distorts campaign performance or leads to inflated media acquisition costs. We also support third-party tracking of audience engagement or other campaign performance data where a marketer requests.</w:t>
      </w:r>
    </w:p>
    <w:p>
      <w:pPr>
        <w:spacing w:after="0" w:line="180" w:lineRule="exact"/>
        <w:rPr>
          <w:sz w:val="20"/>
          <w:szCs w:val="20"/>
          <w:color w:val="auto"/>
        </w:rPr>
      </w:pPr>
    </w:p>
    <w:p>
      <w:pPr>
        <w:jc w:val="both"/>
        <w:ind w:right="300" w:firstLine="456"/>
        <w:spacing w:after="0" w:line="266" w:lineRule="auto"/>
        <w:rPr>
          <w:sz w:val="20"/>
          <w:szCs w:val="20"/>
          <w:color w:val="auto"/>
        </w:rPr>
      </w:pPr>
      <w:r>
        <w:rPr>
          <w:rFonts w:ascii="Times New Roman" w:cs="Times New Roman" w:eastAsia="Times New Roman" w:hAnsi="Times New Roman"/>
          <w:sz w:val="18"/>
          <w:szCs w:val="18"/>
          <w:color w:val="auto"/>
        </w:rPr>
        <w:t>We also leverage on our solutions such as iAudience, iAccess, and iActivation to design tailored solutions catering to customers’ specific marketing needs. For example, we have launched a number of mobile audience solutions, such as MoTV, our native in-app mobile video ad solution, MoSocial, our premium mobile social ad solution and MoFeeds, our native mobile in-feed ad solution.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Solution Delivery Model</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offer both mobile audience solutions and other solutions based on channels desired by our customers. Our mobile audience solutions are non-search engine marketing solutions designed to identify, engage and activate audience exclusively on mobile apps, and monitor and measure the results of online marketing activities on such channels. Our other solutions are primarily focused on identifying, engaging and activating audience on non-mobile app content distribution channels, such as PC banner display, PC video advertisements and search engine marketing.</w:t>
      </w:r>
    </w:p>
    <w:p>
      <w:pPr>
        <w:spacing w:after="0" w:line="180"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We take a flexible approach to delivering our solutions. Depending on the preferences and levels of internal resources and sophistication of customers, our solutions are delivered through:</w:t>
      </w:r>
    </w:p>
    <w:p>
      <w:pPr>
        <w:spacing w:after="0" w:line="67" w:lineRule="exact"/>
        <w:rPr>
          <w:sz w:val="20"/>
          <w:szCs w:val="20"/>
          <w:color w:val="auto"/>
        </w:rPr>
      </w:pPr>
    </w:p>
    <w:p>
      <w:pPr>
        <w:ind w:left="900" w:hanging="325"/>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self-service model, under which customers have the flexibility to run their advertising campaigns on an “a la carte”, cost-effective basis; and</w:t>
      </w:r>
    </w:p>
    <w:p>
      <w:pPr>
        <w:spacing w:after="0" w:line="130" w:lineRule="exact"/>
        <w:rPr>
          <w:rFonts w:ascii="Times New Roman" w:cs="Times New Roman" w:eastAsia="Times New Roman" w:hAnsi="Times New Roman"/>
          <w:sz w:val="18"/>
          <w:szCs w:val="18"/>
          <w:color w:val="auto"/>
        </w:rPr>
      </w:pPr>
    </w:p>
    <w:p>
      <w:pPr>
        <w:jc w:val="both"/>
        <w:ind w:left="900" w:right="180" w:hanging="325"/>
        <w:spacing w:after="0" w:line="266" w:lineRule="auto"/>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managed service model, where our account management team manages marketing campaigns for our customers, including deciding on cross-channel marketing budget allocation and the timing, frequency, number and format of audience engagement based on their specified marketing objectives and budgets.</w:t>
      </w:r>
    </w:p>
    <w:p>
      <w:pPr>
        <w:spacing w:after="0" w:line="176" w:lineRule="exact"/>
        <w:rPr>
          <w:sz w:val="20"/>
          <w:szCs w:val="20"/>
          <w:color w:val="auto"/>
        </w:rPr>
      </w:pPr>
    </w:p>
    <w:p>
      <w:pPr>
        <w:ind w:right="120" w:firstLine="456"/>
        <w:spacing w:after="0" w:line="257" w:lineRule="auto"/>
        <w:rPr>
          <w:sz w:val="20"/>
          <w:szCs w:val="20"/>
          <w:color w:val="auto"/>
        </w:rPr>
      </w:pPr>
      <w:r>
        <w:rPr>
          <w:rFonts w:ascii="Times New Roman" w:cs="Times New Roman" w:eastAsia="Times New Roman" w:hAnsi="Times New Roman"/>
          <w:sz w:val="18"/>
          <w:szCs w:val="18"/>
          <w:color w:val="auto"/>
        </w:rPr>
        <w:t>We generate revenues primarily from customers’ marketing spend through our platform as they utilize our solutions, and depending on our revenue recognition model, either including or excluding media cost. To a lesser extent, we generate revenues from incentives and rebates granted by certain publishers. Please refer to “Management Discussion and Analysis of Financial Condition and Results of Operations — Key Operating and Financial Metrics</w:t>
      </w:r>
    </w:p>
    <w:p>
      <w:pPr>
        <w:spacing w:after="0" w:line="2"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 Net Revenues”, “— Critical Accounting Policies — Revenue Recognition” and “— Critical Accounting Policies — Rebates” for a description of our revenue recognition policies and accounting treatment of rebates.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and Data Analytics Capabilities and Technologies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Data Assets</w:t>
      </w:r>
    </w:p>
    <w:p>
      <w:pPr>
        <w:spacing w:after="0" w:line="121"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Our data assets are the backbone of our solutions and data analytics capabilities. We had the largest Chinese consumer data set in terms of number of active profiled users in 2016 among independent online marketing</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400"/>
          </w:cols>
          <w:pgMar w:left="240" w:top="455" w:right="25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technology companies in China, according to Frost &amp; Sullivan. From approximately 72,000 mobile apps and 2.3 million websites that we covered, we analyzed approximately 651.6 million active profiled users in China in the 30 days leading up to April 15, 2017. According to the China Internet Network Information Center, or CNNIC, there were 731 million internet users and 695 million mobile internet users in China as of December 31, 2016. The average daily volume of the data we collected reached 1.2 terabytes in the 30 days leading up to April 15, 2017.</w:t>
      </w:r>
    </w:p>
    <w:p>
      <w:pPr>
        <w:spacing w:after="0" w:line="180"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collect data from a variety of channels, including through our proprietary tracking tools, from our marketers, publishers and ad exchanges when managing marketing campaigns, and to a lesser extent, from third-party strategic partners. We track data with our proprietary toolbars and software development kits installed on apps and websites. The data that we have tracked are complemented by, and blended with, marketing campaign performance data from marketers, publishers and ad exchanges. To a lesser extent, we collect data from selected third-party data partners, including major internet companies in China and financial institutions, through our data collaboration arrangement with them. Our data assets primarily include users’ intent, interest, online transactional, offline purchase behavioral data, social data and demographic data, as well as campaign performance data.</w:t>
      </w:r>
    </w:p>
    <w:p>
      <w:pPr>
        <w:spacing w:after="0" w:line="91" w:lineRule="exact"/>
        <w:rPr>
          <w:sz w:val="20"/>
          <w:szCs w:val="20"/>
          <w:color w:val="auto"/>
        </w:rPr>
      </w:pPr>
    </w:p>
    <w:p>
      <w:pPr>
        <w:ind w:left="900" w:hanging="325"/>
        <w:spacing w:after="0" w:line="259"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Intent data – </w:t>
      </w:r>
      <w:r>
        <w:rPr>
          <w:rFonts w:ascii="Times New Roman" w:cs="Times New Roman" w:eastAsia="Times New Roman" w:hAnsi="Times New Roman"/>
          <w:sz w:val="18"/>
          <w:szCs w:val="18"/>
          <w:color w:val="auto"/>
        </w:rPr>
        <w:t>Intent data refers to data that indicates the various intent of a user. Intent data directly identifies the interests and immediate needs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specific user. An example of intent data would be search terms entered into search engines by a particular user looking for business class air tickets from Hong Kong to Shanghai. We obtain intent data primarily from the websites and apps on which we have installed our proprietary sharing toolbars and software development kits as well as through API connection with major search engines where marketers’ search marketing is executed.</w:t>
      </w:r>
    </w:p>
    <w:p>
      <w:pPr>
        <w:spacing w:after="0" w:line="85" w:lineRule="exact"/>
        <w:rPr>
          <w:rFonts w:ascii="Times New Roman" w:cs="Times New Roman" w:eastAsia="Times New Roman" w:hAnsi="Times New Roman"/>
          <w:sz w:val="18"/>
          <w:szCs w:val="18"/>
          <w:color w:val="auto"/>
        </w:rPr>
      </w:pPr>
    </w:p>
    <w:p>
      <w:pPr>
        <w:ind w:left="900" w:right="280" w:hanging="325"/>
        <w:spacing w:after="0" w:line="259"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Interest data – </w:t>
      </w:r>
      <w:r>
        <w:rPr>
          <w:rFonts w:ascii="Times New Roman" w:cs="Times New Roman" w:eastAsia="Times New Roman" w:hAnsi="Times New Roman"/>
          <w:sz w:val="18"/>
          <w:szCs w:val="18"/>
          <w:color w:val="auto"/>
        </w:rPr>
        <w:t>Interest data refers to the category and semantic meaning of the content of websites and apps that a user visits, including visit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frequency and sequence, from which we are able to infer the various interests of a user. Interest data shows the awareness of the relevant information by a specific user. An example of interest data would be data concerning how frequently a particular user interested in fine dining browses webpages of luxury Japanese cuisine restaurants. We collect interest data from websites and apps on which we have installed our proprietary sharing toolbars and software development kits as well as through API connection with certain ad exchanges.</w:t>
      </w:r>
    </w:p>
    <w:p>
      <w:pPr>
        <w:spacing w:after="0" w:line="85" w:lineRule="exact"/>
        <w:rPr>
          <w:rFonts w:ascii="Times New Roman" w:cs="Times New Roman" w:eastAsia="Times New Roman" w:hAnsi="Times New Roman"/>
          <w:sz w:val="18"/>
          <w:szCs w:val="18"/>
          <w:color w:val="auto"/>
        </w:rPr>
      </w:pPr>
    </w:p>
    <w:p>
      <w:pPr>
        <w:ind w:left="900" w:right="140" w:hanging="325"/>
        <w:spacing w:after="0" w:line="259"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Online transactional data – </w:t>
      </w:r>
      <w:r>
        <w:rPr>
          <w:rFonts w:ascii="Times New Roman" w:cs="Times New Roman" w:eastAsia="Times New Roman" w:hAnsi="Times New Roman"/>
          <w:sz w:val="18"/>
          <w:szCs w:val="18"/>
          <w:color w:val="auto"/>
        </w:rPr>
        <w:t>Online transactional data refers to a user’s behavior on online commerce platforms, including the items he or she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browsing or has added to his or her shopping cart. Online transactional data directly identifies the purchasing intent and immediate needs of a specific user. An example of online transactional data would be a particular user browsing for high-end skin care products and adding a specific brand of eye serum into the shopping cart in preparation of a purchase. We obtain online transactional data from partnerships with branded E-commerce platforms and the re-marketing campaigns for our E-commerce customers.</w:t>
      </w:r>
    </w:p>
    <w:p>
      <w:pPr>
        <w:spacing w:after="0" w:line="85" w:lineRule="exact"/>
        <w:rPr>
          <w:rFonts w:ascii="Times New Roman" w:cs="Times New Roman" w:eastAsia="Times New Roman" w:hAnsi="Times New Roman"/>
          <w:sz w:val="18"/>
          <w:szCs w:val="18"/>
          <w:color w:val="auto"/>
        </w:rPr>
      </w:pPr>
    </w:p>
    <w:p>
      <w:pPr>
        <w:ind w:left="900" w:right="40" w:hanging="325"/>
        <w:spacing w:after="0" w:line="257"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Offline purchase behavioral data – </w:t>
      </w:r>
      <w:r>
        <w:rPr>
          <w:rFonts w:ascii="Times New Roman" w:cs="Times New Roman" w:eastAsia="Times New Roman" w:hAnsi="Times New Roman"/>
          <w:sz w:val="18"/>
          <w:szCs w:val="18"/>
          <w:color w:val="auto"/>
        </w:rPr>
        <w:t>Offline purchase behavioral data refers to a user’s behavior in non-digitally connected environments,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offline purchase behavior when the user buys an item physically from an offline retailer by swiping his or her credit card. Offline purchase behavioral data directly identifies the purchasing behavior and immediate needs of a specific user outside of the realms of traditional digital user tracking. An example of offline purchase behavioral data would be a particular user buying a luxury handbag in a specific luxury retailer with his or her credit card. We obtain offline purchase behavioral data from partnerships with financial institutions and credit card issuers. Our offline purchase behavioral data is pseudonymized and does not include users’ personal details.</w:t>
      </w:r>
    </w:p>
    <w:p>
      <w:pPr>
        <w:spacing w:after="0" w:line="88" w:lineRule="exact"/>
        <w:rPr>
          <w:rFonts w:ascii="Times New Roman" w:cs="Times New Roman" w:eastAsia="Times New Roman" w:hAnsi="Times New Roman"/>
          <w:sz w:val="18"/>
          <w:szCs w:val="18"/>
          <w:color w:val="auto"/>
        </w:rPr>
      </w:pPr>
    </w:p>
    <w:p>
      <w:pPr>
        <w:ind w:left="900" w:right="180" w:hanging="325"/>
        <w:spacing w:after="0" w:line="267"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Social data – </w:t>
      </w:r>
      <w:r>
        <w:rPr>
          <w:rFonts w:ascii="Times New Roman" w:cs="Times New Roman" w:eastAsia="Times New Roman" w:hAnsi="Times New Roman"/>
          <w:sz w:val="18"/>
          <w:szCs w:val="18"/>
          <w:color w:val="auto"/>
        </w:rPr>
        <w:t>Social data refers a user’s behavior on social networks, such as Sina Weibo and Tencent QZone, including the content the user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from websites or apps via social sharing toolbars, and the content the user posts, shares on the social networks, his or her “social graph”, such as his or her “friends” and “followers” and other behavior data the user publicly shares on social networks. Social</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400"/>
          </w:cols>
          <w:pgMar w:left="240" w:top="455" w:right="25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66" w:lineRule="auto"/>
        <w:rPr>
          <w:sz w:val="20"/>
          <w:szCs w:val="20"/>
          <w:color w:val="auto"/>
        </w:rPr>
      </w:pPr>
      <w:r>
        <w:rPr>
          <w:rFonts w:ascii="Times New Roman" w:cs="Times New Roman" w:eastAsia="Times New Roman" w:hAnsi="Times New Roman"/>
          <w:sz w:val="18"/>
          <w:szCs w:val="18"/>
          <w:color w:val="auto"/>
        </w:rPr>
        <w:t>data demonstrates that a specific user is engaged in certain particular topics or content online on social media. An example of social data would be the name of a restaurant being recommended by a particular user via his or her social network account. We obtain social data by installing our proprietary sharing toolbars and software development kits on websites and apps, as well as through API connections with major social networks.</w:t>
      </w:r>
    </w:p>
    <w:p>
      <w:pPr>
        <w:spacing w:after="0" w:line="80" w:lineRule="exact"/>
        <w:rPr>
          <w:sz w:val="20"/>
          <w:szCs w:val="20"/>
          <w:color w:val="auto"/>
        </w:rPr>
      </w:pPr>
    </w:p>
    <w:p>
      <w:pPr>
        <w:jc w:val="both"/>
        <w:ind w:left="900" w:right="100" w:hanging="325"/>
        <w:spacing w:after="0" w:line="267"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Demographic data – </w:t>
      </w:r>
      <w:r>
        <w:rPr>
          <w:rFonts w:ascii="Times New Roman" w:cs="Times New Roman" w:eastAsia="Times New Roman" w:hAnsi="Times New Roman"/>
          <w:sz w:val="18"/>
          <w:szCs w:val="18"/>
          <w:color w:val="auto"/>
        </w:rPr>
        <w:t>Demographic data refers to a user’s age, gender, income level and geographic location. In addition to inferred demographic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through our data tracking and profiling analytic capabilities and technologies, we obtain actual demographic data from social media accounts through our strategic relationship with selected third-party data partners, including major internet companies in China.</w:t>
      </w:r>
    </w:p>
    <w:p>
      <w:pPr>
        <w:spacing w:after="0" w:line="78" w:lineRule="exact"/>
        <w:rPr>
          <w:rFonts w:ascii="Times New Roman" w:cs="Times New Roman" w:eastAsia="Times New Roman" w:hAnsi="Times New Roman"/>
          <w:sz w:val="18"/>
          <w:szCs w:val="18"/>
          <w:color w:val="auto"/>
        </w:rPr>
      </w:pPr>
    </w:p>
    <w:p>
      <w:pPr>
        <w:ind w:left="900" w:right="100" w:hanging="325"/>
        <w:spacing w:after="0" w:line="257"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Campaign performance data – </w:t>
      </w:r>
      <w:r>
        <w:rPr>
          <w:rFonts w:ascii="Times New Roman" w:cs="Times New Roman" w:eastAsia="Times New Roman" w:hAnsi="Times New Roman"/>
          <w:sz w:val="18"/>
          <w:szCs w:val="18"/>
          <w:color w:val="auto"/>
        </w:rPr>
        <w:t>Campaign performance data refers to a user’s interaction with, and response to, a given marketing message,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starting with such user’s click on the content and including the user’s interaction with the destination site to which the link leads, and all other actions taken by the user, including E-commerce transaction, clicks, registration or sign-ups, video viewing, and “follow” or “likes” on social media platforms. We obtain campaign performance data from websites and apps on which we have installed our proprietary sharing toolbars and software development kits, in managing customer campaigns, and through our data collaboration arrangements with selected third-party data partners.</w:t>
      </w:r>
    </w:p>
    <w:p>
      <w:pPr>
        <w:spacing w:after="0" w:line="185"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We distill structured variables from large volume of unstructured data to construct context-rich user profiles. In the 30 days leading up to April 15, 2017, we analyzed approximately 651.6 million active profiled users, whose profiles include on average 23 attributes, including user demographics, geographic location, device preference, spending history, personal interest and other online or offline behavioral pattern. We “pre-package” our user profiles into audience groups that can be utilized by specific industry verticals for precise targeting. Data involving our user profiles and audience groups are continuously fed into our content distribution opportunity matching process, enabling marketers to make cost-efficient decisions on real-time audience engagement opportunities and continuously optimize these decisions to access and activate their target audience through different channels.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Data Analytics Capabilities and Technologies</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We apply data science technologies extensively throughout the online marketing cycle to support audience tracking, profiling and segmentation and to execute cost-efficient decisions on real-time audience engagement. Our proprietary data analytics capabilities and technologies include:</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Deep Learning and Artificial Intelligence</w:t>
      </w:r>
    </w:p>
    <w:p>
      <w:pPr>
        <w:spacing w:after="0" w:line="133" w:lineRule="exact"/>
        <w:rPr>
          <w:sz w:val="20"/>
          <w:szCs w:val="20"/>
          <w:color w:val="auto"/>
        </w:rPr>
      </w:pPr>
    </w:p>
    <w:p>
      <w:pPr>
        <w:ind w:left="900" w:right="80" w:hanging="325"/>
        <w:spacing w:after="0" w:line="259"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Audience tracking engine </w:t>
      </w:r>
      <w:r>
        <w:rPr>
          <w:rFonts w:ascii="Times New Roman" w:cs="Times New Roman" w:eastAsia="Times New Roman" w:hAnsi="Times New Roman"/>
          <w:sz w:val="18"/>
          <w:szCs w:val="18"/>
          <w:color w:val="auto"/>
        </w:rPr>
        <w:t>- Our audience tracking engine monitors our audience across various devices and channels to identify which user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interacting with what content, through which devices and the environment the user is in. It also uses cookies and other digital fingerprinting technologies, which take into account social network IDs, browsing behavior, network usage, IP addresses, surfing patterns, and device features, to recognize, identify, and re-identify a user across multiple channels, devices, and geographic locations , including de-duplication of multiple devices to a user.</w:t>
      </w:r>
    </w:p>
    <w:p>
      <w:pPr>
        <w:spacing w:after="0" w:line="85" w:lineRule="exact"/>
        <w:rPr>
          <w:rFonts w:ascii="Times New Roman" w:cs="Times New Roman" w:eastAsia="Times New Roman" w:hAnsi="Times New Roman"/>
          <w:sz w:val="18"/>
          <w:szCs w:val="18"/>
          <w:color w:val="auto"/>
        </w:rPr>
      </w:pPr>
    </w:p>
    <w:p>
      <w:pPr>
        <w:ind w:left="900" w:right="40" w:hanging="325"/>
        <w:spacing w:after="0" w:line="267"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Contextual analysis engine - </w:t>
      </w:r>
      <w:r>
        <w:rPr>
          <w:rFonts w:ascii="Times New Roman" w:cs="Times New Roman" w:eastAsia="Times New Roman" w:hAnsi="Times New Roman"/>
          <w:sz w:val="18"/>
          <w:szCs w:val="18"/>
          <w:color w:val="auto"/>
        </w:rPr>
        <w:t>Our contextual analysis engine parses all data properties to understand the context and content which audiences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interacting in and with, including news articles, social networks, search engines, mobile apps, etc. These help understand what a user is interested in, including product categories, brand names, product names, keywords, and the depth of their interest.</w:t>
      </w:r>
    </w:p>
    <w:p>
      <w:pPr>
        <w:spacing w:after="0" w:line="78" w:lineRule="exact"/>
        <w:rPr>
          <w:rFonts w:ascii="Times New Roman" w:cs="Times New Roman" w:eastAsia="Times New Roman" w:hAnsi="Times New Roman"/>
          <w:sz w:val="18"/>
          <w:szCs w:val="18"/>
          <w:color w:val="auto"/>
        </w:rPr>
      </w:pPr>
    </w:p>
    <w:p>
      <w:pPr>
        <w:ind w:left="900" w:right="60" w:hanging="325"/>
        <w:spacing w:after="0" w:line="267" w:lineRule="auto"/>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Natural language processing algorithms - </w:t>
      </w:r>
      <w:r>
        <w:rPr>
          <w:rFonts w:ascii="Times New Roman" w:cs="Times New Roman" w:eastAsia="Times New Roman" w:hAnsi="Times New Roman"/>
          <w:sz w:val="18"/>
          <w:szCs w:val="18"/>
          <w:color w:val="auto"/>
        </w:rPr>
        <w:t>Our natural language processing algorithms, or NLP, are important elements of our contextual analysis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 We use these algorithms to extract structure from unstructured data, so that it can be processed and analyzed effectively. Our NLP algorithms are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420"/>
          </w:cols>
          <w:pgMar w:left="240" w:top="455" w:right="2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61" w:lineRule="auto"/>
        <w:rPr>
          <w:sz w:val="20"/>
          <w:szCs w:val="20"/>
          <w:color w:val="auto"/>
        </w:rPr>
      </w:pPr>
      <w:r>
        <w:rPr>
          <w:rFonts w:ascii="Times New Roman" w:cs="Times New Roman" w:eastAsia="Times New Roman" w:hAnsi="Times New Roman"/>
          <w:sz w:val="18"/>
          <w:szCs w:val="18"/>
          <w:color w:val="auto"/>
        </w:rPr>
        <w:t>designed to understand and analyze Chinese and English languages and their usage in various contexts. They enable the extraction of information about entities, correlations, sentiments and emotions from vast amounts of text converted from audio and video streams and other digital content. In addition, we combine deep learning techniques with our natural language processing capabilities to further enhance the accuracy of attributes of our user profiles.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Predictive Analytics</w:t>
      </w:r>
    </w:p>
    <w:p>
      <w:pPr>
        <w:spacing w:after="0" w:line="133" w:lineRule="exact"/>
        <w:rPr>
          <w:sz w:val="20"/>
          <w:szCs w:val="20"/>
          <w:color w:val="auto"/>
        </w:rPr>
      </w:pPr>
    </w:p>
    <w:p>
      <w:pPr>
        <w:ind w:left="900" w:right="40" w:hanging="325"/>
        <w:spacing w:after="0" w:line="261"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User profiling engine - </w:t>
      </w:r>
      <w:r>
        <w:rPr>
          <w:rFonts w:ascii="Times New Roman" w:cs="Times New Roman" w:eastAsia="Times New Roman" w:hAnsi="Times New Roman"/>
          <w:sz w:val="18"/>
          <w:szCs w:val="18"/>
          <w:color w:val="auto"/>
        </w:rPr>
        <w:t>Combining the data collected through, and processed by, our contextual analysis engine and audience tracking engine,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user profiling engine infers the user’s interest, demographic, intent and other features through multi-dimensional data drill down and dynamic correlation analysis. In addition, we employ various models and algorithms on user profiles to expand and provide more breadth and depth on each user profile. As of April 15, 2017, we had designed an aggregate of 187 data labels for our user profiles.</w:t>
      </w:r>
    </w:p>
    <w:p>
      <w:pPr>
        <w:spacing w:after="0" w:line="85" w:lineRule="exact"/>
        <w:rPr>
          <w:rFonts w:ascii="Times New Roman" w:cs="Times New Roman" w:eastAsia="Times New Roman" w:hAnsi="Times New Roman"/>
          <w:sz w:val="18"/>
          <w:szCs w:val="18"/>
          <w:color w:val="auto"/>
        </w:rPr>
      </w:pPr>
    </w:p>
    <w:p>
      <w:pPr>
        <w:ind w:left="900" w:hanging="325"/>
        <w:spacing w:after="0" w:line="267"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Profile Segmentation Algorithms </w:t>
      </w:r>
      <w:r>
        <w:rPr>
          <w:rFonts w:ascii="Times New Roman" w:cs="Times New Roman" w:eastAsia="Times New Roman" w:hAnsi="Times New Roman"/>
          <w:sz w:val="18"/>
          <w:szCs w:val="18"/>
          <w:color w:val="auto"/>
        </w:rPr>
        <w:t>- We use various algorithms to organize user profiles, which are generated and updated dynamically in real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responding to real time changes in user interests and needs. This allows for accurate and detailed segmentation of user interests through multiple dimensions, e.g. by user interest keywords and user interest categories.</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Real-Time Matching Technologies</w:t>
      </w:r>
    </w:p>
    <w:p>
      <w:pPr>
        <w:spacing w:after="0" w:line="133" w:lineRule="exact"/>
        <w:rPr>
          <w:sz w:val="20"/>
          <w:szCs w:val="20"/>
          <w:color w:val="auto"/>
        </w:rPr>
      </w:pPr>
    </w:p>
    <w:p>
      <w:pPr>
        <w:ind w:left="900" w:right="240" w:hanging="325"/>
        <w:spacing w:after="0" w:line="261"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Real-time user engagement algorithms </w:t>
      </w:r>
      <w:r>
        <w:rPr>
          <w:rFonts w:ascii="Times New Roman" w:cs="Times New Roman" w:eastAsia="Times New Roman" w:hAnsi="Times New Roman"/>
          <w:sz w:val="18"/>
          <w:szCs w:val="18"/>
          <w:color w:val="auto"/>
        </w:rPr>
        <w:t>– Our real time user engagement algorithms execute marketing decisions based on a wide range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parameters, including predictions on click-through rate and conversion rate, inventory price, inventory safety and inventory segment, and consider audience compatibility, demographics, and frequency capping or other budgeting restrictions among other parameters, to compute the most cost-efficient decisions on real-time audience engagement opportunities.</w:t>
      </w:r>
    </w:p>
    <w:p>
      <w:pPr>
        <w:spacing w:after="0" w:line="85" w:lineRule="exact"/>
        <w:rPr>
          <w:rFonts w:ascii="Times New Roman" w:cs="Times New Roman" w:eastAsia="Times New Roman" w:hAnsi="Times New Roman"/>
          <w:sz w:val="18"/>
          <w:szCs w:val="18"/>
          <w:color w:val="auto"/>
        </w:rPr>
      </w:pPr>
    </w:p>
    <w:p>
      <w:pPr>
        <w:ind w:left="900" w:right="20" w:hanging="325"/>
        <w:spacing w:after="0" w:line="259" w:lineRule="auto"/>
        <w:tabs>
          <w:tab w:leader="none" w:pos="9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Online continuous real-time bid optimization algorithms </w:t>
      </w:r>
      <w:r>
        <w:rPr>
          <w:rFonts w:ascii="Times New Roman" w:cs="Times New Roman" w:eastAsia="Times New Roman" w:hAnsi="Times New Roman"/>
          <w:sz w:val="18"/>
          <w:szCs w:val="18"/>
          <w:color w:val="auto"/>
        </w:rPr>
        <w:t>– Our online continuous real-time bid optimization algorithms consider a wide range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parameters, including purchasing efficiency, predicted conversion rate, return on media value, budget allocation efficiency, inventory safety, and what marketers are willing to pay to dynamically optimize our bidding and pricing strategies. Our real-time bid optimization algorithms continuously sieve through a large volume of user engagement opportunities per day to decide which are the best possible opportunities to engage with.</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We collect data solely to analyze audience and campaign performance. In order to identify each user profile, we associate a random number with each new profile. We then use that number as the anonymous identification for the profile and associate it with all related data. In general we do not collect personally identifiable information unless a user consents to it or a marketer gives consent on behalf of the user. If such information is inadvertently obtained by us, we require its immediate deletion.</w:t>
      </w:r>
    </w:p>
    <w:p>
      <w:pPr>
        <w:spacing w:after="0" w:line="180"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We treat all information we collect as confidential. We do not disclose any information we gather from a marketer or any third party data partner unless such disclosure is approved by it, which in turn has obtained end user consent.</w:t>
      </w:r>
    </w:p>
    <w:p>
      <w:pPr>
        <w:spacing w:after="0" w:line="162" w:lineRule="exact"/>
        <w:rPr>
          <w:sz w:val="20"/>
          <w:szCs w:val="20"/>
          <w:color w:val="auto"/>
        </w:rPr>
      </w:pPr>
    </w:p>
    <w:p>
      <w:pPr>
        <w:ind w:right="240" w:firstLine="456"/>
        <w:spacing w:after="0" w:line="261" w:lineRule="auto"/>
        <w:rPr>
          <w:sz w:val="20"/>
          <w:szCs w:val="20"/>
          <w:color w:val="auto"/>
        </w:rPr>
      </w:pPr>
      <w:r>
        <w:rPr>
          <w:rFonts w:ascii="Times New Roman" w:cs="Times New Roman" w:eastAsia="Times New Roman" w:hAnsi="Times New Roman"/>
          <w:sz w:val="18"/>
          <w:szCs w:val="18"/>
          <w:color w:val="auto"/>
        </w:rPr>
        <w:t>We have put in place appropriate physical, electronic and managerial procedures to safeguard and secure our data assets, including to prevent unauthorized access, to preserve their integrity and to ensure their appropriate use. On the software level, we maintain the same database login information across all our computer systems to control access, and individuals with different levels or job duties are assigned different levels of access permissions. For example, only high-level technology personnel, including head of system operations,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420"/>
          </w:cols>
          <w:pgMar w:left="240" w:top="456" w:right="23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head of data science and certain other technical developments leaders have root access to our operation system; and only database managers have access to the relevant database. We have central controls to govern user roles and permissions. On the hardware levels, our servers are located at IDCs, and only system operation personnel have access to our servers. In addition, we have established hardware firewall where all traffic is inspected and filtered according to a comprehensive set of rules. We conduct comprehensive security reviews of our data assets on an annual basis and ad hoc security reviews from time to time as special needs arise.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 Infrastructure</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Our platform is built on a highly scalable and reliable cloud-based technology architecture. This allows us to harness large quantities of real-time data and ensures high speed performance at a large scale to accommodate more customers and increased complexity of their online marketing campaigns.</w:t>
      </w:r>
    </w:p>
    <w:p>
      <w:pPr>
        <w:spacing w:after="0" w:line="65" w:lineRule="exact"/>
        <w:rPr>
          <w:sz w:val="20"/>
          <w:szCs w:val="20"/>
          <w:color w:val="auto"/>
        </w:rPr>
      </w:pPr>
    </w:p>
    <w:p>
      <w:pPr>
        <w:ind w:left="900" w:right="80" w:hanging="325"/>
        <w:spacing w:after="0" w:line="261"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Real-time analytics - </w:t>
      </w:r>
      <w:r>
        <w:rPr>
          <w:rFonts w:ascii="Times New Roman" w:cs="Times New Roman" w:eastAsia="Times New Roman" w:hAnsi="Times New Roman"/>
          <w:sz w:val="18"/>
          <w:szCs w:val="18"/>
          <w:color w:val="auto"/>
        </w:rPr>
        <w:t>Our cloud-based technology architecture is built to be fully distributed while having a single unified access layer. Large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of data are ingested through multiple highly-optimized points and analyzed using both offline batch processing and online real-time processing through streaming technologies. This architecture allows us to combine multiple data dimensions and apply various machine learning algorithms in real-time to our data, providing the most up-to-date and accurate representations of a user’s traits and online behavior.</w:t>
      </w:r>
    </w:p>
    <w:p>
      <w:pPr>
        <w:spacing w:after="0" w:line="85" w:lineRule="exact"/>
        <w:rPr>
          <w:rFonts w:ascii="Times New Roman" w:cs="Times New Roman" w:eastAsia="Times New Roman" w:hAnsi="Times New Roman"/>
          <w:sz w:val="18"/>
          <w:szCs w:val="18"/>
          <w:color w:val="auto"/>
        </w:rPr>
      </w:pPr>
    </w:p>
    <w:p>
      <w:pPr>
        <w:ind w:left="900" w:right="80" w:hanging="325"/>
        <w:spacing w:after="0" w:line="259" w:lineRule="auto"/>
        <w:tabs>
          <w:tab w:leader="none" w:pos="9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Scalability - </w:t>
      </w:r>
      <w:r>
        <w:rPr>
          <w:rFonts w:ascii="Times New Roman" w:cs="Times New Roman" w:eastAsia="Times New Roman" w:hAnsi="Times New Roman"/>
          <w:sz w:val="18"/>
          <w:szCs w:val="18"/>
          <w:color w:val="auto"/>
        </w:rPr>
        <w:t>With modular architecture that is built to be horizontally scalable, our platform can be easily expanded as data storage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customer base increase. Our data repositories are clustered and our data processing architecture is distributed in several cities in China and Hong Kong, which supports efficient expansion. When need arises, we can easily add servers and integrate them into our existing server clusters as either data nodes or processing nodes. In addition, load balancing technology helps us improve distribution of workloads across multiple computing components, optimizing resource utilization and minimizing response time.</w:t>
      </w:r>
    </w:p>
    <w:p>
      <w:pPr>
        <w:spacing w:after="0" w:line="85" w:lineRule="exact"/>
        <w:rPr>
          <w:rFonts w:ascii="Times New Roman" w:cs="Times New Roman" w:eastAsia="Times New Roman" w:hAnsi="Times New Roman"/>
          <w:sz w:val="18"/>
          <w:szCs w:val="18"/>
          <w:color w:val="auto"/>
        </w:rPr>
      </w:pPr>
    </w:p>
    <w:p>
      <w:pPr>
        <w:jc w:val="both"/>
        <w:ind w:left="900" w:right="80" w:hanging="325"/>
        <w:spacing w:after="0" w:line="273" w:lineRule="auto"/>
        <w:tabs>
          <w:tab w:leader="none" w:pos="9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Reliability - </w:t>
      </w:r>
      <w:r>
        <w:rPr>
          <w:rFonts w:ascii="Times New Roman" w:cs="Times New Roman" w:eastAsia="Times New Roman" w:hAnsi="Times New Roman"/>
          <w:sz w:val="17"/>
          <w:szCs w:val="17"/>
          <w:color w:val="auto"/>
        </w:rPr>
        <w:t>Our technology layers have built in software and hardware redundancy and will automatically switch if errors are detected. We built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platform on a distributed computing architecture with no single point of failure. In addition, our architecture supports multiple live copies of each data set along with snapshot capabilities for faster, point-in-time data recovery instead of traditional backup and restore methodologies.</w:t>
      </w:r>
    </w:p>
    <w:p>
      <w:pPr>
        <w:spacing w:after="0" w:line="1" w:lineRule="exact"/>
        <w:rPr>
          <w:rFonts w:ascii="Times New Roman" w:cs="Times New Roman" w:eastAsia="Times New Roman" w:hAnsi="Times New Roman"/>
          <w:sz w:val="17"/>
          <w:szCs w:val="17"/>
          <w:color w:val="auto"/>
        </w:rPr>
      </w:pPr>
    </w:p>
    <w:p>
      <w:pPr>
        <w:ind w:left="900" w:right="64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Furthermore, our data processing architecture is located within the same cities where servers of major ad exchanges in China are located, facilitating low latency access and reliability as we bid for content distribution opportunities in real time.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Content Distribution Channels</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provide marketers with one-stop access to a wide variety of cross-channel content distribution opportunities in China through our deep relationship with content distribution channel partners. For example, we purchase or promote content distribution opportunities on content distribution channels, including premium channels such as Tencent, Baidu, Google and Alibaba. We believe we have preferential access to the content distribution opportunities on some of our channels that allow us to purchase the content distribution opportunities ahead of other purchasers offering the same terms. Media cost for content distribution opportunities on Tencent, Baidu, Google and Alibaba channels in aggregate accounted for 84.0%, 81.6% and 87.7% of our media costs in 2015, 2016 and six months ended June 30, 2017, respectively. Media cost for content distribution opportunities on our largest channel partner in each of 2015, 2016 and the six months ended June 30, 2017 accounted for 55.0%, 42.2% and 58.8% of our media costs during the relevant periods, respectively, and media costs for content distribution opportunities on our second largest channel partner in each of 2015, 2016 and the six months ended June 30, 2017 accounted for</w:t>
      </w:r>
    </w:p>
    <w:p>
      <w:pPr>
        <w:spacing w:after="0" w:line="1"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22.6%, 36.1% and 11.8% of our media cost during the relevant periods, respectively. See “Risk Factors — Risks Related to Our Business and Industry — Loss of any content distribution channel may materially and adversely affect our business and results of operations.” and “— The independent online marketing technology market is highly fragmented and intensely competitive. In addition,</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400"/>
          </w:cols>
          <w:pgMar w:left="240" w:top="455" w:right="25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independent online marketing technology platforms face competitive pressure from well-established internet companies, marketing agencies and traditional media.” for more details on the significance of these channel partners to our business and potential competition with them.</w:t>
      </w:r>
    </w:p>
    <w:p>
      <w:pPr>
        <w:spacing w:after="0" w:line="162"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Our content distribution opportunities span the mobile and PC channels, and include various formats such as video and traditional banner ad. Our content distribution channel partners primarily include mobile and online publishers, major search engines and ad exchanges. In the 30 days leading up to April 15, 2017, we covered approximately 72,000 mobile apps and 2.3 million websites. In 2016, our gross billing from mobile audience solutions and other solutions amounted to US$112.4 million and US$123.9 million, accounting for 47.6% and 52.4% of our gross billing, respectively. In the six months ended June 30, 2017, our gross billings from mobile audience solutions and other solutions amounted to US$63.0 million and US$40.4 million, accounting for 60.9% and 39.1% of our gross billing, respectively. In 2016, our net revenues from mobile audience solutions and other solutions amounted to</w:t>
      </w:r>
    </w:p>
    <w:p>
      <w:pPr>
        <w:ind w:right="40"/>
        <w:spacing w:after="0" w:line="255" w:lineRule="auto"/>
        <w:rPr>
          <w:sz w:val="20"/>
          <w:szCs w:val="20"/>
          <w:color w:val="auto"/>
        </w:rPr>
      </w:pPr>
      <w:r>
        <w:rPr>
          <w:rFonts w:ascii="Times New Roman" w:cs="Times New Roman" w:eastAsia="Times New Roman" w:hAnsi="Times New Roman"/>
          <w:sz w:val="18"/>
          <w:szCs w:val="18"/>
          <w:color w:val="auto"/>
        </w:rPr>
        <w:t>US$57.8 million and US$37.6 million, accounting for 60.6% and 39.4% of our net revenue, respectively. In the six months ended June 30, 2017, our net revenues from mobile audience solutions and other solutions amounted to US$42.3 million and US$13.5 million, accounting for 75.8% and 24.2% of our net revenues, respectively.</w:t>
      </w:r>
    </w:p>
    <w:p>
      <w:pPr>
        <w:spacing w:after="0" w:line="18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generally enter into annual framework agreements with content distribution channel partners, which set out each party’s rights and responsibilities with respect to the relevant content distribution opportunities. For example, we are generally required to examine advertising content to ensure its compliance with applicable laws and content distribution channel partners’ policies. We are also generally required to prepay media cost, which is based on pricing models determined by content distribution partners and calculated based on content distribution partners’ tracking. In addition, these agreements generally provide for certain rebates or incentives, generally calculated as a percentage of marketing spend, that we are entitled to should the marketing spend during the terms exceed specified thresholds. See “Management’s Discussion and Analysis of Financial Condition and Results of Operations — Key Operating and Financial Metrics — Net Revenues”, “—Key Components of Results of Operations — Cost of Revenues; Gross Profit Margin”, “—Critical Accounting Policies — Revenue Recognition — Sales Agency” and “—Critical Accounting Policies — Rebates” for a description of the accounting treatment of rebates and incentives that we receive from content distribution channels. Some of these agreements also provide for minimum amount of content distribution opportunities that needs to be purchased during the terms of the agreements, failing which the content distribution channel partners may terminate the agreements.</w:t>
      </w:r>
    </w:p>
    <w:p>
      <w:pPr>
        <w:spacing w:after="0" w:line="193"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collaborate with many of our content distribution channel partners. Our product, technology and data engineering division work closely with the respective technology teams in our channel partners to ensure the compatibility of our tracking tools and access to content distribution opportunities. In addition to basic cooperation on access to content distribution opportunities, we collaborate closely with our content distribution partners on product research and development to stay at the forefront of marketing technology innovation and facilitate optimal audience engagement. For example, in 2015, we launched MoTV mobile SDK through cooperation with certain leading apps in China, which is an in-app video app that provides blue-ray quality ad viewing experience.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sell our solutions by entering into marketing campaign contracts with marketers or marketing agencies. We treat entities which we derive revenue from under our marketing campaign contracts with them as our customers. Therefore, we count specific sub-brands or divisions within the same brand or holding company as distinct customers so long as we have signed campaign contracts with different entities. On the other hand, even though multiple campaign contracts may be involved, we only record one single customer if those contracts with us are signed by the same entity. Our customers include both marketers who have direct contractual relationships with us, or direct marketer customers, and marketing agency customers. Our “marketers” include both direct marketer customers, and marketers that are represented by our marketing agency customers and have no direct</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360"/>
          </w:cols>
          <w:pgMar w:left="240" w:top="455" w:right="29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contractual relationship with us, or end marketers. During 2016, we had over 2,000 customers including over 1,800 direct marketer customers and over 500 marketing agency customers, which represented over 1,100 end marketers. In the six months ended June 30, 2017, we had approximately 1,400 customers, including approximately 1,000 direct marketer customers and approximately 380 agency customers, which represented approximately 900 end marketers.</w:t>
      </w:r>
    </w:p>
    <w:p>
      <w:pPr>
        <w:spacing w:after="0" w:line="176"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Our marketers span a diverse array of industry segments, with banking and finance, entertainment and media, E-commerce, personal care and beauty, and travel and hospitality being among the top five in terms of gross billing contribution in 2016. They also feature companies of different sizes, including more than 150 multinational companies in 2016 and in the six months ended June 30, 2017, respectively, as well as small and medium-sized enterprises. Our marketers come from a variety of regions, with headquarters in Europe, North America, South America, or Southeast Asia. In determining the geographic classification of revenue, we look at the geographic location of our subsidiary or VIE which executed the marketing campaign contract. Our subsidiaries or VIE in China generally are our signing entities for marketing campaign contracts with customers which are based in China. Our Singapore subsidiary generally is our signing entity for marketing campaign contracts with customers based in Southeast Asia. Our Hong Kong subsidiaries generally are our signing entities for marketing campaign contracts with other customers. Please refer to “Management’s Discussion and Analysis of Financial Condition and Results of Operations — Key Components of Results of Operations — Net Revenues” for our net revenues breakdown by geographic region.</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derived over 70% of our gross billing from direct marketer customers in 2015 and 2016 and over 60% of our gross billing from direct marketer customers in the six months ended June 30, 2017. We have been strategically optimizing the customer base for other solutions to focus on profitability and liquidity. As a result of these efforts, our gross billing per customer increased by US$32,020, or 47.5%, from US$67,413 in 2015 to US$99,433 in 2016, and by US$17,104, or 29.9%, from US$57,192 in the six months ended June 30, 2016 to US$74,296 in the same period in 2017. The total number of our customers decreased by 10.1% from 2,644 in 2015 to 2,376 in 2016 notwithstanding our full year consolidation of OptAim’s results of operations in 2016 compared to our consolidation of OptAim’s results of operations only for the period from July 24 to December 31 in 2015. The total number of our customers decreased by 32.9% from 2,075 in the six months ended June 30, 2016 to 1,392 in the same period in 2017.</w:t>
      </w:r>
    </w:p>
    <w:p>
      <w:pPr>
        <w:spacing w:after="0" w:line="18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In 2016, we derived 18% of our net revenues from a marketer in the entertainment industry and 11% of our net revenues from a marketer in the e-commerce industry. In the six months ended June 30, 2017, we derived 14% of our net revenues from a marketer in the entertainment industry. These marketers utilized our mobile audience solutions under specified-action arrangement and therefore, and revenue from these marketers was recognized on a gross basis. Their marketing campaign contracts were for a term of one year and contained terms similar to that under the marketing campaign contracts we generally enter into with other marketers utilizing similar solutions. Please refer to “Risk Factors — Risk Related to Our Business and Industry — Failure to retain existing customers or attract new ones could adversely impact our business and results of operations.”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Business Development and Account Management</w:t>
      </w:r>
    </w:p>
    <w:p>
      <w:pPr>
        <w:spacing w:after="0" w:line="121" w:lineRule="exact"/>
        <w:rPr>
          <w:sz w:val="20"/>
          <w:szCs w:val="20"/>
          <w:color w:val="auto"/>
        </w:rPr>
      </w:pPr>
    </w:p>
    <w:p>
      <w:pPr>
        <w:ind w:right="140" w:firstLine="456"/>
        <w:spacing w:after="0" w:line="273" w:lineRule="auto"/>
        <w:rPr>
          <w:sz w:val="20"/>
          <w:szCs w:val="20"/>
          <w:color w:val="auto"/>
        </w:rPr>
      </w:pPr>
      <w:r>
        <w:rPr>
          <w:rFonts w:ascii="Times New Roman" w:cs="Times New Roman" w:eastAsia="Times New Roman" w:hAnsi="Times New Roman"/>
          <w:sz w:val="17"/>
          <w:szCs w:val="17"/>
          <w:color w:val="auto"/>
        </w:rPr>
        <w:t>Our sales and business development workforce is focused on attracting more customers for our mobile audience solutions, optimizing the customer base for our other solutions to focus on profitability and liquidity, and attracting more customers to use our solutions through our self-service model. Leveraging our existing positions and reputations in industry sectors where we already have a strong presence, we are able to attract more direct marketer customers in those sectors. In addition, we are focused on diversifying our customer base. We have partnered with local marketing agencies at selected first and second-tier cities in China to expand our marketer base in industry segments where we have relatively less presence, as well as to attract and retain high quality small and medium-sized enterprises to use our solutions on a self-serve basis. Furthermore, our sales and business development team works closely with overseas marketing agencies and channel partners in the home countries of overseas marketers, who help promote our solutions to overseas marketers.</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380"/>
          </w:cols>
          <w:pgMar w:left="240" w:top="455" w:right="27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Our sales and business development team is organized by geographic region, and is further divided into groups that focus on sales to marketers or to marketing agencies in each geographic region. As of June 30, 2017, we had 110 employees for sales and business development.</w:t>
      </w:r>
    </w:p>
    <w:p>
      <w:pPr>
        <w:spacing w:after="0" w:line="16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Supporting our sales and business development team are our account managers under our operational support team, who help maintain and grow the accounts of our customers. While our intuitive user interfaces are designed to enable customers to easily deploy and utilize our solutions themselves with minimal customer support, we make online and telephonic helpdesk facilities available and provide onsite engineering support to customers and also assign account managers for our direct marketer customers and some of our marketing agency customers. Our account mangers provide consultative services on the use of our solutions, and in addition, for our managed service customers, more in-depth servicing on campaign planning, execution and result measurement and analysis.</w:t>
      </w:r>
    </w:p>
    <w:p>
      <w:pPr>
        <w:spacing w:after="0" w:line="188"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We use a variety of traditional and web-based channels to drive our brand awareness and generate customer demand, including through direct marketing, print advertising in trade journals, offline sales efforts and customer referrals. We regularly attend trade shows and industry conferences, including the industry-renowned DMEXCO, RISE conference, iAB TechFront and GMIC, and speak to the press about the latest trends in China’s digital market industry and developments in our solution offerings. In addition, we periodically post case studies and observations and analysis on industry trends on our website and social media, including our WeChat public account.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We are committed to continually enhancing and innovating our solutions, technologies and technical infrastructure. Our current R&amp;D initiatives include development of an integrated one-stop system where our marketers can collaborate with their agencies, vendors or third-party collaborators in a consolidated manner to implement marketing initiatives or plan, execute and manage marketing campaigns across PC, mobile and TV channels.</w:t>
      </w:r>
    </w:p>
    <w:p>
      <w:pPr>
        <w:spacing w:after="0" w:line="176"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Our R&amp;D process is demand and innovation driven and involves collaborative efforts, including from our other functional teams, including sales and marketing, and product and operation support. Our R&amp;D process advocates adaptive planning, iterative and incremental development cycles, and encourages rapid and flexible response to change. We typically release new solution features or improvements every week.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We have developed all of the key technologies supporting our platform and solutions in-house. Our intellectual property rights are a key component of our success. We rely on a combination of trademark and trade secret laws, and contractual restrictions, including through confidentiality, non-disclosure invention assignment agreements with our key employees, consultants and third parties with whom we do business, to establish, maintain and protect our proprietary information and other intellectual property.</w:t>
      </w:r>
    </w:p>
    <w:p>
      <w:pPr>
        <w:spacing w:after="0" w:line="180"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Notwithstanding these efforts, we cannot be sure that any intellectual property we own will not be challenged, invalidated, or circumvented or that such intellectual property will be commercially useful in protecting our brand, products, services and technology. For more information regarding the risks related to our intellectual property, please see “Risk Factors — Risks Related to Our Business and Industry — Our business may suffer if it is alleged or determined that our technologies or any other aspects of our business infringe on the intellectual property rights of others,” “— If we are unable to protect our proprietary information or other intellectual property, our business could be adversely affected.”</w:t>
      </w:r>
    </w:p>
    <w:p>
      <w:pPr>
        <w:spacing w:after="0" w:line="184" w:lineRule="exact"/>
        <w:rPr>
          <w:sz w:val="20"/>
          <w:szCs w:val="20"/>
          <w:color w:val="auto"/>
        </w:rPr>
      </w:pPr>
    </w:p>
    <w:p>
      <w:pPr>
        <w:jc w:val="center"/>
        <w:ind w:left="340" w:right="360"/>
        <w:spacing w:after="0" w:line="454" w:lineRule="auto"/>
        <w:rPr>
          <w:sz w:val="20"/>
          <w:szCs w:val="20"/>
          <w:color w:val="auto"/>
        </w:rPr>
      </w:pPr>
      <w:r>
        <w:rPr>
          <w:rFonts w:ascii="Times New Roman" w:cs="Times New Roman" w:eastAsia="Times New Roman" w:hAnsi="Times New Roman"/>
          <w:sz w:val="18"/>
          <w:szCs w:val="18"/>
          <w:color w:val="auto"/>
        </w:rPr>
        <w:t>As of July 31, 2017, we had two patents in application in China, and 13 registered trademarks and trademark application in China and Hong Kong. 143</w:t>
      </w:r>
    </w:p>
    <w:p>
      <w:pPr>
        <w:sectPr>
          <w:pgSz w:w="11900" w:h="16838" w:orient="portrait"/>
          <w:cols w:equalWidth="0" w:num="1">
            <w:col w:w="11400"/>
          </w:cols>
          <w:pgMar w:left="240" w:top="455" w:right="2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China’s independent online marketing technology market is highly competitive, fragmented and rapidly changing. According to Frost &amp; Sullivan, we were the largest independent online marketing technology company in China in terms of gross billing in 2016, with a market share of 5.4%. According to Frost &amp; Sullivan, the five largest independent online marketing technology companies accounted for a total market share of 13.3% in terms of gross billing among all independent online marketing technology companies in China in 2016. We mainly compete with independent online marketing technology companies in China that offer online marketing solutions through demand side platform and use advanced technologies to optimize marketing campaigns for marketers. Frost &amp; Sullivan expects that the independent online marketing technology market will undergo further consolidation and continuous innovation, which could result in higher concentration levels and leading players achieving higher market shares.</w:t>
      </w:r>
    </w:p>
    <w:p>
      <w:pPr>
        <w:spacing w:after="0" w:line="18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compete for online marketing revenue based on many factors, including our ability to deliver return on marketing expenditure at scale, customer trust, geographic reach, breadth and depth of relationships with publishers, ad exchanges, ad networks and other participants in the online marketing ecosystem, comprehensiveness of solutions and service offerings, pricing structure and competitiveness, cross-channel capabilities, accessibility and user-friendliness of solutions and brand awareness. We compete for content distribution opportunities based on our ability to maximize the value of content distribution opportunities for content distribution channels partners, provide them with a wide array of solutions covering various types of content distribution opportunities and our ability to increase fill rates. While our industry is evolving rapidly and is becoming increasingly competitive, we believe that our highly scalable and flexible business model, large Chinese consumer data set, and omni-channel, targeted audience reach, proprietary, cutting-edge technologies, strong, diverse and loyal customer base, deep knowledge and familiarity with China’s online marketing industry, and visionary leadership enable us to remain competitive.</w:t>
      </w:r>
    </w:p>
    <w:p>
      <w:pPr>
        <w:spacing w:after="0" w:line="18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marketing and other resources, more extensive customer base and broader supplier relationship, and longer operating histories and greater brand recognition than we do. While we believe that we do not directly compete with these large and well-established internet companies for marketing spend as we promote their content distribution opportunities or purchase their content distribution opportunities in the ordinary course of our business in connection with our execution of marketing campaigns, and these companies generally do not provide integrated online marketing solutions the way we do, they are major players in the online marketing technology industry as they provide online marketing technology and offer services and offer solutions that help marketers achieve one or more aspects of their marketing goals in one or more phases of their online marketing cycle. In addition, these large and well-established companies control content distribution channels and would directly compete with us should we vertically expand our business to own or operate content distribution channels in the future. Online marketing technology platforms also face competition from marketing agencies, who may have their own relationships with content distribution channels and can directly connect marketers with such channels. Furthermore, online marketing technology platforms continue to face competition from traditional media including direct marketing, television, radio, cable and print advertising companies.</w:t>
      </w:r>
    </w:p>
    <w:p>
      <w:pPr>
        <w:spacing w:after="0" w:line="19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Please refer to “Risk Factors – Risk Related to Our Business and Industry - The market for online marketing solutions is highly fragmented and intensely competitive, and we may not be able to compete successfully with existing or new competitors.” and “Risk Factors – Risk Related to Our Business and Industry - If online marketing solutions do not achieve widespread market acceptance, our business, growth prospects and results of operations would be materially and adversely affected.”</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400"/>
          </w:cols>
          <w:pgMar w:left="240" w:top="455" w:right="25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As of December 31, 2015 and 2016, we had a total of 596 and 554 employees, respectively. The table below provides a breakdown of our employees by function as of December 31, 2016:</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560" w:type="dxa"/>
            <w:vAlign w:val="bottom"/>
            <w:gridSpan w:val="3"/>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1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technology and data engineering</w:t>
            </w:r>
          </w:p>
        </w:tc>
        <w:tc>
          <w:tcPr>
            <w:tcW w:w="17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Operation support</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business development</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As of June 30, 2017, we had a total of 464 employees, decreasing by 16.2% from 554 as of the end of December 31, 2016. The decrease primarily resulted from the decrease in headcount for sales and business development functions as we continued to optimize our customer base to focus on profitability and liquidity, and for general and administrative functions as we further integrated OptAim’s operations, which had been completed by June 30, 2017.</w:t>
      </w:r>
    </w:p>
    <w:p>
      <w:pPr>
        <w:spacing w:after="0" w:line="176"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enter into standard labor contracts and confidentiality agreements with our management and employees. Our success depends on our ability to attract, retain and motivate qualified personnel. We believe we offer our employees competitive compensation packages and an environment that encourages initiative and self-development. We provide specific training to new employees at orientation to familiarize them with our working environment and operational procedures. We also design and implement in-house training programs tailored to each job function and set of responsibilities to enhance performance. As a result, we have generally been able to attract and retain qualified personnel and maintain a stable core management team.</w:t>
      </w:r>
    </w:p>
    <w:p>
      <w:pPr>
        <w:spacing w:after="0" w:line="184"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In addition to salaries and benefits, we provide commission-based compensation for our sales force and performance-based bonuses for other employees. We also allow many of our employees to participate in share-based incentive plans to align their interests more closely with those of our shareholders. As required by regulations in China, we participate in various employee social security plans that are administered by municipal and provincial governments, including housing, pension, medical insurance and unemployment insurance plans. We are required under PRC law to make contributions to employee benefit plans at specified percentages of the salaries, bonuses and certain allowances of our employees, up to a maximum amount specified by the local governments from time to time.</w:t>
      </w:r>
    </w:p>
    <w:p>
      <w:pPr>
        <w:spacing w:after="0" w:line="188"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We believe that our working environment and the support and benefits provided to our employees have contributed to maintaining good working relationships with our employees. None of our employees are represented by labor unions.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Our headquarters and principal executive office are located in Hong Kong, in an approximately 1,500 square-meter facility, under certain lease agreements expiring on December 31, 2018. We currently lease approximately 2,900 square-meter office space in China located in Beijing, Shanghai, Shenzhen and Guangzhou, which primarily carry out the functions of technology and data engineering, sales and business development and operation support. Outside of China and Hong Kong, we also have subsidiaries or sales offices in Singapore, Taiwan and London.</w:t>
      </w:r>
    </w:p>
    <w:p>
      <w:pPr>
        <w:spacing w:after="0" w:line="180"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We lease all of our facilities and do not own any real property. Our leases will expire from 2017 to 2019. We believe that our current facilities are suitable and adequate to meet our current needs. If we require additional space, we expect to be able to obtain additional facilities on commercially reasonable terms.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420"/>
          </w:cols>
          <w:pgMar w:left="240" w:top="455" w:right="23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Administrative Proceedings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or administrative proceedings or be subject to claims arising in the ordinary course of our business. We are not presently a party to any legal or administrative proceedings or claims that, if determined adversely to us, would individually or taken together have a material adverse effect on our business, results of operations, financial condition or cash flows. Regardless of the outcome, litigation or any other legal or administrative proceedings or claims can have an adverse impact on us because of defense and settlement costs, diversion of management resources and other factors.</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00"/>
          </w:cols>
          <w:pgMar w:left="240" w:top="455" w:right="45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We operate in an increasingly complex legal and regulatory environment. We are subject to a variety of PRC and foreign laws, rules and regulations across numerous aspects of our business. This section sets forth a summary of the principal PRC laws, rules and regulations relevant to our business and operations in the PRC.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Advertising Business</w:t>
      </w:r>
    </w:p>
    <w:p>
      <w:pPr>
        <w:spacing w:after="0" w:line="121"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color w:val="auto"/>
        </w:rPr>
        <w:t>The Advertising Law of the People’s Republic of China, promulgated by the Standing Committee of the National People’s Congress on April 24, 2015 and became effective on September 1, 2015, is the principal law regulating our business. This law regulates contents of advertisements, codes of conduct for advertising, and the supervision and administration of advertising industry. It also stipulates that advertisers, advertising operators, and advertisement publishers shall abide by the Advertising Law and other laws and regulations, be honest and trustworthy, and compete in a fair manner in advertising business. According to the Advertising Law, advertising operators and advertisement publishers shall examine the relevant certification documents and verify the contents of advertisements in accordance with laws and regulations. According the Advertising Law, if advertising operators know or should have known the content of the advertisements is false or deceptive but still provide advertising design, production and agency services in connection with the advertisements, they might be subject to penalties, including confiscation of revenue and fines, and the competent PRC authority may suspend or revoke their business licenses. In addition, the Regulations on the Administration of Advertisement, promulgated by the State Council on October 26, 1987 requires the advertising operators to submit applications to the industry and commerce authorities for approval and registration. During the course of business, advertising operators are required to check papers or certificates and examine the contents of advertisements. According to this regulation, advertising operators may not publish, broadcast, install or post any advertisements which violate the provisions of the relevant regulations.</w:t>
      </w:r>
    </w:p>
    <w:p>
      <w:pPr>
        <w:spacing w:after="0" w:line="19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July 4, 2016, the State Administration for Industry and Commerce (SAIC) promulgated the Interim Measures for the Administration of Internet Advertising, or Interim Measures on Internet Advertising to regulate advertising activities conducted via the internet. According to the Interim Measures on Internet Advertising, advertisements published or distributed via the internet shall not interfere with users’ normal use of the internet. For example, advertisements published on web page pop-up windows or in others forms shall be clearly marked with a “close” sign to give the users an opportunity to close them out. No entity or individual may induce users to click on the contents of an advertisement through deception. An internet advertisement publisher or advertising operator, shall establish and maintain an acceptable registration, examination and file management system for its advertisers; examine, verify and record the identity information of each advertiser. The Interim Measures on Internet Advertising also require internet advertisement publishers and advertising operators to verify related supporting documents, check the contents of the advertisement and prohibits them from designing, producing, providing services or publishing any advertisement if the content and the supporting documents do not match each other or the documentary evidence thereof are insufficient.</w:t>
      </w:r>
    </w:p>
    <w:p>
      <w:pPr>
        <w:spacing w:after="0" w:line="18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Advertising Law defines an “advertising operator” as any natural person, legal person or other organization that agrees to provide advertising design, production and agency services for advertisers. Therefore, we are an “advertising operator” as provided in the Advertising Law and thus subject to the content review and conduct requirements of the Advertising Law and the Interim Measures on Internet Advertising, or the Interim Measures. To facilitate compliance with Advertising Law, we are developing certain advertising business management rules containing these mandatory content review and conduct requirements, and are establishing internal mechanisms to implement these rules, which we expect to complete before this offering.</w:t>
      </w:r>
    </w:p>
    <w:p>
      <w:pPr>
        <w:spacing w:after="0" w:line="184"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Prior to June 29, 2015, we were regulated by the Regulations for the Administration of Foreign-Invested Advertising Enterprises, promulgated by the State Administration for Industry and Commerce and the MOFCOM, which prescribed certain conditions on foreign investors that invest in companies in advertising business in China. Among other things, such foreign investors shall have at least three years’ track record primarily engaging in advertising business and shall have obtained an Opinion on the Approval of Foreign-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420"/>
          </w:cols>
          <w:pgMar w:left="240" w:top="455" w:right="23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invested Advertising Enterprise Project, which is issued by the State Administrative of Industry and Commerce or its local counterparts. The Regulations for the Administration of Foreign-Invested Advertising Enterprises were abolished on June 29, 2015 by the State Administration for Industry and Commerce after consultation with the MOFCOM.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Internet Information Service</w:t>
      </w:r>
    </w:p>
    <w:p>
      <w:pPr>
        <w:spacing w:after="0" w:line="121" w:lineRule="exact"/>
        <w:rPr>
          <w:sz w:val="20"/>
          <w:szCs w:val="20"/>
          <w:color w:val="auto"/>
        </w:rPr>
      </w:pPr>
    </w:p>
    <w:p>
      <w:pPr>
        <w:ind w:right="160" w:firstLine="456"/>
        <w:spacing w:after="0" w:line="252" w:lineRule="auto"/>
        <w:rPr>
          <w:sz w:val="20"/>
          <w:szCs w:val="20"/>
          <w:color w:val="auto"/>
        </w:rPr>
      </w:pPr>
      <w:r>
        <w:rPr>
          <w:rFonts w:ascii="Times New Roman" w:cs="Times New Roman" w:eastAsia="Times New Roman" w:hAnsi="Times New Roman"/>
          <w:sz w:val="18"/>
          <w:szCs w:val="18"/>
          <w:color w:val="auto"/>
        </w:rPr>
        <w:t>There are several principal regulations on internet information service business, including (i) the Telecommunications Regulations of the People’s Republic of China, promulgated by the State Council on September 25, 2000 and most recently amended on February 6, 2016, (ii) the Administrative Measures on Internet Information Services, promulgated by the State Council on September 25, 2000, or the Internet Measures, and (iii) the Catalogue of Telecommunication Services, issued by the State Council on September 25, 2000, and most recently amended by the Ministry of Industry and Information Technology, or MIIT, on December 28, 2015. According to the Internet Measures, “internet information services” include provision of information services through the internet to internet users. Since we have websites that provides information, including description of our business and solutions, to online users, we are deemed to be providing “internet information service”, and are therefore subject to these regulations on internet information services. Pursuant to the Internet Measures, there are two categories of internet information services, namely, services of an operative nature and services of a non-operative nature. The Internet Measures require providers of operative internet information services to obtain an operating permit and imposes certain restrictions on</w:t>
      </w:r>
    </w:p>
    <w:p>
      <w:pPr>
        <w:spacing w:after="0" w:line="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percentage of foreign ownership in such providers. Our business does not involve the provision of operative internet information services, and therefore, we are not required to obtain any operating permits or subject to foreign ownership restrictions under these regulations. In accordance with the Internet Measures, we shall complete a filing process for our website, which has been done.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Privacy Protection</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According to the Internet Measures, “internet information services” means the activity of providing information services through the internet to internet users. Since we have websites that provide information to internet users, we are considered an internet information service provider under the Internet Measures and are therefore, subject to regulations relating to the protection of privacy, including prohibitions on producing, copying, publishing or distributing information that is humiliating or defamatory to others or that infringes on the lawful rights and interests of others. Internet information service providers that violate the prohibition could face criminal charges or administrative sanctions by the PRC security authorities. In addition, relevant authorities may suspend their services, revoke their licenses or temporarily suspend or close down their websites.</w:t>
      </w:r>
    </w:p>
    <w:p>
      <w:pPr>
        <w:spacing w:after="0" w:line="188"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Under the Several Provisions on Regulating the Market Order of Internet Information Services, issued by MIIT, in December 2011, internet information service providers are prohibited from collecting any user-related information that can reveal the identity of the user whether by itself or when used in combination with other information, or providing any such information to third parties without the consent of that user. Internet information service providers must expressly inform the users of the method, content and purpose to collect and process such user personal information, and may only collect such information necessary for their services. Internet information service providers are also required to properly maintain the user personal information and, in case of any leakage or likely leakage of such information, must take remedial measures immediately and report any material leakage to the telecommunications regulatory authority.</w:t>
      </w:r>
    </w:p>
    <w:p>
      <w:pPr>
        <w:spacing w:after="0" w:line="18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In December 2012, the Decision on Strengthening Network Information Protection promulgated by the Standing Committee of the National People’s Congress emphasizes the need to protect electronic information that contains personal identification information and other private data. The decision requires internet information service providers to establish and publish policies regarding the collection and use of personal electronic information, to take necessary measures to ensure the security of the information and to prevent leakage, damage or loss.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420"/>
          </w:cols>
          <w:pgMar w:left="240" w:top="455" w:right="2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4" w:lineRule="auto"/>
        <w:rPr>
          <w:sz w:val="20"/>
          <w:szCs w:val="20"/>
          <w:color w:val="auto"/>
        </w:rPr>
      </w:pPr>
      <w:r>
        <w:rPr>
          <w:rFonts w:ascii="Times New Roman" w:cs="Times New Roman" w:eastAsia="Times New Roman" w:hAnsi="Times New Roman"/>
          <w:sz w:val="18"/>
          <w:szCs w:val="18"/>
          <w:color w:val="auto"/>
        </w:rPr>
        <w:t>Furthermore, the MIIT’s Rules on Protection of Personal Information of Telecommunications and Internet Users issued in July 2013 contain detailed requirements upon the activities collecting or using personal information of users in the provision of telecommunication service and internet information service, which mainly include: (i) the telecommunication business operators or internet information service providers shall expressly advise users about the purpose, method and scope of the collection or use of information, and the ways to inquire or correct information, and the consequences of refusal to provide information, etc.; (ii) the telecommunication business operators or internet information service providers shall not go beyond the necessary and the purpose for their service, nor by means of deceiving, misleading or force or in violation of the laws, regulations or the agreements between the parties; (iii) any collected information shall be kept in strict confidence with adequate measures; (iv) shall establish user complaint handling mechanism to accept complaints from the users, and etc. Internet information service providers, including us, may subject to penalties, including fines, warnings, orders to correct and even criminal charges if failed to fulfill the aforesaid requirements.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Foreign-related Surveys Measures</w:t>
      </w:r>
    </w:p>
    <w:p>
      <w:pPr>
        <w:spacing w:after="0" w:line="121"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According to the Foreign-related Surveys Measures, foreign-related surveys include: (i) market and social surveys conducted under the entrustment or financial aid of any overseas organization, individual, or the agency of any overseas organization in China; (ii) market and social surveys conducted in cooperation with any overseas organization, individual, or the agency of any overseas organization in China; (iii) market surveys lawfully conducted by the agency of any overseas organization in China; and (iv) market and social surveys of which the materials and results are to be provided to any overseas organization, individual, or the agency of any overseas organization in China. Any foreign-related market survey must be conducted by a foreign-related survey institution and no individual or organization may conduct any foreign-related survey without a license for foreign-related surveys. According to the Foreign-related Surveys Measure and the Catalogue of Industries for Guiding Foreign Investment (2015 version), only a domestic enterprise or a sino-foreign enterprise which meet the several requirements stipulated in the Foreign-related Surveys Measures can apply for license for the foreign- related survey.</w:t>
      </w:r>
    </w:p>
    <w:p>
      <w:pPr>
        <w:spacing w:after="0" w:line="18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collect data of multiple kinds and from multiple sources through our consolidated subsidiaries in the PRC and Hong Kong. These data include users’ search, browse, E-commerce and offline behavioral data, social data, demographic data, campaign performance data, and certain technical data, from our proprietary tracking tools, our marketers, publishers and ad exchanges in connection with marketing campaigns, and from collaboration with selected third-party data partners. Except for the general definitions of market surveys and social surveys defined in the Foreign-related Surveys Measures, there is no further clarification or specific guidance on the characteristics and scope of “foreign-related surveys”. In the opinion of our PRC counsel, Jingtian &amp; Gongcheng, the collection and use of data of our business do not fall within the scope of “foreign-related survey” and therefore we are not required to obtain a foreign-related survey license under the Foreign-related Survey Measures as currently interpreted and enforced by the relevant PRC regulatory authorities. However, in light of these uncertainties and out of prudence, we through OptAim Network, our VIE entity, applied for and were granted the foreign-related survey license on June 6, 2017 by the Chinese National Bureau of Statistics.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Intellectual Property Rights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China has adopted legislation governing intellectual property rights, including copyrights, trademarks and patents. China is a signatory to major international conventions on intellectual property rights and is subject to the Agreement on Trade Related Aspects of Intellectual Property Rights as a result of its accession to the World Trade Organization in December 2001.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Computer Software Copyright</w:t>
      </w:r>
    </w:p>
    <w:p>
      <w:pPr>
        <w:spacing w:after="0" w:line="121"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On March 1, 2013, the Regulations for the Protection of Computer Software promulgated by the State Council came into effect. These regulations are formulated for protecting the rights and interests of computer software copyright owners, encouraging the development and application of computer software and promoting the development of software business.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420"/>
          </w:cols>
          <w:pgMar w:left="240" w:top="456" w:right="23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Patents in the PRC are principally protected under the Patent Law of the People’s Republic of China, which was amended by the Standing Committee of the National People’s Congress in 2008 and became effective on October 1, 2009. This law is formulated for protecting the rights and interests of patentees, encouraging invention, promoting the application of inventions, enhancing innovation capacity, and facilitating the advancement of science and technology, and the economic and social development. Under this law, the duration of a patent right is either 10 years or 20 years from the date of application, depending on the type of patent right.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w:t>
      </w:r>
    </w:p>
    <w:p>
      <w:pPr>
        <w:spacing w:after="0" w:line="121" w:lineRule="exact"/>
        <w:rPr>
          <w:sz w:val="20"/>
          <w:szCs w:val="20"/>
          <w:color w:val="auto"/>
        </w:rPr>
      </w:pPr>
    </w:p>
    <w:p>
      <w:pPr>
        <w:jc w:val="both"/>
        <w:ind w:right="540" w:firstLine="456"/>
        <w:spacing w:after="0" w:line="277" w:lineRule="auto"/>
        <w:rPr>
          <w:sz w:val="20"/>
          <w:szCs w:val="20"/>
          <w:color w:val="auto"/>
        </w:rPr>
      </w:pPr>
      <w:r>
        <w:rPr>
          <w:rFonts w:ascii="Times New Roman" w:cs="Times New Roman" w:eastAsia="Times New Roman" w:hAnsi="Times New Roman"/>
          <w:sz w:val="17"/>
          <w:szCs w:val="17"/>
          <w:color w:val="auto"/>
        </w:rPr>
        <w:t>The PRC Trademark Law, promulgated in 1983 and most recently amended in 2013, which such amendments became effective on May 1, 2014, protects the proprietary rights with respect to registered trademarks. The Trademark Office under the State Administration for Industry and Commerce handles trademark registrations and may grant a term of 10 years for registered trademarks, which may be extended for another 10 years upon request. Trademark license agreements shall be filed with the Trademark Office for record. In addition, if a registered trademark is recognized as a well-known trademark, the protection of the proprietary right of the trademark holder may reach beyond the specific class of the relevant products or services.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Domain Name</w:t>
      </w:r>
    </w:p>
    <w:p>
      <w:pPr>
        <w:spacing w:after="0" w:line="121"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On December 20, 2004, the Measures for the Administration of Internet Domain Names of the PRC, promulgated by the Ministry of Information, came into effect. These measures are formulated with reference to the norms on administration of internet domain names worldwide, for the purposes of promoting the healthy development of China’s internet sector and guaranteeing the safe and reliable operation of the internet domain name system in the PRC.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Employment</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There are several principal rules and regulations in the PRC with respect to rights and obligations of employers and labors, including (i) the Labor Law of the People’s Republic of China, promulgated by the Standing Committee of the National People’s Congress effective on January 1, 1995, or the Labor Law, (ii) the Labor Contract Law of the People’s Republic of China, promulgated by the Standing Committee of the National People’s Congress effective on July 1, 2013, or the Labor Contract Law, (iii) the Social Insurance Law of the People’s Republic of China, promulgated by the Standing Committee of the National People’s Congress effective on July 1, 2011, or the Social Insurance Law, and (iv) the Regulations on the Management of Housing Provident Fund, promulgated by the State Council on March 24, 2002.</w:t>
      </w:r>
    </w:p>
    <w:p>
      <w:pPr>
        <w:spacing w:after="0" w:line="18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According to the Labor Law and the Labor Contract Law, employers must execute written labor contracts with full-time employees. All employers must compensate their employees with wages equal to at least the local minimum wage standard. All employers are required, among other things, to establish a system for labor safety and workplace sanitation, and to provide employees with workplace safety training. Violations of the Labor Law and the Labor Contract Law may result in the imposition of fines and other administrative penalties. For serious violations, criminal liability may arise. In addition, pursuant to the Social Insurance Law, employers in the PRC are required to provide employees with welfare schemes covering pension insurance, unemployment insurance, maternity insurance, work-related injury insurance, medical insurance and housing funds.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Taxation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 Enterprise Income Tax</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PRC enterprise income tax is calculated based on taxable income, which is determined under (i) the PRC Enterprise Income Tax Law, promulgated by the National People’s Congress of China and implemented 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400"/>
          </w:cols>
          <w:pgMar w:left="240" w:top="456" w:right="25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January 1, 2008, or the EIT Law, and (ii) the implementation rules to the EIT Law promulgated by the State Council and implemented on January 1, 2008. The EIT Law imposes a uniform enterprise income tax rate of 25% on all resident enterprises in the PRC, including foreign-invested enterprises and domestic enterprises, unless they qualify for certain exceptions. According to the EIT Law and its implementation rules, the income tax rate of an enterprise that has been determined to be a high and new technology enterprise may be reduced to 15% with the approval of relevant tax authorities.</w:t>
      </w:r>
    </w:p>
    <w:p>
      <w:pPr>
        <w:spacing w:after="0" w:line="18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In addition, according to the EIT Law, enterprises that are incorporated outside the PRC but have their “de facto management body” located in China may be considered as PRC resident enterprises and may therefore be subject to PRC enterprise income tax at the rate of 25% on their worldwide income. The implementation rules of the EIT Law define “de facto management body” as “establishment that carries out substantial and overall management and control over the manufacturing and business operations, personnel, accounting, properties, etc. of an enterprise.” And the Notice Regarding the Determination of Chinese-Controlled Overseas Incorporated Enterprises as PRC Tax Resident Enterprises on the Basis of De Facto Management Bodies, or Circular 82, further provides certain specific criteria to determine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State Administration of Taxation’s general position on how the “de facto management body” text should be applied in determining the tax resident status of all offshore enterprises.</w:t>
      </w:r>
    </w:p>
    <w:p>
      <w:pPr>
        <w:spacing w:after="0" w:line="18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According to Circular 82, a Chinese-controlled offshore-incorporated enterprise will be regarded as a PRC tax resident by virtue of having its “de facto management body” in China and will be subject to PRC enterprise income tax on its global income only if all of the following conditions are met: (i) the primary location of the day-to-day operational management and the place where the enterprise performs its duties are in the PRC; (ii) decisions relating to the enterprise’s financial and human resource matters are made or are subject to approval of organizations or personnel in the PRC; (iii) the enterprise’s primary assets, accounting books and records, company seals and board and shareholder resolutions are located or maintained in the PRC; and (iv) 50% or more of voting board members or senior executives habitually reside in the PRC. In the event that we are considered a PRC resident enterprise, we would be subject to the PRC enterprise income tax at the rate of 25% on our worldwide income.</w:t>
      </w:r>
    </w:p>
    <w:p>
      <w:pPr>
        <w:spacing w:after="0" w:line="189"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We are organized under the laws of the Cayman Islands and not controlled by a PRC enterprise or PRC enterprise group, we therefore do not believe that we meet all of the conditions above. But if we are considered a PRC resident enterprise by the competent tax authority, we would be subject to the PRC enterprise income tax at the rate of 25% on our worldwide income.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for Share Transfers</w:t>
      </w:r>
    </w:p>
    <w:p>
      <w:pPr>
        <w:spacing w:after="0" w:line="121"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According to the Notice on Strengthening Administration of Enterprise Income Tax for Share Transfers by Non-Resident Enterprises, or Circular 698, promulgated by the SAT on December 10, 2009, and the Announcement of the State Administration of Taxation on Several Issues Concerning the Enterprise Income Tax on Indirect Property Transfer by Non-Resident Enterprises, or Circular 7, promulgated by the SAT on February 3, 2015, if a non-resident enterprise transfers the equity interests of a PRC resident enterprise indirectly by transfer of the equity interests of an offshore holding company (issued by a PRC resident enterprise) without a reasonable commercial purpose, the PRC tax authorities have the power to reassess the nature of the transaction and the indirect equity transfer may be treated as a direct transfer. As a result, the gain derived from such transfer, which means the equity transfer price less the cost of equity, may be subject to PRC withholding tax at a rate of up to 10%. Under the terms of Circular 7, a transfer that meets all of the following circumstances will be deemed to have no reasonable commercial purposes: (i) over 75% of the value of the equity interests of the offshore holding company are directly or indirectly derived from PRC taxable properties; (ii) at any time during the year before the indirect transfer, over 90% of the total properties of the offshore holding company are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420"/>
          </w:cols>
          <w:pgMar w:left="240" w:top="455" w:right="2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investments within PRC territory, or in the year before the indirect transfer, over 90% of the offshore holding company’s revenue is directly or indirectly derived from PRC territory; (iii) the function performed and risks assumed by the offshore holding company are insufficient to substantiate its corporate existence; or (iv) the foreign income tax imposed on the indirect transfer is lower than the PRC tax imposed on the direct transfer of the PRC taxable properties.</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There is uncertainty as to the application of Circular 698 and Circular 7. Circular 698 and Circular 7 may be determined by the PRC tax authorities to be applicable to our prior private equity financing transactions that involved non-resident investors, if any of such transactions were determined by the tax authorities to lack reasonable commercial purpose. As a result, we and our non-resident investors in such transactions may be taxed under Circular 698 and Circular 7, and we may be required to expend valuable resources to comply with Circular 698 and Circular 7 or to establish that we should not be taxed under the general anti-avoidance rule of the EIT Law, which may have a material adverse effect on our financial condition and results of operations.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Added Tax</w:t>
      </w:r>
    </w:p>
    <w:p>
      <w:pPr>
        <w:spacing w:after="0" w:line="121" w:lineRule="exact"/>
        <w:rPr>
          <w:sz w:val="20"/>
          <w:szCs w:val="20"/>
          <w:color w:val="auto"/>
        </w:rPr>
      </w:pPr>
    </w:p>
    <w:p>
      <w:pPr>
        <w:ind w:right="60" w:firstLine="456"/>
        <w:spacing w:after="0" w:line="271" w:lineRule="auto"/>
        <w:rPr>
          <w:sz w:val="20"/>
          <w:szCs w:val="20"/>
          <w:color w:val="auto"/>
        </w:rPr>
      </w:pPr>
      <w:r>
        <w:rPr>
          <w:rFonts w:ascii="Times New Roman" w:cs="Times New Roman" w:eastAsia="Times New Roman" w:hAnsi="Times New Roman"/>
          <w:sz w:val="17"/>
          <w:szCs w:val="17"/>
          <w:color w:val="auto"/>
        </w:rPr>
        <w:t>On January 1, 2012, the State Council launched a pilot value-added tax, or VAT, reform program, or the Pilot Program, applicable to businesses in selected industries, such as industries involving the leasing of tangible movable property, transportation services, research and development and technical services, information technology services, cultural and creativity services, logistics ancillary services and attestation and consulting services. Businesses subject to the Pilot Program are subject to VAT instead of business tax. On May 24, 2013, the Ministry of Finance and the SAT issued the Circular on Tax Policies in the Nationwide Pilot Collection of Value Added Tax in Lieu of Business Tax in the Transportation Industry and Certain Modern Services Industries. On August 1, 2013, the Pilot Program was implemented throughout China. On March 23, 2016, SAT and Ministry of Finance promulgated Circular on Comprehensively Promoting the Pilot Program of the Collection of Value-added Tax in Lieu of Business Tax, which became effective on May 1, 2016. According to the 2016 Circular, general taxpayers who are engaged in technical services, information technology services, cultural creativity services, logistics supporting services, leasing services, attestation consulting services and/or other modern service industries are subject to a VAT at the rate of 6%.</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Withholding Tax</w:t>
      </w:r>
    </w:p>
    <w:p>
      <w:pPr>
        <w:spacing w:after="0" w:line="121" w:lineRule="exact"/>
        <w:rPr>
          <w:sz w:val="20"/>
          <w:szCs w:val="20"/>
          <w:color w:val="auto"/>
        </w:rPr>
      </w:pPr>
    </w:p>
    <w:p>
      <w:pPr>
        <w:ind w:right="260" w:firstLine="456"/>
        <w:spacing w:after="0" w:line="261" w:lineRule="auto"/>
        <w:rPr>
          <w:sz w:val="20"/>
          <w:szCs w:val="20"/>
          <w:color w:val="auto"/>
        </w:rPr>
      </w:pPr>
      <w:r>
        <w:rPr>
          <w:rFonts w:ascii="Times New Roman" w:cs="Times New Roman" w:eastAsia="Times New Roman" w:hAnsi="Times New Roman"/>
          <w:sz w:val="18"/>
          <w:szCs w:val="18"/>
          <w:color w:val="auto"/>
        </w:rPr>
        <w:t>We are a Cayman Islands exempted limited liability company, used as a holding company and a substantial part of our income may come from dividends we receive from our PRC subsidiary by distributions to our Hong Kong subsidiaries. Pursuant to the EIT Law and its implementation rules, and Special Double Taxation Avoidance Agreement, dividends generated after January 1, 2008 and distributed to our Hong Kong subsidiaries by our PRC subsidiary are subject to withholding tax at a rate of 5%.</w:t>
      </w:r>
    </w:p>
    <w:p>
      <w:pPr>
        <w:spacing w:after="0" w:line="18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PRC and the Hong Kong Special Administrative Region entered into the Arrangement for the Avoidance of Double Taxation and Prevention of Fiscal Evasion with respect to Taxes on Income, or Special Double Taxation Avoidance Agreement, on August 21, 2006. This arrangement reduces the withholding tax rate in respect of the payment of dividends by a PRC enterprise to a Hong Kong enterprise, such as from our PRC subsidiaries to our Hong Kong subsidiaries, from the statutory rate of 10% to 5% if the Hong Kong enterprise directly holds at least 25% of the PRC enterprise. Pursuant to the Notice of the State Administration of Taxation on the Issues concerning the Application of the Dividend Clauses of Tax Agreements, or Circular 81, a Hong Kong resident enterprise must meet the following conditions, among others, in order to benefit from the reduced withholding tax rate: (i) it must be is a company;</w:t>
      </w:r>
    </w:p>
    <w:p>
      <w:pPr>
        <w:ind w:right="20" w:firstLine="8"/>
        <w:spacing w:after="0" w:line="254" w:lineRule="auto"/>
        <w:tabs>
          <w:tab w:leader="none" w:pos="2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must directly own the required percentage of equity interests and voting rights in the PRC resident enterprise; and (iii) it must have directly owned such required percentage in the PRC resident enterprise throughout the 12 months prior to receiving the dividends. Furthermore, the Administrative Measures for Non-Resident Taxpayers to Enjoy Treatments under Tax Treaties, or Non-Resident Tax Treatments Measures, which became effective in November 2015, require that non-resident taxpayers report and submit the relevant statements and materials specified in this measure and be administrated</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360"/>
          </w:cols>
          <w:pgMar w:left="240" w:top="455" w:right="29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and supervised subsequently by the relevant tax authority in order for the reduced withholding tax rate to apply. There are also other conditions for the reduced withholding tax rate including that Hong Kong recipient must be the beneficial owner of the income.</w:t>
      </w:r>
    </w:p>
    <w:p>
      <w:pPr>
        <w:spacing w:after="0" w:line="162" w:lineRule="exact"/>
        <w:rPr>
          <w:sz w:val="20"/>
          <w:szCs w:val="20"/>
          <w:color w:val="auto"/>
        </w:rPr>
      </w:pPr>
    </w:p>
    <w:p>
      <w:pPr>
        <w:jc w:val="both"/>
        <w:ind w:right="80" w:firstLine="456"/>
        <w:spacing w:after="0" w:line="266" w:lineRule="auto"/>
        <w:rPr>
          <w:sz w:val="20"/>
          <w:szCs w:val="20"/>
          <w:color w:val="auto"/>
        </w:rPr>
      </w:pPr>
      <w:r>
        <w:rPr>
          <w:rFonts w:ascii="Times New Roman" w:cs="Times New Roman" w:eastAsia="Times New Roman" w:hAnsi="Times New Roman"/>
          <w:sz w:val="18"/>
          <w:szCs w:val="18"/>
          <w:color w:val="auto"/>
        </w:rPr>
        <w:t>As uncertainties remain regarding the interpretation and implementation of the EIT Law and its implementation rules, we cannot assure you that, if we are deemed a PRC resident enterprise, any dividends to be distributed by us to our non-PRC shareholders and ADS holders would not be subject to any PRC withholding tax.</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Foreign Exchange</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 Regulations of the People’s Republic of China on Foreign Exchange Control, promulgated by the State Council on August 5, 2008, are principal regulations on foreign currency exchange in the PRC. Under these regulations, the Renminbi is freely convertible for current account items after due process, including distribution of dividends, trade-related foreign exchange transactions and service-related foreign exchange transactions, whereas foreign exchange for capital account items, such as direct investments or loans, require prior approval of and registration with the SAFE.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Settlement and Overseas Remittance of Foreign-Invested Enterprises</w:t>
      </w:r>
    </w:p>
    <w:p>
      <w:pPr>
        <w:spacing w:after="0" w:line="12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On May 13, 2013, the SAFE promulgated the Provisions on Foreign Exchange Administration Over Direct Investment Made by Foreign Investors in the PRC in order to promote and facilitate foreign investors to make direct investment in the PRC. Under these provisions, a foreign-invested enterprise may remit funds abroad for purchase and remit foreign exchange with relevant banks from capital reduction, liquidation, advance recovery of investment, profit distribution, etc. after due registration. On June 1, 2015, SAFE Circular 19 came into effect, which introduced a reform of the administration to the settlement of the foreign exchange capital for foreign-invested enterprises national wide based on the pilot experience in certain regions in the early days. On June 9, 2016, SAFE Circular 16 was promulgated, which included more detailed provisions on capital account settlement and overseas remittance for foreign-invested enterprises. This notice allows foreign-invested enterprises to settle their foreign exchange receipt on a discretionary basis and explicitly includes foreign debts and repatriated funds raised through overseas listing as foreign exchange receipts that can be settled discretionally in addition to foreign exchange capital, but continues to prohibit foreign-invested enterprises from using the Renminbi fund converted from their foreign exchange capitals for expenditure beyond their business scopes, investment in security market, offering of entrustment loans or purchase of any investment properties. Although this makes a further relaxation of policies on the control over foreign exchange settlement of capital accounts, in practice, there are still several specific requirements that affect the abilities of the PRC enterprises to access the offshore financing capitals.</w:t>
      </w:r>
    </w:p>
    <w:p>
      <w:pPr>
        <w:spacing w:after="0" w:line="191"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According to Interim Administrative Measures for the Record-filing of the Incorporation and Change of Foreign-invested Enterprises promulgated by the Ministry of Commerce, or the MOC, effective on October 8, 2016, foreign investors making capital contributions to their PRC subsidiaries shall make necessary filings in the Foreign Investment Comprehensive Management Information System, or FICMIS. Pursuant to the Interim Measures on the Management of Foreign Debts promulgated jointly by the SAFE, Ministry of Finance, the NDRC, effective on March 1, 2003, PRC foreign-invested companies may not procure loans which exceed the difference between its registered capital and its total investment amount as recorded in FICMIS.</w:t>
      </w:r>
    </w:p>
    <w:p>
      <w:pPr>
        <w:spacing w:after="0" w:line="18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On January 10, 2017, the People’s Bank of China promulgated the Circular on Management of Cross-border Financing. According to this circular, an enterprise shall file the cross-border financing contracts for the record with the Capital Project Information System of the SAFE after the execution date of the contracts but no later than three working days before the withdrawal date. In addition, according to the Circular on Promoting the Administrative Reform, promulgated by the NDRC on September 14, 2015, any medium or long term loan to be provided by foreign entities to domestic enterprises must be recorded and registered by the NDRC.</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400"/>
          </w:cols>
          <w:pgMar w:left="240" w:top="455" w:right="25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Outbound Investment and Financing and Roundtrip Investment</w:t>
      </w:r>
    </w:p>
    <w:p>
      <w:pPr>
        <w:spacing w:after="0" w:line="121" w:lineRule="exact"/>
        <w:rPr>
          <w:sz w:val="20"/>
          <w:szCs w:val="20"/>
          <w:color w:val="auto"/>
        </w:rPr>
      </w:pPr>
    </w:p>
    <w:p>
      <w:pPr>
        <w:ind w:right="500" w:firstLine="456"/>
        <w:spacing w:after="0" w:line="258" w:lineRule="auto"/>
        <w:rPr>
          <w:sz w:val="20"/>
          <w:szCs w:val="20"/>
          <w:color w:val="auto"/>
        </w:rPr>
      </w:pPr>
      <w:r>
        <w:rPr>
          <w:rFonts w:ascii="Times New Roman" w:cs="Times New Roman" w:eastAsia="Times New Roman" w:hAnsi="Times New Roman"/>
          <w:sz w:val="18"/>
          <w:szCs w:val="18"/>
          <w:color w:val="auto"/>
        </w:rPr>
        <w:t>On July 4, 2014, the Circular on the Relevant Issues Concerning Foreign Exchange Control on Domestic Residents Outbound Investment and Financing and Roundtrip Investment though Special Purpose Vehicles promulgated by the SAFE came into effect. This circular prescribes operational procedures and registration requirements for roundtrip investment through special purpose companies and others. In particular, it states that a domestic resident shall apply to the relevant local branch of the SAFE for foreign exchange registration of overseas investment, prior to making contribution to a special purpose company with legitimate domestic or overseas assets or interests.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On February 15, 2012, the Notice of SAFE on Relevant Issues Concerning the Foreign Exchange Administration for Domestic Individuals’ Participation in Equity Incentive Plans of Overseas-Listed Companies came into effect. This notice prescribes foreign exchange registration requirements for domestic individuals such as directors, supervisors, officials and other employees in relation to equity incentive plans of companies listed abroad, including employee stock ownership plans, employee stock option plans and other equity incentive programs permitted by applicable laws and regulations. Under the notice, individuals who participate in equity incentive plans of an overseas listed company shall, through the domestic companies they serve, collectively entrust a domestic agency to handle matters such as foreign exchange registration with the SAFE, account opening, and funds transfer and remittance, and also entrust an overseas institution to handle matters such as exercise of options, purchasing and sale of related equity and transfer of funds. An individual may use his/her own foreign currency funds in his/her personal foreign currency deposit account, RMB funds or other legitimate domestic funds to participate in an equity incentive plan.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Dividend Distribution</w:t>
      </w:r>
    </w:p>
    <w:p>
      <w:pPr>
        <w:spacing w:after="0" w:line="121"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The principal legislation with respect to payment or distribution of dividends by wholly foreign-owned enterprises include (i) the Company Law of the People’s Republic of China, most recently amended by the Standing Committee of the National People’s Congress as of March 1, 2014, and (ii) Wholly Foreign-Owned Enterprise Law of the People’s Republic of China, promulgated on April 12, 1986 and amended on October 31, 2000 by the Standing Committee of the National People’s Congress. Under these laws, wholly foreign-owned enterprises in the PRC may pay dividends only out of accumulated profits, after setting aside annually at least 10% of accumulated after-tax profits as reserve fund, if any, until such time as the accumulative amount of such fund reaches 50% of the enterprise’s registered capital. A wholly foreign-owned enterprise may allocate a portion of its after-tax profits to its employee welfare and bonus funds at its discretion. These reserve funds may not be distributed as cash dividends.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Foreign Investment</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According to the Catalogue for the Guidance of Foreign Investment Industries (Revised in 2015), or the 2015 Catalogue, there is no restriction on the foreign-invested advertising company as advertising industry falls within neither the catalogue of prohibitions nor the catalogue of restrictions. Moreover, the Regulations for the Administration of Foreign-Invested Advertising Enterprises, which prescribed certain restrictions on foreign investors were abolished on June 29, 2015.</w:t>
      </w:r>
    </w:p>
    <w:p>
      <w:pPr>
        <w:spacing w:after="0" w:line="180"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According to the 2015 Catalogue, market survey falls into the catalogue of restrictions, which means foreign investors can engage in businesses in this industry only through a sino-foreign enterprise, while social survey falls into the catalogue of prohibitions.</w:t>
      </w:r>
    </w:p>
    <w:p>
      <w:pPr>
        <w:spacing w:after="0" w:line="162"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In January 2015, the MOFCOM published a consultation draft of PRC Foreign Investment Law for public review and comments. Among other things, the draft Foreign Investment Law expands the definition of foreign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400"/>
          </w:cols>
          <w:pgMar w:left="240" w:top="456" w:right="2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investment and introduces the principle of “actual control” in determining whether a company is considered an FIE. And “actual control” broadly defined in the Draft of PRC Foreign Investment Law including the following summarized categories: (i) holding, directly or indirectly, not less than 50% of shares, equities, share of voting rights or other similar rights of the subject entity; (ii) holding, directly or indirectly, less than 50% of the voting rights of the subject entity but having the power to secure at least 50% of the seats on the board or other equivalent decision making bodies, or having the voting power to material influence on the board, the shareholders’ meeting or other equivalent decision making bodies; or (iii) having the power to exert decisive influence, via contractual or trust arrangements, over the subject entity’s operations, financial matters or other key aspects of business operations.</w:t>
      </w:r>
    </w:p>
    <w:p>
      <w:pPr>
        <w:spacing w:after="0" w:line="188" w:lineRule="exact"/>
        <w:rPr>
          <w:sz w:val="20"/>
          <w:szCs w:val="20"/>
          <w:color w:val="auto"/>
        </w:rPr>
      </w:pPr>
    </w:p>
    <w:p>
      <w:pPr>
        <w:ind w:right="320" w:firstLine="456"/>
        <w:spacing w:after="0" w:line="261" w:lineRule="auto"/>
        <w:rPr>
          <w:sz w:val="20"/>
          <w:szCs w:val="20"/>
          <w:color w:val="auto"/>
        </w:rPr>
      </w:pPr>
      <w:r>
        <w:rPr>
          <w:rFonts w:ascii="Times New Roman" w:cs="Times New Roman" w:eastAsia="Times New Roman" w:hAnsi="Times New Roman"/>
          <w:sz w:val="18"/>
          <w:szCs w:val="18"/>
          <w:color w:val="auto"/>
        </w:rPr>
        <w:t>Therefore, under the Draft Foreign Investment Law, variable interest entities would also be deemed as FIEs, if they are ultimately “controlled” by foreign investors and be subject to restrictions on foreign investments. As a result, their operation in the industry listed on the “catalogue of restrictions” without market entry clearance or on the “catalogue of prohibitions” may be considered as illegal. If this is the case, the variable interest entities would be ordered to terminate the related business and might subject to penalties, including confiscations, fines, and even criminal charges.</w:t>
      </w:r>
    </w:p>
    <w:p>
      <w:pPr>
        <w:spacing w:after="0" w:line="180"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In addition, the Draft Foreign Investment Law imposes stringent ad hoc and periodic information reporting requirements on foreign investors and the applicable FIEs. Aside from an investment information report required at each investment or each investment alteration, it is mandatory for entities established by foreign investors to submit an annual report, and large foreign investors meeting certain criteria are required to report on a quarterly basis. Any company found to be non-compliant with these reporting obligations may potentially be subject to fines and/or administrative or criminal liabilities, and the persons directly responsible may be subject to criminal liabilities.</w:t>
      </w:r>
    </w:p>
    <w:p>
      <w:pPr>
        <w:spacing w:after="0" w:line="184"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Draft Foreign Investment Law has not taken a position on what actions will be taken with respect to the existing companies with a “variable interest entity” structure, whether or not these companies are controlled by Chinese parties. And it is also uncertain when the draft would be passed into law and whether the final version would have any substantial changes from this draft.</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420"/>
          </w:cols>
          <w:pgMar w:left="240" w:top="456" w:right="2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prospectus. Unless otherwise stated, the business address for our directors and executive officers is that of our principal executive office at: 15/F, Prosperity Millennia Plaza, 663 King’s Road, Quarry Bay, Hong Kong S.A.R.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191"/>
        </w:trPr>
        <w:tc>
          <w:tcPr>
            <w:tcW w:w="20" w:type="dxa"/>
            <w:vAlign w:val="bottom"/>
          </w:tcPr>
          <w:p>
            <w:pPr>
              <w:spacing w:after="0"/>
              <w:rPr>
                <w:sz w:val="16"/>
                <w:szCs w:val="16"/>
                <w:color w:val="auto"/>
              </w:rPr>
            </w:pPr>
          </w:p>
        </w:tc>
        <w:tc>
          <w:tcPr>
            <w:tcW w:w="4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Wing Hong Sammy Hsieh</w:t>
            </w:r>
          </w:p>
        </w:tc>
        <w:tc>
          <w:tcPr>
            <w:tcW w:w="60" w:type="dxa"/>
            <w:vAlign w:val="bottom"/>
          </w:tcPr>
          <w:p>
            <w:pPr>
              <w:spacing w:after="0"/>
              <w:rPr>
                <w:sz w:val="16"/>
                <w:szCs w:val="16"/>
                <w:color w:val="auto"/>
              </w:rPr>
            </w:pPr>
          </w:p>
        </w:tc>
        <w:tc>
          <w:tcPr>
            <w:tcW w:w="3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44</w:t>
            </w:r>
          </w:p>
        </w:tc>
        <w:tc>
          <w:tcPr>
            <w:tcW w:w="120" w:type="dxa"/>
            <w:vAlign w:val="bottom"/>
          </w:tcPr>
          <w:p>
            <w:pPr>
              <w:spacing w:after="0"/>
              <w:rPr>
                <w:sz w:val="16"/>
                <w:szCs w:val="16"/>
                <w:color w:val="auto"/>
              </w:rPr>
            </w:pPr>
          </w:p>
        </w:tc>
        <w:tc>
          <w:tcPr>
            <w:tcW w:w="67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Chairman of the Board, Chief Executive Officer, and Co-Founder</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Jian Tang</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Director, Chief Operating Officer, Chief Technology Officer, and Co-Founder</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Yau Ping Ricky Ng</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Co-Founder</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Francis Hun Ming Wong</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Yu Long</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Antares Au</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Anmin Pan</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Jie Jiao</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Yan Lee</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1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Chief Product Officer</w:t>
            </w:r>
          </w:p>
        </w:tc>
      </w:tr>
    </w:tbl>
    <w:p>
      <w:pPr>
        <w:spacing w:after="0" w:line="196" w:lineRule="exact"/>
        <w:rPr>
          <w:sz w:val="20"/>
          <w:szCs w:val="20"/>
          <w:color w:val="auto"/>
        </w:rPr>
      </w:pPr>
    </w:p>
    <w:p>
      <w:pPr>
        <w:ind w:right="20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Wing Hong Sammy Hsieh </w:t>
      </w:r>
      <w:r>
        <w:rPr>
          <w:rFonts w:ascii="Times New Roman" w:cs="Times New Roman" w:eastAsia="Times New Roman" w:hAnsi="Times New Roman"/>
          <w:sz w:val="18"/>
          <w:szCs w:val="18"/>
          <w:color w:val="auto"/>
        </w:rPr>
        <w:t>is our chairman of the board and co-founder and has served as our chief executive officer since 2009. Prior to founding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company, Mr. Hsieh held senior positions in a number of prominent technology companies. Mr. Hsieh was general manager for Asia Pacific at Efficient Frontier (now an Adobe company), a leading digital performance marketing company in 2008. Prior to that, Mr. Hsieh was director of Search Marketing at Yahoo Hong Kong during 2000 to 2008, during which he oversaw the business operations, including sales, marketing, business development and product management. Mr. Hsieh also held various sales and marketing positions at the LVMH Group and British American Tobacco earlier in his career. Mr. Hsieh received his bachelor’s degree in economics from the University of California, Los Angeles.</w:t>
      </w:r>
    </w:p>
    <w:p>
      <w:pPr>
        <w:spacing w:after="0" w:line="183"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Jian Tang </w:t>
      </w:r>
      <w:r>
        <w:rPr>
          <w:rFonts w:ascii="Times New Roman" w:cs="Times New Roman" w:eastAsia="Times New Roman" w:hAnsi="Times New Roman"/>
          <w:sz w:val="18"/>
          <w:szCs w:val="18"/>
          <w:color w:val="auto"/>
        </w:rPr>
        <w:t>is our director and co-founder and has served as our chief operating officer since January 2016 and our chief technology officer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2016. Mr. Tang has approximately 20 years of experience in digital advertising and is well-known in the area of advertising technologies and big data in China. Prior to joining us, Mr. Tang founded OptAim in 2012, which was later acquired by us in July 2015. Prior to founding OptAim, Mr. Tang was Tencent’s engineering director of Advertising Platform Department who helped initiate and develop Tencent’s programmatic ad exchange platform. Mr. Tang had also served key research and engineering and management roles at Yahoo’s global research and development center, Baidu and Microsoft Research from 2005 to 2011, where he led a number of major technical and research and development projects. Mr. Tang received his doctor’s degree in computer engineering from Tsinghua University. Mr. Tang was named by Campaign Asia as one of the leaders in its Digital A-List in 2016.</w:t>
      </w:r>
    </w:p>
    <w:p>
      <w:pPr>
        <w:spacing w:after="0" w:line="183"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Mr. Yau Ping Ricky Ng </w:t>
      </w:r>
      <w:r>
        <w:rPr>
          <w:rFonts w:ascii="Times New Roman" w:cs="Times New Roman" w:eastAsia="Times New Roman" w:hAnsi="Times New Roman"/>
          <w:sz w:val="18"/>
          <w:szCs w:val="18"/>
          <w:color w:val="auto"/>
        </w:rPr>
        <w:t>is our director and co-founder. Mr. Ng has also served as director of both Aladdin Fintech (Beijing) Company Limited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Aladdin Fintech Company Limited. Prior to founding our company, Mr. Ng was head of direct sales at Yahoo Hong Kong where he specialized in developing new business and sales partnerships for the company’s search marketing and performance display solutions. Mr. Ng received his bachelor’s degree in computer science from the Chinese University of Hong Kong. Mr. Ng was named by Campaign Asia as “Digital A-list Digital Entrepreneur” in 2015 and Vmarketing as “Top 100 digital figures in 2011-2012.”</w:t>
      </w:r>
    </w:p>
    <w:p>
      <w:pPr>
        <w:spacing w:after="0" w:line="180" w:lineRule="exact"/>
        <w:rPr>
          <w:sz w:val="20"/>
          <w:szCs w:val="20"/>
          <w:color w:val="auto"/>
        </w:rPr>
      </w:pPr>
    </w:p>
    <w:p>
      <w:pPr>
        <w:jc w:val="both"/>
        <w:ind w:right="46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Mr. Francis Hun Ming Wong </w:t>
      </w:r>
      <w:r>
        <w:rPr>
          <w:rFonts w:ascii="Times New Roman" w:cs="Times New Roman" w:eastAsia="Times New Roman" w:hAnsi="Times New Roman"/>
          <w:sz w:val="18"/>
          <w:szCs w:val="18"/>
          <w:color w:val="auto"/>
        </w:rPr>
        <w:t>was appointed as our director by Sumitomo Corporation Equity Asia Limited in August 2015 in connection with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subscription of our series B preferred shares. Mr. Wong is currently an executive director and serves on the board of Sumitomo Corporation Equity Asia Limited, the Asia corporate venture investment arm of Sumitomo Corporation, and leads its investment activities in Asia. Mr. Wong also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420"/>
          </w:cols>
          <w:pgMar w:left="240" w:top="456" w:right="2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serves on the board of Wisers Information Holding Company Limited, Algoblu Holding Limited, RETCHAT Inc. and CDP Holdings Limited. Mr. Wong has more than 16 years of venture capital investing experience in Asia, primarily in technology sector. Prior to joining Sumitomo Corporation Equity Asia in 2007, Mr. Wong was an assistant vice president of Walden International, a venture capital firm in Silicon Valley. Prior to entering venture capital industry in 2000, Mr. Wong served various positions on engineering, product and business development in telecom sector respectively with Hongkong Telecom and Hutchison Telecom for almost eight years. Mr. Wong received his bachelor degree in engineering, his master degree in computer science from the University of Manchester, United Kingdom, and an MBA degree from Strathclyde Graduate School of Business, Scotland.</w:t>
      </w:r>
    </w:p>
    <w:p>
      <w:pPr>
        <w:spacing w:after="0" w:line="186"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Ms. Yu Long </w:t>
      </w:r>
      <w:r>
        <w:rPr>
          <w:rFonts w:ascii="Times New Roman" w:cs="Times New Roman" w:eastAsia="Times New Roman" w:hAnsi="Times New Roman"/>
          <w:sz w:val="18"/>
          <w:szCs w:val="18"/>
          <w:color w:val="auto"/>
        </w:rPr>
        <w:t>was appointed as our director by Bertelsmann Asia Investments in February 2011 in connection with its subscription of our series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shares. Ms. Long currently also serves as a member of Bertelsmann Group management committee, chief executive officer of Bertelsmann China Corporate Center and managing partner of Bertelsmann Asia Investments. Ms. Long serves on the board of Coach Inc. (NYSE: COH), and China Distance Education (NYSE: DL) and Bitauto Holdings Limited (NYSE: BITA). Prior to that, Ms. Long was a principal at Bertelsmann Digital Media Investments. She joined the international media, services, and education company via the Bertelsmann Entrepreneurs Program in 2005. From 1996 to 2003, Ms. Long was a producer and lead anchor for the Sichuan Broadcasting Group. From 1994 to 1996 she was a producer and host for Chengdu People’s Radio Broadcasting. In addition, she is a member of the Stanford Graduate School of Business Advisory Council. Ms. Long is an active member of the World Economic Forum’s Young Global Leaders Advisory Council and is also a member of its Global Agenda Council on the Future of Media, Entertainment &amp; Information.</w:t>
      </w:r>
    </w:p>
    <w:p>
      <w:pPr>
        <w:spacing w:after="0" w:line="18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Antares Au </w:t>
      </w:r>
      <w:r>
        <w:rPr>
          <w:rFonts w:ascii="Times New Roman" w:cs="Times New Roman" w:eastAsia="Times New Roman" w:hAnsi="Times New Roman"/>
          <w:sz w:val="18"/>
          <w:szCs w:val="18"/>
          <w:color w:val="auto"/>
        </w:rPr>
        <w:t>was appointed as our director by SSG Capital in February 2011 in connection with its subscription of our series B preferred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Au is the managing director of SSG Capital Management (Hong Kong) Limited and has headed its investment activities in Greater China since the firm’s establishment in 2009. He also serves as director of Jamestrong Investment Holding Limited and various entities affiliated with SSG Capital. Mr. Au previously worked at Lehman Brothers Asia Special Situations Group where he was responsible for the group’s investment activities in Greater China from 2007 to 2008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to that, he worked at an affiliate of Och Ziff Capital Management from 2006 to 2007 and the private equity team of Fortress Investment Group from 2003 to 2005. He worked in the investment banking division of Goldman Sachs in New York from 2001 to 2002. Mr. Au received his bachelor’s degree in computer science and economics from Columbia University.</w:t>
      </w:r>
    </w:p>
    <w:p>
      <w:pPr>
        <w:spacing w:after="0" w:line="183"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Mr. Anmin Pan </w:t>
      </w:r>
      <w:r>
        <w:rPr>
          <w:rFonts w:ascii="Times New Roman" w:cs="Times New Roman" w:eastAsia="Times New Roman" w:hAnsi="Times New Roman"/>
          <w:sz w:val="18"/>
          <w:szCs w:val="18"/>
          <w:color w:val="auto"/>
        </w:rPr>
        <w:t>was appointed as our director by BlueFocus International Limited. Mr. Pan has served as our director since June 2017. Mr. Pan has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CEO at BlueFocus Mobile Internet division affiliated to BlueFocus Communication Group, mainly in charge of developing its mobile advertising business of the since 2014, and as director of various subsidiaries of BlueFocus Communication Group. Mr. Pan is a leading pioneer in Chinese mobile advertising industry with rich knowledge and experience in sectors such as marketing, public relations, brand communications and traditional advertising. Mr. Pan received his bachelor degree of clinic care from Affiliated College of Shandong Medical University.</w:t>
      </w:r>
    </w:p>
    <w:p>
      <w:pPr>
        <w:spacing w:after="0" w:line="180"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Ms. Jie Jiao </w:t>
      </w:r>
      <w:r>
        <w:rPr>
          <w:rFonts w:ascii="Times New Roman" w:cs="Times New Roman" w:eastAsia="Times New Roman" w:hAnsi="Times New Roman"/>
          <w:sz w:val="18"/>
          <w:szCs w:val="18"/>
          <w:color w:val="auto"/>
        </w:rPr>
        <w:t>has served as our chief financial officer since May 2017 and was our head of finance from 2014 to 2016. Ms. Jiao has also served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non-executive director of China Sunshine Paper Holdings Company Limited (2002.HK), a Hong Kong listed company, since 2014. Prior to joining us, Ms. Jiao served at several U.S. or Hong Kong-listed companies, including ArtGo Holdings Limited (3313.HK) and Fang Holdings Limited (NYSE: SFUN), mainly in charge of their initial public offerings, compliance after the initial public offerings and investor relationship from 2007 to 2014. She was a senior counsel at Jingtian &amp; Gongcheng from 2004 to 2007. Ms. Jiao received her bachelor degree of law and bachelor degree of economics from Peking University, and her master degree of law in Oxford University. Ms. Jiao is a Chartered Financial Analyst and has obtained her PRC Legal Profession Qualification Certificate.</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380"/>
          </w:cols>
          <w:pgMar w:left="240" w:top="455" w:right="27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200" w:firstLine="45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Yan Lee </w:t>
      </w:r>
      <w:r>
        <w:rPr>
          <w:rFonts w:ascii="Times New Roman" w:cs="Times New Roman" w:eastAsia="Times New Roman" w:hAnsi="Times New Roman"/>
          <w:sz w:val="18"/>
          <w:szCs w:val="18"/>
          <w:color w:val="auto"/>
        </w:rPr>
        <w:t>has served as our chief product officer since 2016. Mr. Lee has approximately ten years of experience in digital marketing and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focus on big data advertising platforms as well as business ecosystem infrastructure. Prior to joining us, Mr. Lee was the founder and chief executive officer of Buzzinate, a leading demand side platform and data service provider in mainland China, which was acquired by us in November 2014. Prior to founding Buzzinate, Mr. Lee held strategic advertising roles at several 4As agencies serving automobile, fast-moving consumer goods and retail clients. Mr. Lee received his dual bachelor’s degrees in advertising and corporate management from National Chengchi University in Taiwan, and an MBA degree from China Europe International Business School in Shanghai, China. In 2012, Mr. Lee was named by Forbes China as one of China’s “30 Under 30” Entrepreneurs.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ind w:left="460"/>
        <w:spacing w:after="0"/>
        <w:tabs>
          <w:tab w:leader="none" w:pos="10660" w:val="left"/>
        </w:tabs>
        <w:rPr>
          <w:sz w:val="20"/>
          <w:szCs w:val="20"/>
          <w:color w:val="auto"/>
        </w:rPr>
      </w:pPr>
      <w:r>
        <w:rPr>
          <w:rFonts w:ascii="Times New Roman" w:cs="Times New Roman" w:eastAsia="Times New Roman" w:hAnsi="Times New Roman"/>
          <w:sz w:val="18"/>
          <w:szCs w:val="18"/>
          <w:color w:val="auto"/>
        </w:rPr>
        <w:t>Upon the effectiveness of our registration statement on Form F-1, of which this prospectus is a part, our board of directors will consist of</w:t>
      </w:r>
      <w:r>
        <w:rPr>
          <w:sz w:val="20"/>
          <w:szCs w:val="20"/>
          <w:color w:val="auto"/>
        </w:rPr>
        <w:tab/>
      </w:r>
      <w:r>
        <w:rPr>
          <w:rFonts w:ascii="Times New Roman" w:cs="Times New Roman" w:eastAsia="Times New Roman" w:hAnsi="Times New Roman"/>
          <w:sz w:val="18"/>
          <w:szCs w:val="18"/>
          <w:color w:val="auto"/>
        </w:rPr>
        <w:t>directors,</w:t>
      </w:r>
    </w:p>
    <w:p>
      <w:pPr>
        <w:spacing w:after="0" w:line="27"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including executive directors and non-executive directors. Pursuant to our eighth amended and restated memorandum and articles of association, which will become effective immediately prior to the completion of this offering and will replace our current amended and restated memorandum and articles of association in its entirety, subject to the approval of our shareholders, the size of our board of directors shall be limited to eight. Please refer to “Risk Factors</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 Risk Related to This Offering and Our American Depositary Shares — 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The powers and duties of our directors include convening general meetings and reporting our board’s work at our shareholders’ meetings, declaring dividends and distributions, determining our business and investment plans, appointing officers and determining the term of office of the officers, preparing our annual financial budgets and financial reports, formulating proposals for the increase or reduction of our authorized capital as well as exercising other powers, functions and duties as conferred by our articles of association. Our directors may exercise all the powers of our company to borrow money, mortgage its business, property and uncalled capital and issue debentures or other securities whenever money is borrowed or as security for any obligation of our company or of any third party. None of our non-executive directors has a service contract with us that provides for benefits upon termination of service.</w:t>
      </w:r>
    </w:p>
    <w:p>
      <w:pPr>
        <w:spacing w:after="0" w:line="194"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is considered. A director who is in any way, whether directly or indirectly, interested in a contract or proposed contract with us is required to declare the nature of his interest at a meeting of our directors. A general notice given to the directors by any director to the effect that 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 has an interest, and after such general notice it shall not be necessary to give special notice relating to any particular transaction.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are a foreign private issuer (as such term is defined in Rule 3b-4 under the Exchange Act), and our ADSs are listed on the NASDAQ Global Market. Under Section 5615 of the NASDAQ Stock Market Rules, NASDAQ-listed companies that are foreign private issuers are permitted to follow home country practice in lieu of the corporate governance provisions specified by NASDAQ with limited exceptions. Please refer to “Risk Factors — Risk Related to This Offering and Our American Depositary Shares — 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420"/>
          </w:cols>
          <w:pgMar w:left="240" w:top="456" w:right="2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requirements.” Prior to the completion of this offering, we intend to establish an audit committee, a compensation committee, and a nominating and corporate governance committee under the board of directors. We intend to adopt a charter for each of the three committees prior to the completion of this offering. Each committee’s members and functions are described below.</w:t>
      </w:r>
    </w:p>
    <w:p>
      <w:pPr>
        <w:spacing w:after="0" w:line="172" w:lineRule="exact"/>
        <w:rPr>
          <w:sz w:val="20"/>
          <w:szCs w:val="20"/>
          <w:color w:val="auto"/>
        </w:rPr>
      </w:pPr>
    </w:p>
    <w:p>
      <w:pPr>
        <w:ind w:left="460"/>
        <w:spacing w:after="0"/>
        <w:tabs>
          <w:tab w:leader="none" w:pos="4800" w:val="left"/>
          <w:tab w:leader="none" w:pos="5660" w:val="left"/>
          <w:tab w:leader="none" w:pos="6680" w:val="left"/>
          <w:tab w:leader="none" w:pos="8820" w:val="left"/>
          <w:tab w:leader="none" w:pos="9620" w:val="left"/>
          <w:tab w:leader="none" w:pos="10480" w:val="left"/>
        </w:tabs>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Our audit committee consists of</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 and is chaired by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and</w:t>
      </w:r>
    </w:p>
    <w:p>
      <w:pPr>
        <w:spacing w:after="0" w:line="3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each satisfy the “independence” requirements of the Rule5605(c)(2) of the Listing Rules of the NASDAQ Stock Market and meet the independence</w:t>
      </w:r>
    </w:p>
    <w:p>
      <w:pPr>
        <w:spacing w:after="0" w:line="21" w:lineRule="exact"/>
        <w:rPr>
          <w:sz w:val="20"/>
          <w:szCs w:val="20"/>
          <w:color w:val="auto"/>
        </w:rPr>
      </w:pPr>
    </w:p>
    <w:p>
      <w:pPr>
        <w:spacing w:after="0"/>
        <w:tabs>
          <w:tab w:leader="none" w:pos="6300" w:val="left"/>
        </w:tabs>
        <w:rPr>
          <w:sz w:val="20"/>
          <w:szCs w:val="20"/>
          <w:color w:val="auto"/>
        </w:rPr>
      </w:pPr>
      <w:r>
        <w:rPr>
          <w:rFonts w:ascii="Times New Roman" w:cs="Times New Roman" w:eastAsia="Times New Roman" w:hAnsi="Times New Roman"/>
          <w:sz w:val="18"/>
          <w:szCs w:val="18"/>
          <w:color w:val="auto"/>
        </w:rPr>
        <w:t>standards under Rule 10A-3 under the Exchange Act. We have determined that</w:t>
      </w:r>
      <w:r>
        <w:rPr>
          <w:sz w:val="20"/>
          <w:szCs w:val="20"/>
          <w:color w:val="auto"/>
        </w:rPr>
        <w:tab/>
      </w:r>
      <w:r>
        <w:rPr>
          <w:rFonts w:ascii="Times New Roman" w:cs="Times New Roman" w:eastAsia="Times New Roman" w:hAnsi="Times New Roman"/>
          <w:sz w:val="17"/>
          <w:szCs w:val="17"/>
          <w:color w:val="auto"/>
        </w:rPr>
        <w:t>qualifies as an “audit committee financial expert.” The audit</w:t>
      </w:r>
    </w:p>
    <w:p>
      <w:pPr>
        <w:spacing w:after="0" w:line="9"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committee oversees our accounting and financial reporting processes and the audits of the financial statements of our company. The audit committee is responsible for, among other things:</w:t>
      </w:r>
    </w:p>
    <w:p>
      <w:pPr>
        <w:spacing w:after="0" w:line="85" w:lineRule="exact"/>
        <w:rPr>
          <w:sz w:val="20"/>
          <w:szCs w:val="20"/>
          <w:color w:val="auto"/>
        </w:rPr>
      </w:pPr>
    </w:p>
    <w:p>
      <w:pPr>
        <w:ind w:left="900" w:right="20" w:hanging="325"/>
        <w:spacing w:after="0" w:line="282" w:lineRule="auto"/>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the independent registered public accounting firm and pre-screening all auditing and non-auditing services permitted to be performed by the independent registered public accounting firm;</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registered public accounting firm any audit problems or difficulties and management’s response;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 as defined in Item 404 of Regulation S-K under the Securities Act;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major issues as to the adequacy of our internal controls and any special audit steps adopted in light of material control deficiencies;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reassessing the adequacy of our audit committee charter;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registered public accounting firm;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board of directors.</w:t>
      </w:r>
    </w:p>
    <w:p>
      <w:pPr>
        <w:spacing w:after="0" w:line="221" w:lineRule="exact"/>
        <w:rPr>
          <w:sz w:val="20"/>
          <w:szCs w:val="20"/>
          <w:color w:val="auto"/>
        </w:rPr>
      </w:pPr>
    </w:p>
    <w:p>
      <w:pPr>
        <w:ind w:left="460"/>
        <w:spacing w:after="0"/>
        <w:tabs>
          <w:tab w:leader="none" w:pos="6100" w:val="left"/>
          <w:tab w:leader="none" w:pos="6960" w:val="left"/>
          <w:tab w:leader="none" w:pos="7980" w:val="left"/>
          <w:tab w:leader="none" w:pos="10440" w:val="left"/>
        </w:tabs>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consists of</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 and will be chaired by</w:t>
      </w:r>
      <w:r>
        <w:rPr>
          <w:sz w:val="20"/>
          <w:szCs w:val="20"/>
          <w:color w:val="auto"/>
        </w:rPr>
        <w:tab/>
      </w:r>
      <w:r>
        <w:rPr>
          <w:rFonts w:ascii="Times New Roman" w:cs="Times New Roman" w:eastAsia="Times New Roman" w:hAnsi="Times New Roman"/>
          <w:sz w:val="16"/>
          <w:szCs w:val="16"/>
          <w:color w:val="auto"/>
        </w:rPr>
        <w:t>.</w:t>
      </w:r>
    </w:p>
    <w:p>
      <w:pPr>
        <w:spacing w:after="0" w:line="3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satisfy the “independence” requirements of the Listing Rules of the NASDAQ Stock Market. The compensation committee will assist the board</w:t>
      </w:r>
    </w:p>
    <w:p>
      <w:pPr>
        <w:spacing w:after="0" w:line="9" w:lineRule="exact"/>
        <w:rPr>
          <w:sz w:val="20"/>
          <w:szCs w:val="20"/>
          <w:color w:val="auto"/>
        </w:rPr>
      </w:pPr>
    </w:p>
    <w:p>
      <w:pPr>
        <w:ind w:right="380"/>
        <w:spacing w:after="0" w:line="253" w:lineRule="auto"/>
        <w:rPr>
          <w:sz w:val="20"/>
          <w:szCs w:val="20"/>
          <w:color w:val="auto"/>
        </w:rPr>
      </w:pPr>
      <w:r>
        <w:rPr>
          <w:rFonts w:ascii="Times New Roman" w:cs="Times New Roman" w:eastAsia="Times New Roman" w:hAnsi="Times New Roman"/>
          <w:sz w:val="18"/>
          <w:szCs w:val="18"/>
          <w:color w:val="auto"/>
        </w:rPr>
        <w:t>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will be responsible for, among other things: The compensation committee assists the board of directors in reviewing and approving the compensation structure, including all forms of compensation, relating to our directors and executive officers. Our executive officers may not be present at any committee meeting during which their compensation is deliberated upon. The compensation committee is responsible for, among other things:</w:t>
      </w:r>
    </w:p>
    <w:p>
      <w:pPr>
        <w:spacing w:after="0" w:line="93" w:lineRule="exact"/>
        <w:rPr>
          <w:sz w:val="20"/>
          <w:szCs w:val="20"/>
          <w:color w:val="auto"/>
        </w:rPr>
      </w:pPr>
    </w:p>
    <w:p>
      <w:pPr>
        <w:ind w:left="900" w:hanging="325"/>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total compensation package for our executive officers and making recommendations to the board with respect to it;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overseeing the total compensation package for our executives other than the three most senior executives;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of our directors and making recommendations to the board with respect to it; and</w:t>
      </w:r>
    </w:p>
    <w:p>
      <w:pPr>
        <w:spacing w:after="0" w:line="130"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approving any long-term incentive compensation or equity plans, programs or similar arrangements, annual bonuses, and employee pension and welfare benefit plans.</w:t>
      </w:r>
    </w:p>
    <w:p>
      <w:pPr>
        <w:sectPr>
          <w:pgSz w:w="11900" w:h="16838" w:orient="portrait"/>
          <w:cols w:equalWidth="0" w:num="1">
            <w:col w:w="11420"/>
          </w:cols>
          <w:pgMar w:left="240" w:top="456" w:right="239" w:bottom="1440" w:gutter="0" w:footer="0" w:header="0"/>
        </w:sectPr>
      </w:pP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Nominating and Corporate Governance Committee </w:t>
      </w:r>
      <w:r>
        <w:rPr>
          <w:rFonts w:ascii="Times New Roman" w:cs="Times New Roman" w:eastAsia="Times New Roman" w:hAnsi="Times New Roman"/>
          <w:sz w:val="17"/>
          <w:szCs w:val="17"/>
          <w:color w:val="auto"/>
        </w:rPr>
        <w:t>Our nominating and corporate governance committee will consist of</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and</w:t>
      </w:r>
    </w:p>
    <w:p>
      <w:pPr>
        <w:spacing w:after="0" w:line="27" w:lineRule="exact"/>
        <w:rPr>
          <w:sz w:val="20"/>
          <w:szCs w:val="20"/>
          <w:color w:val="auto"/>
        </w:rPr>
      </w:pPr>
    </w:p>
    <w:p>
      <w:pPr>
        <w:sectPr>
          <w:pgSz w:w="11900" w:h="16838" w:orient="portrait"/>
          <w:cols w:equalWidth="0" w:num="3">
            <w:col w:w="9280" w:space="720"/>
            <w:col w:w="80" w:space="720"/>
            <w:col w:w="620"/>
          </w:cols>
          <w:pgMar w:left="240" w:top="456" w:right="239" w:bottom="1440" w:gutter="0" w:footer="0" w:header="0"/>
          <w:type w:val="continuous"/>
        </w:sectPr>
      </w:pPr>
    </w:p>
    <w:p>
      <w:pPr>
        <w:ind w:left="720"/>
        <w:spacing w:after="0"/>
        <w:tabs>
          <w:tab w:leader="none" w:pos="3120" w:val="left"/>
          <w:tab w:leader="none" w:pos="3980" w:val="left"/>
        </w:tabs>
        <w:rPr>
          <w:sz w:val="20"/>
          <w:szCs w:val="20"/>
          <w:color w:val="auto"/>
        </w:rPr>
      </w:pPr>
      <w:r>
        <w:rPr>
          <w:rFonts w:ascii="Times New Roman" w:cs="Times New Roman" w:eastAsia="Times New Roman" w:hAnsi="Times New Roman"/>
          <w:sz w:val="18"/>
          <w:szCs w:val="18"/>
          <w:color w:val="auto"/>
        </w:rPr>
        <w:t>, and will be chaired by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and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159</w:t>
      </w:r>
    </w:p>
    <w:p>
      <w:pPr>
        <w:sectPr>
          <w:pgSz w:w="11900" w:h="16838" w:orient="portrait"/>
          <w:cols w:equalWidth="0" w:num="1">
            <w:col w:w="11420"/>
          </w:cols>
          <w:pgMar w:left="240" w:top="456" w:right="239" w:bottom="1440" w:gutter="0" w:footer="0" w:header="0"/>
          <w:type w:val="continuous"/>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satisfy the “independence” requirements of the Listing Rules of the NASDAQ Stock Market. The nominating and corporate governance committee will assist the board in selecting individuals qualified to become our directors and in determining the composition of the board and its committees. The nominating and corporate governance committee will be responsible for, among other things:</w:t>
      </w:r>
    </w:p>
    <w:p>
      <w:pPr>
        <w:spacing w:after="0" w:line="82" w:lineRule="exact"/>
        <w:rPr>
          <w:sz w:val="20"/>
          <w:szCs w:val="20"/>
          <w:color w:val="auto"/>
        </w:rPr>
      </w:pPr>
    </w:p>
    <w:p>
      <w:pPr>
        <w:ind w:left="900" w:hanging="325"/>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nominees to the board for election or re-election to the board, or for appointment to fill any vacancy on the board;</w:t>
      </w:r>
    </w:p>
    <w:p>
      <w:pPr>
        <w:spacing w:after="0" w:line="130" w:lineRule="exact"/>
        <w:rPr>
          <w:rFonts w:ascii="Times New Roman" w:cs="Times New Roman" w:eastAsia="Times New Roman" w:hAnsi="Times New Roman"/>
          <w:sz w:val="18"/>
          <w:szCs w:val="18"/>
          <w:color w:val="auto"/>
        </w:rPr>
      </w:pPr>
    </w:p>
    <w:p>
      <w:pPr>
        <w:ind w:left="900" w:right="720" w:hanging="325"/>
        <w:spacing w:after="0" w:line="282" w:lineRule="auto"/>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age, skills, experience and availability of service to us;</w:t>
      </w:r>
    </w:p>
    <w:p>
      <w:pPr>
        <w:spacing w:after="0" w:line="67"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the names of directors to serve as members of the audit committee and the compensation committee, as well as of the nominating committee itself; and</w:t>
      </w:r>
    </w:p>
    <w:p>
      <w:pPr>
        <w:spacing w:after="0" w:line="67"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Under Cayman Islands law, our directors have a common law duty to act honestly in good faith with a view to our best interests and for a proper purpose. Our directors also have a duty to exercise the skill they actually possess with the care and diligence that a reasonably prudent person would exercise in comparable circumstances. In fulfilling their duty of care to us, our directors must ensure compliance with our memorandum and articles of association. We have the right to seek damages if a duty owed by our directors is breached. In limited exceptional circumstances, a shareholder may have the right to seek damages in our name if a duty owed by our directors is breached. You should refer to “Description of Share Capital — Differences in Corporate Law” for additional information on our standard of corporate governance under Cayman Islands law.</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Pursuant to our eighth amended and restated memorandum and articles of association, which will become effective immediately prior to the completion of this offering and will replace our current amended and restated memorandum and articles of association in its entirety, subject to the approval of our shareholders, our board of directors shall have the power from time to time and at any time to appoint any person as a director to fill a casual vacancy on the board or as an addition to the existing board (subject to the maximum size limit). Any director so appointed by the board shall hold office only until the next following annual general meeting and shall then be eligible for re-election. Our directors will not be subject to a term of office and will hold their offices until such time as they are removed from office by an ordinary resolution of our shareholders with or without cause, or by the board of directors for cause. “Cause” shall mean [a conviction for a criminal or civil offence involving dishonesty or engaging in conduct which brings the director or us into disrepute or which results in material financial detriment to the us.] In addition, the office of any of our directors shall be vacated if the director (a) resigns his office by notice in writing to our company; (b) becomes of unsound mind or dies; (c) without special leave of absence from our board of directors, is absent from meetings of the board for six consecutive months and the board of directors resolves that his office be vacates; (d) becomes bankrupt or has a receiving order made against him or suspends payment or compounds with his creditors; (e) is prohibited by law from being a director; or (f) ceases to be a director by virtue of any provision of the Statutes or is removed from office pursuant to our memorandum and articles of association.</w:t>
      </w:r>
    </w:p>
    <w:p>
      <w:pPr>
        <w:spacing w:after="0" w:line="19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Pursuant to our eighth amended and restated memorandum and articles of association, any removal or appointment of chairman of the board is subject to shareholder approval by ordinary resolution.</w:t>
      </w:r>
    </w:p>
    <w:p>
      <w:pPr>
        <w:spacing w:after="0" w:line="266" w:lineRule="exact"/>
        <w:rPr>
          <w:sz w:val="20"/>
          <w:szCs w:val="20"/>
          <w:color w:val="auto"/>
        </w:rPr>
      </w:pPr>
    </w:p>
    <w:p>
      <w:pPr>
        <w:jc w:val="right"/>
        <w:ind w:right="5040"/>
        <w:spacing w:after="0" w:line="401" w:lineRule="auto"/>
        <w:rPr>
          <w:sz w:val="20"/>
          <w:szCs w:val="20"/>
          <w:color w:val="auto"/>
        </w:rPr>
      </w:pPr>
      <w:r>
        <w:rPr>
          <w:rFonts w:ascii="Times New Roman" w:cs="Times New Roman" w:eastAsia="Times New Roman" w:hAnsi="Times New Roman"/>
          <w:sz w:val="18"/>
          <w:szCs w:val="18"/>
          <w:b w:val="1"/>
          <w:bCs w:val="1"/>
          <w:color w:val="auto"/>
        </w:rPr>
        <w:t xml:space="preserve">Employment Agreements and Indemnification Agreements with Executive Officers </w:t>
      </w:r>
      <w:r>
        <w:rPr>
          <w:rFonts w:ascii="Times New Roman" w:cs="Times New Roman" w:eastAsia="Times New Roman" w:hAnsi="Times New Roman"/>
          <w:sz w:val="18"/>
          <w:szCs w:val="18"/>
          <w:color w:val="auto"/>
        </w:rPr>
        <w:t>We have entered into employment agreements with each of our executive officers.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420"/>
          </w:cols>
          <w:pgMar w:left="240" w:top="455" w:right="2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and Termination</w:t>
      </w:r>
    </w:p>
    <w:p>
      <w:pPr>
        <w:spacing w:after="0" w:line="121"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Pursuant to these agreements, we will be entitled to terminate a senior executive officer’s employment for cause at any time without remuneration for certain act of dishonesty, serious misconduct or any other act that justifies immediate dismissal of the officer, or if that officer is precluded by law from performing his duty as an officer. We may also terminate a senior executive officer’s employment by giving three months’ prior written notice or three months’ salary if the senior executive officer is not qualified for his position after we provide relevant training to him. A senior executive officer may terminate his or her employment at any time by giving three months’ prior written notice.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IP</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including but not limited to, trade secrets, any information concerning the process, system, data, financials, dealings or other confidential business information. The executive officers have also agreed that all intellectual property rights which they conceive, develop, write or otherwise created in the course of their employment, whether during or outside normal working hours, will be vested solely in us, and the officers will, at our request and expense, execute such assignments and assurances as may be reasonably necessary to perfect our ownership of those rights.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Non-Competition and Non-Solicitation</w:t>
      </w:r>
    </w:p>
    <w:p>
      <w:pPr>
        <w:spacing w:after="0" w:line="121" w:lineRule="exact"/>
        <w:rPr>
          <w:sz w:val="20"/>
          <w:szCs w:val="20"/>
          <w:color w:val="auto"/>
        </w:rPr>
      </w:pPr>
    </w:p>
    <w:p>
      <w:pPr>
        <w:jc w:val="center"/>
        <w:ind w:right="520"/>
        <w:spacing w:after="0" w:line="276" w:lineRule="auto"/>
        <w:rPr>
          <w:sz w:val="20"/>
          <w:szCs w:val="20"/>
          <w:color w:val="auto"/>
        </w:rPr>
      </w:pPr>
      <w:r>
        <w:rPr>
          <w:rFonts w:ascii="Times New Roman" w:cs="Times New Roman" w:eastAsia="Times New Roman" w:hAnsi="Times New Roman"/>
          <w:sz w:val="17"/>
          <w:szCs w:val="17"/>
          <w:color w:val="auto"/>
        </w:rPr>
        <w:t>In addition, each executive officer has agreed to be bound by non-competition and non-solicitation restrictions during the term of his or her employment and typically for six months following the last date of employment. Specifically, during such term each executive officer has agreed not to</w:t>
      </w:r>
    </w:p>
    <w:p>
      <w:pPr>
        <w:spacing w:after="0" w:line="1" w:lineRule="exact"/>
        <w:rPr>
          <w:sz w:val="20"/>
          <w:szCs w:val="20"/>
          <w:color w:val="auto"/>
        </w:rPr>
      </w:pPr>
    </w:p>
    <w:p>
      <w:pPr>
        <w:ind w:right="300" w:firstLine="8"/>
        <w:spacing w:after="0" w:line="261" w:lineRule="auto"/>
        <w:tabs>
          <w:tab w:leader="none" w:pos="21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engage or involve in any business which is in competition with us; (ii) directly or indirectly canvass or solicit from our clients any goods or services similar to ours; and (iii) entice, endeavor to entice, persuade or procure away any of our employees.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We plan to enter into indemnification agreements with each of our directors and executive officers. Under these agreements, we may agree to indemnify our directors and executive officers against certain liabilities and expenses incurred by them in connection with claims made by reason of their being a director or officer of our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the twelve months ended December 31, 2016 and six months ended June 30, 2017, we paid an aggregate of approximately US$1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US$0.4 million in cash to our executive officers, and we did not pay any compensation to our non-executive directors. Subject to the requirements 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laws, we have not set aside or accrued any amount to provide pension, retirement or other similar benefits to our executive officers and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PRC subsidiaries and variable interest entity are required by law to make contributions based on the insurance scales set forth by the local government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pension insurance, medical insurance, unemployment insurance and other statutory benefits and a housing provident fund. Our 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are required by the Hong Kong Mandatory Provident Fund Schemes Ordinance to make monthly contributions to the mandatory provident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scheme in an amount equal to at least 5% of an employee’s salary. For incentive share grants to our executive officers, see “— Share Incentive Plans.”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420"/>
          </w:cols>
          <w:pgMar w:left="240" w:top="456" w:right="2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2010 Plan</w:t>
      </w:r>
    </w:p>
    <w:p>
      <w:pPr>
        <w:spacing w:after="0" w:line="121" w:lineRule="exact"/>
        <w:rPr>
          <w:sz w:val="20"/>
          <w:szCs w:val="20"/>
          <w:color w:val="auto"/>
        </w:rPr>
      </w:pPr>
    </w:p>
    <w:p>
      <w:pPr>
        <w:jc w:val="both"/>
        <w:ind w:right="100" w:firstLine="456"/>
        <w:spacing w:after="0" w:line="261" w:lineRule="auto"/>
        <w:rPr>
          <w:sz w:val="20"/>
          <w:szCs w:val="20"/>
          <w:color w:val="auto"/>
        </w:rPr>
      </w:pPr>
      <w:r>
        <w:rPr>
          <w:rFonts w:ascii="Times New Roman" w:cs="Times New Roman" w:eastAsia="Times New Roman" w:hAnsi="Times New Roman"/>
          <w:sz w:val="18"/>
          <w:szCs w:val="18"/>
          <w:color w:val="auto"/>
        </w:rPr>
        <w:t>Our board of directors approved the 2010 Plan in 2010, to provide incentives to our certain employees and consultants and promote the success of our business. Under the 2010 Plan, the maximum number of ordinary shares that may be issued to the beneficiaries is 2,398,137, which have been issued to Arda as trustee to the beneficiaries of the 2010 Plan. As of the date of this prospectus, options to purchase 2,064,026 ordinary shares were granted under the 2010 Plan, 757,933 of which are not vested, 1,033,338 are fully vested but not exercised, and 272,755 have been exercised.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2010 Plan.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Type of Awards. </w:t>
      </w:r>
      <w:r>
        <w:rPr>
          <w:rFonts w:ascii="Times New Roman" w:cs="Times New Roman" w:eastAsia="Times New Roman" w:hAnsi="Times New Roman"/>
          <w:sz w:val="18"/>
          <w:szCs w:val="18"/>
          <w:color w:val="auto"/>
        </w:rPr>
        <w:t>The 2010 Plan permits the award of options to purchase our ordinary shares.</w:t>
      </w:r>
    </w:p>
    <w:p>
      <w:pPr>
        <w:spacing w:after="0" w:line="225"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Trustee. </w:t>
      </w:r>
      <w:r>
        <w:rPr>
          <w:rFonts w:ascii="Times New Roman" w:cs="Times New Roman" w:eastAsia="Times New Roman" w:hAnsi="Times New Roman"/>
          <w:sz w:val="18"/>
          <w:szCs w:val="18"/>
          <w:color w:val="auto"/>
        </w:rPr>
        <w:t>Mr. Wing Hong Sammy Hsieh through Arda upon trust serves as the trustee to the beneficiaries of the 2010 Plan. Upon a grantee’s exercise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any options awarded under the 2010 Plan, the trustee shall hold the resulting ordinary shares until a public offering of our ordinary shares on a stock exchange or if our board of directors decides to transfer the ordinary shares to the grantee, and until either of such transfer events, the trustee shall pay cash or other dividend payments on these ordinary shares to the grantee. The trustee shall only deal with the trust properties in such manner as our board of directors from time to time directs in writing.</w:t>
      </w:r>
    </w:p>
    <w:p>
      <w:pPr>
        <w:spacing w:after="0" w:line="18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Award Agreement. </w:t>
      </w:r>
      <w:r>
        <w:rPr>
          <w:rFonts w:ascii="Times New Roman" w:cs="Times New Roman" w:eastAsia="Times New Roman" w:hAnsi="Times New Roman"/>
          <w:sz w:val="18"/>
          <w:szCs w:val="18"/>
          <w:color w:val="auto"/>
        </w:rPr>
        <w:t>Any award granted under the 2010 Plan is evidenced by an award agreement that sets forth terms, conditions and limitations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award, which may include the number of options awarded, the exercise price, the vesting schedule, the provisions applicable in the event of the grantee’s employment or service terminates, among others. We may amend or delete the terms of any award from time to time, provided that no such amendment shall impair the rights and benefits of any participant without his or her consent.</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Eligibility. </w:t>
      </w:r>
      <w:r>
        <w:rPr>
          <w:rFonts w:ascii="Times New Roman" w:cs="Times New Roman" w:eastAsia="Times New Roman" w:hAnsi="Times New Roman"/>
          <w:sz w:val="18"/>
          <w:szCs w:val="18"/>
          <w:color w:val="auto"/>
        </w:rPr>
        <w:t>We may grant awards to employees of our company or any of our subsidiaries.</w:t>
      </w:r>
    </w:p>
    <w:p>
      <w:pPr>
        <w:spacing w:after="0" w:line="225"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Vesting Schedule. </w:t>
      </w:r>
      <w:r>
        <w:rPr>
          <w:rFonts w:ascii="Times New Roman" w:cs="Times New Roman" w:eastAsia="Times New Roman" w:hAnsi="Times New Roman"/>
          <w:sz w:val="18"/>
          <w:szCs w:val="18"/>
          <w:color w:val="auto"/>
        </w:rPr>
        <w:t>Unless otherwise stated in respective grants, subject to forfeiture and arrangement on termination of employment or service, 25%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share options shall be vested at the one-year anniversary of the grant date and 1/36 of the remaining 75% of the shares options shall be vested per month thereafter. In the event a take-over offer is made to our ordinary shares, we will use our best endeavors to procure that such take-over offer be extended to any ordinary shares that may be allotted pursuant to the exercise of unexercised share options. 120,067 options that were granted to Wing Hong Sammy Hsieh and 29,933 options that were granted to Yau Ping Ricky Ng shall vest immediately upon the earlier of the following: (i) approval of our listing on a stock exchange with an expected market capitalization of no less than US$500 million, or (ii) any merger or acquisition of us at a valuation of US$500 million or above as a result of which our shareholders immediately prior to such merger or acquisition no longer hold a majority of the outstanding shares of the surviving corporation.</w:t>
      </w:r>
    </w:p>
    <w:p>
      <w:pPr>
        <w:spacing w:after="0" w:line="185"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Exercise of Options. </w:t>
      </w:r>
      <w:r>
        <w:rPr>
          <w:rFonts w:ascii="Times New Roman" w:cs="Times New Roman" w:eastAsia="Times New Roman" w:hAnsi="Times New Roman"/>
          <w:sz w:val="17"/>
          <w:szCs w:val="17"/>
          <w:color w:val="auto"/>
        </w:rPr>
        <w:t>Vested options will become exercisable during the first five business days of January, April, July and October until the termination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date of the 2010 Plan, subject to other terms and conditions provided in the relevant award agreements. Once all the preconditions are met, a participant may exercise options in whole or in part by giving written notice of exercise to us specifying information such as the number of shares to be purchased.</w:t>
      </w:r>
    </w:p>
    <w:p>
      <w:pPr>
        <w:spacing w:after="0" w:line="153" w:lineRule="exact"/>
        <w:rPr>
          <w:sz w:val="20"/>
          <w:szCs w:val="20"/>
          <w:color w:val="auto"/>
        </w:rPr>
      </w:pPr>
    </w:p>
    <w:p>
      <w:pPr>
        <w:ind w:right="32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Restrictions. </w:t>
      </w:r>
      <w:r>
        <w:rPr>
          <w:rFonts w:ascii="Times New Roman" w:cs="Times New Roman" w:eastAsia="Times New Roman" w:hAnsi="Times New Roman"/>
          <w:sz w:val="18"/>
          <w:szCs w:val="18"/>
          <w:color w:val="auto"/>
        </w:rPr>
        <w:t>The participant will not be permitted to transfer, assign, dispose of, or create or purport to create any encumbrances over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 In principle, all options shall be exercisable only by the participants. Any such transfer, assignment, disposal or encumbrance or purported encumbrance shall result in the automatic cancellation of the option.</w:t>
      </w:r>
    </w:p>
    <w:p>
      <w:pPr>
        <w:spacing w:after="0" w:line="171" w:lineRule="exact"/>
        <w:rPr>
          <w:sz w:val="20"/>
          <w:szCs w:val="20"/>
          <w:color w:val="auto"/>
        </w:rPr>
      </w:pPr>
    </w:p>
    <w:p>
      <w:pPr>
        <w:ind w:right="36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Termination and amendment of the 2010 Plan. </w:t>
      </w:r>
      <w:r>
        <w:rPr>
          <w:rFonts w:ascii="Times New Roman" w:cs="Times New Roman" w:eastAsia="Times New Roman" w:hAnsi="Times New Roman"/>
          <w:sz w:val="18"/>
          <w:szCs w:val="18"/>
          <w:color w:val="auto"/>
        </w:rPr>
        <w:t>Our board of directors may amend or discontinue the 2010 Plan, provided that such amendment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termination shall not impair the rights of a participant under any award without such participant’s consent.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420"/>
          </w:cols>
          <w:pgMar w:left="240" w:top="455" w:right="2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the date of this prospectus, the outstanding options granted under the 2010 Plan to our directors, executive officers and other grantees.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760" w:type="dxa"/>
            <w:vAlign w:val="bottom"/>
            <w:gridSpan w:val="2"/>
            <w:vMerge w:val="continue"/>
          </w:tcPr>
          <w:p>
            <w:pPr>
              <w:spacing w:after="0"/>
              <w:rPr>
                <w:sz w:val="12"/>
                <w:szCs w:val="12"/>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3"/>
        </w:trPr>
        <w:tc>
          <w:tcPr>
            <w:tcW w:w="3540" w:type="dxa"/>
            <w:vAlign w:val="bottom"/>
            <w:gridSpan w:val="2"/>
            <w:vMerge w:val="continue"/>
          </w:tcPr>
          <w:p>
            <w:pPr>
              <w:spacing w:after="0"/>
              <w:rPr>
                <w:sz w:val="15"/>
                <w:szCs w:val="15"/>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(US$/Share)</w:t>
            </w:r>
          </w:p>
        </w:tc>
        <w:tc>
          <w:tcPr>
            <w:tcW w:w="1860" w:type="dxa"/>
            <w:vAlign w:val="bottom"/>
            <w:gridSpan w:val="2"/>
            <w:vMerge w:val="continue"/>
          </w:tcPr>
          <w:p>
            <w:pPr>
              <w:spacing w:after="0"/>
              <w:rPr>
                <w:sz w:val="15"/>
                <w:szCs w:val="15"/>
                <w:color w:val="auto"/>
              </w:rPr>
            </w:pPr>
          </w:p>
        </w:tc>
        <w:tc>
          <w:tcPr>
            <w:tcW w:w="3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89"/>
              </w:rPr>
              <w:t>Wing</w:t>
            </w:r>
          </w:p>
        </w:tc>
        <w:tc>
          <w:tcPr>
            <w:tcW w:w="3160" w:type="dxa"/>
            <w:vAlign w:val="bottom"/>
            <w:tcBorders>
              <w:top w:val="single" w:sz="8" w:color="CCEEFF"/>
            </w:tcBorders>
            <w:shd w:val="clear" w:color="auto" w:fill="CCEEFF"/>
          </w:tcPr>
          <w:p>
            <w:pPr>
              <w:ind w:left="60"/>
              <w:spacing w:after="0" w:line="191" w:lineRule="exact"/>
              <w:rPr>
                <w:sz w:val="20"/>
                <w:szCs w:val="20"/>
                <w:color w:val="auto"/>
              </w:rPr>
            </w:pPr>
            <w:r>
              <w:rPr>
                <w:rFonts w:ascii="Times New Roman" w:cs="Times New Roman" w:eastAsia="Times New Roman" w:hAnsi="Times New Roman"/>
                <w:sz w:val="18"/>
                <w:szCs w:val="18"/>
                <w:color w:val="auto"/>
              </w:rPr>
              <w:t>Hong Sammy Hsieh</w:t>
            </w:r>
          </w:p>
        </w:tc>
        <w:tc>
          <w:tcPr>
            <w:tcW w:w="10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0.0010</w:t>
            </w:r>
          </w:p>
        </w:tc>
        <w:tc>
          <w:tcPr>
            <w:tcW w:w="12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August 27, 2014</w:t>
            </w:r>
          </w:p>
        </w:tc>
        <w:tc>
          <w:tcPr>
            <w:tcW w:w="100" w:type="dxa"/>
            <w:vAlign w:val="bottom"/>
            <w:tcBorders>
              <w:top w:val="single" w:sz="8" w:color="CCEEFF"/>
            </w:tcBorders>
            <w:shd w:val="clear" w:color="auto" w:fill="CCEEFF"/>
          </w:tcPr>
          <w:p>
            <w:pPr>
              <w:spacing w:after="0"/>
              <w:rPr>
                <w:sz w:val="16"/>
                <w:szCs w:val="16"/>
                <w:color w:val="auto"/>
              </w:rPr>
            </w:pPr>
          </w:p>
        </w:tc>
        <w:tc>
          <w:tcPr>
            <w:tcW w:w="30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earlier of: (1) within 10 years of the</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vesting date; (2) immediately prior to</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listing of the Company on a stock</w:t>
            </w:r>
          </w:p>
        </w:tc>
        <w:tc>
          <w:tcPr>
            <w:tcW w:w="0" w:type="dxa"/>
            <w:vAlign w:val="bottom"/>
          </w:tcPr>
          <w:p>
            <w:pPr>
              <w:spacing w:after="0"/>
              <w:rPr>
                <w:sz w:val="1"/>
                <w:szCs w:val="1"/>
                <w:color w:val="auto"/>
              </w:rPr>
            </w:pPr>
          </w:p>
        </w:tc>
      </w:tr>
      <w:tr>
        <w:trPr>
          <w:trHeight w:val="234"/>
        </w:trPr>
        <w:tc>
          <w:tcPr>
            <w:tcW w:w="38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exchange,</w:t>
            </w:r>
          </w:p>
        </w:tc>
        <w:tc>
          <w:tcPr>
            <w:tcW w:w="0" w:type="dxa"/>
            <w:vAlign w:val="bottom"/>
          </w:tcPr>
          <w:p>
            <w:pPr>
              <w:spacing w:after="0"/>
              <w:rPr>
                <w:sz w:val="1"/>
                <w:szCs w:val="1"/>
                <w:color w:val="auto"/>
              </w:rPr>
            </w:pPr>
          </w:p>
        </w:tc>
      </w:tr>
      <w:tr>
        <w:trPr>
          <w:trHeight w:val="198"/>
        </w:trPr>
        <w:tc>
          <w:tcPr>
            <w:tcW w:w="35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Yau Ping Ricky Ng</w:t>
            </w:r>
          </w:p>
        </w:tc>
        <w:tc>
          <w:tcPr>
            <w:tcW w:w="118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0.0010 – 4.800</w:t>
            </w:r>
          </w:p>
        </w:tc>
        <w:tc>
          <w:tcPr>
            <w:tcW w:w="18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June 21, 2013 to</w:t>
            </w:r>
          </w:p>
        </w:tc>
        <w:tc>
          <w:tcPr>
            <w:tcW w:w="30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April 1, 2023; The earlier of: (1) within 10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Aug 27, 2014</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years of the vesting date; (2) immediately</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prior to listing of the Company on a stock</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exchange,</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 Tang</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0.2687 – 4.0304</w:t>
            </w:r>
          </w:p>
        </w:tc>
        <w:tc>
          <w:tcPr>
            <w:tcW w:w="18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August 1, 2015</w:t>
            </w:r>
          </w:p>
        </w:tc>
        <w:tc>
          <w:tcPr>
            <w:tcW w:w="3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1, 2025</w:t>
            </w:r>
          </w:p>
        </w:tc>
        <w:tc>
          <w:tcPr>
            <w:tcW w:w="0" w:type="dxa"/>
            <w:vAlign w:val="bottom"/>
          </w:tcPr>
          <w:p>
            <w:pPr>
              <w:spacing w:after="0"/>
              <w:rPr>
                <w:sz w:val="1"/>
                <w:szCs w:val="1"/>
                <w:color w:val="auto"/>
              </w:rPr>
            </w:pPr>
          </w:p>
        </w:tc>
      </w:tr>
      <w:tr>
        <w:trPr>
          <w:trHeight w:val="198"/>
        </w:trPr>
        <w:tc>
          <w:tcPr>
            <w:tcW w:w="35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Yan Lee</w:t>
            </w:r>
          </w:p>
        </w:tc>
        <w:tc>
          <w:tcPr>
            <w:tcW w:w="118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8.1290 – 8.1300</w:t>
            </w:r>
          </w:p>
        </w:tc>
        <w:tc>
          <w:tcPr>
            <w:tcW w:w="18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January 1, 2015</w:t>
            </w:r>
          </w:p>
        </w:tc>
        <w:tc>
          <w:tcPr>
            <w:tcW w:w="30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January 1, 2025 to January 1, 2027</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 January 1, 2017</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Jie Jiao</w:t>
            </w:r>
          </w:p>
        </w:tc>
        <w:tc>
          <w:tcPr>
            <w:tcW w:w="1180" w:type="dxa"/>
            <w:vAlign w:val="bottom"/>
            <w:gridSpan w:val="2"/>
            <w:shd w:val="clear" w:color="auto" w:fill="CCEEFF"/>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8.1290 – 8.1300</w:t>
            </w:r>
          </w:p>
        </w:tc>
        <w:tc>
          <w:tcPr>
            <w:tcW w:w="18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August 18, 2014</w:t>
            </w:r>
          </w:p>
        </w:tc>
        <w:tc>
          <w:tcPr>
            <w:tcW w:w="30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July 1, 2024</w:t>
            </w:r>
          </w:p>
        </w:tc>
        <w:tc>
          <w:tcPr>
            <w:tcW w:w="0" w:type="dxa"/>
            <w:vAlign w:val="bottom"/>
          </w:tcPr>
          <w:p>
            <w:pPr>
              <w:spacing w:after="0"/>
              <w:rPr>
                <w:sz w:val="1"/>
                <w:szCs w:val="1"/>
                <w:color w:val="auto"/>
              </w:rPr>
            </w:pPr>
          </w:p>
        </w:tc>
      </w:tr>
      <w:tr>
        <w:trPr>
          <w:trHeight w:val="234"/>
        </w:trPr>
        <w:tc>
          <w:tcPr>
            <w:tcW w:w="38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 January 1, 2017</w:t>
            </w: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 grantees</w:t>
            </w:r>
          </w:p>
        </w:tc>
        <w:tc>
          <w:tcPr>
            <w:tcW w:w="1180" w:type="dxa"/>
            <w:vAlign w:val="bottom"/>
            <w:gridSpan w:val="2"/>
          </w:tcPr>
          <w:p>
            <w:pPr>
              <w:jc w:val="right"/>
              <w:ind w:right="180"/>
              <w:spacing w:after="0" w:line="198" w:lineRule="exact"/>
              <w:rPr>
                <w:sz w:val="20"/>
                <w:szCs w:val="20"/>
                <w:color w:val="auto"/>
              </w:rPr>
            </w:pPr>
            <w:r>
              <w:rPr>
                <w:rFonts w:ascii="Times New Roman" w:cs="Times New Roman" w:eastAsia="Times New Roman" w:hAnsi="Times New Roman"/>
                <w:sz w:val="18"/>
                <w:szCs w:val="18"/>
                <w:color w:val="auto"/>
              </w:rPr>
              <w:t>1,370,820</w:t>
            </w:r>
          </w:p>
        </w:tc>
        <w:tc>
          <w:tcPr>
            <w:tcW w:w="176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0.0100 – 20.0000</w:t>
            </w:r>
          </w:p>
        </w:tc>
        <w:tc>
          <w:tcPr>
            <w:tcW w:w="18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April 1, 2011 to</w:t>
            </w:r>
          </w:p>
        </w:tc>
        <w:tc>
          <w:tcPr>
            <w:tcW w:w="30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April 1, 2020 to April 1, 2027</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January 1, 2017</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our total outstanding ordinary shares.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and 2018 Performance-Based Incentive Shares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Share Incentive Plan</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plan to adopt a share incentive plan prior to the completion of this offering, or the 2017 Plan to provide additional incentives to employees, directors and consultants and promote the success of our business. The maximum aggregate number of shares which may be issued pursuant to all awards under the proposed 2017 Plan shall initially be 1,000,000, plus an annual increase on the first day of each of our fiscal year during the term of the 2017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such shares will be Class A ordinary shares.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paragraphs describe the principal terms of the 2017 Plan that we plan to adopt.</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Types of Awards. </w:t>
      </w:r>
      <w:r>
        <w:rPr>
          <w:rFonts w:ascii="Times New Roman" w:cs="Times New Roman" w:eastAsia="Times New Roman" w:hAnsi="Times New Roman"/>
          <w:sz w:val="18"/>
          <w:szCs w:val="18"/>
          <w:color w:val="auto"/>
        </w:rPr>
        <w:t>The 2017 Plan permits the awards of options, restricted shares and restricted share units.</w:t>
      </w:r>
    </w:p>
    <w:p>
      <w:pPr>
        <w:spacing w:after="0" w:line="225" w:lineRule="exact"/>
        <w:rPr>
          <w:sz w:val="20"/>
          <w:szCs w:val="20"/>
          <w:color w:val="auto"/>
        </w:rPr>
      </w:pPr>
    </w:p>
    <w:p>
      <w:pPr>
        <w:ind w:right="4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Plan Administration. </w:t>
      </w:r>
      <w:r>
        <w:rPr>
          <w:rFonts w:ascii="Times New Roman" w:cs="Times New Roman" w:eastAsia="Times New Roman" w:hAnsi="Times New Roman"/>
          <w:sz w:val="18"/>
          <w:szCs w:val="18"/>
          <w:color w:val="auto"/>
        </w:rPr>
        <w:t>Our board of directors or a committee of one or more members of the board of directors will administer the 2017 Plan.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or the full board of directors, as applicable, will</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420"/>
          </w:cols>
          <w:pgMar w:left="240" w:top="456" w:right="2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determine the participants to receive awards, the type and number of awards to be granted to each participant, and the terms and conditions of each award grant.</w:t>
      </w:r>
    </w:p>
    <w:p>
      <w:pPr>
        <w:spacing w:after="0" w:line="158" w:lineRule="exact"/>
        <w:rPr>
          <w:sz w:val="20"/>
          <w:szCs w:val="20"/>
          <w:color w:val="auto"/>
        </w:rPr>
      </w:pPr>
    </w:p>
    <w:p>
      <w:pPr>
        <w:jc w:val="both"/>
        <w:ind w:right="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Award Agreement. </w:t>
      </w:r>
      <w:r>
        <w:rPr>
          <w:rFonts w:ascii="Times New Roman" w:cs="Times New Roman" w:eastAsia="Times New Roman" w:hAnsi="Times New Roman"/>
          <w:sz w:val="18"/>
          <w:szCs w:val="18"/>
          <w:color w:val="auto"/>
        </w:rPr>
        <w:t>Awards granted under the 2017 Plan are evidenced by an award agreement that sets forth terms, conditions and limitations for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 which may include the term of the award, the provisions applicable in the event of the grantee’s employment or service terminates, and our authority to unilaterally or bilaterally amend, modify, suspend, cancel or rescind the award.</w:t>
      </w:r>
    </w:p>
    <w:p>
      <w:pPr>
        <w:spacing w:after="0" w:line="171" w:lineRule="exact"/>
        <w:rPr>
          <w:sz w:val="20"/>
          <w:szCs w:val="20"/>
          <w:color w:val="auto"/>
        </w:rPr>
      </w:pPr>
    </w:p>
    <w:p>
      <w:pPr>
        <w:ind w:right="38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Eligibility. </w:t>
      </w:r>
      <w:r>
        <w:rPr>
          <w:rFonts w:ascii="Times New Roman" w:cs="Times New Roman" w:eastAsia="Times New Roman" w:hAnsi="Times New Roman"/>
          <w:sz w:val="18"/>
          <w:szCs w:val="18"/>
          <w:color w:val="auto"/>
        </w:rPr>
        <w:t>We may grant awards to our employees, directors and consultants of our company. However, we may grant options that are intended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qualify as incentive share options only to our employees and employees of our parent companies and subsidiaries.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Vesting Schedule. </w:t>
      </w:r>
      <w:r>
        <w:rPr>
          <w:rFonts w:ascii="Times New Roman" w:cs="Times New Roman" w:eastAsia="Times New Roman" w:hAnsi="Times New Roman"/>
          <w:sz w:val="18"/>
          <w:szCs w:val="18"/>
          <w:color w:val="auto"/>
        </w:rPr>
        <w:t>In general, the plan administrator determines the vesting schedule, which is specified in the relevant award agreement.</w:t>
      </w:r>
    </w:p>
    <w:p>
      <w:pPr>
        <w:spacing w:after="0" w:line="225"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Exercise of Options. </w:t>
      </w:r>
      <w:r>
        <w:rPr>
          <w:rFonts w:ascii="Times New Roman" w:cs="Times New Roman" w:eastAsia="Times New Roman" w:hAnsi="Times New Roman"/>
          <w:sz w:val="18"/>
          <w:szCs w:val="18"/>
          <w:color w:val="auto"/>
        </w:rPr>
        <w:t>The plan administrator determines the exercise price for each award, which is stated in the award agreement. The vested portion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option will expire if not exercised prior to the time as the plan administrator determines at the time of its grant. However, the maximum exercisable term is ten years from the date of a grant.</w:t>
      </w:r>
    </w:p>
    <w:p>
      <w:pPr>
        <w:spacing w:after="0" w:line="171" w:lineRule="exact"/>
        <w:rPr>
          <w:sz w:val="20"/>
          <w:szCs w:val="20"/>
          <w:color w:val="auto"/>
        </w:rPr>
      </w:pPr>
    </w:p>
    <w:p>
      <w:pPr>
        <w:ind w:right="120" w:firstLine="45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recipient other than by will or the laws of descent and distribution, except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otherwise provided by the plan administrator.</w:t>
      </w:r>
    </w:p>
    <w:p>
      <w:pPr>
        <w:spacing w:after="0" w:line="155"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Termination and amendment of the 2017 Plan. </w:t>
      </w:r>
      <w:r>
        <w:rPr>
          <w:rFonts w:ascii="Times New Roman" w:cs="Times New Roman" w:eastAsia="Times New Roman" w:hAnsi="Times New Roman"/>
          <w:sz w:val="18"/>
          <w:szCs w:val="18"/>
          <w:color w:val="auto"/>
        </w:rPr>
        <w:t>Unless terminated earlier, the 2017 Plan has a term of ten years. Our board of directors has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authority to amend or terminate the plan subject to shareholder approval to the extent necessary to comply with applicable law. Shareholder approval is required for any amendment to the 2017 Plan that (i) increases the number of shares available under the 2017 Plan, or (ii) permits the plan administrator to extend the term of the 2017 Plan or the exercise period for an option beyond ten years from the date of grant.</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360"/>
          </w:cols>
          <w:pgMar w:left="240" w:top="456" w:right="29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ordinary shares as of the date of this prospectus by:</w:t>
      </w:r>
    </w:p>
    <w:p>
      <w:pPr>
        <w:spacing w:after="0" w:line="131" w:lineRule="exact"/>
        <w:rPr>
          <w:sz w:val="20"/>
          <w:szCs w:val="20"/>
          <w:color w:val="auto"/>
        </w:rPr>
      </w:pPr>
    </w:p>
    <w:p>
      <w:pPr>
        <w:ind w:left="900" w:hanging="325"/>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that we know beneficially owns or will beneficially own more than 5% of our outstanding ordinary shares;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or executive officer who beneficially owns or will beneficially own more than 1% of our outstanding ordinary shares;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calculations in the table below are based on 23,901,183 ordinary shares on an as-converted basis outstanding as of the date of this prospectus,</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which include all exercised options, but do not include granted but unexercised options, whether or not they are vested, and ordinary shares outstanding immediately upon completion of this offering, including (i) Class A ordinary shares to be sold by us in this offering in the form of ADSs, assuming the underwriters do not exercise their over-allotment option to purchase additional ADSs, (ii) Class A ordinary shares into which all of our outstanding ordinary shares, (other than beneficially owned by Mr. Sammy Hsieh and Mr. Jian Tang) and preferred shares will automatically convert and redesignate immediately prior to the completion of this offering on a one-for-one basis, and (iii) Class B ordinary shares redesignated from the</w:t>
      </w:r>
    </w:p>
    <w:p>
      <w:pPr>
        <w:spacing w:after="0" w:line="2" w:lineRule="exact"/>
        <w:rPr>
          <w:sz w:val="20"/>
          <w:szCs w:val="20"/>
          <w:color w:val="auto"/>
        </w:rPr>
      </w:pPr>
    </w:p>
    <w:p>
      <w:pPr>
        <w:ind w:left="5580" w:right="1620" w:hanging="4985"/>
        <w:spacing w:after="0" w:line="433" w:lineRule="auto"/>
        <w:rPr>
          <w:sz w:val="20"/>
          <w:szCs w:val="20"/>
          <w:color w:val="auto"/>
        </w:rPr>
      </w:pPr>
      <w:r>
        <w:rPr>
          <w:rFonts w:ascii="Times New Roman" w:cs="Times New Roman" w:eastAsia="Times New Roman" w:hAnsi="Times New Roman"/>
          <w:sz w:val="18"/>
          <w:szCs w:val="18"/>
          <w:color w:val="auto"/>
        </w:rPr>
        <w:t>outstanding ordinary shares held by Mr. Sammy Hsieh and Mr. Jian Tang immediately prior to the completion of this offering. 165</w:t>
      </w:r>
    </w:p>
    <w:p>
      <w:pPr>
        <w:sectPr>
          <w:pgSz w:w="11900" w:h="16838" w:orient="portrait"/>
          <w:cols w:equalWidth="0" w:num="1">
            <w:col w:w="11300"/>
          </w:cols>
          <w:pgMar w:left="240" w:top="455" w:right="35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including through the exercise of any option, warrant, or other right or the conversion of any other security. These ordinary shares, however, are not included in the computation of the percentage ownership of any other person.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Ordinary Shares Beneficially</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Owned After This Offering</w:t>
            </w:r>
          </w:p>
        </w:tc>
        <w:tc>
          <w:tcPr>
            <w:tcW w:w="2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740" w:type="dxa"/>
            <w:vAlign w:val="bottom"/>
          </w:tcPr>
          <w:p>
            <w:pPr>
              <w:spacing w:after="0"/>
              <w:rPr>
                <w:sz w:val="10"/>
                <w:szCs w:val="10"/>
                <w:color w:val="auto"/>
              </w:rPr>
            </w:pPr>
          </w:p>
        </w:tc>
        <w:tc>
          <w:tcPr>
            <w:tcW w:w="1500" w:type="dxa"/>
            <w:vAlign w:val="bottom"/>
            <w:gridSpan w:val="3"/>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gridSpan w:val="2"/>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60" w:type="dxa"/>
            <w:vAlign w:val="bottom"/>
            <w:gridSpan w:val="2"/>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2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Total Ordinary</w:t>
            </w: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Shares on</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2260" w:type="dxa"/>
            <w:vAlign w:val="bottom"/>
            <w:gridSpan w:val="5"/>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Prior to</w:t>
            </w:r>
          </w:p>
        </w:tc>
        <w:tc>
          <w:tcPr>
            <w:tcW w:w="86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Ordinary</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an as-converted</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50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2"/>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basis</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1500" w:type="dxa"/>
            <w:vAlign w:val="bottom"/>
            <w:tcBorders>
              <w:top w:val="single" w:sz="8" w:color="auto"/>
            </w:tcBorders>
            <w:gridSpan w:val="3"/>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Borders>
              <w:top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34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w:t>
            </w:r>
            <w:r>
              <w:rPr>
                <w:rFonts w:ascii="Times New Roman" w:cs="Times New Roman" w:eastAsia="Times New Roman" w:hAnsi="Times New Roman"/>
                <w:sz w:val="12"/>
                <w:szCs w:val="12"/>
                <w:b w:val="1"/>
                <w:bCs w:val="1"/>
                <w:color w:val="auto"/>
                <w:w w:val="95"/>
              </w:rPr>
              <w:t>+</w:t>
            </w:r>
          </w:p>
        </w:tc>
        <w:tc>
          <w:tcPr>
            <w:tcW w:w="32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12"/>
                <w:szCs w:val="12"/>
                <w:b w:val="1"/>
                <w:bCs w:val="1"/>
                <w:color w:val="auto"/>
                <w:w w:val="93"/>
              </w:rPr>
              <w:t>++</w:t>
            </w:r>
          </w:p>
        </w:tc>
        <w:tc>
          <w:tcPr>
            <w:tcW w:w="320" w:type="dxa"/>
            <w:vAlign w:val="bottom"/>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340" w:type="dxa"/>
            <w:vAlign w:val="bottom"/>
          </w:tcPr>
          <w:p>
            <w:pPr>
              <w:spacing w:after="0"/>
              <w:rPr>
                <w:sz w:val="12"/>
                <w:szCs w:val="12"/>
                <w:color w:val="auto"/>
              </w:rPr>
            </w:pPr>
          </w:p>
        </w:tc>
        <w:tc>
          <w:tcPr>
            <w:tcW w:w="2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0"/>
              </w:rPr>
              <w:t>%^</w:t>
            </w:r>
          </w:p>
        </w:tc>
        <w:tc>
          <w:tcPr>
            <w:tcW w:w="34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0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Wing Hong Sammy Hsieh</w:t>
            </w:r>
            <w:r>
              <w:rPr>
                <w:rFonts w:ascii="Times New Roman" w:cs="Times New Roman" w:eastAsia="Times New Roman" w:hAnsi="Times New Roman"/>
                <w:sz w:val="15"/>
                <w:szCs w:val="15"/>
                <w:color w:val="auto"/>
              </w:rPr>
              <w:t>(1)(10)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2,893,402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12.0</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Jian Tang</w:t>
            </w:r>
            <w:r>
              <w:rPr>
                <w:rFonts w:ascii="Times New Roman" w:cs="Times New Roman" w:eastAsia="Times New Roman" w:hAnsi="Times New Roman"/>
                <w:sz w:val="15"/>
                <w:szCs w:val="15"/>
                <w:color w:val="auto"/>
              </w:rPr>
              <w:t>(2)(10)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2,337,720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Yau Ping Ricky Ng</w:t>
            </w:r>
            <w:r>
              <w:rPr>
                <w:rFonts w:ascii="Times New Roman" w:cs="Times New Roman" w:eastAsia="Times New Roman" w:hAnsi="Times New Roman"/>
                <w:sz w:val="15"/>
                <w:szCs w:val="15"/>
                <w:color w:val="auto"/>
              </w:rPr>
              <w:t>(3)(10)</w:t>
            </w: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984,586</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Francis Hun Ming Wong</w:t>
            </w:r>
          </w:p>
        </w:tc>
        <w:tc>
          <w:tcPr>
            <w:tcW w:w="150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Yu Long</w:t>
            </w:r>
          </w:p>
        </w:tc>
        <w:tc>
          <w:tcPr>
            <w:tcW w:w="15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Antares Au</w:t>
            </w:r>
          </w:p>
        </w:tc>
        <w:tc>
          <w:tcPr>
            <w:tcW w:w="150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Anmin Pan</w:t>
            </w:r>
          </w:p>
        </w:tc>
        <w:tc>
          <w:tcPr>
            <w:tcW w:w="15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Jie Jiao</w:t>
            </w: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Yan Lee</w:t>
            </w: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14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6,281,115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25.9</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Bertelsmann Asia Investments AG and its</w:t>
            </w: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affiliate</w:t>
            </w:r>
            <w:r>
              <w:rPr>
                <w:rFonts w:ascii="Times New Roman" w:cs="Times New Roman" w:eastAsia="Times New Roman" w:hAnsi="Times New Roman"/>
                <w:sz w:val="15"/>
                <w:szCs w:val="15"/>
                <w:color w:val="auto"/>
              </w:rPr>
              <w:t>(4)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3,281,417</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13.7</w:t>
            </w: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Blue Focus International Limited</w:t>
            </w:r>
            <w:r>
              <w:rPr>
                <w:rFonts w:ascii="Times New Roman" w:cs="Times New Roman" w:eastAsia="Times New Roman" w:hAnsi="Times New Roman"/>
                <w:sz w:val="15"/>
                <w:szCs w:val="15"/>
                <w:color w:val="auto"/>
              </w:rPr>
              <w:t>(5)</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3,235,338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13.5</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Sumitomo Corporation Equity Asia Limited</w:t>
            </w:r>
            <w:r>
              <w:rPr>
                <w:rFonts w:ascii="Times New Roman" w:cs="Times New Roman" w:eastAsia="Times New Roman" w:hAnsi="Times New Roman"/>
                <w:sz w:val="15"/>
                <w:szCs w:val="15"/>
                <w:color w:val="auto"/>
              </w:rPr>
              <w:t>(6)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2,881,030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12.1</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Wing Hong Sammy Hsieh</w:t>
            </w:r>
            <w:r>
              <w:rPr>
                <w:rFonts w:ascii="Times New Roman" w:cs="Times New Roman" w:eastAsia="Times New Roman" w:hAnsi="Times New Roman"/>
                <w:sz w:val="15"/>
                <w:szCs w:val="15"/>
                <w:color w:val="auto"/>
              </w:rPr>
              <w:t>(1)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2,893,402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12.0</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Czerny Holdings Limited and Cervetto</w:t>
            </w: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Holdings Limited</w:t>
            </w:r>
            <w:r>
              <w:rPr>
                <w:rFonts w:ascii="Times New Roman" w:cs="Times New Roman" w:eastAsia="Times New Roman" w:hAnsi="Times New Roman"/>
                <w:sz w:val="15"/>
                <w:szCs w:val="15"/>
                <w:color w:val="auto"/>
              </w:rPr>
              <w:t>(7)</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2,486,802</w:t>
            </w: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Igomax Inc.</w:t>
            </w:r>
            <w:r>
              <w:rPr>
                <w:rFonts w:ascii="Times New Roman" w:cs="Times New Roman" w:eastAsia="Times New Roman" w:hAnsi="Times New Roman"/>
                <w:sz w:val="15"/>
                <w:szCs w:val="15"/>
                <w:color w:val="auto"/>
              </w:rPr>
              <w:t>(10)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2,320,028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Maestro Investment Holdings Limited</w:t>
            </w:r>
            <w:r>
              <w:rPr>
                <w:rFonts w:ascii="Times New Roman" w:cs="Times New Roman" w:eastAsia="Times New Roman" w:hAnsi="Times New Roman"/>
                <w:sz w:val="15"/>
                <w:szCs w:val="15"/>
                <w:color w:val="auto"/>
              </w:rPr>
              <w:t>(8)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1,749,818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 &amp; K Investment Limited</w:t>
            </w:r>
            <w:r>
              <w:rPr>
                <w:rFonts w:ascii="Times New Roman" w:cs="Times New Roman" w:eastAsia="Times New Roman" w:hAnsi="Times New Roman"/>
                <w:sz w:val="15"/>
                <w:szCs w:val="15"/>
                <w:color w:val="auto"/>
              </w:rPr>
              <w:t>(9)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1,532,955</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hanging="452"/>
        <w:spacing w:after="0"/>
        <w:tabs>
          <w:tab w:leader="none" w:pos="4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our total outstanding shares.</w:t>
      </w:r>
    </w:p>
    <w:p>
      <w:pPr>
        <w:spacing w:after="0" w:line="27" w:lineRule="exact"/>
        <w:rPr>
          <w:sz w:val="20"/>
          <w:szCs w:val="20"/>
          <w:color w:val="auto"/>
        </w:rPr>
      </w:pPr>
    </w:p>
    <w:p>
      <w:pPr>
        <w:ind w:left="460" w:hanging="452"/>
        <w:spacing w:after="0"/>
        <w:tabs>
          <w:tab w:leader="none" w:pos="4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ownership is calculated by dividing the number of shares beneficially owned by such</w:t>
      </w:r>
    </w:p>
    <w:p>
      <w:pPr>
        <w:spacing w:after="0" w:line="9" w:lineRule="exact"/>
        <w:rPr>
          <w:sz w:val="20"/>
          <w:szCs w:val="20"/>
          <w:color w:val="auto"/>
        </w:rPr>
      </w:pPr>
    </w:p>
    <w:p>
      <w:pPr>
        <w:jc w:val="both"/>
        <w:ind w:left="460" w:right="140"/>
        <w:spacing w:after="0" w:line="250" w:lineRule="auto"/>
        <w:rPr>
          <w:sz w:val="20"/>
          <w:szCs w:val="20"/>
          <w:color w:val="auto"/>
        </w:rPr>
      </w:pPr>
      <w:r>
        <w:rPr>
          <w:rFonts w:ascii="Times New Roman" w:cs="Times New Roman" w:eastAsia="Times New Roman" w:hAnsi="Times New Roman"/>
          <w:sz w:val="18"/>
          <w:szCs w:val="18"/>
          <w:color w:val="auto"/>
        </w:rPr>
        <w:t>person or group by the sum of the total number of ordinary shares outstanding, which is 23,901,183 ordinary shares on an as-converted basis as of the date of this prospectus, and the number of ordinary shares such person or group has the right to acquire upon the exercise of options, warrants or other rights within 60 days after the date of this prospectus.</w:t>
      </w:r>
    </w:p>
    <w:p>
      <w:pPr>
        <w:spacing w:after="0" w:line="1" w:lineRule="exact"/>
        <w:rPr>
          <w:sz w:val="20"/>
          <w:szCs w:val="20"/>
          <w:color w:val="auto"/>
        </w:rPr>
      </w:pPr>
    </w:p>
    <w:p>
      <w:pPr>
        <w:ind w:left="460" w:right="20" w:hanging="452"/>
        <w:spacing w:after="0" w:line="265" w:lineRule="auto"/>
        <w:tabs>
          <w:tab w:leader="none" w:pos="4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person and group included in this column, percentage ownership is calculated by dividing the number of Class A ordinary shares beneficially owned by such person or group, including Class A ordinary shares that such person or group has the right to acquire within 60 days after the date of this</w:t>
      </w:r>
    </w:p>
    <w:p>
      <w:pPr>
        <w:ind w:left="460" w:right="220"/>
        <w:spacing w:after="0" w:line="261" w:lineRule="auto"/>
        <w:rPr>
          <w:sz w:val="20"/>
          <w:szCs w:val="20"/>
          <w:color w:val="auto"/>
        </w:rPr>
      </w:pPr>
      <w:r>
        <w:rPr>
          <w:rFonts w:ascii="Times New Roman" w:cs="Times New Roman" w:eastAsia="Times New Roman" w:hAnsi="Times New Roman"/>
          <w:sz w:val="18"/>
          <w:szCs w:val="18"/>
          <w:color w:val="auto"/>
        </w:rPr>
        <w:t>prospectus, by the sum of (1) , which is the total number of Class A ordinary shares outstanding immediately after the completion of this offering (assuming the underwriters do not exercise their over-allotment option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420"/>
          </w:cols>
          <w:pgMar w:left="240" w:top="456" w:right="23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340"/>
        <w:spacing w:after="0" w:line="261" w:lineRule="auto"/>
        <w:rPr>
          <w:sz w:val="20"/>
          <w:szCs w:val="20"/>
          <w:color w:val="auto"/>
        </w:rPr>
      </w:pPr>
      <w:r>
        <w:rPr>
          <w:rFonts w:ascii="Times New Roman" w:cs="Times New Roman" w:eastAsia="Times New Roman" w:hAnsi="Times New Roman"/>
          <w:sz w:val="18"/>
          <w:szCs w:val="18"/>
          <w:color w:val="auto"/>
        </w:rPr>
        <w:t>to purchase additional ADSs), and (2) the number of Class A ordinary shares that such person or group has the right to acquire upon the exercise of options, warrants or other rights within 60 days after the date of this prospectus.</w:t>
      </w:r>
    </w:p>
    <w:p>
      <w:pPr>
        <w:ind w:left="460" w:hanging="452"/>
        <w:spacing w:after="0" w:line="265" w:lineRule="auto"/>
        <w:tabs>
          <w:tab w:leader="none" w:pos="46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person and group included in this column, percentage ownership is calculated by dividing the number of Class B ordinary shares beneficially owned by such person or group, including Class B ordinary shares that such person or group has the right to acquire within 60 days after the date of this</w:t>
      </w:r>
    </w:p>
    <w:p>
      <w:pPr>
        <w:ind w:left="460"/>
        <w:spacing w:after="0" w:line="250" w:lineRule="auto"/>
        <w:rPr>
          <w:sz w:val="20"/>
          <w:szCs w:val="20"/>
          <w:color w:val="auto"/>
        </w:rPr>
      </w:pPr>
      <w:r>
        <w:rPr>
          <w:rFonts w:ascii="Times New Roman" w:cs="Times New Roman" w:eastAsia="Times New Roman" w:hAnsi="Times New Roman"/>
          <w:sz w:val="18"/>
          <w:szCs w:val="18"/>
          <w:color w:val="auto"/>
        </w:rPr>
        <w:t>prospectus, by the sum of (1) , which is the total number of Class B ordinary shares outstanding immediately after the completion of this offering, and (2) the number of Class B ordinary shares that such person or group has the right to acquire upon the exercise of options, warrants or other rights within 60 days after the date of this prospectus.</w:t>
      </w:r>
    </w:p>
    <w:p>
      <w:pPr>
        <w:spacing w:after="0" w:line="1" w:lineRule="exact"/>
        <w:rPr>
          <w:sz w:val="20"/>
          <w:szCs w:val="20"/>
          <w:color w:val="auto"/>
        </w:rPr>
      </w:pPr>
    </w:p>
    <w:p>
      <w:pPr>
        <w:ind w:left="460" w:right="40" w:hanging="452"/>
        <w:spacing w:after="0" w:line="265" w:lineRule="auto"/>
        <w:tabs>
          <w:tab w:leader="none" w:pos="46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person and group included in this column, percentage ownership is calculated by dividing the number of ordinary shares beneficially owned by such person or group, including ordinary shares that such person or group has the right to acquire within 60 days after the date of this prospectus, by</w:t>
      </w:r>
    </w:p>
    <w:p>
      <w:pPr>
        <w:ind w:left="460" w:right="60"/>
        <w:spacing w:after="0" w:line="250" w:lineRule="auto"/>
        <w:rPr>
          <w:sz w:val="20"/>
          <w:szCs w:val="20"/>
          <w:color w:val="auto"/>
        </w:rPr>
      </w:pPr>
      <w:r>
        <w:rPr>
          <w:rFonts w:ascii="Times New Roman" w:cs="Times New Roman" w:eastAsia="Times New Roman" w:hAnsi="Times New Roman"/>
          <w:sz w:val="18"/>
          <w:szCs w:val="18"/>
          <w:color w:val="auto"/>
        </w:rPr>
        <w:t>the sum of (1) , which is the total number of ordinary shares outstanding immediately after the completion of this offering (assuming the underwriters do not exercise their over-allotment option to purchase additional ADSs), and (2) the number of ordinary shares that such person or group has the right to acquire upon exercise of option, warrant or other right within 60 days after the date of this prospectus.</w:t>
      </w:r>
    </w:p>
    <w:p>
      <w:pPr>
        <w:spacing w:after="0" w:line="1" w:lineRule="exact"/>
        <w:rPr>
          <w:sz w:val="20"/>
          <w:szCs w:val="20"/>
          <w:color w:val="auto"/>
        </w:rPr>
      </w:pPr>
    </w:p>
    <w:p>
      <w:pPr>
        <w:ind w:left="460" w:right="100" w:hanging="452"/>
        <w:spacing w:after="0" w:line="265" w:lineRule="auto"/>
        <w:tabs>
          <w:tab w:leader="none" w:pos="4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person or group included in this column, the percentage of total voting power represents voting power based on both Class A and Class B ordinary shares held by such person or group immediately after the completion of this offering with respect to all of our outstanding Class A and Class B ordinary shares as one class immediately after the completion of this offering (assuming the underwriters do not exercise their over-allotment option to purchase additional ADSs). Each holder of Class A ordinary shares is entitled to one vote per share. Each holder of our Class B ordinary shares is entitled to 20 votes per share on all matters subject to a shareholder’s vote. Our Class B ordinary shares are convertible at any time by the holder into</w:t>
      </w:r>
    </w:p>
    <w:p>
      <w:pPr>
        <w:spacing w:after="0" w:line="1" w:lineRule="exact"/>
        <w:rPr>
          <w:sz w:val="20"/>
          <w:szCs w:val="20"/>
          <w:color w:val="auto"/>
        </w:rPr>
      </w:pPr>
    </w:p>
    <w:p>
      <w:pPr>
        <w:ind w:left="460" w:right="280"/>
        <w:spacing w:after="0" w:line="250" w:lineRule="auto"/>
        <w:rPr>
          <w:sz w:val="20"/>
          <w:szCs w:val="20"/>
          <w:color w:val="auto"/>
        </w:rPr>
      </w:pPr>
      <w:r>
        <w:rPr>
          <w:rFonts w:ascii="Times New Roman" w:cs="Times New Roman" w:eastAsia="Times New Roman" w:hAnsi="Times New Roman"/>
          <w:sz w:val="18"/>
          <w:szCs w:val="18"/>
          <w:color w:val="auto"/>
        </w:rPr>
        <w:t>Class A ordinary shares on a one-for-one basis, whereas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spacing w:after="0" w:line="1" w:lineRule="exact"/>
        <w:rPr>
          <w:sz w:val="20"/>
          <w:szCs w:val="20"/>
          <w:color w:val="auto"/>
        </w:rPr>
      </w:pPr>
    </w:p>
    <w:p>
      <w:pPr>
        <w:ind w:left="460" w:hanging="452"/>
        <w:spacing w:after="0" w:line="250"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2,500,580 ordinary shares held by Wing Hong Sammy Hsieh as of the date of this prospectus; (b) 272,755 ordinary shares held by Arda Holdings from the exercise of options under our 2010 Plan. Mr. Hsieh through Arda upon trust serves as the trustee to the beneficiaries of the 2010 Plan (the trustee shall only deal with the trust properties in such manner as our board from time to time directs in writing); and (c) 120,067 ordinary shares underlying 120,067 options granted to Mr. Hsieh, which shall vest immediately upon the earlier of the following: (i) approval of our listing on a stock exchange with an expected market capitalization of no less than US$500 million, or (ii) any merger or acquisition of us at a valuation of US$500 million or above as a result of which our shareholders immediately prior to such merger or acquisition no longer hold a majority of the outstanding shares of the surviving corporation. The 2,500,580 ordinary shares held by Mr. Hsieh and 120,067 ordinary shares that are issuable upon the exercise of options granted to Mr. Hsieh will be re-designated as Class B ordinary shares immediately prior to the completion of this offering. The 272,755 ordinary shares held by Arda Holdings will be re-designated into Class A ordinary shares immediately prior to the completion of this offering.</w:t>
      </w:r>
    </w:p>
    <w:p>
      <w:pPr>
        <w:spacing w:after="0" w:line="4" w:lineRule="exact"/>
        <w:rPr>
          <w:rFonts w:ascii="Times New Roman" w:cs="Times New Roman" w:eastAsia="Times New Roman" w:hAnsi="Times New Roman"/>
          <w:sz w:val="18"/>
          <w:szCs w:val="18"/>
          <w:color w:val="auto"/>
        </w:rPr>
      </w:pPr>
    </w:p>
    <w:p>
      <w:pPr>
        <w:ind w:left="460" w:right="200" w:hanging="452"/>
        <w:spacing w:after="0" w:line="250"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2,320,028 ordinary shares held by Igomax Inc., a British Virgin Islands company wholly owned by Jian Tang, and (b) 17,692 ordinary shares that are issuable upon exercise of options held in trust by Mr. Tang on behalf of certain consultants of OptAim that are exercisable currently or within 60 days of the date of this prospectus. The 2,320,028 ordinary shares held by Igomax Inc. will be re-designated as Class B ordinary shares immediately prior to the completion of this offering. The 17,692 ordinary shares that are issuable upon exercise of options will be re-designated as Class A ordinary shares immediately prior to the completion of this offering.</w:t>
      </w:r>
    </w:p>
    <w:p>
      <w:pPr>
        <w:spacing w:after="0" w:line="2" w:lineRule="exact"/>
        <w:rPr>
          <w:rFonts w:ascii="Times New Roman" w:cs="Times New Roman" w:eastAsia="Times New Roman" w:hAnsi="Times New Roman"/>
          <w:sz w:val="18"/>
          <w:szCs w:val="18"/>
          <w:color w:val="auto"/>
        </w:rPr>
      </w:pPr>
    </w:p>
    <w:p>
      <w:pPr>
        <w:ind w:left="460" w:right="20" w:hanging="452"/>
        <w:spacing w:after="0" w:line="254" w:lineRule="auto"/>
        <w:tabs>
          <w:tab w:leader="none" w:pos="4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880,653 ordinary shares held by Yau Ping Ricky Ng as of the date of this prospectus; (b) 74,000 ordinary shares that are issuable upon exercise of options held by Mr. Ng that are exercisable currently or within 60 days of the date of this prospectus; and 29,933 ordinary shares underlying 29,933 options granted to Yau Ping Ricky Ng that shall vest immediately upon the earlier of the following: (i) approval of our listing on a stock exchange with an expected market capitalization of no less than US$500</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400"/>
          </w:cols>
          <w:pgMar w:left="240" w:top="455" w:right="2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54" w:lineRule="auto"/>
        <w:rPr>
          <w:sz w:val="20"/>
          <w:szCs w:val="20"/>
          <w:color w:val="auto"/>
        </w:rPr>
      </w:pPr>
      <w:r>
        <w:rPr>
          <w:rFonts w:ascii="Times New Roman" w:cs="Times New Roman" w:eastAsia="Times New Roman" w:hAnsi="Times New Roman"/>
          <w:sz w:val="18"/>
          <w:szCs w:val="18"/>
          <w:color w:val="auto"/>
        </w:rPr>
        <w:t>million, or (ii) any merger or acquisition of us at a valuation of US$500 million or above as a result of which our shareholders immediately prior to such merger or acquisition no longer hold a majority of the outstanding shares of the surviving corporation. The 880,653 ordinary shares and 29,933 ordinary shares underlying the options granted to Mr. Ng will be re-designated as Class A ordinary shares immediately prior to the completion of this offering. The 74,000 ordinary shares that are issuable upon exercise of options will be re-designated as Class A ordinary shares immediately prior to the completion of this offering.</w:t>
      </w:r>
    </w:p>
    <w:p>
      <w:pPr>
        <w:spacing w:after="0" w:line="3" w:lineRule="exact"/>
        <w:rPr>
          <w:sz w:val="20"/>
          <w:szCs w:val="20"/>
          <w:color w:val="auto"/>
        </w:rPr>
      </w:pPr>
    </w:p>
    <w:p>
      <w:pPr>
        <w:ind w:left="460" w:right="20" w:hanging="452"/>
        <w:spacing w:after="0" w:line="250"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1,204,920 ordinary shares and 1,484,409 series B preferred shares held by Bertelsmann Asia Investments AG, and (b) 592,088 ordinary shares held by BAI GmbH. Bertelsmann Asia Investments AG is a Swiss company and BAI GmbH is a Germany company. Both Bertelsmann Asia Investments AG and BAI GmbH are controlled by Bertelsmann SE &amp; Co. KGaA. The 1,204,920 ordinary shares held by Bertelsmann Asia Investments AG and 592,088 ordinary shares held by BAI GmbH will be re-designated as Class A ordinary shares immediately prior to the completion of this offering and the 1,484,409 series B preferred shares held by Bertelsmann Asia Investments AG will be automatically converted into and re-designated as Class A ordinary shares immediately prior to the completion of this offering.</w:t>
      </w:r>
    </w:p>
    <w:p>
      <w:pPr>
        <w:spacing w:after="0" w:line="2" w:lineRule="exact"/>
        <w:rPr>
          <w:rFonts w:ascii="Times New Roman" w:cs="Times New Roman" w:eastAsia="Times New Roman" w:hAnsi="Times New Roman"/>
          <w:sz w:val="18"/>
          <w:szCs w:val="18"/>
          <w:color w:val="auto"/>
        </w:rPr>
      </w:pPr>
    </w:p>
    <w:p>
      <w:pPr>
        <w:ind w:left="460" w:right="60" w:hanging="452"/>
        <w:spacing w:after="0" w:line="250"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742,320 ordinary shares, and (b) 2,493,018 series D preferred shares held by Blue Focus International Limited, a company incorporated in Hong Kong. Blue Focus International Limited is wholly owned by BlueFocus Communication Group Co. Ltd., a company listed on Shenzhen Stock Exchange. The 742,320 ordinary shares held by Blue Focus International Limited will be re-designated as Class A ordinary shares immediately prior to the completion of this offering and the 2,493,018 series D preferred shares held by Blue Focus International Limited will be automatically converted into and re-designated as Class A ordinary shares immediately prior to the completion of this offering.</w:t>
      </w:r>
    </w:p>
    <w:p>
      <w:pPr>
        <w:spacing w:after="0" w:line="2" w:lineRule="exact"/>
        <w:rPr>
          <w:rFonts w:ascii="Times New Roman" w:cs="Times New Roman" w:eastAsia="Times New Roman" w:hAnsi="Times New Roman"/>
          <w:sz w:val="18"/>
          <w:szCs w:val="18"/>
          <w:color w:val="auto"/>
        </w:rPr>
      </w:pPr>
    </w:p>
    <w:p>
      <w:pPr>
        <w:ind w:left="460" w:right="40" w:hanging="452"/>
        <w:spacing w:after="0" w:line="250"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2,476,190 series A preferred shares and 404,840 series B preferred shares held by Sumitomo Corporation Equity Asia Limited, a company incorporated in Hong Kong wholly owned by Sumitomo. All of these shares will be automatically converted into and re-designated as Class A ordinary shares immediately prior to the completion of this offering.</w:t>
      </w:r>
    </w:p>
    <w:p>
      <w:pPr>
        <w:spacing w:after="0" w:line="1" w:lineRule="exact"/>
        <w:rPr>
          <w:rFonts w:ascii="Times New Roman" w:cs="Times New Roman" w:eastAsia="Times New Roman" w:hAnsi="Times New Roman"/>
          <w:sz w:val="18"/>
          <w:szCs w:val="18"/>
          <w:color w:val="auto"/>
        </w:rPr>
      </w:pPr>
    </w:p>
    <w:p>
      <w:pPr>
        <w:ind w:left="460" w:hanging="452"/>
        <w:spacing w:after="0" w:line="250"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887,616 ordinary shares held by Czerny Holdings Limited and (b) 1,599,186 series C preferred shares held by Cervetto Holdings Limited. Czerny Holdings Limited and Cervetto Holdings Limited are incorporated in the British Virgin Islands. Czerny Holdings Limited is wholly owned by SSG Capital Partners I GPGP, Ltd and Cervetto Holdings Limited is wholly owned by SSG Capital Partners II GPGP, Ltd. Mr. Wong Ching Him, Mr. Shyam Maheshwari and Mr. Andreas Vourloumis together hold all voting power over SSG Capital Holdings Limited , which is the sole shareholder of SSG Capital Partners I GPGP, Ltd and SSG Capital Partners II GPGP, Ltd. The registered office address of Czerny Holdings Limited and Cervetto Holdings Limited is P.O. Box 957, Offshore Incorporations Center, Road Town, Tortola, British Virgin Islands. The 887,616 ordinary shares held by Czerny Holdings Limited will be re-designated as Class A ordinary shares immediately prior to the completion of this offering and the 1,599,186 series C preferred shares held by Czerny Holdings Limited will be automatically converted into and re-designated as Class A ordinary shares immediately prior to the completion of this offering.</w:t>
      </w:r>
    </w:p>
    <w:p>
      <w:pPr>
        <w:spacing w:after="0" w:line="4" w:lineRule="exact"/>
        <w:rPr>
          <w:rFonts w:ascii="Times New Roman" w:cs="Times New Roman" w:eastAsia="Times New Roman" w:hAnsi="Times New Roman"/>
          <w:sz w:val="18"/>
          <w:szCs w:val="18"/>
          <w:color w:val="auto"/>
        </w:rPr>
      </w:pPr>
    </w:p>
    <w:p>
      <w:pPr>
        <w:jc w:val="both"/>
        <w:ind w:left="460" w:right="20" w:hanging="452"/>
        <w:spacing w:after="0" w:line="250"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1,749,818 ordinary shares held by Maestro Investment Holdings Limited, a company incorporated in British Virgin Islands. Jiping Liu is the sole shareholder of Maestro Investment Holdings Limited. All of these shares will be re-designated as Class A ordinary shares immediately prior to the completion of this offering.</w:t>
      </w:r>
    </w:p>
    <w:p>
      <w:pPr>
        <w:spacing w:after="0" w:line="1" w:lineRule="exact"/>
        <w:rPr>
          <w:rFonts w:ascii="Times New Roman" w:cs="Times New Roman" w:eastAsia="Times New Roman" w:hAnsi="Times New Roman"/>
          <w:sz w:val="18"/>
          <w:szCs w:val="18"/>
          <w:color w:val="auto"/>
        </w:rPr>
      </w:pPr>
    </w:p>
    <w:p>
      <w:pPr>
        <w:ind w:left="460" w:right="180" w:hanging="452"/>
        <w:spacing w:after="0" w:line="250"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1,532,955 ordinary shares held by O &amp; K Investment Limited, a company incorporated in Hong Kong. Sunee Chiraseivinupraphand is the sole shareholder of O &amp; K Investment Limited. Sunee Chiraseivinupraphand is spouse of Wing Hong Sammy Hsieh. All of these shares will be re-designated as Class A ordinary shares immediately prior to the completion of this offering.</w:t>
      </w:r>
    </w:p>
    <w:p>
      <w:pPr>
        <w:spacing w:after="0" w:line="1" w:lineRule="exact"/>
        <w:rPr>
          <w:rFonts w:ascii="Times New Roman" w:cs="Times New Roman" w:eastAsia="Times New Roman" w:hAnsi="Times New Roman"/>
          <w:sz w:val="18"/>
          <w:szCs w:val="18"/>
          <w:color w:val="auto"/>
        </w:rPr>
      </w:pPr>
    </w:p>
    <w:p>
      <w:pPr>
        <w:ind w:left="460" w:right="380" w:hanging="452"/>
        <w:spacing w:after="0" w:line="255" w:lineRule="auto"/>
        <w:tabs>
          <w:tab w:leader="none" w:pos="4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2016, Wing Hong Sammy Hsieh and Yau Ping Ricky Ng each transferred 247,088 and 176,138 ordinary shares to Igomax Inc. for nominal consideration as compensation of Jian Tang’s service to us. Please refer to note 19(c) of our consolidated financial statements. All of these shares will be re-designated as Class B ordinary shares immediately prior to the completion of this offering.</w:t>
      </w:r>
    </w:p>
    <w:p>
      <w:pPr>
        <w:spacing w:after="0" w:line="186"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none of our ordinary shares or preferred shares issued and outstanding on an as converted basis were held by record holders in the United States. None of our shareholders has informed us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420"/>
          </w:cols>
          <w:pgMar w:left="240" w:top="456" w:right="23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that it is affiliated with a registered broker-dealer or is in the business of underwriting securities. Immediately prior to the completion of this offering, our ordinary shares will be divided into Class A ordinary shares and Class B ordinary shares. Holders of Class A ordinary shares are entitled to one vote per share, while holders of Class B ordinary shares are entitled to 20 votes per share. Offering will represent Class A ordinary shares. See “Description of Share Capital” for a more detailed description of our Class A ordinary shares and Class B ordinary shares. We are not aware of any arrangement that may, at a subsequent date, result in a change of control of our company.</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240"/>
          </w:cols>
          <w:pgMar w:left="240" w:top="456" w:right="41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our Variable Interest Entity and its Shareholders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“Corporate History and Structure.”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“Description of Share Capital — History of Securities Issuances.”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“Description of Share Capital — History of Securities Issuances.”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“Management — Employment Agreements and Indemnification Agreements with Executive Officers.”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“Management — Share Incentive Plans.”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 with Related Parties</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On December 31, 2015, we borrowed interest-free short-term loans from Mr. Jian Tang, our director, chief operating officer, chief technology officer, and co-founder in the aggregate principal amount of RMB300,000. We used the proceeds of these loans for capital injection into OptAim Network, our VIE, when we were unable to obtain foreign currency in a timely manner. The entire principal amounts of these loans were repaid on January 19, 2016.</w:t>
      </w:r>
    </w:p>
    <w:p>
      <w:pPr>
        <w:spacing w:after="0" w:line="1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280"/>
          </w:cols>
          <w:pgMar w:left="240" w:top="456" w:right="37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9" w:lineRule="exact"/>
        <w:rPr>
          <w:sz w:val="20"/>
          <w:szCs w:val="20"/>
          <w:color w:val="auto"/>
        </w:rPr>
      </w:pPr>
    </w:p>
    <w:p>
      <w:pPr>
        <w:ind w:right="420" w:firstLine="456"/>
        <w:spacing w:after="0" w:line="313" w:lineRule="auto"/>
        <w:rPr>
          <w:sz w:val="20"/>
          <w:szCs w:val="20"/>
          <w:color w:val="auto"/>
        </w:rPr>
      </w:pPr>
      <w:r>
        <w:rPr>
          <w:rFonts w:ascii="Times New Roman" w:cs="Times New Roman" w:eastAsia="Times New Roman" w:hAnsi="Times New Roman"/>
          <w:sz w:val="17"/>
          <w:szCs w:val="17"/>
          <w:color w:val="auto"/>
        </w:rPr>
        <w:t>We are a Cayman Islands exempted limited liability company and our affairs are governed by our memorandum and articles of association and the Companies Law (2016 Revision) of the Cayman Islands, which we refer to as the Companies Law below, and the common law of the Cayman Islands.</w:t>
      </w:r>
    </w:p>
    <w:p>
      <w:pPr>
        <w:spacing w:after="0" w:line="138"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As of the date of this prospectus, our company is authorized to issue up to a maximum of 50,000,000 shares, which consist of 37,150,000 ordinary shares with a par value of US$0.001 each, 2,500,000 series A preferred shares with a par value of US$0.001 each, 3,000,000 series B preferred Shares with a par value of US$0.001 each, 1,650,000 series C preferred shares with a par value of US$0.001 each, 4,500,000 series D preferred shares with a par value of US$0.001 each and 1,200,000 series E preferred shares with a par value of US$0.001 each. As of the date of this prospectus, 14,375,426 ordinary shares, including 272,755 ordinary shares held by Arda from the exercise of options under our 2010 Plan, 2,476,190 series A preferred shares, 1,889,249 series B preferred shares, 1,599,186 series C preferred shares, 2,493,018 series D preferred shares and 1,068,114 series E preferred shares are issued and outstanding. All of our issued and outstanding ordinary and preferred shares are fully paid, except for the ordinary shares issued to Arda under the 2010 Plan other than those ordinary shares whose underlying 2010 Options have been exercised. See “Management — Share Incentive Plans — 2010 Plan.”</w:t>
      </w:r>
    </w:p>
    <w:p>
      <w:pPr>
        <w:spacing w:after="0" w:line="185"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76"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plan to adopt a share incentive plan prior to the completion of this offering, or the 2017 Plan, to provide additional incentives to employees, directors and consultants and promote the success of our business. The maximum aggregate number of shares which may be issued pursuant to all awards under the proposed 2017 Plan shall initially be 1,000,000, plus an annual increase on the first day of each of our fiscal year during the term of the 2017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these shares will be Class A ordinary shares</w:t>
      </w:r>
    </w:p>
    <w:p>
      <w:pPr>
        <w:spacing w:after="0" w:line="188"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Upon completion of this offering, there will be Class A ordinary shares and Class B ordinary shares issued and outstanding, including (i) Class A ordinary shares to be sold by us in this offering in the form of ADSs, assuming the underwriters do not exercise their over-allotment option to purchase additional ADSs, (ii) Class A ordinary shares resulting from the automatic conversion and redesignation of all of our outstanding preferred shares and ordinary shares (other than beneficially owned by Mr. Sammy Hsieh and Mr. Jian Tang) immediately prior to the completion of this offering on a one-for-one basis, and (iii) Class B ordinary shares redesignated from the outstanding ordinary shares held by Mr. Sammy Hsieh and Mr. Jian Tang immediately prior to the completion of this offering.</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Post-Offering Amended and Restated Memorandum and Articles of Association</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We expect to adopt, subject to the approval of our shareholders by special resolution, an eighth amended and restated memorandum and articles of association, which will become effective and replace our current seventh amended and restated memorandum and articles of association in its entirety immediately upon the completion of this offering. The following are summaries of material provisions of the post-offering amended and restated memorandum and articles of association that we expect to adopt and of the Companies Law, insofar as they relate to the material terms of our ordinary shares. This summary is not complete, and you should read the form of our post-offering amended and restated memorandum and articles of association, which have been filed as exhibits to the registration statement of which this prospectus is a part.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420"/>
          </w:cols>
          <w:pgMar w:left="240" w:top="455" w:right="23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48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Objects of Our Company</w:t>
      </w:r>
      <w:r>
        <w:rPr>
          <w:rFonts w:ascii="Times New Roman" w:cs="Times New Roman" w:eastAsia="Times New Roman" w:hAnsi="Times New Roman"/>
          <w:sz w:val="18"/>
          <w:szCs w:val="18"/>
          <w:color w:val="auto"/>
        </w:rPr>
        <w:t>. Under our post-offering amended and restated memorandum and articles of association, the objects of our company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unrestricted and we have the full power and authority to carry out any object not prohibited by the laws of the Cayman Islands.</w:t>
      </w:r>
    </w:p>
    <w:p>
      <w:pPr>
        <w:spacing w:after="0" w:line="158" w:lineRule="exact"/>
        <w:rPr>
          <w:sz w:val="20"/>
          <w:szCs w:val="20"/>
          <w:color w:val="auto"/>
        </w:rPr>
      </w:pPr>
    </w:p>
    <w:p>
      <w:pPr>
        <w:ind w:right="26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Ordinary Shares</w:t>
      </w:r>
      <w:r>
        <w:rPr>
          <w:rFonts w:ascii="Times New Roman" w:cs="Times New Roman" w:eastAsia="Times New Roman" w:hAnsi="Times New Roman"/>
          <w:sz w:val="18"/>
          <w:szCs w:val="18"/>
          <w:color w:val="auto"/>
        </w:rPr>
        <w:t>. Our ordinary shares are issued in registered form and are issued when registered in our register of members. Our shareholders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non-residents of the Cayman Islands may freely hold and vote their shares.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Register of Members. </w:t>
      </w:r>
      <w:r>
        <w:rPr>
          <w:rFonts w:ascii="Times New Roman" w:cs="Times New Roman" w:eastAsia="Times New Roman" w:hAnsi="Times New Roman"/>
          <w:sz w:val="18"/>
          <w:szCs w:val="18"/>
          <w:color w:val="auto"/>
        </w:rPr>
        <w:t>Under Cayman Islands law, we must keep a register of members and there should be entered therein:</w:t>
      </w:r>
    </w:p>
    <w:p>
      <w:pPr>
        <w:spacing w:after="0" w:line="133" w:lineRule="exact"/>
        <w:rPr>
          <w:sz w:val="20"/>
          <w:szCs w:val="20"/>
          <w:color w:val="auto"/>
        </w:rPr>
      </w:pPr>
    </w:p>
    <w:p>
      <w:pPr>
        <w:ind w:left="900" w:right="260" w:hanging="446"/>
        <w:spacing w:after="0" w:line="282" w:lineRule="auto"/>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members, a statement of the shares held by each member, and of the amount paid or agreed to be considered as paid, on the shares of each member;</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should be deemed as a matter of Cayman Islands law to have legal title to the shares as set against its name in the register of members. Upon the closing of this offering, the register of members should be immediately updated to record and give effect to the issue of shares by us to the Depositary (or its nominee) as the depositary. Once our register of members has been updated, the shareholders recorded in the register of members should be deemed to have legal title to the shares set against their name.</w:t>
      </w:r>
    </w:p>
    <w:p>
      <w:pPr>
        <w:spacing w:after="0" w:line="188"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178"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holders of our ordinary shares are entitled to such dividends as may be declared by our board of directors. In addition, our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by ordinary resolution declare a dividend, but no dividend may exceed the amount recommended by our directors.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180"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Our share capital is currently divided into Class A ordinary shares and Class B ordinary shares. On a show of hands each shareholder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one vote or, on a poll, each Class A ordinary share shall be entitled to one (1) vote on all matters subject to vote at general meetings of the Company, and each Class B ordinary share shall be entitled to twenty (20) votes on all matters subject to vote at general meetings of the Company. Unless otherwise required under the laws of the Cayman Islands, Class A ordinary shares and Class B ordinary shares shall vote together as a single class.</w:t>
      </w:r>
    </w:p>
    <w:p>
      <w:pPr>
        <w:spacing w:after="0" w:line="182"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Voting at any meeting of shareholders is by way of a poll, unless the chairman allows a vote by show of hands on a resolution which relates purely to a procedural or administrative matter. Procedural and administrative matters are those that are not on the agenda of the general meeting and relate to the chairman’s duties to maintain the orderly conduct of the meeting or allow the business of the meeting to be properly and effectively dealt with, while affording all shareholders a reasonable opportunity to express their views.</w:t>
      </w:r>
    </w:p>
    <w:p>
      <w:pPr>
        <w:spacing w:after="0" w:line="180"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A quorum required for a meeting of shareholders consists of two shareholders entitled to vote present in person or by proxy or, if the shareholder is a legal entity, by its duly authorized representative. A majority of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420"/>
          </w:cols>
          <w:pgMar w:left="240" w:top="455" w:right="23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board or the chairman of the board may call extraordinary general meetings, which extraordinary general meetings shall be held at such times and locations (as permitted hereby) as such person or persons shall determine. Advance notice of at least ten clear days is required for the convening of our annual general shareholders’ meeting and any other general shareholders’ meeting.</w:t>
      </w:r>
    </w:p>
    <w:p>
      <w:pPr>
        <w:spacing w:after="0" w:line="176"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An ordinary resolution to be passed by the shareholders requires the affirmative vote of a simple majority of votes attached to the ordinary shares cast in a general meeting, while a special resolution requires the affirmative vote of no less than two-thirds of votes cast attached to the ordinary shares. Both ordinary resolutions and special resolutions may also be passed by unanimous written resolutions signed by all the shareholders of our company, as permitted by the Companies Law and our post-offering amended and restated memorandum and articles of association. An ordinary resolution will be required for important matters including appointment or removal of the chairman of the board of directors, or removal of any directors (other than “for cause”), etc. A special resolution will be required for fundamental matters including a change of control event, and statutory matters such as merger, a change of name, making changes to our memorandum and articles of association or other matter as required under the laws of the Cayman Islands.</w:t>
      </w:r>
    </w:p>
    <w:p>
      <w:pPr>
        <w:spacing w:after="0" w:line="187" w:lineRule="exact"/>
        <w:rPr>
          <w:sz w:val="20"/>
          <w:szCs w:val="20"/>
          <w:color w:val="auto"/>
        </w:rPr>
      </w:pPr>
    </w:p>
    <w:p>
      <w:pPr>
        <w:ind w:right="10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Class B ordinary shares are convertible into Class A ordinary shares. All Class B ordinary shares are subject to automatic conversion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ordinary shares when the beneficial ownership of Class B ordinary shares is transferred to persons who are not an affiliate of the holders of the Class B ordinary shares. Each Class B ordinary share is generally convertible into one Class A ordinary share. However, if and when the nominal amount of one Class A ordinary share changes by reason of consolidation or sub-division, the applicable conversion rate of Class B ordinary shares into Class A ordinary shares shall equal the quotient of the revised nominal amount, divided by the former nominal amount, of one Class A ordinary share.</w:t>
      </w:r>
    </w:p>
    <w:p>
      <w:pPr>
        <w:spacing w:after="0" w:line="180" w:lineRule="exact"/>
        <w:rPr>
          <w:sz w:val="20"/>
          <w:szCs w:val="20"/>
          <w:color w:val="auto"/>
        </w:rPr>
      </w:pPr>
    </w:p>
    <w:p>
      <w:pPr>
        <w:ind w:right="4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of Ordinary Shares. </w:t>
      </w:r>
      <w:r>
        <w:rPr>
          <w:rFonts w:ascii="Times New Roman" w:cs="Times New Roman" w:eastAsia="Times New Roman" w:hAnsi="Times New Roman"/>
          <w:sz w:val="18"/>
          <w:szCs w:val="18"/>
          <w:color w:val="auto"/>
        </w:rPr>
        <w:t>Subject to the restrictions set out below, any of our shareholders may transfer all or any of his or her ordinary shares by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of transfer in the usual or common form or any other form approved by our board of directors.</w:t>
      </w:r>
    </w:p>
    <w:p>
      <w:pPr>
        <w:spacing w:after="0" w:line="160"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67" w:lineRule="exact"/>
        <w:rPr>
          <w:sz w:val="20"/>
          <w:szCs w:val="20"/>
          <w:color w:val="auto"/>
        </w:rPr>
      </w:pPr>
    </w:p>
    <w:p>
      <w:pPr>
        <w:ind w:left="900" w:right="160" w:hanging="325"/>
        <w:spacing w:after="0" w:line="282" w:lineRule="auto"/>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130"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may determine to be payable or such lesser sum as our directors may from time to time require is paid to us in respect thereof.</w:t>
      </w:r>
    </w:p>
    <w:p>
      <w:pPr>
        <w:spacing w:after="0" w:line="162"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62"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74" w:lineRule="exact"/>
        <w:rPr>
          <w:sz w:val="20"/>
          <w:szCs w:val="20"/>
          <w:color w:val="auto"/>
        </w:rPr>
      </w:pPr>
    </w:p>
    <w:p>
      <w:pPr>
        <w:ind w:right="58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On a return of capital on winding up or otherwise (other than on conversion, redemption or purchase of shares), assets available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among the holders of ordinary shares shall be distributed</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420"/>
          </w:cols>
          <w:pgMar w:left="240" w:top="456" w:right="23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among the holders of our ordinary shares on a pro rata basis. If our assets available for distribution are insufficient to repay all of the paid-up capital, the assets will be distributed so that the losses are borne by our shareholders proportionately.</w:t>
      </w:r>
    </w:p>
    <w:p>
      <w:pPr>
        <w:spacing w:after="0" w:line="160" w:lineRule="exact"/>
        <w:rPr>
          <w:sz w:val="20"/>
          <w:szCs w:val="20"/>
          <w:color w:val="auto"/>
        </w:rPr>
      </w:pPr>
    </w:p>
    <w:p>
      <w:pPr>
        <w:ind w:right="14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Calls on Shares and Forfeiture of Shares</w:t>
      </w:r>
      <w:r>
        <w:rPr>
          <w:rFonts w:ascii="Times New Roman" w:cs="Times New Roman" w:eastAsia="Times New Roman" w:hAnsi="Times New Roman"/>
          <w:sz w:val="18"/>
          <w:szCs w:val="18"/>
          <w:color w:val="auto"/>
        </w:rPr>
        <w:t>. Our board of directors may from time to time make calls upon shareholders for any amounts unpaid on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in a notice served to such shareholders at least 14 days prior to the specified time and place of payment. The shares that have been called upon and remain unpaid are subject to forfeiture.</w:t>
      </w:r>
    </w:p>
    <w:p>
      <w:pPr>
        <w:spacing w:after="0" w:line="174" w:lineRule="exact"/>
        <w:rPr>
          <w:sz w:val="20"/>
          <w:szCs w:val="20"/>
          <w:color w:val="auto"/>
        </w:rPr>
      </w:pPr>
    </w:p>
    <w:p>
      <w:pPr>
        <w:ind w:right="12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Redemption, Repurchase and Surrender of Ordinary Shares</w:t>
      </w:r>
      <w:r>
        <w:rPr>
          <w:rFonts w:ascii="Times New Roman" w:cs="Times New Roman" w:eastAsia="Times New Roman" w:hAnsi="Times New Roman"/>
          <w:sz w:val="18"/>
          <w:szCs w:val="18"/>
          <w:color w:val="auto"/>
        </w:rPr>
        <w:t>. We may issue shares on terms that such shares are subject to redemption, at our option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option of the holders thereof,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86"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Variations of Rights of Shares</w:t>
      </w:r>
      <w:r>
        <w:rPr>
          <w:rFonts w:ascii="Times New Roman" w:cs="Times New Roman" w:eastAsia="Times New Roman" w:hAnsi="Times New Roman"/>
          <w:sz w:val="18"/>
          <w:szCs w:val="18"/>
          <w:color w:val="auto"/>
        </w:rPr>
        <w:t>. The rights attached to any class or series of shares (unless otherwise provided by the terms of issue of the shares of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class or series) may be varied with the consent in writing of all the holders of the issued shares of that class or series or with the sanction of a special resolution passed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existing class of shares.</w:t>
      </w:r>
    </w:p>
    <w:p>
      <w:pPr>
        <w:spacing w:after="0" w:line="180" w:lineRule="exact"/>
        <w:rPr>
          <w:sz w:val="20"/>
          <w:szCs w:val="20"/>
          <w:color w:val="auto"/>
        </w:rPr>
      </w:pPr>
    </w:p>
    <w:p>
      <w:pPr>
        <w:ind w:right="32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Issuance of Additional Shares. </w:t>
      </w:r>
      <w:r>
        <w:rPr>
          <w:rFonts w:ascii="Times New Roman" w:cs="Times New Roman" w:eastAsia="Times New Roman" w:hAnsi="Times New Roman"/>
          <w:sz w:val="18"/>
          <w:szCs w:val="18"/>
          <w:color w:val="auto"/>
        </w:rPr>
        <w:t>Our post-offering amended and restated memorandum and articles of association authorizes our board of directors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 additional ordinary shares from time to time as our board of directors shall determine, to the extent of available authorized but unissued shares.</w:t>
      </w:r>
    </w:p>
    <w:p>
      <w:pPr>
        <w:spacing w:after="0" w:line="160"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Our post-offering amended and restated memorandum and articles of association also authorizes our board of directors to establish from time to time one or more series of preferred shares and to determine, with respect to any series of preference shares, the terms and rights of that series, including:</w:t>
      </w:r>
    </w:p>
    <w:p>
      <w:pPr>
        <w:spacing w:after="0" w:line="67" w:lineRule="exact"/>
        <w:rPr>
          <w:sz w:val="20"/>
          <w:szCs w:val="20"/>
          <w:color w:val="auto"/>
        </w:rPr>
      </w:pPr>
    </w:p>
    <w:p>
      <w:pPr>
        <w:ind w:left="900" w:hanging="325"/>
        <w:spacing w:after="0"/>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5"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60" w:lineRule="exact"/>
        <w:rPr>
          <w:sz w:val="20"/>
          <w:szCs w:val="20"/>
          <w:color w:val="auto"/>
        </w:rPr>
      </w:pPr>
    </w:p>
    <w:p>
      <w:pPr>
        <w:jc w:val="both"/>
        <w:ind w:right="4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will have no general right under Cayman Islands law to inspect or obtain copies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 of shareholders or our corporate records. However, we will provide our shareholders with annual audited financial statements. See “Where You Can Find Additional Information.”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420"/>
          </w:cols>
          <w:pgMar w:left="240" w:top="456" w:right="2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8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Anti-Takeover Provisions</w:t>
      </w:r>
      <w:r>
        <w:rPr>
          <w:rFonts w:ascii="Times New Roman" w:cs="Times New Roman" w:eastAsia="Times New Roman" w:hAnsi="Times New Roman"/>
          <w:sz w:val="18"/>
          <w:szCs w:val="18"/>
          <w:color w:val="auto"/>
        </w:rPr>
        <w:t>. Some provisions of our post-offering amended and restated memorandum and articles of association may discourage, delay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prevent a change of control of our company or management that shareholders may consider favorable, including provisions that:</w:t>
      </w:r>
    </w:p>
    <w:p>
      <w:pPr>
        <w:spacing w:after="0" w:line="66" w:lineRule="exact"/>
        <w:rPr>
          <w:sz w:val="20"/>
          <w:szCs w:val="20"/>
          <w:color w:val="auto"/>
        </w:rPr>
      </w:pPr>
    </w:p>
    <w:p>
      <w:pPr>
        <w:ind w:left="900" w:right="300" w:hanging="325"/>
        <w:spacing w:after="0" w:line="282" w:lineRule="auto"/>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5" w:lineRule="exact"/>
        <w:rPr>
          <w:sz w:val="20"/>
          <w:szCs w:val="20"/>
          <w:color w:val="auto"/>
        </w:rPr>
      </w:pPr>
    </w:p>
    <w:p>
      <w:pPr>
        <w:jc w:val="both"/>
        <w:ind w:right="380" w:firstLine="456"/>
        <w:spacing w:after="0" w:line="313" w:lineRule="auto"/>
        <w:rPr>
          <w:sz w:val="20"/>
          <w:szCs w:val="20"/>
          <w:color w:val="auto"/>
        </w:rPr>
      </w:pPr>
      <w:r>
        <w:rPr>
          <w:rFonts w:ascii="Times New Roman" w:cs="Times New Roman" w:eastAsia="Times New Roman" w:hAnsi="Times New Roman"/>
          <w:sz w:val="17"/>
          <w:szCs w:val="17"/>
          <w:color w:val="auto"/>
        </w:rPr>
        <w:t>However, under Cayman Islands law, our directors may only exercise the rights and powers granted to them under our post-offering amended and restated memorandum and articles of association for a proper purpose and for what they believe in good faith to be in the best interests of our company.</w:t>
      </w:r>
    </w:p>
    <w:p>
      <w:pPr>
        <w:spacing w:after="0" w:line="136" w:lineRule="exact"/>
        <w:rPr>
          <w:sz w:val="20"/>
          <w:szCs w:val="20"/>
          <w:color w:val="auto"/>
        </w:rPr>
      </w:pPr>
    </w:p>
    <w:p>
      <w:pPr>
        <w:ind w:right="30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General Meetings of Shareholders and Shareholder Proposals</w:t>
      </w:r>
      <w:r>
        <w:rPr>
          <w:rFonts w:ascii="Times New Roman" w:cs="Times New Roman" w:eastAsia="Times New Roman" w:hAnsi="Times New Roman"/>
          <w:sz w:val="18"/>
          <w:szCs w:val="18"/>
          <w:color w:val="auto"/>
        </w:rPr>
        <w:t>. Our shareholders’ general meetings may be held in such place within or outside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Cayman Islands as our board of directors considers appropriate.</w:t>
      </w:r>
    </w:p>
    <w:p>
      <w:pPr>
        <w:spacing w:after="0" w:line="160"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As an exempted Cayman Islands company, we are not obliged by law to call shareholders’ annual general meetings. Our post-offering amended and restated memorandum and articles of association provide that we shall in each year hold a general meeting as our annual general meeting.</w:t>
      </w:r>
    </w:p>
    <w:p>
      <w:pPr>
        <w:spacing w:after="0" w:line="162" w:lineRule="exact"/>
        <w:rPr>
          <w:sz w:val="20"/>
          <w:szCs w:val="20"/>
          <w:color w:val="auto"/>
        </w:rPr>
      </w:pPr>
    </w:p>
    <w:p>
      <w:pPr>
        <w:jc w:val="both"/>
        <w:ind w:right="20" w:firstLine="456"/>
        <w:spacing w:after="0" w:line="261" w:lineRule="auto"/>
        <w:rPr>
          <w:sz w:val="20"/>
          <w:szCs w:val="20"/>
          <w:color w:val="auto"/>
        </w:rPr>
      </w:pPr>
      <w:r>
        <w:rPr>
          <w:rFonts w:ascii="Times New Roman" w:cs="Times New Roman" w:eastAsia="Times New Roman" w:hAnsi="Times New Roman"/>
          <w:sz w:val="18"/>
          <w:szCs w:val="18"/>
          <w:color w:val="auto"/>
        </w:rPr>
        <w:t>Shareholders’ annual general meetings and any other general meetings of our shareholders may be convened by a majority of our board of directors or our chairman. Our board of directors shall give no less than ten clear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spacing w:after="0" w:line="178"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Exempted Company. </w:t>
      </w:r>
      <w:r>
        <w:rPr>
          <w:rFonts w:ascii="Times New Roman" w:cs="Times New Roman" w:eastAsia="Times New Roman" w:hAnsi="Times New Roman"/>
          <w:sz w:val="18"/>
          <w:szCs w:val="18"/>
          <w:color w:val="auto"/>
        </w:rPr>
        <w:t>We are an exempted company with limited liability under the Companies Law. The Companies Law distinguishes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88" w:lineRule="exact"/>
        <w:rPr>
          <w:sz w:val="20"/>
          <w:szCs w:val="20"/>
          <w:color w:val="auto"/>
        </w:rPr>
      </w:pPr>
    </w:p>
    <w:p>
      <w:pPr>
        <w:ind w:left="900" w:hanging="325"/>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negotiable or bearer shares or shares with no par value;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5"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21"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The Companies Law is derived, to a large extent, from the older Companies Acts of England but does not follow recent United Kingdom statutory enactments, and accordingly there are significant differences between</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340"/>
          </w:cols>
          <w:pgMar w:left="240" w:top="456" w:right="31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Companies Law and the current Companies Act of England. In addition, the Companies Law differs from laws applicable to United States corporations and their shareholders. Set forth below is a summary of the significant differences between the provisions of the Companies Law applicable to us and the laws applicable to companies incorporated in the United States and their shareholders.</w:t>
      </w:r>
    </w:p>
    <w:p>
      <w:pPr>
        <w:spacing w:after="0" w:line="174"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Mergers and Similar Arrangements. </w:t>
      </w:r>
      <w:r>
        <w:rPr>
          <w:rFonts w:ascii="Times New Roman" w:cs="Times New Roman" w:eastAsia="Times New Roman" w:hAnsi="Times New Roman"/>
          <w:sz w:val="18"/>
          <w:szCs w:val="18"/>
          <w:color w:val="auto"/>
        </w:rPr>
        <w:t>The Companies Law permits mergers and consolidations between Cayman Islands companies and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9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the reconstruction and amalgamation of companies, provided that the arrangement is approved by a majority in number of each class of shareholders or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p>
      <w:pPr>
        <w:spacing w:after="0" w:line="93" w:lineRule="exact"/>
        <w:rPr>
          <w:sz w:val="20"/>
          <w:szCs w:val="20"/>
          <w:color w:val="auto"/>
        </w:rPr>
      </w:pPr>
    </w:p>
    <w:p>
      <w:pPr>
        <w:ind w:left="900" w:hanging="325"/>
        <w:spacing w:after="0"/>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30" w:lineRule="exact"/>
        <w:rPr>
          <w:rFonts w:ascii="Times New Roman" w:cs="Times New Roman" w:eastAsia="Times New Roman" w:hAnsi="Times New Roman"/>
          <w:sz w:val="18"/>
          <w:szCs w:val="18"/>
          <w:color w:val="auto"/>
        </w:rPr>
      </w:pPr>
    </w:p>
    <w:p>
      <w:pPr>
        <w:ind w:left="900" w:right="280" w:hanging="325"/>
        <w:spacing w:after="0" w:line="282" w:lineRule="auto"/>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When a takeover offer is made and accepted by holders of 90% of the shares affected within four months, the offeror may, within a two-month period commencing on the expiration of such four month period, require the holders of the remaining shares to transfer such shares on the terms of the offer. An objection can be made to the Grand Court of the Cayman Islands but this is unlikely to succeed in the case of an offer which has been so approved unless there is evidence of fraud, bad faith or collusion.</w:t>
      </w:r>
    </w:p>
    <w:p>
      <w:pPr>
        <w:spacing w:after="0" w:line="180" w:lineRule="exact"/>
        <w:rPr>
          <w:sz w:val="20"/>
          <w:szCs w:val="20"/>
          <w:color w:val="auto"/>
        </w:rPr>
      </w:pPr>
    </w:p>
    <w:p>
      <w:pPr>
        <w:ind w:right="300" w:firstLine="456"/>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420"/>
          </w:cols>
          <w:pgMar w:left="240" w:top="455" w:right="23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Shareholders’ Suits</w:t>
      </w:r>
      <w:r>
        <w:rPr>
          <w:rFonts w:ascii="Times New Roman" w:cs="Times New Roman" w:eastAsia="Times New Roman" w:hAnsi="Times New Roman"/>
          <w:sz w:val="18"/>
          <w:szCs w:val="18"/>
          <w:color w:val="auto"/>
        </w:rPr>
        <w:t>. In principle, we will normally be the proper plaintiff to sue for a wrong done to us as a company and a derivative action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ordinarily not be brought by a minority shareholder. However, based on English authority, which would in all likelihood be of persuasive authority in the Cayman Islands, the Cayman Islands courts can be expected (and have had occasion) to follow and apply the common law principles (namely the rule in Foss v. Harbottle and the exceptions thereto) so that a minority shareholder may be permitted to commence a representative action against, or derivative actions in the name of, our company to challenge:</w:t>
      </w:r>
    </w:p>
    <w:p>
      <w:pPr>
        <w:spacing w:after="0" w:line="85" w:lineRule="exact"/>
        <w:rPr>
          <w:sz w:val="20"/>
          <w:szCs w:val="20"/>
          <w:color w:val="auto"/>
        </w:rPr>
      </w:pPr>
    </w:p>
    <w:p>
      <w:pPr>
        <w:ind w:left="900" w:hanging="446"/>
        <w:spacing w:after="0"/>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act which is </w:t>
      </w:r>
      <w:r>
        <w:rPr>
          <w:rFonts w:ascii="Times New Roman" w:cs="Times New Roman" w:eastAsia="Times New Roman" w:hAnsi="Times New Roman"/>
          <w:sz w:val="18"/>
          <w:szCs w:val="18"/>
          <w:i w:val="1"/>
          <w:iCs w:val="1"/>
          <w:color w:val="auto"/>
        </w:rPr>
        <w:t>ultra vires</w:t>
      </w:r>
      <w:r>
        <w:rPr>
          <w:rFonts w:ascii="Times New Roman" w:cs="Times New Roman" w:eastAsia="Times New Roman" w:hAnsi="Times New Roman"/>
          <w:sz w:val="18"/>
          <w:szCs w:val="18"/>
          <w:color w:val="auto"/>
        </w:rPr>
        <w:t xml:space="preserve"> the company or illegal, which is therefore incapable of ratification by the shareholders,</w:t>
      </w:r>
    </w:p>
    <w:p>
      <w:pPr>
        <w:spacing w:after="0" w:line="132"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constitutes a fraud against the minority where the wrongdoers are themselves in control of the company,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requires a resolution with a qualified (or special) majority (i.e. more than a simple majority) which has not been obtained.</w:t>
      </w:r>
    </w:p>
    <w:p>
      <w:pPr>
        <w:spacing w:after="0" w:line="223"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 does not limit the extent to which a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amended and restated memorandum and articles of association require us to indemnify our officers and directors for losses, damages, costs and expenses incurred in their capacities as such unless such losses or damages arise from dishonesty, willful default or fraud of such directors or officers. This standard of conduct is generally the same as permitted under the Delaware General Corporation Law for a Delaware corporation.</w:t>
      </w:r>
    </w:p>
    <w:p>
      <w:pPr>
        <w:spacing w:after="0" w:line="185" w:lineRule="exact"/>
        <w:rPr>
          <w:sz w:val="20"/>
          <w:szCs w:val="20"/>
          <w:color w:val="auto"/>
        </w:rPr>
      </w:pPr>
    </w:p>
    <w:p>
      <w:pPr>
        <w:ind w:right="780" w:firstLine="456"/>
        <w:spacing w:after="0" w:line="282" w:lineRule="auto"/>
        <w:rPr>
          <w:sz w:val="20"/>
          <w:szCs w:val="20"/>
          <w:color w:val="auto"/>
        </w:rPr>
      </w:pPr>
      <w:r>
        <w:rPr>
          <w:rFonts w:ascii="Times New Roman" w:cs="Times New Roman" w:eastAsia="Times New Roman" w:hAnsi="Times New Roman"/>
          <w:sz w:val="18"/>
          <w:szCs w:val="18"/>
          <w:color w:val="auto"/>
        </w:rPr>
        <w:t>In addition, we will enter into indemnification agreements with our directors and executive officers that provide such persons with additional indemnification beyond that provided in our post-offering amended and restated memorandum and articles of association.</w:t>
      </w:r>
    </w:p>
    <w:p>
      <w:pPr>
        <w:spacing w:after="0" w:line="162"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 fiduciary duty to the corporation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8"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400"/>
          </w:cols>
          <w:pgMar w:left="240" w:top="456" w:right="25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86"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 may eliminate the right of shareholders to act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consent by amendment to its certificate of incorporation. Cayman Islands law and our post-offering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80" w:lineRule="exact"/>
        <w:rPr>
          <w:sz w:val="20"/>
          <w:szCs w:val="20"/>
          <w:color w:val="auto"/>
        </w:rPr>
      </w:pPr>
    </w:p>
    <w:p>
      <w:pPr>
        <w:ind w:right="18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 put any proposal before the annual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4"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83"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 classified board may be removed only for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approval of a majority of the outstanding shares entitled to vote, unless the certificate of incorporation provides otherwise. Under our post-offering amended and restated articles of association, directors may be removed with or without cause, by an ordinary resolution of our shareholders with or without cause or by our directors for cause.</w:t>
      </w:r>
    </w:p>
    <w:p>
      <w:pPr>
        <w:spacing w:after="0" w:line="180"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 combination statute applicable to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1" w:lineRule="exact"/>
        <w:rPr>
          <w:sz w:val="20"/>
          <w:szCs w:val="20"/>
          <w:color w:val="auto"/>
        </w:rPr>
      </w:pPr>
    </w:p>
    <w:p>
      <w:pPr>
        <w:ind w:right="280" w:firstLine="456"/>
        <w:spacing w:after="0" w:line="266"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380"/>
          </w:cols>
          <w:pgMar w:left="240" w:top="456" w:right="27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transactions must be entered into bona fide in the best interests of the company and for a proper purpose and not with the effect of constituting a fraud on the minority shareholders.</w:t>
      </w:r>
    </w:p>
    <w:p>
      <w:pPr>
        <w:spacing w:after="0" w:line="160"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 dissolve, dissolution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2"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post-offering amended and restated articles of association, our company may be dissolved, liquidated or wound up by a special resolution of our shareholders, or by an ordinary resolution on the basis that our company is unable to pay its debts as they fall due.</w:t>
      </w:r>
    </w:p>
    <w:p>
      <w:pPr>
        <w:spacing w:after="0" w:line="182"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 rights of a class of shares with the approval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majority of the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all the holders of the issued shares of that class or with the sanction of a special resolution at a separate meeting of the holders of the shares of that class.</w:t>
      </w:r>
    </w:p>
    <w:p>
      <w:pPr>
        <w:spacing w:after="0" w:line="180" w:lineRule="exact"/>
        <w:rPr>
          <w:sz w:val="20"/>
          <w:szCs w:val="20"/>
          <w:color w:val="auto"/>
        </w:rPr>
      </w:pPr>
    </w:p>
    <w:p>
      <w:pPr>
        <w:ind w:right="14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 governing documents may be amended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a majority of the outstanding shares entitled to vote, unless the certificate of incorporation provides otherwise. Under Cayman Islands law, our post-offering amended and restated memorandum and articles of association may only be amended with a special resolution of our shareholders.</w:t>
      </w:r>
    </w:p>
    <w:p>
      <w:pPr>
        <w:spacing w:after="0" w:line="174"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post-offering amended and restated memorandum and articles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 of Securities Issuances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our securities issuances in the past three years.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December 2014, we issued 274,752 ordinary shares to Big Tooth Corporation in recognition of Mr. Robert Tran’s consulting services to us.</w:t>
      </w:r>
    </w:p>
    <w:p>
      <w:pPr>
        <w:spacing w:after="0" w:line="225" w:lineRule="exact"/>
        <w:rPr>
          <w:sz w:val="20"/>
          <w:szCs w:val="20"/>
          <w:color w:val="auto"/>
        </w:rPr>
      </w:pPr>
    </w:p>
    <w:p>
      <w:pPr>
        <w:ind w:right="960" w:firstLine="456"/>
        <w:spacing w:after="0" w:line="282" w:lineRule="auto"/>
        <w:rPr>
          <w:sz w:val="20"/>
          <w:szCs w:val="20"/>
          <w:color w:val="auto"/>
        </w:rPr>
      </w:pPr>
      <w:r>
        <w:rPr>
          <w:rFonts w:ascii="Times New Roman" w:cs="Times New Roman" w:eastAsia="Times New Roman" w:hAnsi="Times New Roman"/>
          <w:sz w:val="18"/>
          <w:szCs w:val="18"/>
          <w:color w:val="auto"/>
        </w:rPr>
        <w:t>In December 2014, we issued 255,033 ordinary shares to Arda to reserve for future grant and exercise of options under the 2010 Plan. See “Management — Share Incentive Plans — 2010 Plan.”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December 2014, we issued 742,320 ordinary shares to BlueFocus International Limited for total consideration of US$12.0 million.</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380"/>
          </w:cols>
          <w:pgMar w:left="240" w:top="455" w:right="27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In February 2015, we issued 142,151 ordinary shares to the then shareholders of Buzzinate, as part of the consideration for the acquisition of all shares of Buzzinate.</w:t>
      </w:r>
    </w:p>
    <w:p>
      <w:pPr>
        <w:spacing w:after="0" w:line="162"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In July 2015, we issued 2,535,091 ordinary shares to the then shareholders of OptAim, as part of the consideration for the acquisition of all shares of OptAim.</w:t>
      </w:r>
    </w:p>
    <w:p>
      <w:pPr>
        <w:spacing w:after="0" w:line="162"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In July 2015, we issued 632,581 ordinary shares to Arda to reserve for future grant and exercise of options under the 2010 Plan. See “Management — Share Incentive Plans — 2010 Plan.”</w:t>
      </w:r>
    </w:p>
    <w:p>
      <w:pPr>
        <w:spacing w:after="0" w:line="162" w:lineRule="exact"/>
        <w:rPr>
          <w:sz w:val="20"/>
          <w:szCs w:val="20"/>
          <w:color w:val="auto"/>
        </w:rPr>
      </w:pPr>
    </w:p>
    <w:p>
      <w:pPr>
        <w:ind w:right="100" w:firstLine="456"/>
        <w:spacing w:after="0" w:line="282" w:lineRule="auto"/>
        <w:rPr>
          <w:sz w:val="20"/>
          <w:szCs w:val="20"/>
          <w:color w:val="auto"/>
        </w:rPr>
      </w:pPr>
      <w:r>
        <w:rPr>
          <w:rFonts w:ascii="Times New Roman" w:cs="Times New Roman" w:eastAsia="Times New Roman" w:hAnsi="Times New Roman"/>
          <w:sz w:val="18"/>
          <w:szCs w:val="18"/>
          <w:color w:val="auto"/>
        </w:rPr>
        <w:t>In October 2015, we issued 945,663 ordinary shares to Arda to reserve for future grant and exercise of options under the 2010 Plan. See “Management — Share Incentive Plans — 2010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In December 2014, we issued 2,493,018 series D convertible redeemable preferred shares to BlueFocus International Limited for total subscription price of US$48.0 million.</w:t>
      </w:r>
    </w:p>
    <w:p>
      <w:pPr>
        <w:spacing w:after="0" w:line="162" w:lineRule="exact"/>
        <w:rPr>
          <w:sz w:val="20"/>
          <w:szCs w:val="20"/>
          <w:color w:val="auto"/>
        </w:rPr>
      </w:pPr>
    </w:p>
    <w:p>
      <w:pPr>
        <w:ind w:right="720" w:firstLine="456"/>
        <w:spacing w:after="0" w:line="282" w:lineRule="auto"/>
        <w:rPr>
          <w:sz w:val="20"/>
          <w:szCs w:val="20"/>
          <w:color w:val="auto"/>
        </w:rPr>
      </w:pPr>
      <w:r>
        <w:rPr>
          <w:rFonts w:ascii="Times New Roman" w:cs="Times New Roman" w:eastAsia="Times New Roman" w:hAnsi="Times New Roman"/>
          <w:sz w:val="18"/>
          <w:szCs w:val="18"/>
          <w:color w:val="auto"/>
        </w:rPr>
        <w:t>In December 2016, we issued 1,068,114 series E convertible redeemable preferred shares to Shenwan Hongyuan Goldspring Fund I for a total subscription price of US$20.0 million.</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Each holder of our preferred shares has the right, at such holder’s sole discretion, to convert all or any portion of their preferred shares into ordinary shares at any time. The initial conversion price is the original purchase price per share, subject to adjustment for share dividends, subdivision, combinations or consolidation of ordinary shares, certain distributions and anti-dilution adjustments. The preferred shares will be automatically converted into ordinary shares at the then applicable conversion price upon the completion of a qualified initial public offering.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We entered into a fourth amended and restated shareholders agreement on December 28, 2016 with our shareholders, which consist of holders of our ordinary shares, series A preferred shares, series B preferred shares, series C preferred shares, series D preferred shares and series E preferred shares.</w:t>
      </w:r>
    </w:p>
    <w:p>
      <w:pPr>
        <w:spacing w:after="0" w:line="162"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The shareholders agreement provides for certain shareholders rights. Except for the registration rights described below, all the shareholders’ rights under the shareholders agreement will automatically terminate upon completion of this offering if it meets the definition of a qualified initial public offering as the term is defined in the shareholders agreement.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Set forth below is a description of the registration rights granted under the agreement.</w:t>
      </w:r>
    </w:p>
    <w:p>
      <w:pPr>
        <w:spacing w:after="0" w:line="2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Demand Registration Rights. </w:t>
      </w:r>
      <w:r>
        <w:rPr>
          <w:rFonts w:ascii="Times New Roman" w:cs="Times New Roman" w:eastAsia="Times New Roman" w:hAnsi="Times New Roman"/>
          <w:sz w:val="18"/>
          <w:szCs w:val="18"/>
          <w:color w:val="auto"/>
        </w:rPr>
        <w:t>Holders of at least 25% of the registrable securities, which include our ordinary shares issued or issuable to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shareholders, ordinary shares issued or to be issued upon conversion of our preferred shares, ordinary shares issued as a dividend of our preferred shares, or ordinary shares owned or acquired by purchasers of our preferred shares, may, at any time, request registration of their shares and we will use our reasonable best efforts to cause such shares to be registered. We, however, are not obligated to effect a demand registration if we have already effected three demand registrations. We also have the right to defer the filing of a registration statement for up to forty-five days on any one occasion or for up to a total of ninety days during any twelve month period if our board of directors determines in good faith that the registration at such time would be materially detrimental to us and our shareholders, provided that we may not register any securities for our own account or any other person within such period other than pursuant to a registration statement relating to the sale of securities pursuant to our share incentive plan, relating to a corporate reorganization or other transaction under Rule 145 of the Securities Act, a registration on any form that does not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420"/>
          </w:cols>
          <w:pgMar w:left="240" w:top="456" w:right="23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313" w:lineRule="auto"/>
        <w:rPr>
          <w:sz w:val="20"/>
          <w:szCs w:val="20"/>
          <w:color w:val="auto"/>
        </w:rPr>
      </w:pPr>
      <w:r>
        <w:rPr>
          <w:rFonts w:ascii="Times New Roman" w:cs="Times New Roman" w:eastAsia="Times New Roman" w:hAnsi="Times New Roman"/>
          <w:sz w:val="17"/>
          <w:szCs w:val="17"/>
          <w:color w:val="auto"/>
        </w:rPr>
        <w:t>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w:t>
      </w:r>
    </w:p>
    <w:p>
      <w:pPr>
        <w:spacing w:after="0" w:line="134"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Form F-3 Registration Rights. </w:t>
      </w:r>
      <w:r>
        <w:rPr>
          <w:rFonts w:ascii="Times New Roman" w:cs="Times New Roman" w:eastAsia="Times New Roman" w:hAnsi="Times New Roman"/>
          <w:sz w:val="18"/>
          <w:szCs w:val="18"/>
          <w:color w:val="auto"/>
        </w:rPr>
        <w:t>When we are eligible for registration on Form F-3, upon a written request from any holder of the registrable securities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then outstanding, we must promptly file a registration statement on Form F-3 covering the offer and sale of the registrable securities by the requesting shareholders and other holders of registrable securities who choose to participate in the offering upon notice. We, however, are not obligated to effect more than two such Form F-3 registrations that have been declared and ordered effective within any twelve-month period.</w:t>
      </w:r>
    </w:p>
    <w:p>
      <w:pPr>
        <w:spacing w:after="0" w:line="177"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Piggyback Registration Rights. </w:t>
      </w:r>
      <w:r>
        <w:rPr>
          <w:rFonts w:ascii="Times New Roman" w:cs="Times New Roman" w:eastAsia="Times New Roman" w:hAnsi="Times New Roman"/>
          <w:sz w:val="18"/>
          <w:szCs w:val="18"/>
          <w:color w:val="auto"/>
        </w:rPr>
        <w:t>If we propose to file a registration statement for a public offering for our own account or for the account of holder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equity securities,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 then we must offer holders of our registrable securities an opportunity to include in this registration all or any part of their registrable securities.</w:t>
      </w:r>
    </w:p>
    <w:p>
      <w:pPr>
        <w:spacing w:after="0" w:line="183"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Underwritten Offering. </w:t>
      </w:r>
      <w:r>
        <w:rPr>
          <w:rFonts w:ascii="Times New Roman" w:cs="Times New Roman" w:eastAsia="Times New Roman" w:hAnsi="Times New Roman"/>
          <w:sz w:val="18"/>
          <w:szCs w:val="18"/>
          <w:color w:val="auto"/>
        </w:rPr>
        <w:t>The underwriters of any underwritten offering may in good faith request a reduction in the number of shares offered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reducing the number to be satisfactory to the underwriter in the following order: (i) if the offering is our IPO, exclude from the underwritten offering all of the registrable securities (so long as the only securities included in such offering are those sold for our own account) or (ii) otherwise exclude up to twenty-five percent (25%) of the registrable securities requested to be registered but only after first excluding all other equity securities from the registration and underwritten offering and so long as the number of shares to be included in the registration on behalf of the non-excluded holders is allocated among all holders in proportion, as nearly as practicable, to the respective amounts of registrable securities requested by such holders to be included.</w:t>
      </w:r>
    </w:p>
    <w:p>
      <w:pPr>
        <w:spacing w:after="0" w:line="183"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Expenses of Registration. </w:t>
      </w:r>
      <w:r>
        <w:rPr>
          <w:rFonts w:ascii="Times New Roman" w:cs="Times New Roman" w:eastAsia="Times New Roman" w:hAnsi="Times New Roman"/>
          <w:sz w:val="18"/>
          <w:szCs w:val="18"/>
          <w:color w:val="auto"/>
        </w:rPr>
        <w:t>We will pay all expenses incurred in complying with the terms of the registration rights provisions, other than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underwriting discounts and commissions applicable to the sale of registrable securities pursuant to the registration rights provisions (which shall be borne by the holders requesting registration on a pro rata basis in proportion to their respective numbers of registrable securities sold in such registration), provided that expenses for a demand or F-3 registration withdrawn at the request of a majority of holders of registrable securities shall be borne by the withdrawing shareholders unless such withdrawal is due to our action or inaction or an event outside of the reasonable control of such holders.</w:t>
      </w:r>
    </w:p>
    <w:p>
      <w:pPr>
        <w:spacing w:after="0" w:line="180"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Termination of Obligations</w:t>
      </w:r>
      <w:r>
        <w:rPr>
          <w:rFonts w:ascii="Times New Roman" w:cs="Times New Roman" w:eastAsia="Times New Roman" w:hAnsi="Times New Roman"/>
          <w:sz w:val="18"/>
          <w:szCs w:val="18"/>
          <w:color w:val="auto"/>
        </w:rPr>
        <w:t>. The registration rights set forth above shall terminate on the later of (i) the date that is five years from the date of closing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qualified initial public offering and (ii) with respect to any holder, the date on which such holder may sell all of their registrable securities under Rule 144 of the Securities Act in any ninety-day period.</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400"/>
          </w:cols>
          <w:pgMar w:left="240" w:top="455" w:right="25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Depositary Receipts</w:t>
      </w:r>
    </w:p>
    <w:p>
      <w:pPr>
        <w:spacing w:after="0" w:line="12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JPMorgan Chase Bank, N.A., as depositary will issue the ADSs which you will be entitled to receive in this offering. Each ADS will represent an ownership interest a designated number of shares which we will deposit with the custodian, as agent of the depositary, under the deposit agreement among ourselves, the depositary and yourself as an ADR holder. In the future, each ADS will also represent any securities, cash or other property deposited with the depositary but which they have not distributed directly to you. Unless certificated ADRs are specifically requested by you,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depositary’s office is located at 4 New York Plaza, Floor 12, New York, NY, 10004.</w:t>
      </w:r>
    </w:p>
    <w:p>
      <w:pPr>
        <w:spacing w:after="0" w:line="225"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spacing w:after="0" w:line="180"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As an ADR holder, we will not treat you as a shareholder of ours and you will not have any shareholder rights. Cayman Island law governs shareholder rights. Because the depositary or its nominee will be the shareholder of record for the shares represented by all outstanding ADSs, shareholder rights rest with such record holder. Your rights are those of an ADR holder. Such rights derive from the terms of the deposit agreement to be entered into among us, the depositary and all registered holders from time to time of ADSs issued under the deposit agreement. The obligations of the depositary and its agents are also set out in the deposit agreement. Because the depositary or its nominee will actually be the registered owner of the shares, you must rely on it to exercise the rights of a shareholder on your behalf. The deposit agreement and the ADSs are governed by New York law. Under the deposit agreement, as an ADR holder, you agree that any legal suit, action or proceeding against or involving us or the depositary, arising out of or based upon the deposit agreement, the ADSs or the transactions contemplated thereby, may only be instituted in a state or federal court in New York, New York, and you irrevocably waive any objection which you may have to the laying of venue of any such proceeding and irrevocably submit to the exclusive jurisdiction of such courts in any such suit, action or proceeding.</w:t>
      </w:r>
    </w:p>
    <w:p>
      <w:pPr>
        <w:spacing w:after="0" w:line="186" w:lineRule="exact"/>
        <w:rPr>
          <w:sz w:val="20"/>
          <w:szCs w:val="20"/>
          <w:color w:val="auto"/>
        </w:rPr>
      </w:pPr>
    </w:p>
    <w:p>
      <w:pPr>
        <w:ind w:firstLine="456"/>
        <w:spacing w:after="0" w:line="270" w:lineRule="auto"/>
        <w:rPr>
          <w:sz w:val="20"/>
          <w:szCs w:val="20"/>
          <w:color w:val="auto"/>
        </w:rPr>
      </w:pPr>
      <w:r>
        <w:rPr>
          <w:rFonts w:ascii="Times New Roman" w:cs="Times New Roman" w:eastAsia="Times New Roman" w:hAnsi="Times New Roman"/>
          <w:sz w:val="17"/>
          <w:szCs w:val="17"/>
          <w:color w:val="auto"/>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of which this prospectus forms a part. You may also obtain a copy of the deposit agreement at the SEC’s Public Reference Room which is located at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 F Street, NE, Washington, DC 20549. You may obtain information on the operation of the Public Reference Room by calling the SEC at 1-800-732-0330.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also find the registration statement and the attached deposit agreement on the SEC’s website at http://www.sec.gov.</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Dividends and Other Distributions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will I receive dividends and other distributions on the shares underlying my ADSs?</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We may make various types of distributions with respect to our securities. The depositary has agreed that, to the extent practicable, it will pay to you the cash dividends or other distributions it or the custodian receives on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400"/>
          </w:cols>
          <w:pgMar w:left="240" w:top="455" w:right="25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Chase Bank, N.A.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Except as stated below, the depositary will deliver such distributions to ADR holders in proportion to their interests in the following manner:</w:t>
      </w:r>
    </w:p>
    <w:p>
      <w:pPr>
        <w:spacing w:after="0" w:line="250" w:lineRule="exact"/>
        <w:rPr>
          <w:sz w:val="20"/>
          <w:szCs w:val="20"/>
          <w:color w:val="auto"/>
        </w:rPr>
      </w:pPr>
    </w:p>
    <w:p>
      <w:pPr>
        <w:ind w:left="900" w:hanging="325"/>
        <w:spacing w:after="0" w:line="254"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The depositary will distribute any U.S. dollars available to it resulting from a cash dividend or other cash distribution or the net proceeds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of any other distribution or portion thereof (to the extent applicable), on an averaged or other practicable basis, subject to (i) 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If exchange rates fluctuate during a time when the depositary cannot convert a foreign currency, you may lose some or all of the value of the distribution.</w:t>
      </w:r>
    </w:p>
    <w:p>
      <w:pPr>
        <w:spacing w:after="0" w:line="216" w:lineRule="exact"/>
        <w:rPr>
          <w:rFonts w:ascii="Times New Roman" w:cs="Times New Roman" w:eastAsia="Times New Roman" w:hAnsi="Times New Roman"/>
          <w:sz w:val="18"/>
          <w:szCs w:val="18"/>
          <w:color w:val="auto"/>
        </w:rPr>
      </w:pPr>
    </w:p>
    <w:p>
      <w:pPr>
        <w:ind w:left="900" w:right="140" w:hanging="325"/>
        <w:spacing w:after="0" w:line="267"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In the case of a distribution in shares, the depositary will issue additional ADRs to evidence the number of ADSs representing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Only whole ADSs will be issued. Any shares which would result in fractional ADSs will be sold and the net proceeds will be distributed in the same manner as cash to the ADR holders entitled thereto.</w:t>
      </w:r>
    </w:p>
    <w:p>
      <w:pPr>
        <w:spacing w:after="0" w:line="200" w:lineRule="exact"/>
        <w:rPr>
          <w:rFonts w:ascii="Times New Roman" w:cs="Times New Roman" w:eastAsia="Times New Roman" w:hAnsi="Times New Roman"/>
          <w:sz w:val="18"/>
          <w:szCs w:val="18"/>
          <w:color w:val="auto"/>
        </w:rPr>
      </w:pPr>
    </w:p>
    <w:p>
      <w:pPr>
        <w:jc w:val="both"/>
        <w:ind w:left="900" w:right="220" w:hanging="325"/>
        <w:spacing w:after="0" w:line="267"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to receive additional shares</w:t>
      </w:r>
      <w:r>
        <w:rPr>
          <w:rFonts w:ascii="Times New Roman" w:cs="Times New Roman" w:eastAsia="Times New Roman" w:hAnsi="Times New Roman"/>
          <w:sz w:val="18"/>
          <w:szCs w:val="18"/>
          <w:color w:val="auto"/>
        </w:rPr>
        <w:t>. In the case of a distribution of rights to subscribe for additional shares or other rights, if we timely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p>
      <w:pPr>
        <w:spacing w:after="0" w:line="81" w:lineRule="exact"/>
        <w:rPr>
          <w:sz w:val="20"/>
          <w:szCs w:val="20"/>
          <w:color w:val="auto"/>
        </w:rPr>
      </w:pPr>
    </w:p>
    <w:p>
      <w:pPr>
        <w:ind w:left="1480" w:hanging="567"/>
        <w:spacing w:after="0"/>
        <w:tabs>
          <w:tab w:leader="none" w:pos="14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such rights if practicable and distribute the net proceeds in the same manner as cash to the ADR holders entitled thereto; or</w:t>
      </w:r>
    </w:p>
    <w:p>
      <w:pPr>
        <w:spacing w:after="0" w:line="130" w:lineRule="exact"/>
        <w:rPr>
          <w:rFonts w:ascii="Times New Roman" w:cs="Times New Roman" w:eastAsia="Times New Roman" w:hAnsi="Times New Roman"/>
          <w:sz w:val="18"/>
          <w:szCs w:val="18"/>
          <w:color w:val="auto"/>
        </w:rPr>
      </w:pPr>
    </w:p>
    <w:p>
      <w:pPr>
        <w:ind w:left="1480" w:right="100" w:hanging="567"/>
        <w:spacing w:after="0" w:line="282" w:lineRule="auto"/>
        <w:tabs>
          <w:tab w:leader="none" w:pos="14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p>
      <w:pPr>
        <w:spacing w:after="0" w:line="187" w:lineRule="exact"/>
        <w:rPr>
          <w:sz w:val="20"/>
          <w:szCs w:val="20"/>
          <w:color w:val="auto"/>
        </w:rPr>
      </w:pPr>
    </w:p>
    <w:p>
      <w:pPr>
        <w:ind w:left="900" w:hanging="325"/>
        <w:spacing w:after="0" w:line="261" w:lineRule="auto"/>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Distributions</w:t>
      </w:r>
      <w:r>
        <w:rPr>
          <w:rFonts w:ascii="Times New Roman" w:cs="Times New Roman" w:eastAsia="Times New Roman" w:hAnsi="Times New Roman"/>
          <w:sz w:val="18"/>
          <w:szCs w:val="18"/>
          <w:color w:val="auto"/>
        </w:rPr>
        <w:t>. In the case of a distribution of securities or property other than those described above, the depositary may either (i) distribute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w:t>
      </w:r>
    </w:p>
    <w:p>
      <w:pPr>
        <w:spacing w:after="0" w:line="182"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400"/>
          </w:cols>
          <w:pgMar w:left="240" w:top="456" w:right="25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it may retain such items, without paying interest on or investing them, on behalf of the ADR holder as deposited securities, in which case the ADSs will also represent the retained items.</w:t>
      </w:r>
    </w:p>
    <w:p>
      <w:pPr>
        <w:spacing w:after="0" w:line="162"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Any U.S. dollars will be distributed by checks drawn on a bank in the United States for whole dollars and cents. Fractional cents will be withheld without liability and dealt with by the depositary in accordance with its then current practices.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depositary is not responsible if it fails to determine that any distribution or action is lawful or reasonably practicable.</w:t>
      </w:r>
    </w:p>
    <w:p>
      <w:pPr>
        <w:spacing w:after="0" w:line="225"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does the depositary issue ADSs?</w:t>
      </w:r>
    </w:p>
    <w:p>
      <w:pPr>
        <w:spacing w:after="0" w:line="121" w:lineRule="exact"/>
        <w:rPr>
          <w:sz w:val="20"/>
          <w:szCs w:val="20"/>
          <w:color w:val="auto"/>
        </w:rPr>
      </w:pPr>
    </w:p>
    <w:p>
      <w:pPr>
        <w:ind w:right="360" w:firstLine="456"/>
        <w:spacing w:after="0" w:line="266" w:lineRule="auto"/>
        <w:rPr>
          <w:sz w:val="20"/>
          <w:szCs w:val="20"/>
          <w:color w:val="auto"/>
        </w:rPr>
      </w:pPr>
      <w:r>
        <w:rPr>
          <w:rFonts w:ascii="Times New Roman" w:cs="Times New Roman" w:eastAsia="Times New Roman" w:hAnsi="Times New Roman"/>
          <w:sz w:val="18"/>
          <w:szCs w:val="18"/>
          <w:color w:val="auto"/>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w:t>
      </w:r>
    </w:p>
    <w:p>
      <w:pPr>
        <w:spacing w:after="0" w:line="176"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spacing w:after="0" w:line="162"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custodian will hold all deposited shares (including those being deposited by or on our behalf in connection with the offering to which this prospectus relates) for the account and to the order of the depositary. ADR holders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spacing w:after="0" w:line="18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ADR holders cancel an ADS and obtain deposited securities?</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380"/>
          </w:cols>
          <w:pgMar w:left="240" w:top="456" w:right="27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depositary may only restrict the withdrawal of deposited securities in connection with:</w:t>
      </w:r>
    </w:p>
    <w:p>
      <w:pPr>
        <w:spacing w:after="0" w:line="131" w:lineRule="exact"/>
        <w:rPr>
          <w:sz w:val="20"/>
          <w:szCs w:val="20"/>
          <w:color w:val="auto"/>
        </w:rPr>
      </w:pPr>
    </w:p>
    <w:p>
      <w:pPr>
        <w:ind w:left="900" w:right="820" w:hanging="325"/>
        <w:spacing w:after="0" w:line="282" w:lineRule="auto"/>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caused by closing our transfer books or those of the depositary or the deposit of shares in connection with voting at a shareholders’ meeting, or the payment of dividends;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taxes and similar charges;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U.S. or foreign laws or governmental regulations relating to the ADRs or to the withdrawal of deposited securities.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Dates</w:t>
      </w:r>
    </w:p>
    <w:p>
      <w:pPr>
        <w:spacing w:after="0" w:line="121"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spacing w:after="0" w:line="67" w:lineRule="exact"/>
        <w:rPr>
          <w:sz w:val="20"/>
          <w:szCs w:val="20"/>
          <w:color w:val="auto"/>
        </w:rPr>
      </w:pPr>
    </w:p>
    <w:p>
      <w:pPr>
        <w:ind w:left="900" w:hanging="325"/>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distribution on or in respect of deposited securities,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give instructions for the exercise of voting rights at a meeting of holders of shares,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fee assessed by the depositary for administration of the ADR program and for any expenses as provided for in the ADR,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any notice or to act in respect of other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subject to the provisions of the deposit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If you are an ADR holder and the depositary asks you to provide it with voting instructions, you may instruct the depositary how to exercise the voting rights for the shares which underlie your ADSs. Subject to the next sentence,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in respect of such meeting or solicitation of consent or proxy. The depositary shall, if we request in writing in a timely manner (the depositary having no obligation to take any further action if our request shall not have been received by the depositary at least 30 days prior to the date of such vote or meeting) and at our expense and provided no legal prohibitions exist, distribute to the registered ADR holders a notice stating such information as is contained in the voting materials received by the depositary and describing how you may instruct, or, subject to the next sentence, will be deemed to instruct, the depositary to exercise the voting rights for the shares which underlie your ADSs, including instructions for giving a discretionary proxy to a person designated by us. To the extent we have provided the depositary with at least [45] days’ notice of a proposed meeting, if voting instructions are not timely received by the depositary from any holder, such holder shall be deemed, and in the deposit agreement the depositary is instructed to deem such holder, to have instructed the depositary to give a discretionary proxy to a person designated by us to vote the shares represented by their ADSs as desired, provided that no such instruction shall be deemed given and no discretionary proxy shall be given (a) if we informs the depositary in writing that (i) we do not wish such proxy to be given, (ii) substantial opposition exists with respect to any agenda item for which the proxy would be given or</w:t>
      </w:r>
    </w:p>
    <w:p>
      <w:pPr>
        <w:spacing w:after="0" w:line="2" w:lineRule="exact"/>
        <w:rPr>
          <w:sz w:val="20"/>
          <w:szCs w:val="20"/>
          <w:color w:val="auto"/>
        </w:rPr>
      </w:pPr>
    </w:p>
    <w:p>
      <w:pPr>
        <w:jc w:val="both"/>
        <w:ind w:right="20" w:firstLine="8"/>
        <w:spacing w:after="0" w:line="255" w:lineRule="auto"/>
        <w:tabs>
          <w:tab w:leader="none" w:pos="31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agenda item in question, if approved, would materially or adversely affect the rights of holders of shares [and (b) unless, with respect to such meeting, we have provided the depositary with an opinion of our counsel, in form and substance satisfactory to the depositary, to the effect that (a) the granting of such discretionary proxy does not subject the depositary to any reporting obligations in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420"/>
          </w:cols>
          <w:pgMar w:left="240" w:top="456" w:right="23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Cayman Islands, (b) the granting of such proxy will not result in a violation of Cayman Island law, rule, regulation or permit, (c) the voting arrangement and deemed instruction as contemplated herein will be given effect under Cayman Island law, and (d) the granting of such discretionary proxy will not under any circumstances result in the shares represented by the ADSs being treated as assets of the depositary under Cayman Island law].</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Furthermore, neither the depositary nor its agents are responsible for any failure to carry out any voting instructions, for the manner in which any vote is cast or for the effect of any vote. 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holders with, or otherwise publicizes to such holders, instructions on how to retrieve such materials or receive such materials upon request (i.e., by reference to a website containing the materials for retrieval or a contact for requesting copies of the materials).</w:t>
      </w:r>
    </w:p>
    <w:p>
      <w:pPr>
        <w:spacing w:after="0" w:line="189"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We have advised the depositary that under the Cayman Islands law and our constituent documents, each as in effect as of the date of the deposit agreement, voting at any meeting of shareholders is by show of hands unless a poll is (before or on the declaration of the results of the show of hands) demanded. In the event that voting on any resolution or matter is conducted on a show of hands basis in accordance with our constituent documents, the depositary will refrain from voting and the voting instructions received by the depositary from holders shall lapse. The depositary will not demand a poll or join in demanding a poll, whether or not requested to do so by holders of ADSs.</w:t>
      </w:r>
    </w:p>
    <w:p>
      <w:pPr>
        <w:spacing w:after="0" w:line="184"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Reports and Other Communications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 ADR holders be able to view our reports?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w:t>
      </w:r>
    </w:p>
    <w:p>
      <w:pPr>
        <w:spacing w:after="0" w:line="176" w:lineRule="exact"/>
        <w:rPr>
          <w:sz w:val="20"/>
          <w:szCs w:val="20"/>
          <w:color w:val="auto"/>
        </w:rPr>
      </w:pPr>
    </w:p>
    <w:p>
      <w:pPr>
        <w:ind w:right="840" w:firstLine="456"/>
        <w:spacing w:after="0" w:line="282" w:lineRule="auto"/>
        <w:rPr>
          <w:sz w:val="20"/>
          <w:szCs w:val="20"/>
          <w:color w:val="auto"/>
        </w:rPr>
      </w:pPr>
      <w:r>
        <w:rPr>
          <w:rFonts w:ascii="Times New Roman" w:cs="Times New Roman" w:eastAsia="Times New Roman" w:hAnsi="Times New Roman"/>
          <w:sz w:val="18"/>
          <w:szCs w:val="18"/>
          <w:color w:val="auto"/>
        </w:rPr>
        <w:t>Additionally, if we make any written communications generally available to holders of our shares, and we furnish copies thereof (or English translations or summaries) to the depositary, it will distribute the same to registered ADR holders.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fees and expenses will I be responsible for paying?</w:t>
      </w:r>
    </w:p>
    <w:p>
      <w:pPr>
        <w:spacing w:after="0" w:line="121" w:lineRule="exact"/>
        <w:rPr>
          <w:sz w:val="20"/>
          <w:szCs w:val="20"/>
          <w:color w:val="auto"/>
        </w:rPr>
      </w:pPr>
    </w:p>
    <w:p>
      <w:pPr>
        <w:jc w:val="both"/>
        <w:ind w:right="360" w:firstLine="456"/>
        <w:spacing w:after="0" w:line="266" w:lineRule="auto"/>
        <w:rPr>
          <w:sz w:val="20"/>
          <w:szCs w:val="20"/>
          <w:color w:val="auto"/>
        </w:rPr>
      </w:pPr>
      <w:r>
        <w:rPr>
          <w:rFonts w:ascii="Times New Roman" w:cs="Times New Roman" w:eastAsia="Times New Roman" w:hAnsi="Times New Roman"/>
          <w:sz w:val="18"/>
          <w:szCs w:val="18"/>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400"/>
          </w:cols>
          <w:pgMar w:left="240" w:top="455" w:right="25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spacing w:after="0" w:line="180" w:lineRule="exact"/>
        <w:rPr>
          <w:sz w:val="20"/>
          <w:szCs w:val="20"/>
          <w:color w:val="auto"/>
        </w:rPr>
      </w:pPr>
    </w:p>
    <w:p>
      <w:pPr>
        <w:jc w:val="both"/>
        <w:ind w:right="220" w:firstLine="456"/>
        <w:spacing w:after="0" w:line="266" w:lineRule="auto"/>
        <w:rPr>
          <w:sz w:val="20"/>
          <w:szCs w:val="20"/>
          <w:color w:val="auto"/>
        </w:rPr>
      </w:pPr>
      <w:r>
        <w:rPr>
          <w:rFonts w:ascii="Times New Roman" w:cs="Times New Roman" w:eastAsia="Times New Roman" w:hAnsi="Times New Roman"/>
          <w:sz w:val="18"/>
          <w:szCs w:val="18"/>
          <w:color w:val="auto"/>
        </w:rPr>
        <w:t>The following additional charges shall be incurred by the ADR holders,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82" w:lineRule="exact"/>
        <w:rPr>
          <w:sz w:val="20"/>
          <w:szCs w:val="20"/>
          <w:color w:val="auto"/>
        </w:rPr>
      </w:pPr>
    </w:p>
    <w:p>
      <w:pPr>
        <w:ind w:left="900" w:hanging="325"/>
        <w:spacing w:after="0"/>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U.S.$1.50 per ADR or ADRs for transfers of certificated or direct registration ADRs;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up to U.S.$0.05 per ADS for any cash distribution made pursuant to the deposit agreement;</w:t>
      </w:r>
    </w:p>
    <w:p>
      <w:pPr>
        <w:spacing w:after="0" w:line="130" w:lineRule="exact"/>
        <w:rPr>
          <w:rFonts w:ascii="Times New Roman" w:cs="Times New Roman" w:eastAsia="Times New Roman" w:hAnsi="Times New Roman"/>
          <w:sz w:val="18"/>
          <w:szCs w:val="18"/>
          <w:color w:val="auto"/>
        </w:rPr>
      </w:pPr>
    </w:p>
    <w:p>
      <w:pPr>
        <w:ind w:left="900" w:right="120" w:hanging="325"/>
        <w:spacing w:after="0" w:line="261" w:lineRule="auto"/>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85" w:lineRule="exact"/>
        <w:rPr>
          <w:rFonts w:ascii="Times New Roman" w:cs="Times New Roman" w:eastAsia="Times New Roman" w:hAnsi="Times New Roman"/>
          <w:sz w:val="18"/>
          <w:szCs w:val="18"/>
          <w:color w:val="auto"/>
        </w:rPr>
      </w:pPr>
    </w:p>
    <w:p>
      <w:pPr>
        <w:ind w:left="900" w:hanging="325"/>
        <w:spacing w:after="0" w:line="255" w:lineRule="auto"/>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94" w:lineRule="exact"/>
        <w:rPr>
          <w:rFonts w:ascii="Times New Roman" w:cs="Times New Roman" w:eastAsia="Times New Roman" w:hAnsi="Times New Roman"/>
          <w:sz w:val="18"/>
          <w:szCs w:val="18"/>
          <w:color w:val="auto"/>
        </w:rPr>
      </w:pPr>
    </w:p>
    <w:p>
      <w:pPr>
        <w:ind w:left="900" w:hanging="325"/>
        <w:spacing w:after="0" w:line="261" w:lineRule="auto"/>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p>
      <w:pPr>
        <w:spacing w:after="0" w:line="8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transfer or other taxes and other governmental charges;</w:t>
      </w:r>
    </w:p>
    <w:p>
      <w:pPr>
        <w:spacing w:after="0" w:line="130" w:lineRule="exact"/>
        <w:rPr>
          <w:rFonts w:ascii="Times New Roman" w:cs="Times New Roman" w:eastAsia="Times New Roman" w:hAnsi="Times New Roman"/>
          <w:sz w:val="18"/>
          <w:szCs w:val="18"/>
          <w:color w:val="auto"/>
        </w:rPr>
      </w:pPr>
    </w:p>
    <w:p>
      <w:pPr>
        <w:ind w:left="900" w:right="180" w:hanging="325"/>
        <w:spacing w:after="0" w:line="282" w:lineRule="auto"/>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and facsimile transmission and delivery charges incurred at your request in connection with the deposit or delivery of shares, ADRs or deposited securities;</w:t>
      </w:r>
    </w:p>
    <w:p>
      <w:pPr>
        <w:spacing w:after="0" w:line="67" w:lineRule="exact"/>
        <w:rPr>
          <w:rFonts w:ascii="Times New Roman" w:cs="Times New Roman" w:eastAsia="Times New Roman" w:hAnsi="Times New Roman"/>
          <w:sz w:val="18"/>
          <w:szCs w:val="18"/>
          <w:color w:val="auto"/>
        </w:rPr>
      </w:pPr>
    </w:p>
    <w:p>
      <w:pPr>
        <w:ind w:left="900" w:right="440" w:hanging="325"/>
        <w:spacing w:after="0" w:line="282" w:lineRule="auto"/>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registration fees for the registration of transfer of deposited securities on any applicable register in connection with the deposit or withdrawal of deposited securities;</w:t>
      </w:r>
    </w:p>
    <w:p>
      <w:pPr>
        <w:spacing w:after="0" w:line="67" w:lineRule="exact"/>
        <w:rPr>
          <w:rFonts w:ascii="Times New Roman" w:cs="Times New Roman" w:eastAsia="Times New Roman" w:hAnsi="Times New Roman"/>
          <w:sz w:val="18"/>
          <w:szCs w:val="18"/>
          <w:color w:val="auto"/>
        </w:rPr>
      </w:pPr>
    </w:p>
    <w:p>
      <w:pPr>
        <w:ind w:left="900" w:right="100" w:hanging="325"/>
        <w:spacing w:after="0" w:line="266" w:lineRule="auto"/>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into U.S. dollars, JPMorgan Chase Bank, N.A. (“JPMorgan”) shall deduct out of such foreign currency the fees, expenses and other charges charged by it and/or its agent (which may be a division, branch or affiliate) so appointed in connection with such conversion; and</w:t>
      </w:r>
    </w:p>
    <w:p>
      <w:pPr>
        <w:spacing w:after="0" w:line="81"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9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of any division, branch or affiliate of the depositary utilized by the depositary to direct, manage and/or execute any public and/or private sale of securities under the deposit agreement.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JPMorgan and/or its agent may act as principal for such conversion of foreign currency. For further details see https://www.adr.com.</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420"/>
          </w:cols>
          <w:pgMar w:left="240" w:top="455" w:right="23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16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2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Circular Guoshuifa [2009] No. 82 issued by the Chinese State Administration of Taxation (SAT) or any other circular, edict, order or ruling, as issued and as from time to time amended, is applied or otherwise, such tax or other governmental charge shall be paid by the holder thereof to the depositary and by holding or having held an ADR the holder and all prior holders thereof, jointly and severally, agree to indemnify, defend and save harmless each of the depositary and its agents in respect thereof.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w:t>
      </w:r>
    </w:p>
    <w:p>
      <w:pPr>
        <w:spacing w:after="0" w:line="189"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By holding an ADR or an interest therein,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 Recapitalizations and Mergers</w:t>
      </w:r>
    </w:p>
    <w:p>
      <w:pPr>
        <w:spacing w:after="0" w:line="121"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spacing w:after="0" w:line="86" w:lineRule="exact"/>
        <w:rPr>
          <w:sz w:val="20"/>
          <w:szCs w:val="20"/>
          <w:color w:val="auto"/>
        </w:rPr>
      </w:pPr>
    </w:p>
    <w:p>
      <w:pPr>
        <w:ind w:left="900" w:hanging="446"/>
        <w:spacing w:after="0"/>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form of ADR;</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400"/>
          </w:cols>
          <w:pgMar w:left="240" w:top="456" w:right="25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additional or amended ADRs;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cash, securities or other property it has received in connection with such actions;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securities or property received and distribute the proceeds as cash;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above.</w:t>
      </w:r>
    </w:p>
    <w:p>
      <w:pPr>
        <w:spacing w:after="0" w:line="225"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If the depositary does not choose any of the above options, any of the cash, securities or other property it receives will constitute part of the deposited securities and each ADS will then represent a proportionate interest in such property.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Such notice need not describe in detail the specific amendments effectuated thereby, but must identify to ADR holders a means to access the text of such amendment. If an ADR holder continues to hold an ADR or ADRs after being so notified, such ADR holder is deemed to agree to such amendment and to be bound by the deposit agreement as so amended.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which amendment or supplement may take effect before a notice is given or within any other period of time as required for compliance. No amendment, however, will impair your right to surrender your ADSs and receive the underlying securities, except in order to comply with mandatory provisions of applicable law.</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121" w:lineRule="exact"/>
        <w:rPr>
          <w:sz w:val="20"/>
          <w:szCs w:val="20"/>
          <w:color w:val="auto"/>
        </w:rPr>
      </w:pPr>
    </w:p>
    <w:p>
      <w:pPr>
        <w:ind w:right="420" w:firstLine="456"/>
        <w:spacing w:after="0" w:line="276" w:lineRule="auto"/>
        <w:rPr>
          <w:sz w:val="20"/>
          <w:szCs w:val="20"/>
          <w:color w:val="auto"/>
        </w:rPr>
      </w:pPr>
      <w:r>
        <w:rPr>
          <w:rFonts w:ascii="Times New Roman" w:cs="Times New Roman" w:eastAsia="Times New Roman" w:hAnsi="Times New Roman"/>
          <w:sz w:val="17"/>
          <w:szCs w:val="17"/>
          <w:color w:val="auto"/>
        </w:rPr>
        <w:t>The depositary may, and shall at our written direction, terminate the deposit agreement and the ADRs by mailing notice of such termination to the registered holders of ADRs at least 30 days prior to the date fixed in such notice for such termination; provided, however, if the depositary shall have</w:t>
      </w:r>
    </w:p>
    <w:p>
      <w:pPr>
        <w:spacing w:after="0" w:line="1" w:lineRule="exact"/>
        <w:rPr>
          <w:sz w:val="20"/>
          <w:szCs w:val="20"/>
          <w:color w:val="auto"/>
        </w:rPr>
      </w:pPr>
    </w:p>
    <w:p>
      <w:pPr>
        <w:ind w:firstLine="8"/>
        <w:spacing w:after="0" w:line="251" w:lineRule="auto"/>
        <w:tabs>
          <w:tab w:leader="none" w:pos="21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resigned as depositary under the deposit agreement, notice of such termination by the depositary shall not be provided to registered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120th day after our notice of removal was first provided to the depositary. After the date so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registered holder of ADRs. At such time as the ADSs cease to be DTC eligible and/or neither DTC nor any of its nominees is a registered holder of ADRs, the depositary shall (a) instruct its custodian to deliver all shares to us along with a general stock power that refers to the names set forth on the ADR register maintained by the depositary and (b) provide us with a copy of the ADR register maintained by the depositary. Upon receipt of such shares and the ADR register maintained by the depositary, we have agreed to use our best efforts to issue to each registered holder a Share certificate representing the Shares represented by the ADSs reflected on the ADR register maintained by the depositary in such registered holder’s name and to deliver such Share certificate to the registered holder at the address set forth</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400"/>
          </w:cols>
          <w:pgMar w:left="240" w:top="456" w:right="25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 to ADR 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limits on liability to ADR holders and holders of ADSs</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spacing w:after="0" w:line="67" w:lineRule="exact"/>
        <w:rPr>
          <w:sz w:val="20"/>
          <w:szCs w:val="20"/>
          <w:color w:val="auto"/>
        </w:rPr>
      </w:pPr>
    </w:p>
    <w:p>
      <w:pPr>
        <w:ind w:left="900" w:right="420" w:hanging="325"/>
        <w:spacing w:after="0" w:line="266" w:lineRule="auto"/>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w:t>
      </w:r>
    </w:p>
    <w:p>
      <w:pPr>
        <w:spacing w:after="0" w:line="81" w:lineRule="exact"/>
        <w:rPr>
          <w:rFonts w:ascii="Times New Roman" w:cs="Times New Roman" w:eastAsia="Times New Roman" w:hAnsi="Times New Roman"/>
          <w:sz w:val="18"/>
          <w:szCs w:val="18"/>
          <w:color w:val="auto"/>
        </w:rPr>
      </w:pPr>
    </w:p>
    <w:p>
      <w:pPr>
        <w:ind w:left="900" w:hanging="325"/>
        <w:spacing w:after="0" w:line="261" w:lineRule="auto"/>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ownership of any securities, compliance with applicable law, regulations, provisions of or governing deposited securities and terms of the deposit agreement and the ADRs, as it may deem necessary or proper; and</w:t>
      </w:r>
    </w:p>
    <w:p>
      <w:pPr>
        <w:spacing w:after="0" w:line="8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such regulations as the depositary may establish consistent with the deposit agreement.</w:t>
      </w:r>
    </w:p>
    <w:p>
      <w:pPr>
        <w:spacing w:after="0" w:line="225" w:lineRule="exact"/>
        <w:rPr>
          <w:sz w:val="20"/>
          <w:szCs w:val="20"/>
          <w:color w:val="auto"/>
        </w:rPr>
      </w:pPr>
    </w:p>
    <w:p>
      <w:pPr>
        <w:ind w:firstLine="456"/>
        <w:spacing w:after="0" w:line="257" w:lineRule="auto"/>
        <w:rPr>
          <w:sz w:val="20"/>
          <w:szCs w:val="20"/>
          <w:color w:val="auto"/>
        </w:rPr>
      </w:pPr>
      <w:r>
        <w:rPr>
          <w:rFonts w:ascii="Times New Roman" w:cs="Times New Roman" w:eastAsia="Times New Roman" w:hAnsi="Times New Roman"/>
          <w:sz w:val="18"/>
          <w:szCs w:val="18"/>
          <w:color w:val="auto"/>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w:t>
      </w:r>
    </w:p>
    <w:p>
      <w:pPr>
        <w:spacing w:after="0" w:line="2" w:lineRule="exact"/>
        <w:rPr>
          <w:sz w:val="20"/>
          <w:szCs w:val="20"/>
          <w:color w:val="auto"/>
        </w:rPr>
      </w:pPr>
    </w:p>
    <w:p>
      <w:pPr>
        <w:ind w:right="160" w:firstLine="8"/>
        <w:spacing w:after="0" w:line="255" w:lineRule="auto"/>
        <w:tabs>
          <w:tab w:leader="none" w:pos="21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w:t>
      </w:r>
    </w:p>
    <w:p>
      <w:pPr>
        <w:spacing w:after="0" w:line="186"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deposit agreement expressly limits the obligations and liability of the depositary, ourselves and our respective agents, provided, however, that no disclaimer of liability under the Securities Act of 1933 is intended by any of the limitations of liabilities provisions of the deposit agreement. In the deposit agreement it provides that neither we nor the depositary nor any such agent will be liable if:</w:t>
      </w:r>
    </w:p>
    <w:p>
      <w:pPr>
        <w:spacing w:after="0" w:line="82" w:lineRule="exact"/>
        <w:rPr>
          <w:sz w:val="20"/>
          <w:szCs w:val="20"/>
          <w:color w:val="auto"/>
        </w:rPr>
      </w:pPr>
    </w:p>
    <w:p>
      <w:pPr>
        <w:ind w:left="900" w:right="60" w:hanging="325"/>
        <w:spacing w:after="0" w:line="255" w:lineRule="auto"/>
        <w:tabs>
          <w:tab w:leader="none" w:pos="9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present or future law, rule, regulation, fiat, order or decree of the United States, the Cayman Islands, the People’s Republic of China (including the Hong Kong Special Administrative Region, the People’s Republic of China)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nationalization,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400"/>
          </w:cols>
          <w:pgMar w:left="240" w:top="456" w:right="25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82" w:lineRule="auto"/>
        <w:tabs>
          <w:tab w:leader="none" w:pos="9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exercises or fails to exercise discretion under the deposit agreement or the ADRs including, without limitation, any failure to determine that any distribution or action may be lawful or reasonably practicable;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performs its obligations under the deposit agreement and ADRs without gross negligence or willful misconduct;</w:t>
      </w:r>
    </w:p>
    <w:p>
      <w:pPr>
        <w:spacing w:after="0" w:line="130" w:lineRule="exact"/>
        <w:rPr>
          <w:rFonts w:ascii="Times New Roman" w:cs="Times New Roman" w:eastAsia="Times New Roman" w:hAnsi="Times New Roman"/>
          <w:sz w:val="18"/>
          <w:szCs w:val="18"/>
          <w:color w:val="auto"/>
        </w:rPr>
      </w:pPr>
    </w:p>
    <w:p>
      <w:pPr>
        <w:ind w:left="900" w:right="280" w:hanging="325"/>
        <w:spacing w:after="0" w:line="266" w:lineRule="auto"/>
        <w:tabs>
          <w:tab w:leader="none" w:pos="9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takes any action or refrains from taking any action in reliance upon the advice of or information from legal counsel, accountants, any person presenting shares for deposit, any registered holder of ADRs, or any other person believed by it to be competent to give such advice or information; or</w:t>
      </w:r>
    </w:p>
    <w:p>
      <w:pPr>
        <w:spacing w:after="0" w:line="81"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relies upon any written notice, request, direction, instruction or document believed by it to be genuine and to have been signed, presented or given by the proper party or parties.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Neither the depositary nor its agents have any obligation to appear in, prosecute or defend any action, suit or other proceeding in respect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deposited securities or the ADRs. We and our agents shall only be obligated to appear in, prosecute or defend any action, suit or other proceeding in respect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deposited securities or the ADRs, which in our opinion may involve us in expense or liability, if indemnity satisfactory to us against all expense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fees and disbursements of counsel) and liability is furnished as often as may be required. The depositary and its agents may fully respond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all demands or requests for information maintained by or on its behalf in connection with the deposit agreement, any registered holder or holders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ADRs, any ADRs or otherwise related to the deposit agreement or ADRs to the extent such information is requested or required by or pursuant to any lawful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authority, including without limitation laws, rules, regulations, administrative or judicial process, banking, securities or other regulators. The depositary 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be liable for the acts or omissions made by, or the insolvency of, any securities depository, clearing agency or settlement system. Furthermore,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shall not be responsible for, and shall incur no liability in connection with or arising from, the insolvency of any custodian that is not a branch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 of JPMorgan Chase Bank, N.A. Notwithstanding anything to the contrary contained in the deposit agreement or any ADRs, the depositary shall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responsible for, and shall incur no liability in connection with or arising from, any act or omission to act on the part of the custodian except to the extent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the custodian has (i) committed fraud or willful misconduct in the provision of custodial services to the depositary or (ii) failed to use reasonable care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of custodial services to the depositary as determined in accordance with the standards prevailing in the jurisdiction in which the custodian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located. The depositary and the custodian(s) may use third party delivery services and providers of information regarding matters such as pricing, proxy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corporate actions, class action litigation and other services in connection with the ADRs and the deposit agreement, and use local agents to provide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extraordinary services such as attendance at annual meetings of issuers of securities. Although the depositary and the custodian will use reasonable care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cause their agents to use reasonable care) in the selection and retention of such third party providers and local agents, they will not be responsible for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errors or omissions made by them in providing the relevant information or services. The depositary shall not have any liability for the price received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any sale of securities, the timing thereof or any delay in action or omission to act nor shall it be responsible for any error or delay in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omission to act, default or negligence on the part of the party so retained in connection with any such sale or proposed sale.</w:t>
      </w:r>
    </w:p>
    <w:p>
      <w:pPr>
        <w:spacing w:after="0" w:line="207"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The depositary has no obligation to inform ADR holders or other holders of an interest in any ADSs about the requirements of Cayman Islands or People’s Republic of China law, rules or regulations or any changes therein or thereto.</w:t>
      </w:r>
    </w:p>
    <w:p>
      <w:pPr>
        <w:spacing w:after="0" w:line="162"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Additionally, none of us, the depositary or the custodian shall be liable for the failure by any registered holder of ADRs or beneficial owner therein to obtain the benefits of credits on the basis of non-U.S. tax paid against such holder’s or beneficial owner’s income tax liability. Neither we nor the depositary shall incur any liability for any tax consequences that may be incurred by registered holders or beneficial owners on account of their ownership of ADRs or ADSs.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420"/>
          </w:cols>
          <w:pgMar w:left="240" w:top="456" w:right="23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53" w:lineRule="auto"/>
        <w:rPr>
          <w:sz w:val="20"/>
          <w:szCs w:val="20"/>
          <w:color w:val="auto"/>
        </w:rPr>
      </w:pPr>
      <w:r>
        <w:rPr>
          <w:rFonts w:ascii="Times New Roman" w:cs="Times New Roman" w:eastAsia="Times New Roman" w:hAnsi="Times New Roman"/>
          <w:sz w:val="18"/>
          <w:szCs w:val="18"/>
          <w:color w:val="auto"/>
        </w:rPr>
        <w:t>Neither the depositary nor its agents will be responsible for any failure to carry out any instructions to vote any of the deposited securities, for the manner in which any such vote is cast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to registered holders or beneficial owners of interests in ADSs for any indirect, special, punitive or consequential damages (including, without limitation, legal fees and expenses) or lost profits, in each case of any form incurred by any person or entity, whether or not foreseeable and regardless of the type of action in which such a claim may be brought.</w:t>
      </w:r>
    </w:p>
    <w:p>
      <w:pPr>
        <w:spacing w:after="0" w:line="193"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the deposit agreement each party thereto (including, for avoidance of doubt, each holder and beneficial owner and/or holder of interests in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depositary and its agents may own and deal in any class of securities of our company and our affiliates and in ADRs.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Interest in ADSs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To the extent that the provisions of or governing any deposited securities may require disclosure of or impose limits on beneficial or other ownership of deposited securities, other shares and other securities and may provide for blocking transfer, voting or other rights to enforce such disclosure or limits, you agree to comply with all such disclosure requirements and ownership limitations and to comply with any reasonable instructions we may provide in respect thereof. We reserve the right to instruct you to deliver your ADSs for cancellation and withdrawal of the deposited securities so as to permit us to deal with you directly as a holder of shares and, by holding an ADS or an interest therein, you will be agreeing to comply with such instructions.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the Company solely in order to enable the Company to comply with applicable law.</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depositary will maintain facilities for the delivery and receipt of ADRs.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[Pre-release of ADSs</w:t>
      </w:r>
    </w:p>
    <w:p>
      <w:pPr>
        <w:spacing w:after="0" w:line="121" w:lineRule="exact"/>
        <w:rPr>
          <w:sz w:val="20"/>
          <w:szCs w:val="20"/>
          <w:color w:val="auto"/>
        </w:rPr>
      </w:pPr>
    </w:p>
    <w:p>
      <w:pPr>
        <w:ind w:right="520" w:firstLine="456"/>
        <w:spacing w:after="0" w:line="282" w:lineRule="auto"/>
        <w:rPr>
          <w:sz w:val="20"/>
          <w:szCs w:val="20"/>
          <w:color w:val="auto"/>
        </w:rPr>
      </w:pPr>
      <w:r>
        <w:rPr>
          <w:rFonts w:ascii="Times New Roman" w:cs="Times New Roman" w:eastAsia="Times New Roman" w:hAnsi="Times New Roman"/>
          <w:sz w:val="18"/>
          <w:szCs w:val="18"/>
          <w:color w:val="auto"/>
        </w:rPr>
        <w:t>In its capacity as depositary, the depositary shall not lend shares or ADSs; provided, however, that the depositary may (i) issue ADSs prior to the receipt of shares and (ii) deliver shares prior to the receipt of ADSs for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400"/>
          </w:cols>
          <w:pgMar w:left="240" w:top="455" w:right="25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7"/>
          <w:szCs w:val="17"/>
          <w:color w:val="auto"/>
        </w:rPr>
        <w:t>withdrawal of deposited securities, including ADSs which were issued under (i) above but for which shares may not have been received (each such transaction a “pre-release”). The depositary may receive ADSs in lieu of shares under (i) above (which ADSs will promptly be canceled by the depositary upon receipt by the depositary) and receive shares in lieu of ADSs under (ii) above. Each such pre-release will be subject to a written agreement whereby the person or entity (the “applicant”) to whom ADSs or shares are to be delivered (a) represents that at the time of the pre-release the applicant or its customer owns the shares or ADSs that are to be delivered by the applicant under such pre-release, (b) agrees to indicate the depositary as owner of such shares or ADSs in its records and to hold such shares or ADSs in trust for the depositary until such shares or ADSs are delivered to the depositary or the custodian,</w:t>
      </w:r>
    </w:p>
    <w:p>
      <w:pPr>
        <w:ind w:right="20" w:firstLine="8"/>
        <w:spacing w:after="0" w:line="251" w:lineRule="auto"/>
        <w:tabs>
          <w:tab w:leader="none" w:pos="24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unconditionally guarantees to deliver to the depositary or the custodian, as applicable, such shares or ADSs, and (d) agrees to any additional restrictions or requirements that the depositary deems appropriate. Each such pre-release will be at all times fully collateralized with cash, U.S. government securities or such other collateral as the depositary deems appropriate, terminable by the depositary on not more than five (5) business days’ notice and subject to such further indemnities and credit regulations as the depositary deems appropriate. The depositary will normally limit the number of ADSs and shares involved in such pre-release at any one time to thirty percent (30%) of the ADSs outstanding (without giving effect to ADSs outstanding under (i) above), provided, however, that the depositary reserves the right to change or disregard such limit from time to time as it deems appropriate. The depositary may also set limits with respect to the number of ADSs and shares involved in pre-release with any one person on a case-by-case basis as it deems appropriate. The depositary may retain for its own account any compensation received by it in conjunction with the foregoing. Collateral provided in connection with pre-release transactions, but not the earnings thereon, shall be held for the benefit of the ADR holders (other than the applicant).]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In the deposit agreement, each registered holder of ADRs and each person holding an interest in ADSs, upon acceptance of any ADSs (or any interest therein) issued in accordance with the terms and conditions of the deposit agreement will be deemed for all purposes to:</w:t>
      </w:r>
    </w:p>
    <w:p>
      <w:pPr>
        <w:spacing w:after="0" w:line="67" w:lineRule="exact"/>
        <w:rPr>
          <w:sz w:val="20"/>
          <w:szCs w:val="20"/>
          <w:color w:val="auto"/>
        </w:rPr>
      </w:pPr>
    </w:p>
    <w:p>
      <w:pPr>
        <w:ind w:left="900" w:hanging="325"/>
        <w:spacing w:after="0"/>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 party to and bound by the terms of the deposit agreement and the applicable ADR or ADRs, and</w:t>
      </w:r>
    </w:p>
    <w:p>
      <w:pPr>
        <w:spacing w:after="0" w:line="130" w:lineRule="exact"/>
        <w:rPr>
          <w:rFonts w:ascii="Times New Roman" w:cs="Times New Roman" w:eastAsia="Times New Roman" w:hAnsi="Times New Roman"/>
          <w:sz w:val="18"/>
          <w:szCs w:val="18"/>
          <w:color w:val="auto"/>
        </w:rPr>
      </w:pPr>
    </w:p>
    <w:p>
      <w:pPr>
        <w:ind w:left="900" w:right="120" w:hanging="325"/>
        <w:spacing w:after="0" w:line="261" w:lineRule="auto"/>
        <w:tabs>
          <w:tab w:leader="none" w:pos="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and ADRs, the taking of such actions to be the conclusive determinant of the necessity and appropriateness thereof.</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deposit agreement and the ADRs shall be governed by and construed in accordance with the laws of the State of New York. In the deposit agreement, we have submitted to the jurisdiction of the courts of the State of New York and appointed an agent for service of process on our behalf. Notwithstanding the foregoing, [(i) any action based on the deposit agreement or the transactions contemplated thereby may be instituted by the depositary in any competent court in the Cayman Islands, Hong Kong, the People’s Republic of China and/or the United States,] (ii) the depositary may, in its sole discretion, elect to institute any action, controversy, claim or dispute directly or indirectly based on, arising out of or relating to the deposit agreement or the ADRs or the transactions contemplated thereby, including without limitation any question regarding its or their existence, validity, interpretation, performance or termination, against any other party or parties to the deposit agreement (including, without limitation, against ADR holders and owners of interests in ADSs), by having the matter referred to and finally resolved by an arbitration conducted under the terms described below, and (iii) the depositary may in its sole discretion require that any action, controversy, claim, dispute, legal suit or proceeding brought against the depositary by any party or parties to the deposit agreement (including, without limitation, by ADR holders and owners of interests in ADSs) shall be referred to and finally settled by an arbitration conducted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400"/>
          </w:cols>
          <w:pgMar w:left="240" w:top="456" w:right="25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under the terms described below. Any such arbitration shall be conducted in the English language either in New York, New York in accordance with the Commercial Arbitration Rules of the American Arbitration Association or in Hong Kong following the arbitration rules of the United Nations Commission on International Trade Law (UNCITRAL).</w:t>
      </w:r>
    </w:p>
    <w:p>
      <w:pPr>
        <w:spacing w:after="0" w:line="17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By holding an ADS or an interest therein, registered holders of ADRs and owners of ADSs each irrevocably agree that any legal suit, action or proceeding against or involving us or the depositary, arising out of or based upon the deposit agreement, the ADSs or the transactions contemplated thereby, may only be instituted in a state or federal court in New York, New York, and each irrevocably waives any objection which it may have to the laying of venue of any such proceeding, and irrevocably submits to the exclusive jurisdiction of such courts in any such suit, action or proceeding.</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400"/>
          </w:cols>
          <w:pgMar w:left="240" w:top="456" w:right="25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07"/>
        </w:trPr>
        <w:tc>
          <w:tcPr>
            <w:tcW w:w="3940" w:type="dxa"/>
            <w:vAlign w:val="bottom"/>
            <w:gridSpan w:val="2"/>
          </w:tcPr>
          <w:p>
            <w:pPr>
              <w:spacing w:after="0"/>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Table of Contents</w:t>
              </w:r>
            </w:hyperlink>
          </w:p>
        </w:tc>
        <w:tc>
          <w:tcPr>
            <w:tcW w:w="74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580" w:type="dxa"/>
            <w:vAlign w:val="bottom"/>
          </w:tcPr>
          <w:p>
            <w:pPr>
              <w:spacing w:after="0"/>
              <w:rPr>
                <w:sz w:val="24"/>
                <w:szCs w:val="24"/>
                <w:color w:val="auto"/>
              </w:rPr>
            </w:pP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tc>
      </w:tr>
      <w:tr>
        <w:trPr>
          <w:trHeight w:val="432"/>
        </w:trPr>
        <w:tc>
          <w:tcPr>
            <w:tcW w:w="3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Upon completion of this offering, we will have</w:t>
            </w:r>
          </w:p>
        </w:tc>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ADSs outstanding, representing approximately   % of our outstanding ordinary shares. All of the</w:t>
            </w:r>
          </w:p>
        </w:tc>
      </w:tr>
    </w:tbl>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ADSs sold in this offering will be freely transferable by persons other than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and while application has been made for the ADSs to be listed on the NASDAQ Global Market, we cannot assure you that a regular trading market will develop in the ADSs. We do not expect that a trading market will develop for our ordinary shares not represented by the ADSs.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have agreed that we will not offer, sell, contract to sell, pledge, grant any option, right or warrant to purchase, sell any option or contract to purchase, purchase any option or contract to sell, lend, make any short sale or otherwise transfer or dispose of (including entering into any swap or other arrangement that transfers to another, in whole or in part, any of the economic consequence of ownership interests), directly or indirectly, any of our ADSs or ordinary shares or any securities that are convertible into or exchangeable for, or that represent the right to receive, our ADSs or ordinary shares or any substantially similar securities, without the prior written consent of the representatives on behalf of the underwriters for a period ending 180 days after the date of this prospectus, except issuances pursuant to the exercise of employee share options outstanding on the date hereof and certain other exceptions.</w:t>
      </w:r>
    </w:p>
    <w:p>
      <w:pPr>
        <w:spacing w:after="0" w:line="188"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Each of our directors, executive officers [and existing shareholders] has agreed, subject to some exceptions, not to sell, transfer or dispose of, directly or indirectly, any of our ordinary shares, in the form of ADSs or otherwise, or any securities convertible into or exchangeable or exercisable for our ordinary shares, in the form of ADSs or otherwise, for a period of 180 days after the date this prospectus becomes effective. After the expiration of the 180-day period, the ordinary shares or ADSs held by our directors, executive officers or our existing shareholders may be sold subject to the restrictions under Rule 144 under the Securities Act or by means of registered public offerings.</w:t>
      </w:r>
    </w:p>
    <w:p>
      <w:pPr>
        <w:spacing w:after="0" w:line="184"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[Other than this offering, ]we are not aware of any plans by any significant shareholders to dispose of significant numbers of our ADSs or ordinary shares. However, one or more existing shareholders or owners of securities convertible or exchangeable into or exercisable for our ADSs or ordinary shares may dispose of significant numbers of our ADSs or ordinary shares in the future. We cannot predict what effect, if any, future sales of our ADSs or ordinary shares, or the availability of ADSs or ordinary shares for future sale, will have on the trading price of our ADSs from time to time. Sales of substantial amounts of our ADSs or ordinary shares in the public market, or the perception that these sales could occur, could adversely affect the trading price of our ADSs.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All of our ordinary shares that will be outstanding upon the completion of this offering, other than those Class A ordinary shares sold in this offering, are “restricted shares” as that term is defined in Rule 144 under the Securities Act and may be sold publicly in the United States only if they are subject to an effective registration statement under the Securities Act or pursuant to an exemption from the registration requirements. Under Rule 144 as currently in effect, a person who has beneficially owned our restricted shares for at least six months is generally entitled to sell the restricted securities without registration under the Securities Act beginning 90 days after the date of this prospectus, subject to certain additional restrictions.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400"/>
          </w:cols>
          <w:pgMar w:left="240" w:top="446" w:right="25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Times New Roman" w:cs="Times New Roman" w:eastAsia="Times New Roman" w:hAnsi="Times New Roman"/>
                <w:sz w:val="18"/>
                <w:szCs w:val="18"/>
                <w:b w:val="1"/>
                <w:bCs w:val="1"/>
                <w:color w:val="0000EE"/>
                <w:w w:val="97"/>
              </w:rPr>
            </w:pPr>
            <w:hyperlink w:anchor="page5">
              <w:r>
                <w:rPr>
                  <w:rFonts w:ascii="Times New Roman" w:cs="Times New Roman" w:eastAsia="Times New Roman" w:hAnsi="Times New Roman"/>
                  <w:sz w:val="18"/>
                  <w:szCs w:val="18"/>
                  <w:b w:val="1"/>
                  <w:bCs w:val="1"/>
                  <w:color w:val="0000EE"/>
                  <w:w w:val="97"/>
                </w:rPr>
                <w:t>Table of Contents</w:t>
              </w:r>
            </w:hyperlink>
          </w:p>
        </w:tc>
        <w:tc>
          <w:tcPr>
            <w:tcW w:w="79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534"/>
        </w:trPr>
        <w:tc>
          <w:tcPr>
            <w:tcW w:w="93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Our affiliates may sell within any three-month period a number of restricted shares that does not exceed the greater of:</w:t>
            </w:r>
          </w:p>
        </w:tc>
        <w:tc>
          <w:tcPr>
            <w:tcW w:w="2000" w:type="dxa"/>
            <w:vAlign w:val="bottom"/>
          </w:tcPr>
          <w:p>
            <w:pPr>
              <w:spacing w:after="0"/>
              <w:rPr>
                <w:sz w:val="24"/>
                <w:szCs w:val="24"/>
                <w:color w:val="auto"/>
              </w:rPr>
            </w:pPr>
          </w:p>
        </w:tc>
      </w:tr>
      <w:tr>
        <w:trPr>
          <w:trHeight w:val="319"/>
        </w:trPr>
        <w:tc>
          <w:tcPr>
            <w:tcW w:w="93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   1% of the then outstanding ordinary shares of the same class, in the form of ADSs or otherwise, which will equal</w:t>
            </w:r>
          </w:p>
        </w:tc>
        <w:tc>
          <w:tcPr>
            <w:tcW w:w="20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7"/>
              </w:rPr>
              <w:t>Class A ordinary shares</w:t>
            </w:r>
          </w:p>
        </w:tc>
      </w:tr>
      <w:tr>
        <w:trPr>
          <w:trHeight w:val="234"/>
        </w:trPr>
        <w:tc>
          <w:tcPr>
            <w:tcW w:w="93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immediately after this offering assuming the underwriters do not exercise their over-allotment option; or</w:t>
            </w:r>
          </w:p>
        </w:tc>
        <w:tc>
          <w:tcPr>
            <w:tcW w:w="2000" w:type="dxa"/>
            <w:vAlign w:val="bottom"/>
          </w:tcPr>
          <w:p>
            <w:pPr>
              <w:spacing w:after="0"/>
              <w:rPr>
                <w:sz w:val="20"/>
                <w:szCs w:val="20"/>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900" w:right="40" w:hanging="325"/>
        <w:spacing w:after="0" w:line="282" w:lineRule="auto"/>
        <w:tabs>
          <w:tab w:leader="none" w:pos="9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ordinary shares of the same class, in the form of ADSs or otherwise, on the NASDAQ, during the four calendar weeks preceding the date on which notice of the sale is filed with the SEC.</w:t>
      </w:r>
    </w:p>
    <w:p>
      <w:pPr>
        <w:spacing w:after="0" w:line="162"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Affiliates who sell restricted securities under Rule 144 may not solicit orders or arrange for the solicitation of orders, and they are also subject to notice requirements and the availability of current public information about us.</w:t>
      </w:r>
    </w:p>
    <w:p>
      <w:pPr>
        <w:spacing w:after="0" w:line="162" w:lineRule="exact"/>
        <w:rPr>
          <w:sz w:val="20"/>
          <w:szCs w:val="20"/>
          <w:color w:val="auto"/>
        </w:rPr>
      </w:pPr>
    </w:p>
    <w:p>
      <w:pPr>
        <w:ind w:right="800" w:firstLine="456"/>
        <w:spacing w:after="0" w:line="282" w:lineRule="auto"/>
        <w:rPr>
          <w:sz w:val="20"/>
          <w:szCs w:val="20"/>
          <w:color w:val="auto"/>
        </w:rPr>
      </w:pPr>
      <w:r>
        <w:rPr>
          <w:rFonts w:ascii="Times New Roman" w:cs="Times New Roman" w:eastAsia="Times New Roman" w:hAnsi="Times New Roman"/>
          <w:sz w:val="18"/>
          <w:szCs w:val="18"/>
          <w:color w:val="auto"/>
        </w:rPr>
        <w:t>Persons who are not our affiliates are only subject to one of these additional restrictions, the requirement of the availability of current public information about us, and this additional restriction does not apply if they have beneficially owned our restricted shares for more than one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each of our employees, consultants or advisors who purchases our ordinary shares from us in connection with a compensatory stock or option plan or other written agreement relating to compensation is eligible to resell such ordinary shares 90 days after we became a reporting company under the Exchange Act in reliance on Rule 144, but without compliance with some of the restrictions, including the holding period, contained in Rule 144.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Upon completion of this offering, holders of our registrable securities will be entitled to request that we register their shares under the Securities Act, following the expiration of the lock-up agreements described above. See “Description of Share Capital — Shareholders Agreement.”</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360"/>
          </w:cols>
          <w:pgMar w:left="240" w:top="446" w:right="29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ind w:right="340" w:firstLine="456"/>
        <w:spacing w:after="0" w:line="261" w:lineRule="auto"/>
        <w:rPr>
          <w:sz w:val="20"/>
          <w:szCs w:val="20"/>
          <w:color w:val="auto"/>
        </w:rPr>
      </w:pPr>
      <w:r>
        <w:rPr>
          <w:rFonts w:ascii="Times New Roman" w:cs="Times New Roman" w:eastAsia="Times New Roman" w:hAnsi="Times New Roman"/>
          <w:sz w:val="18"/>
          <w:szCs w:val="18"/>
          <w:color w:val="auto"/>
        </w:rPr>
        <w:t>The following summary of the material Cayman Islands, PRC and U.S. federal income tax consequences of an investment in our ADSs or ordinary shares is based upon laws and relevant interpretations thereof in effect as of the date of this registration statement, all of which are subject to change. This summary does not discuss all possible tax consequences relating to an investment in our ADSs or ordinary shares, such as the tax consequences under U.S. state and local tax laws or under the tax laws of jurisdictions other than the Cayman Islands, the People’s Republic of China and the United States.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or our shareholders or ADS holders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121"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“de facto management body” within the PRC is considered a resident enterprise. The implementation rules define the term “de facto management body” as the body that exercises full and substantial control and overall management over the business, productions,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State Administration of Taxation’s general position on how the term “de facto management body”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89"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We believe that iClick Interactive Asia Group Limited is not a PRC resident enterprise for PRC tax purposes. iClick Interactive Asia Group Limited is not controlled by a PRC enterprise or PRC enterprise group and we do not believe that iClick Interactive Asia Group Limited meets all of the conditions above. iClick Interactive Asia Group Limited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However, the tax resident status of an enterprise is subject to determination by the PRC tax authorities and uncertainties remain with respect to the interpretation of the term “de facto management body.”</w:t>
      </w:r>
    </w:p>
    <w:p>
      <w:pPr>
        <w:spacing w:after="0" w:line="188"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If the PRC tax authorities determine that iClick Interactive Asia Group Limited is a PRC resident enterprise for enterprise income tax purposes, we may be required to withhold a tax at the rate of 10% (or other preferential rates in the applicable tax treaty) from dividends we pay to our shareholders that are non-resident enterprises,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420"/>
          </w:cols>
          <w:pgMar w:left="240" w:top="455" w:right="23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including the holders of our ADSs. In addition, non-resident enterprise shareholders (including our ADS holders) may be subject to a 10% PRC tax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would be withheld at source) unless a reduced rate is available under an applicable tax treaty. It is also unclear whether non-PRC shareholders of iClick Interactive Asia Group Limited would be able to claim the benefits of any tax treaties between their country of tax residence and the PRC in the event that iClick Interactive Asia Group Limited is treated as a PRC resident enterprise.</w:t>
      </w:r>
    </w:p>
    <w:p>
      <w:pPr>
        <w:spacing w:after="0" w:line="189"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In January 2009, the State Administration of Taxation promulgated the Provisional Measures for the Administration of Withholding of Enterprise Income Tax for Non-resident Enterprises, pursuant to which the entities that have the direct obligation to make certain payments to a non-resident enterprise should act as withholding agents for the non-resident enterprise, and such payments include: income from equity investments (including dividends and other return on investment), interest, rents, royalties and income from assignment of property as well as other incomes subject to enterprise income tax received by non-resident enterprises in China. Further, the measures provide that in case of an equity transfer between two non-resident enterprises which occurs outside China, the non-resident enterprise which receives the equity transfer payment must, by itself or engage an agent to, file tax declaration with the PRC tax authority located at place of the PRC company whose equity has been transferred, and the PRC company whose equity has been transferred should assist the tax authorities to collect taxes from the relevant non-resident enterprise.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21"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The following is a summary of material U.S. federal income tax considerations that are likely to be relevant to the purchase, ownership and disposition of our ordinary shares or ADSs by a U.S. Holder (as defined below).</w:t>
      </w:r>
    </w:p>
    <w:p>
      <w:pPr>
        <w:spacing w:after="0" w:line="162" w:lineRule="exact"/>
        <w:rPr>
          <w:sz w:val="20"/>
          <w:szCs w:val="20"/>
          <w:color w:val="auto"/>
        </w:rPr>
      </w:pPr>
    </w:p>
    <w:p>
      <w:pPr>
        <w:ind w:right="460" w:firstLine="456"/>
        <w:spacing w:after="0" w:line="266" w:lineRule="auto"/>
        <w:rPr>
          <w:sz w:val="20"/>
          <w:szCs w:val="20"/>
          <w:color w:val="auto"/>
        </w:rPr>
      </w:pPr>
      <w:r>
        <w:rPr>
          <w:rFonts w:ascii="Times New Roman" w:cs="Times New Roman" w:eastAsia="Times New Roman" w:hAnsi="Times New Roman"/>
          <w:sz w:val="18"/>
          <w:szCs w:val="18"/>
          <w:color w:val="auto"/>
        </w:rPr>
        <w:t>This summary is based on provisions of the Internal Revenue Code of 1986, as amended (the “Code”),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176"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This summary is not a comprehensive discussion of all of the tax considerations that may be relevant to a particular investor’s decision to purchase, hold, or dispose of ordinary shares or ADSs. In particular, this summary is directed only to U.S. Holders that hold ordinary shares or ADSs as capital assets and does not address all of the tax consequences to U.S. Holders who may be subject to special tax rules, such as banks, brokers or dealers in securities or currencies, traders in securities electing to mark to market, financial institutions, life insurance companies, tax exempt entities, partnerships (including any entities treated as partnerships for U.S. tax purposes) and the partners therein, holders that own or are treated as owning 10% or more of our voting ordinary shares, persons holding ordinary shares or ADSs as part of a hedging or conversion transaction or a straddle, or persons whose functional currency is not the U.S. dollar. Moreover, this summary does not address state, local or non-U.S. taxes, the U.S. federal estate and gift taxes, or the Medicare contribution tax applicable to net investment income of certain non-corporate U.S. Holders, or alternative minimum tax consequences of acquiring, holding or disposing of ordinary shares or ADSs.</w:t>
      </w:r>
    </w:p>
    <w:p>
      <w:pPr>
        <w:spacing w:after="0" w:line="189"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For purposes of this summary, a “U.S. Holder” is a beneficial owner of ordinary shares or ADSs that is a citizen or resident of the United States or a U.S. domestic corporation or that otherwise is subject to U.S. federal income taxation on a net income basis in respect of such ordinary shares or ADSs.</w:t>
      </w:r>
    </w:p>
    <w:p>
      <w:pPr>
        <w:spacing w:after="0" w:line="158"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You should consult your own tax advisors about the consequences of the acquisition, ownership and disposition of the ordinary shares or ADSs, including the relevance to your particular situation of the considerations discussed below and any consequences arising under non-U.S., state, local or other tax laws.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360"/>
          </w:cols>
          <w:pgMar w:left="240" w:top="456" w:right="29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ADSs</w:t>
      </w:r>
    </w:p>
    <w:p>
      <w:pPr>
        <w:spacing w:after="0" w:line="121"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In general, if you are a U.S. Holder of ADSs, you will be treated, for U.S. federal income tax purposes, as the beneficial owner of the underlying ordinary shares that are represented by those ADSs.</w:t>
      </w:r>
    </w:p>
    <w:p>
      <w:pPr>
        <w:spacing w:after="0" w:line="162"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The U.S. Treasury has expressed concerns that parties to whom ADSs are released before the underlying shares are delivered to the depositary (“pre-release”), or intermediaries in the chain of ownership between holders of ADSs and the issuer of the security underlying the ADSs, may be taking actions that are inconsistent with the claiming of foreign tax credits by holders of ADSs. These actions would also be inconsistent with the claiming of the reduced rate of tax, described below, applicable to dividends received by certain non-corporate holders. Accordingly, the creditability of PRC taxes, and the availability of the reduced tax rate for dividends received by certain non-corporate U.S. Holders, each described below, could be affected by actions taken by such parties or intermediaries.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2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the gross amount of any distribution of cash or property with respect to our ordinary shares or ADSs that is paid out of our current or accumulated earnings and profits (as determined for United States federal income tax purposes) will generally be includible in your taxable income as ordinary dividend income on the day on which you receive the dividend, in the case of ordinary shares, or the date the depositary receives the dividends, in the case of ADSs, and will not be eligible for the dividends-received deduction allowed to U.S. corporations under the Code.</w:t>
      </w:r>
    </w:p>
    <w:p>
      <w:pPr>
        <w:spacing w:after="0" w:line="184"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We do not expect to maintain calculations of our earnings and profits in accordance with U.S. federal income tax principles. U.S. Holders therefore should expect that distributions generally will be treated as dividends for U.S. federal income tax purposes.</w:t>
      </w:r>
    </w:p>
    <w:p>
      <w:pPr>
        <w:spacing w:after="0" w:line="162"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Subject to certain exceptions for short-term positions, the dividends received by an individual with respect to the ordinary shares or ADSs will be subject to taxation at a preferential rate if the dividends are “qualified dividends.” Dividends paid on the ordinary shares or ADSs will be treated as qualified dividends if:</w:t>
      </w:r>
    </w:p>
    <w:p>
      <w:pPr>
        <w:spacing w:after="0" w:line="82" w:lineRule="exact"/>
        <w:rPr>
          <w:sz w:val="20"/>
          <w:szCs w:val="20"/>
          <w:color w:val="auto"/>
        </w:rPr>
      </w:pPr>
    </w:p>
    <w:p>
      <w:pPr>
        <w:ind w:left="900" w:right="100" w:hanging="325"/>
        <w:spacing w:after="0" w:line="266" w:lineRule="auto"/>
        <w:tabs>
          <w:tab w:leader="none" w:pos="9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or ADSs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not, in the year prior to the year in which the dividend was paid, and are not, in the year in which the dividend is paid, a PFIC.</w:t>
      </w:r>
    </w:p>
    <w:p>
      <w:pPr>
        <w:spacing w:after="0" w:line="225"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ADSs will be listed on the NASDAQ Select Market, and will qualify as readily tradable on an established securities market in the United States so long as they are so listed. [Based on our audited financial statements, we believe that we were not treated as a PFIC for U.S. federal income tax purposes with respect to our 2016 taxable year. In addition, based on our audited financial statements and our current expectations regarding the value and nature of our assets, the sources and nature of our income, and our anticipated market capitalization following this offering, we do not anticipate becoming a PFIC for our current taxable year or in the foreseeable future, as discussed under “Passive Foreign Investment Company Rules”.] Holders should consult their own tax advisors regarding the availability of the reduced dividend tax rate in light of their own particular circumstances.</w:t>
      </w:r>
    </w:p>
    <w:p>
      <w:pPr>
        <w:spacing w:after="0" w:line="188"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Because the ordinary shares are not themselves listed on a U.S. exchange, dividends received with respect to the ordinary shares that are not represented by ADSs may not be treated as qualified dividends. U.S. Holders of ordinary shares or ADSs should consult their own tax advisors regarding the potential availability of the reduced dividend tax rate on shares in the light of their own particular circumstances.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380"/>
          </w:cols>
          <w:pgMar w:left="240" w:top="456" w:right="27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the event that we are deemed to be a PRC resident enterprise under the PRC Enterprise Income Tax Law (see “Taxation — People’s Republic of China Taxation”), a U.S. Holder may be subject to PRC withholding taxes on dividends paid on our ADSs or ordinary shares. In that case, we may, however, be eligible for the benefits of the Agreement Between the Government of the United States of America and the Government of the People’s Republic of China for the Avoidance of Double Taxation and the Prevention of Tax Evasion with Respect to Taxes on Income (the “Treaty”). If we are eligible for such benefits, dividends we pay on our ordinary shares, regardless of whether such shares are represented by the ADSs, would be eligible for the reduced rates of taxation described above. Dividend distributions with respect to our ordinary shares or ADSs generally will be treated as “passive category” income from sources outside the United States for purposes of determining a U.S. Holder’s U.S. foreign tax credit limitation. Subject to the limitations and conditions provided in the Code and the applicable U.S. Treasury Regulations, a U.S. Holder may be able to claim a foreign tax credit against its U.S. federal income tax liability in respect of any PRC income taxes withheld at the appropriate rate applicable to the U.S. Holder from a dividend paid to such U.S. Holder. Alternatively, the U.S. Holder may deduct such PRC income taxes from its U.S. federal taxable income, provided that the U.S. Holder elects to deduct rather than credit all foreign income taxes for the relevant taxable year. The rules with respect to foreign tax credits are complex and involve the application of rules that depend on a U.S. Holder’s particular circumstances. Accordingly, U.S. Holders are urged to consult their tax advisors regarding the availability of the foreign tax credit or the deductibility of foreign taxes under their particular circumstances.</w:t>
      </w:r>
    </w:p>
    <w:p>
      <w:pPr>
        <w:spacing w:after="0" w:line="189" w:lineRule="exact"/>
        <w:rPr>
          <w:sz w:val="20"/>
          <w:szCs w:val="20"/>
          <w:color w:val="auto"/>
        </w:rPr>
      </w:pPr>
    </w:p>
    <w:p>
      <w:pPr>
        <w:ind w:right="340" w:firstLine="456"/>
        <w:spacing w:after="0" w:line="282" w:lineRule="auto"/>
        <w:rPr>
          <w:sz w:val="20"/>
          <w:szCs w:val="20"/>
          <w:color w:val="auto"/>
        </w:rPr>
      </w:pPr>
      <w:r>
        <w:rPr>
          <w:rFonts w:ascii="Times New Roman" w:cs="Times New Roman" w:eastAsia="Times New Roman" w:hAnsi="Times New Roman"/>
          <w:sz w:val="18"/>
          <w:szCs w:val="18"/>
          <w:color w:val="auto"/>
        </w:rPr>
        <w:t>U.S. Holders that receive distributions of additional ADSs or ordinary shares or rights to subscribe for ADSs or ordinary shares as part of a pro rata distribution to all our shareholders generally will not be subject to U.S. federal income tax in respect of the distributions.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Dispositions of ADSs or Ordinary Shares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Subject to the discussion above under “Passive Foreign Investment Company Rules,” if a U.S. Holder realizes gain or loss on the sale, exchange or other disposition of ADSs or ordinary shares, that gain or loss will be capital gain or loss and generally will be long-term capital gain or loss if the ADS or ordinary shares have been held for more than one year. Long-term capital gain realized by a U.S. Holder that is an individual generally is subject to taxation at a preferential rate. The deductibility of capital losses is subject to limitations.</w:t>
      </w:r>
    </w:p>
    <w:p>
      <w:pPr>
        <w:spacing w:after="0" w:line="18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Gain, if any, realized by a U.S. Holder on the sale or other disposition of the ADSs or ordinary shares generally will be treated as U.S. source income for U.S. foreign tax credit purposes. Consequently, if a PRC withholding tax is imposed on the sale or disposition of the shares, a U.S. Holder that does not receive significant foreign source income from other sources may not be able to derive effective U.S. foreign tax credit benefits in respect of such PRC taxes. However, in the event that gain from the disposition of the ADSs or ordinary shares is subject to tax in the PRC, we may be eligible for the benefits of the Treaty, in which case, such gain may be treated as PRC source gain under Treaty. U.S. Holders should consult their own tax advisors regarding the application of the foreign tax credit rules to their investment in, and disposition of, the ADSs or ordinary shares.</w:t>
      </w:r>
    </w:p>
    <w:p>
      <w:pPr>
        <w:spacing w:after="0" w:line="188"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Deposits and withdrawals of ordinary shares by U.S. Holders in exchange for ADSs will not result in the realization of gain or loss for U.S. federal income tax purposes.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Special U.S. tax rules apply to companies that are considered to be PFICs. We will be classified as a PFIC in a particular taxable year if either</w:t>
      </w:r>
    </w:p>
    <w:p>
      <w:pPr>
        <w:spacing w:after="0" w:line="131" w:lineRule="exact"/>
        <w:rPr>
          <w:sz w:val="20"/>
          <w:szCs w:val="20"/>
          <w:color w:val="auto"/>
        </w:rPr>
      </w:pPr>
    </w:p>
    <w:p>
      <w:pPr>
        <w:ind w:left="900" w:hanging="325"/>
        <w:spacing w:after="0"/>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percent or more of our gross income for the taxable year is passive income; or</w:t>
      </w:r>
    </w:p>
    <w:p>
      <w:pPr>
        <w:spacing w:after="0" w:line="130" w:lineRule="exact"/>
        <w:rPr>
          <w:rFonts w:ascii="Times New Roman" w:cs="Times New Roman" w:eastAsia="Times New Roman" w:hAnsi="Times New Roman"/>
          <w:sz w:val="18"/>
          <w:szCs w:val="18"/>
          <w:color w:val="auto"/>
        </w:rPr>
      </w:pPr>
    </w:p>
    <w:p>
      <w:pPr>
        <w:ind w:left="900" w:right="180" w:hanging="325"/>
        <w:spacing w:after="0" w:line="266" w:lineRule="auto"/>
        <w:tabs>
          <w:tab w:leader="none" w:pos="9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percentage of the value of our assets (including assets of subsidiaries in which we own at least 25 percent of the stock) that produce or are held for the production of passive income is at least 50 percent. Although the law in this regard is not entirely clear, we treat our consolidated variable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420"/>
          </w:cols>
          <w:pgMar w:left="240" w:top="455" w:right="23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20" w:right="320"/>
        <w:spacing w:after="0" w:line="282" w:lineRule="auto"/>
        <w:rPr>
          <w:sz w:val="20"/>
          <w:szCs w:val="20"/>
          <w:color w:val="auto"/>
        </w:rPr>
      </w:pPr>
      <w:r>
        <w:rPr>
          <w:rFonts w:ascii="Times New Roman" w:cs="Times New Roman" w:eastAsia="Times New Roman" w:hAnsi="Times New Roman"/>
          <w:sz w:val="18"/>
          <w:szCs w:val="18"/>
          <w:color w:val="auto"/>
        </w:rPr>
        <w:t>interest entities as being owned by us for U.S. federal income tax purposes because we control their management decisions and are entitled to substantially all of the economic benefits associated with these entities.</w:t>
      </w:r>
    </w:p>
    <w:p>
      <w:pPr>
        <w:spacing w:after="0" w:line="16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expect to derive sufficient active revenues and to have sufficient active assets, so that we will not be classified as a PFIC for the current taxable year or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 In the event that, contrary to our expectation, we are classified as a PFIC in any year and a U.S. Holder does not make a mark-to-market election, as described in the following paragraph, the holder will be subject to a special tax at ordinary income tax rates on “excess distributions,” including certain distributions by us and gain that the holder recognizes on the sale of our ordinary shares or ADSs. The amount of income tax on any excess distributions will be increased by an interest charge to compensate for tax deferral, calculated as if the excess distributions were earned ratably over the period that the U.S. Holder holds its ordinary shares or ADSs. Classification as a PFIC may also have other adverse tax consequences, including, in the case of individuals, the denial of a step-up in the basis of his or her ordinary shares or ADSs at death.</w:t>
      </w:r>
    </w:p>
    <w:p>
      <w:pPr>
        <w:spacing w:after="0" w:line="186"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A U.S. Holder can avoid the unfavorable rules described in the preceding paragraph by electing to mark its ordinary shares or ADSs to market. If the U.S. Holder makes this mark-to-market election, the holder will be required in any year in which we are a PFIC to include as ordinary income the excess of the fair market value of the shares at year-end over the holder’s basis in those shares. In addition, any gain the U.S. Holder recognizes upon the sale of the holder’s ADSs or ordinary shares will be taxed as ordinary income in the year of sale.</w:t>
      </w:r>
    </w:p>
    <w:p>
      <w:pPr>
        <w:spacing w:after="0" w:line="180" w:lineRule="exact"/>
        <w:rPr>
          <w:sz w:val="20"/>
          <w:szCs w:val="20"/>
          <w:color w:val="auto"/>
        </w:rPr>
      </w:pPr>
    </w:p>
    <w:p>
      <w:pPr>
        <w:jc w:val="both"/>
        <w:ind w:right="260" w:firstLine="456"/>
        <w:spacing w:after="0" w:line="266" w:lineRule="auto"/>
        <w:rPr>
          <w:sz w:val="20"/>
          <w:szCs w:val="20"/>
          <w:color w:val="auto"/>
        </w:rPr>
      </w:pPr>
      <w:r>
        <w:rPr>
          <w:rFonts w:ascii="Times New Roman" w:cs="Times New Roman" w:eastAsia="Times New Roman" w:hAnsi="Times New Roman"/>
          <w:sz w:val="18"/>
          <w:szCs w:val="18"/>
          <w:color w:val="auto"/>
        </w:rPr>
        <w:t>A U.S. Holder that owns an equity interest in a PFIC must annually file IRS Form 8621. A failure to file one or more of these forms as required may toll the running of the statute of limitations in respect of each of the U.S. Holder’s taxable years for which such form is required to be filed. As a result, the taxable years with respect to which the U.S. Holder fails to file the form may remain open to assessment by the IRS indefinitely, until the form is filed.</w:t>
      </w:r>
    </w:p>
    <w:p>
      <w:pPr>
        <w:spacing w:after="0" w:line="176"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U.S. Holders should consult their own tax advisors regarding the U.S. federal income tax considerations discussed above and the desirability of making a mark-to-market election.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Financial Asset Reporting</w:t>
      </w:r>
    </w:p>
    <w:p>
      <w:pPr>
        <w:spacing w:after="0" w:line="121" w:lineRule="exact"/>
        <w:rPr>
          <w:sz w:val="20"/>
          <w:szCs w:val="20"/>
          <w:color w:val="auto"/>
        </w:rPr>
      </w:pPr>
    </w:p>
    <w:p>
      <w:pPr>
        <w:ind w:right="60" w:firstLine="456"/>
        <w:spacing w:after="0" w:line="254" w:lineRule="auto"/>
        <w:rPr>
          <w:sz w:val="20"/>
          <w:szCs w:val="20"/>
          <w:color w:val="auto"/>
        </w:rPr>
      </w:pPr>
      <w:r>
        <w:rPr>
          <w:rFonts w:ascii="Times New Roman" w:cs="Times New Roman" w:eastAsia="Times New Roman" w:hAnsi="Times New Roman"/>
          <w:sz w:val="18"/>
          <w:szCs w:val="18"/>
          <w:color w:val="auto"/>
        </w:rPr>
        <w:t>Certain U.S. Holders who are individuals that own “specified foreign financial assets” with an aggregate value in excess of US$50,000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(which would include the ordinary shares and the ADSs)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that fail to report the required information could be subject to substantial penalties. In addition, the statute of limitations for assessment of tax would be suspended, in whole or part. Prospective investors should consult their own tax advisors concerning the application of these rules to their investment in the ADSs, including the application of the rules to their particular circumstances.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Dividends paid on, and proceeds from the sale or other disposition of, the ADSs or ordinary shares to a U.S. Holder generally may be subject to the information reporting requirements of the Code and may be subject to backup withholding unless the U.S. Holder provides an accurate taxpayer identification number and makes any other required certification or otherwise establishes an exemption. Backup withholding is not an additional tax.</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420"/>
          </w:cols>
          <w:pgMar w:left="240" w:top="456" w:right="23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amount of any backup withholding from a payment to a U.S. Holder will be allowed as a refund or credit against the U.S. Holder’s U.S. federal income tax liability, provided the required information is furnished to the U.S. Internal Revenue Service in a timely manner.</w:t>
      </w:r>
    </w:p>
    <w:p>
      <w:pPr>
        <w:spacing w:after="0" w:line="162"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A holder that is a foreign corporation or a non-resident alien individual may be required to comply with certification and identification procedures in order to establish its exemption from information reporting and backup withholding.</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240"/>
          </w:cols>
          <w:pgMar w:left="240" w:top="455" w:right="41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07"/>
        </w:trPr>
        <w:tc>
          <w:tcPr>
            <w:tcW w:w="7400" w:type="dxa"/>
            <w:vAlign w:val="bottom"/>
            <w:gridSpan w:val="2"/>
          </w:tcPr>
          <w:p>
            <w:pPr>
              <w:spacing w:after="0"/>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Table of Contents</w:t>
              </w:r>
            </w:hyperlink>
          </w:p>
        </w:tc>
        <w:tc>
          <w:tcPr>
            <w:tcW w:w="39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6040" w:type="dxa"/>
            <w:vAlign w:val="bottom"/>
          </w:tcPr>
          <w:p>
            <w:pPr>
              <w:ind w:left="3620"/>
              <w:spacing w:after="0"/>
              <w:rPr>
                <w:sz w:val="20"/>
                <w:szCs w:val="20"/>
                <w:color w:val="auto"/>
              </w:rPr>
            </w:pPr>
            <w:r>
              <w:rPr>
                <w:rFonts w:ascii="Times New Roman" w:cs="Times New Roman" w:eastAsia="Times New Roman" w:hAnsi="Times New Roman"/>
                <w:sz w:val="18"/>
                <w:szCs w:val="18"/>
                <w:b w:val="1"/>
                <w:bCs w:val="1"/>
                <w:color w:val="auto"/>
              </w:rPr>
              <w:t>UNDERWRITING</w:t>
            </w:r>
          </w:p>
        </w:tc>
        <w:tc>
          <w:tcPr>
            <w:tcW w:w="3920" w:type="dxa"/>
            <w:vAlign w:val="bottom"/>
          </w:tcPr>
          <w:p>
            <w:pPr>
              <w:spacing w:after="0"/>
              <w:rPr>
                <w:sz w:val="24"/>
                <w:szCs w:val="24"/>
                <w:color w:val="auto"/>
              </w:rPr>
            </w:pPr>
          </w:p>
        </w:tc>
      </w:tr>
      <w:tr>
        <w:trPr>
          <w:trHeight w:val="432"/>
        </w:trPr>
        <w:tc>
          <w:tcPr>
            <w:tcW w:w="74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Under the terms and subject to the conditions contained in an underwriting agreement dated</w:t>
            </w:r>
          </w:p>
        </w:tc>
        <w:tc>
          <w:tcPr>
            <w:tcW w:w="392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 we have agreed to sell to the underwriters named</w:t>
            </w:r>
          </w:p>
        </w:tc>
      </w:tr>
    </w:tbl>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below, for whom Credit Suisse Securities (USA) LLC and Jefferies LLC are acting as representatives, the following respective numbers of shares of ADSs:</w:t>
      </w:r>
    </w:p>
    <w:p>
      <w:pPr>
        <w:spacing w:after="0" w:line="21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73"/>
        </w:trPr>
        <w:tc>
          <w:tcPr>
            <w:tcW w:w="6740" w:type="dxa"/>
            <w:vAlign w:val="bottom"/>
            <w:gridSpan w:val="3"/>
            <w:vMerge w:val="continue"/>
          </w:tcPr>
          <w:p>
            <w:pPr>
              <w:spacing w:after="0"/>
              <w:rPr>
                <w:sz w:val="15"/>
                <w:szCs w:val="15"/>
                <w:color w:val="auto"/>
              </w:rPr>
            </w:pP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of ADSs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Credit Suisse Securities (USA) LLC</w:t>
            </w: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9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The underwriting agreement provides that the underwriters are obligated to purchase all ADSs in the offering if any are purchased, other than those ADSs covered by the over-allotment option described below. The underwriting agreement also provides that if an underwriter defaults, the purchase commitments of non-defaulting underwriters may be increased or the offering may be terminated.</w:t>
      </w:r>
    </w:p>
    <w:p>
      <w:pPr>
        <w:spacing w:after="0" w:line="176" w:lineRule="exact"/>
        <w:rPr>
          <w:sz w:val="20"/>
          <w:szCs w:val="20"/>
          <w:color w:val="auto"/>
        </w:rPr>
      </w:pPr>
    </w:p>
    <w:p>
      <w:pPr>
        <w:ind w:right="20" w:firstLine="456"/>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62"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We have granted to the underwriters a 30-day option to purchase on a pro rata basis up to additional ADSs from us at the initial public offering price less the underwriting discounts and commissions. The option may be exercised only to cover any over-allotments of ADSs.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underwriters propose to offer ADSs initially at the public offering price on the cover page of this prospectus and to selling group members at that</w:t>
      </w:r>
    </w:p>
    <w:p>
      <w:pPr>
        <w:spacing w:after="0" w:line="27"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price less a selling concession of US$ per ADS. The underwriters and selling group members may allow a discount of US$ per ADS on sales to other broker/dealers. After the initial public offering the underwriters may change the public offering price and concession and discount to broker/dealers.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compensation and estimated expenses we and the selling stockholders will pay: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Per ADS</w:t>
            </w: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Total</w:t>
            </w:r>
          </w:p>
        </w:tc>
      </w:tr>
      <w:tr>
        <w:trPr>
          <w:trHeight w:val="119"/>
        </w:trPr>
        <w:tc>
          <w:tcPr>
            <w:tcW w:w="47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tcBorders>
              <w:top w:val="single" w:sz="8" w:color="auto"/>
            </w:tcBorders>
          </w:tcPr>
          <w:p>
            <w:pPr>
              <w:ind w:left="200"/>
              <w:spacing w:after="0" w:line="119" w:lineRule="exact"/>
              <w:rPr>
                <w:sz w:val="20"/>
                <w:szCs w:val="20"/>
                <w:color w:val="auto"/>
              </w:rPr>
            </w:pPr>
            <w:r>
              <w:rPr>
                <w:rFonts w:ascii="Times New Roman" w:cs="Times New Roman" w:eastAsia="Times New Roman" w:hAnsi="Times New Roman"/>
                <w:sz w:val="13"/>
                <w:szCs w:val="13"/>
                <w:color w:val="auto"/>
              </w:rPr>
              <w:t>Without</w:t>
            </w:r>
          </w:p>
        </w:tc>
        <w:tc>
          <w:tcPr>
            <w:tcW w:w="7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ind w:left="300"/>
              <w:spacing w:after="0" w:line="119" w:lineRule="exact"/>
              <w:rPr>
                <w:sz w:val="20"/>
                <w:szCs w:val="20"/>
                <w:color w:val="auto"/>
              </w:rPr>
            </w:pPr>
            <w:r>
              <w:rPr>
                <w:rFonts w:ascii="Times New Roman" w:cs="Times New Roman" w:eastAsia="Times New Roman" w:hAnsi="Times New Roman"/>
                <w:sz w:val="13"/>
                <w:szCs w:val="13"/>
                <w:color w:val="auto"/>
              </w:rPr>
              <w:t>With</w:t>
            </w:r>
          </w:p>
        </w:tc>
        <w:tc>
          <w:tcPr>
            <w:tcW w:w="720" w:type="dxa"/>
            <w:vAlign w:val="bottom"/>
          </w:tcPr>
          <w:p>
            <w:pPr>
              <w:spacing w:after="0"/>
              <w:rPr>
                <w:sz w:val="10"/>
                <w:szCs w:val="10"/>
                <w:color w:val="auto"/>
              </w:rPr>
            </w:pPr>
          </w:p>
        </w:tc>
        <w:tc>
          <w:tcPr>
            <w:tcW w:w="880" w:type="dxa"/>
            <w:vAlign w:val="bottom"/>
            <w:tcBorders>
              <w:top w:val="single" w:sz="8" w:color="auto"/>
            </w:tcBorders>
          </w:tcPr>
          <w:p>
            <w:pPr>
              <w:ind w:left="220"/>
              <w:spacing w:after="0" w:line="119" w:lineRule="exact"/>
              <w:rPr>
                <w:sz w:val="20"/>
                <w:szCs w:val="20"/>
                <w:color w:val="auto"/>
              </w:rPr>
            </w:pPr>
            <w:r>
              <w:rPr>
                <w:rFonts w:ascii="Times New Roman" w:cs="Times New Roman" w:eastAsia="Times New Roman" w:hAnsi="Times New Roman"/>
                <w:sz w:val="13"/>
                <w:szCs w:val="13"/>
                <w:color w:val="auto"/>
              </w:rPr>
              <w:t>Without</w:t>
            </w:r>
          </w:p>
        </w:tc>
        <w:tc>
          <w:tcPr>
            <w:tcW w:w="7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ind w:left="300"/>
              <w:spacing w:after="0" w:line="119" w:lineRule="exact"/>
              <w:rPr>
                <w:sz w:val="20"/>
                <w:szCs w:val="20"/>
                <w:color w:val="auto"/>
              </w:rPr>
            </w:pPr>
            <w:r>
              <w:rPr>
                <w:rFonts w:ascii="Times New Roman" w:cs="Times New Roman" w:eastAsia="Times New Roman" w:hAnsi="Times New Roman"/>
                <w:sz w:val="13"/>
                <w:szCs w:val="13"/>
                <w:color w:val="auto"/>
              </w:rPr>
              <w:t>With</w:t>
            </w:r>
          </w:p>
        </w:tc>
        <w:tc>
          <w:tcPr>
            <w:tcW w:w="60" w:type="dxa"/>
            <w:vAlign w:val="bottom"/>
          </w:tcPr>
          <w:p>
            <w:pPr>
              <w:spacing w:after="0"/>
              <w:rPr>
                <w:sz w:val="10"/>
                <w:szCs w:val="10"/>
                <w:color w:val="auto"/>
              </w:rPr>
            </w:pPr>
          </w:p>
        </w:tc>
      </w:tr>
      <w:tr>
        <w:trPr>
          <w:trHeight w:val="171"/>
        </w:trPr>
        <w:tc>
          <w:tcPr>
            <w:tcW w:w="4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Over-allotment</w:t>
            </w:r>
          </w:p>
        </w:tc>
        <w:tc>
          <w:tcPr>
            <w:tcW w:w="7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Over-allotment</w:t>
            </w:r>
          </w:p>
        </w:tc>
        <w:tc>
          <w:tcPr>
            <w:tcW w:w="72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Over-allotment</w:t>
            </w:r>
          </w:p>
        </w:tc>
        <w:tc>
          <w:tcPr>
            <w:tcW w:w="74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Over-allotment</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Discounts and Commissions paid by us</w:t>
            </w:r>
          </w:p>
        </w:tc>
        <w:tc>
          <w:tcPr>
            <w:tcW w:w="9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7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Expenses payable by us</w:t>
            </w:r>
          </w:p>
        </w:tc>
        <w:tc>
          <w:tcPr>
            <w:tcW w:w="17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US$</w:t>
            </w: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6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US$</w:t>
            </w:r>
          </w:p>
        </w:tc>
        <w:tc>
          <w:tcPr>
            <w:tcW w:w="16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US$</w:t>
            </w:r>
          </w:p>
        </w:tc>
      </w:tr>
    </w:tbl>
    <w:p>
      <w:pPr>
        <w:spacing w:after="0" w:line="179"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[We have agreed that we will not offer, sell, contract to sell, pledge or otherwise dispose of, directly or indirectly, or file with the Securities and Exchange Commission a registration statement under the Securities Act relating to, any ADSs, our ordinary shares or securities convertible into or exchangeable or exercisable for any ADSs or our ordinary shares, or publicly disclose the intention to make any offer, sale, pledge, disposition or filing, without the prior written consent of Credit Suisse Securities (USA) LLC and Jefferies LLC for a period of [180] days after the date of this prospectus, except issuances pursuant to the exercise of employee stock options outstanding on the date hereof.]</w:t>
      </w:r>
    </w:p>
    <w:p>
      <w:pPr>
        <w:spacing w:after="0" w:line="184" w:lineRule="exact"/>
        <w:rPr>
          <w:sz w:val="20"/>
          <w:szCs w:val="20"/>
          <w:color w:val="auto"/>
        </w:rPr>
      </w:pPr>
    </w:p>
    <w:p>
      <w:pPr>
        <w:ind w:right="180" w:firstLine="456"/>
        <w:spacing w:after="0" w:line="266" w:lineRule="auto"/>
        <w:rPr>
          <w:sz w:val="20"/>
          <w:szCs w:val="20"/>
          <w:color w:val="auto"/>
        </w:rPr>
      </w:pPr>
      <w:r>
        <w:rPr>
          <w:rFonts w:ascii="Times New Roman" w:cs="Times New Roman" w:eastAsia="Times New Roman" w:hAnsi="Times New Roman"/>
          <w:sz w:val="18"/>
          <w:szCs w:val="18"/>
          <w:color w:val="auto"/>
        </w:rPr>
        <w:t>[Our officers, directors, [major shareholders and option holders] have agreed that they will not offer, sell, contract to sell, pledge or otherwise dispose of, directly or indirectly, any ADSs, our ordinary shares or securities convertible into or exchangeable or exercisable for any ADSs or our ordinary shares, enter into a transaction that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420"/>
          </w:cols>
          <w:pgMar w:left="240" w:top="446" w:right="23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would have the same effect, or enter into any swap, hedge or other arrangement that transfers, in whole or in part, any of the economic consequences of ownership of ADSs or our ordinary shares, whether any of these transactions are to be settled by delivery of ADSs or our ordinary shares or other securities, in cash or otherwise, or publicly disclose the intention to make any offer, sale, pledge or disposition, or to enter into any transaction, swap, hedge or other arrangement, without, in each case, the prior written consent of Credit Suisse Securities (USA) LLC and Jefferies LLC for a period of [180] days after the date of this prospectus.]</w:t>
      </w:r>
    </w:p>
    <w:p>
      <w:pPr>
        <w:spacing w:after="0" w:line="184"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underwriters have reserved for sale at the initial public offering price up to ADSs for employees, directors and other persons associated with us who have expressed an interest in purchasing ADSs in the offering. If purchased by these persons, these shares will be subject to a 180-day lock-up restriction. The number of ADSs available for sale to the general public in the offering will be reduced to the extent of these persons’ purchase. Any reserved ADSs not so purchased will be offered by the underwriters to the general public on the same terms as the other shares.]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applied to list our ADSs on the NASDAQ Global Market.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connection with the listing of ADSs on the the NASDAQ Global Market, the underwriters will undertake to sell round lots of 100 shares or more to</w:t>
      </w:r>
    </w:p>
    <w:p>
      <w:pPr>
        <w:spacing w:after="0" w:line="27"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8"/>
          <w:szCs w:val="18"/>
          <w:color w:val="auto"/>
        </w:rPr>
        <w:t>a minimum of</w:t>
      </w:r>
      <w:r>
        <w:rPr>
          <w:sz w:val="20"/>
          <w:szCs w:val="20"/>
          <w:color w:val="auto"/>
        </w:rPr>
        <w:tab/>
      </w:r>
      <w:r>
        <w:rPr>
          <w:rFonts w:ascii="Times New Roman" w:cs="Times New Roman" w:eastAsia="Times New Roman" w:hAnsi="Times New Roman"/>
          <w:sz w:val="17"/>
          <w:szCs w:val="17"/>
          <w:color w:val="auto"/>
        </w:rPr>
        <w:t>beneficial owners.]</w:t>
      </w:r>
    </w:p>
    <w:p>
      <w:pPr>
        <w:spacing w:after="0" w:line="207" w:lineRule="exact"/>
        <w:rPr>
          <w:sz w:val="20"/>
          <w:szCs w:val="20"/>
          <w:color w:val="auto"/>
        </w:rPr>
      </w:pPr>
    </w:p>
    <w:p>
      <w:pPr>
        <w:jc w:val="both"/>
        <w:ind w:right="40" w:firstLine="456"/>
        <w:spacing w:after="0" w:line="266"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the ADSs. The initial public offering price was determined by negotiations among us and the representatives and will not necessarily reflect the market price of the ADSs following this offering. The principal factors that were considered in determining the initial public offering price included:</w:t>
      </w:r>
    </w:p>
    <w:p>
      <w:pPr>
        <w:spacing w:after="0" w:line="82" w:lineRule="exact"/>
        <w:rPr>
          <w:sz w:val="20"/>
          <w:szCs w:val="20"/>
          <w:color w:val="auto"/>
        </w:rPr>
      </w:pPr>
    </w:p>
    <w:p>
      <w:pPr>
        <w:ind w:left="900" w:hanging="325"/>
        <w:spacing w:after="0"/>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presented in this prospectus and otherwise available to the underwriters;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of, and prospects for, the industry in which we will compete;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management;</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prospects for our future earnings;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state of our development, results of operations and our current financial condition;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markets at the time of this offering;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market prices of, and the demand for, publicly traded common stock of generally comparable companies.</w:t>
      </w:r>
    </w:p>
    <w:p>
      <w:pPr>
        <w:spacing w:after="0" w:line="225"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We cannot assure you that the initial public offering price will correspond to the price at which the ADSs will trade in the public market subsequent to this offering or that an active trading market for the ADSs will develop and continue after this offering.</w:t>
      </w:r>
    </w:p>
    <w:p>
      <w:pPr>
        <w:spacing w:after="0" w:line="162" w:lineRule="exact"/>
        <w:rPr>
          <w:sz w:val="20"/>
          <w:szCs w:val="20"/>
          <w:color w:val="auto"/>
        </w:rPr>
      </w:pPr>
    </w:p>
    <w:p>
      <w:pPr>
        <w:ind w:right="260" w:firstLine="456"/>
        <w:spacing w:after="0" w:line="313" w:lineRule="auto"/>
        <w:rPr>
          <w:sz w:val="20"/>
          <w:szCs w:val="20"/>
          <w:color w:val="auto"/>
        </w:rPr>
      </w:pPr>
      <w:r>
        <w:rPr>
          <w:rFonts w:ascii="Times New Roman" w:cs="Times New Roman" w:eastAsia="Times New Roman" w:hAnsi="Times New Roman"/>
          <w:sz w:val="17"/>
          <w:szCs w:val="17"/>
          <w:color w:val="auto"/>
        </w:rPr>
        <w:t>In connection with the offering the underwriters may engage in stabilizing transactions, over-allotment transactions, syndicate covering transactions, penalty bids [and passive market making] in accordance with Regulation M under the Securities Exchange Act of 1934 (the “Exchange Act”).</w:t>
      </w:r>
    </w:p>
    <w:p>
      <w:pPr>
        <w:spacing w:after="0" w:line="44" w:lineRule="exact"/>
        <w:rPr>
          <w:sz w:val="20"/>
          <w:szCs w:val="20"/>
          <w:color w:val="auto"/>
        </w:rPr>
      </w:pPr>
    </w:p>
    <w:p>
      <w:pPr>
        <w:ind w:left="900" w:hanging="325"/>
        <w:spacing w:after="0"/>
        <w:tabs>
          <w:tab w:leader="none" w:pos="9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w:t>
      </w:r>
    </w:p>
    <w:p>
      <w:pPr>
        <w:spacing w:after="0" w:line="130" w:lineRule="exact"/>
        <w:rPr>
          <w:rFonts w:ascii="Times New Roman" w:cs="Times New Roman" w:eastAsia="Times New Roman" w:hAnsi="Times New Roman"/>
          <w:sz w:val="18"/>
          <w:szCs w:val="18"/>
          <w:color w:val="auto"/>
        </w:rPr>
      </w:pPr>
    </w:p>
    <w:p>
      <w:pPr>
        <w:ind w:left="900" w:hanging="325"/>
        <w:spacing w:after="0" w:line="256" w:lineRule="auto"/>
        <w:tabs>
          <w:tab w:leader="none" w:pos="9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Over-allotment involves sales by the underwriters of ADSs in excess of the number of ADSs the underwriters are obligated to purchase, which creates a syndicate short position. [The short position may be either a covered short position or a naked short position. In a covered short position, the number of ADSs over-allotted by the underwriters is not greater than the number of ADSs that they may purchase in the over-allotment option. In a naked short position, the number of ADSs involved is greater than the number of ADSs in the over-allotment option. The underwriters may close out any covered short position by either exercising their over-allotment option and/or purchasing ADSs in the open market.]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420"/>
          </w:cols>
          <w:pgMar w:left="240" w:top="456" w:right="23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55" w:lineRule="auto"/>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to the price at which they may purchase ADSs through the over-allotment option. If the underwriters sell more ADSs than could be covered by the over-allotment option, a naked short position, the position can only be closed out by buying ADSs in the open market. A naked short position is more likely to be created if the underwriters are concerned that there could be downward pressure on the price of the ADSs in the open market after pricing that could adversely affect investors who purchase in the offering.]</w:t>
      </w:r>
    </w:p>
    <w:p>
      <w:pPr>
        <w:spacing w:after="0" w:line="94"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67"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passive market making, market makers in the ADSs who are underwriters or prospective underwriters may, subject to limitations, make bids for or purchases of our ADSs until the time, if any, at which a stabilizing bid is made.]</w:t>
      </w:r>
    </w:p>
    <w:p>
      <w:pPr>
        <w:spacing w:after="0" w:line="162"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These stabilizing transactions, syndicate covering transactions and penalty bids may have the effect of raising or maintaining the market price of our ADSs or preventing or retarding a decline in the market price of the ADSs. As a result the price of our ADSs may be higher than the price that might otherwise exist in the open market. These transactions may be effected on NASDAQ Global Market or otherwise and, if commenced, may be discontinued at any time.</w:t>
      </w:r>
    </w:p>
    <w:p>
      <w:pPr>
        <w:spacing w:after="0" w:line="180"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ADSs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4"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8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These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121"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400"/>
          </w:cols>
          <w:pgMar w:left="240" w:top="456" w:right="25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Corporations Act 2001 (the “Corporations Act”), and does not purport to include the information required for a prospectus, product disclosure statement or other disclosure document under the Corporations Act. Any offer in Australia of the ADSs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 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 This prospectus contains general information only and does not take account of the investment objectives, financial situation or particular needs of any particular person. It does not contain any ADSs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Resale Restrictions</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distribution of ADSs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ADSs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ADSs.</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of Canadian Purchasers</w:t>
      </w:r>
    </w:p>
    <w:p>
      <w:pPr>
        <w:spacing w:after="0" w:line="121" w:lineRule="exact"/>
        <w:rPr>
          <w:sz w:val="20"/>
          <w:szCs w:val="20"/>
          <w:color w:val="auto"/>
        </w:rPr>
      </w:pPr>
    </w:p>
    <w:p>
      <w:pPr>
        <w:ind w:right="380" w:firstLine="456"/>
        <w:spacing w:after="0" w:line="282" w:lineRule="auto"/>
        <w:rPr>
          <w:sz w:val="20"/>
          <w:szCs w:val="20"/>
          <w:color w:val="auto"/>
        </w:rPr>
      </w:pPr>
      <w:r>
        <w:rPr>
          <w:rFonts w:ascii="Times New Roman" w:cs="Times New Roman" w:eastAsia="Times New Roman" w:hAnsi="Times New Roman"/>
          <w:sz w:val="18"/>
          <w:szCs w:val="18"/>
          <w:color w:val="auto"/>
        </w:rPr>
        <w:t>By purchasing ADSs in Canada and accepting delivery of a purchase confirmation, a purchaser is representing to us and the dealer from whom the purchase confirmation is received that:</w:t>
      </w:r>
    </w:p>
    <w:p>
      <w:pPr>
        <w:spacing w:after="0" w:line="67" w:lineRule="exact"/>
        <w:rPr>
          <w:sz w:val="20"/>
          <w:szCs w:val="20"/>
          <w:color w:val="auto"/>
        </w:rPr>
      </w:pPr>
    </w:p>
    <w:p>
      <w:pPr>
        <w:ind w:left="900" w:right="380" w:hanging="325"/>
        <w:spacing w:after="0" w:line="282" w:lineRule="auto"/>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entitled under applicable provincial securities laws to purchase the ADSs without the benefit of a prospectus qualified under those securities laws as it is an “accredited investor” as defined under National Instrument 45-106 – Prospectus Exemptions,</w:t>
      </w:r>
    </w:p>
    <w:p>
      <w:pPr>
        <w:spacing w:after="0" w:line="67"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is a “permitted client” as defined in National Instrument 31-103-Registration Requirements, Exemptions and Ongoing Registrant Obligations,</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required by law, the purchaser is purchasing as principal and not as agent,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reviewed the text above under Resale Restrictions.</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Canadian purchasers are hereby notified that the underwriters are relying on the exemption set out in section 3A.3 or 3A.4, if applicable, of National Instrument 33-105 – Underwriting Conflicts from having to provide certain conflict of interest disclosure in this document.</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Statutory Rights of Action</w:t>
      </w:r>
    </w:p>
    <w:p>
      <w:pPr>
        <w:spacing w:after="0" w:line="121"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the offering memorandum (including any amendment thereto) such as this document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400"/>
          </w:cols>
          <w:pgMar w:left="240" w:top="455" w:right="25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Enforcement of Legal Rights</w:t>
      </w:r>
    </w:p>
    <w:p>
      <w:pPr>
        <w:spacing w:after="0" w:line="121"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Taxation and Eligibility for Investment</w:t>
      </w:r>
    </w:p>
    <w:p>
      <w:pPr>
        <w:spacing w:after="0" w:line="121"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Canadian purchasers of ADSs should consult their own legal and tax advisors with respect to the tax consequences of an investment in the ADSs in their particular circumstances and about the eligibility of the ADSs for investment by the purchaser under relevant Canadian legislation.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121"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This prospectus does not constitute an invitation or offer to the public in the Cayman Islands of the ADSs, whether by way of sale or subscription. The underwriters have not offered or sold, and will not offer or sell, directly or indirectly, any ADSs in the Cayman Islands.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Dubai International Financial Center</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This document relates to an exempt offer in accordance with the Offered Securities Rules of the Dubai Financial Services Authority. This document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ADSs which are the subject of the offering contemplated by this document may be illiquid and/or subject to restrictions on their resale. Prospective purchasers of the ADSs offered should conduct their own due diligence on the ADSs. If you do not understand the contents of this document you should consult an authorized financial advisor.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which has implemented the Prospectus Directive (each, a Relevant Member State), each underwriter represents and agrees that with effect from and including the date on which the Prospectus Directive is implemented in that Relevant Member State, it has not made and will not make an offer of ADSs which are the subject of the offering contemplated by this prospectus to the public in that Relevant Member State other than:</w:t>
      </w:r>
    </w:p>
    <w:p>
      <w:pPr>
        <w:spacing w:after="0" w:line="86" w:lineRule="exact"/>
        <w:rPr>
          <w:sz w:val="20"/>
          <w:szCs w:val="20"/>
          <w:color w:val="auto"/>
        </w:rPr>
      </w:pPr>
    </w:p>
    <w:p>
      <w:pPr>
        <w:ind w:left="900" w:hanging="325"/>
        <w:spacing w:after="0"/>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130" w:lineRule="exact"/>
        <w:rPr>
          <w:rFonts w:ascii="Times New Roman" w:cs="Times New Roman" w:eastAsia="Times New Roman" w:hAnsi="Times New Roman"/>
          <w:sz w:val="18"/>
          <w:szCs w:val="18"/>
          <w:color w:val="auto"/>
        </w:rPr>
      </w:pPr>
    </w:p>
    <w:p>
      <w:pPr>
        <w:ind w:left="900" w:right="100" w:hanging="325"/>
        <w:spacing w:after="0" w:line="266" w:lineRule="auto"/>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1"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9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 provided that no such offer of ADSs shall require us or any underwriter to publish a prospectus pursuant to Article 3 of the Prospectus Directive.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340"/>
          </w:cols>
          <w:pgMar w:left="240" w:top="455" w:right="31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ADSs in any Relevant Member State means the communication in any form and by any means of sufficient information on the terms of the offer and the ADSs to be offered so as to enable an investor to decide to purchase or subscribe the ADSs,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France</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Neither this prospectus nor any other offering material relating to the ADSs described in this prospectus has been submitted to the clearance procedures of the Autorité des Marchés Financiers or of the competent authority of another member state of the European Economic Area and notified to the Autorité des Marchés Financiers. The ADSs have not been offered or sold and will not be offered or sold, directly or indirectly, to the public in France. Neither this prospectus nor any other offering material relating to the ADSs has been or will be:</w:t>
      </w:r>
    </w:p>
    <w:p>
      <w:pPr>
        <w:spacing w:after="0" w:line="86" w:lineRule="exact"/>
        <w:rPr>
          <w:sz w:val="20"/>
          <w:szCs w:val="20"/>
          <w:color w:val="auto"/>
        </w:rPr>
      </w:pPr>
    </w:p>
    <w:p>
      <w:pPr>
        <w:ind w:left="900" w:hanging="325"/>
        <w:spacing w:after="0"/>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130" w:lineRule="exact"/>
        <w:rPr>
          <w:rFonts w:ascii="Times New Roman" w:cs="Times New Roman" w:eastAsia="Times New Roman" w:hAnsi="Times New Roman"/>
          <w:sz w:val="18"/>
          <w:szCs w:val="18"/>
          <w:color w:val="auto"/>
        </w:rPr>
      </w:pPr>
    </w:p>
    <w:p>
      <w:pPr>
        <w:ind w:left="900" w:right="320" w:hanging="325"/>
        <w:spacing w:after="0" w:line="266" w:lineRule="auto"/>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ADSs to the public in France.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129" w:lineRule="exact"/>
        <w:rPr>
          <w:sz w:val="20"/>
          <w:szCs w:val="20"/>
          <w:color w:val="auto"/>
        </w:rPr>
      </w:pPr>
    </w:p>
    <w:p>
      <w:pPr>
        <w:ind w:left="900" w:right="120" w:hanging="325"/>
        <w:spacing w:after="0" w:line="267" w:lineRule="auto"/>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w:t>
      </w:r>
      <w:r>
        <w:rPr>
          <w:rFonts w:ascii="Times New Roman" w:cs="Times New Roman" w:eastAsia="Times New Roman" w:hAnsi="Times New Roman"/>
          <w:sz w:val="18"/>
          <w:szCs w:val="18"/>
          <w:i w:val="1"/>
          <w:iCs w:val="1"/>
          <w:color w:val="auto"/>
        </w:rPr>
        <w:t>investisseurs qualifiés)</w:t>
      </w:r>
      <w:r>
        <w:rPr>
          <w:rFonts w:ascii="Times New Roman" w:cs="Times New Roman" w:eastAsia="Times New Roman" w:hAnsi="Times New Roman"/>
          <w:sz w:val="18"/>
          <w:szCs w:val="18"/>
          <w:color w:val="auto"/>
        </w:rPr>
        <w:t xml:space="preserve"> and/or to a restricted circle of investors (</w:t>
      </w:r>
      <w:r>
        <w:rPr>
          <w:rFonts w:ascii="Times New Roman" w:cs="Times New Roman" w:eastAsia="Times New Roman" w:hAnsi="Times New Roman"/>
          <w:sz w:val="18"/>
          <w:szCs w:val="18"/>
          <w:i w:val="1"/>
          <w:iCs w:val="1"/>
          <w:color w:val="auto"/>
        </w:rPr>
        <w:t>cercle restreint d’investisseurs</w:t>
      </w:r>
      <w:r>
        <w:rPr>
          <w:rFonts w:ascii="Times New Roman" w:cs="Times New Roman" w:eastAsia="Times New Roman" w:hAnsi="Times New Roman"/>
          <w:sz w:val="18"/>
          <w:szCs w:val="18"/>
          <w:color w:val="auto"/>
        </w:rPr>
        <w:t>), in each case investing for their own account, all as defined in, and in accordance with articles L.411-2, D.411-1, D.411-2, D.734-1, D.744-1, D.754-1 and D.764-1 of the French Code monétaire et financier;</w:t>
      </w:r>
    </w:p>
    <w:p>
      <w:pPr>
        <w:spacing w:after="0" w:line="8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130" w:lineRule="exact"/>
        <w:rPr>
          <w:rFonts w:ascii="Times New Roman" w:cs="Times New Roman" w:eastAsia="Times New Roman" w:hAnsi="Times New Roman"/>
          <w:sz w:val="18"/>
          <w:szCs w:val="18"/>
          <w:color w:val="auto"/>
        </w:rPr>
      </w:pPr>
    </w:p>
    <w:p>
      <w:pPr>
        <w:ind w:left="900" w:right="200" w:hanging="325"/>
        <w:spacing w:after="0" w:line="313" w:lineRule="auto"/>
        <w:tabs>
          <w:tab w:leader="none" w:pos="90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 transaction that, in accordance with article L.411-2-II-1°-or-2°-or 3° of the French Code monétaire et financier and article 211-2 of the General Regulations (</w:t>
      </w:r>
      <w:r>
        <w:rPr>
          <w:rFonts w:ascii="Times New Roman" w:cs="Times New Roman" w:eastAsia="Times New Roman" w:hAnsi="Times New Roman"/>
          <w:sz w:val="17"/>
          <w:szCs w:val="17"/>
          <w:i w:val="1"/>
          <w:iCs w:val="1"/>
          <w:color w:val="auto"/>
        </w:rPr>
        <w:t>Règlement Général</w:t>
      </w:r>
      <w:r>
        <w:rPr>
          <w:rFonts w:ascii="Times New Roman" w:cs="Times New Roman" w:eastAsia="Times New Roman" w:hAnsi="Times New Roman"/>
          <w:sz w:val="17"/>
          <w:szCs w:val="17"/>
          <w:color w:val="auto"/>
        </w:rPr>
        <w:t>) of the Autorité des Marchés Financiers, does not constitute a public offer (</w:t>
      </w:r>
      <w:r>
        <w:rPr>
          <w:rFonts w:ascii="Times New Roman" w:cs="Times New Roman" w:eastAsia="Times New Roman" w:hAnsi="Times New Roman"/>
          <w:sz w:val="17"/>
          <w:szCs w:val="17"/>
          <w:i w:val="1"/>
          <w:iCs w:val="1"/>
          <w:color w:val="auto"/>
        </w:rPr>
        <w:t>appel public à l’épargne</w:t>
      </w:r>
      <w:r>
        <w:rPr>
          <w:rFonts w:ascii="Times New Roman" w:cs="Times New Roman" w:eastAsia="Times New Roman" w:hAnsi="Times New Roman"/>
          <w:sz w:val="17"/>
          <w:szCs w:val="17"/>
          <w:color w:val="auto"/>
        </w:rPr>
        <w:t>).</w:t>
      </w:r>
    </w:p>
    <w:p>
      <w:pPr>
        <w:spacing w:after="0" w:line="138"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The ADSs may be resold directly or indirectly, only in compliance with articles L.411-1, L.411-2, L.412-1 and L.621-8 through L.621-8-3 of the French Code monétaire et financier.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This prospectus does not constitute a Prospectus Directive-compliant prospectus in accordance with the German Securities Prospectus Act (Wertpapierprospektgesetz) and does therefore not allow any public offering in the Federal Republic of Germany (“Germany”) or any other Relevant Member State pursuant to § 17 and § 18 of the German Securities Prospectus Act. No action has been or will be taken in Germany that would permit a public offering of the ADSs, or distribution of a prospectus or any other offering material relating to the ADSs. In particular, no securities prospectus (Wertpapierprospekt) within the meaning of the German Securities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420"/>
          </w:cols>
          <w:pgMar w:left="240" w:top="456" w:right="23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Prospectus Act or any other applicable laws of Germany, has been or will be published within Germany, nor has this prospectus been filed with or approved by the German Federal Financial Supervisory Authority (Bundesanstalt für Finanzdienstleistungsaufsicht) for publication within Germany.</w:t>
      </w:r>
    </w:p>
    <w:p>
      <w:pPr>
        <w:spacing w:after="0" w:line="162"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Each underwriter will represent, agree and undertake, (i) that it has not offered, sold or delivered and will not offer, sell or deliver the ADSs within Germany other than in accordance with the German Securities Prospectus Act (Wertpapierprospektgesetz) and any other applicable laws in Germany governing the issue, sale and offering of ADSs, and (ii) that it will distribute in Germany any offering material relating to the ADSs only under circumstances that will result in compliance with the applicable rules and regulations of Germany.</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prospectus is strictly for use of the person who has received it. It may not be forwarded to other persons or published in Germany.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ADSs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ADSs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Securities and Futures Ordinance and any rules made under that Ordinance.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121"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collectively referred to as qualified investors. Qualified investors may be required to submit written confirmation that they meet the criteria for one of the categories of investors set forth in the prospectus.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Italy</w:t>
      </w:r>
    </w:p>
    <w:p>
      <w:pPr>
        <w:spacing w:after="0" w:line="119" w:lineRule="exact"/>
        <w:rPr>
          <w:sz w:val="20"/>
          <w:szCs w:val="20"/>
          <w:color w:val="auto"/>
        </w:rPr>
      </w:pPr>
    </w:p>
    <w:p>
      <w:pPr>
        <w:ind w:right="220" w:firstLine="456"/>
        <w:spacing w:after="0" w:line="267" w:lineRule="auto"/>
        <w:rPr>
          <w:sz w:val="20"/>
          <w:szCs w:val="20"/>
          <w:color w:val="auto"/>
        </w:rPr>
      </w:pPr>
      <w:r>
        <w:rPr>
          <w:rFonts w:ascii="Times New Roman" w:cs="Times New Roman" w:eastAsia="Times New Roman" w:hAnsi="Times New Roman"/>
          <w:sz w:val="18"/>
          <w:szCs w:val="18"/>
          <w:color w:val="auto"/>
        </w:rPr>
        <w:t xml:space="preserve">The offering of ADSs has not been registered with the </w:t>
      </w:r>
      <w:r>
        <w:rPr>
          <w:rFonts w:ascii="Times New Roman" w:cs="Times New Roman" w:eastAsia="Times New Roman" w:hAnsi="Times New Roman"/>
          <w:sz w:val="18"/>
          <w:szCs w:val="18"/>
          <w:i w:val="1"/>
          <w:iCs w:val="1"/>
          <w:color w:val="auto"/>
        </w:rPr>
        <w:t>Commissione Nazionale per le Società e la Borsa</w:t>
      </w:r>
      <w:r>
        <w:rPr>
          <w:rFonts w:ascii="Times New Roman" w:cs="Times New Roman" w:eastAsia="Times New Roman" w:hAnsi="Times New Roman"/>
          <w:sz w:val="18"/>
          <w:szCs w:val="18"/>
          <w:color w:val="auto"/>
        </w:rPr>
        <w:t xml:space="preserve"> (“CONSOB”) pursuant to Italian securities legislation and, accordingly, no ADSs may be offered, sold or delivered, nor copies of this prospectus or any other documents relating to the ADSs may not be distributed in Italy except:</w:t>
      </w:r>
    </w:p>
    <w:p>
      <w:pPr>
        <w:spacing w:after="0" w:line="81" w:lineRule="exact"/>
        <w:rPr>
          <w:sz w:val="20"/>
          <w:szCs w:val="20"/>
          <w:color w:val="auto"/>
        </w:rPr>
      </w:pPr>
    </w:p>
    <w:p>
      <w:pPr>
        <w:ind w:left="900" w:right="180" w:hanging="325"/>
        <w:spacing w:after="0" w:line="289" w:lineRule="auto"/>
        <w:tabs>
          <w:tab w:leader="none" w:pos="90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“qualified investors”, as referred to in Article 100 of Legislative Decree No. 58 of February 24, 1998, as amended (the “Decree No. 58”) and defined in Article 26, paragraph 1, letter d) of CONSOB Regulation No. 16190 of October 29, 2007, as amended (“Regulation No. 16190”) pursuant to Article 34-ter, paragraph 1, letter. b) of CONSOB Regulation No. 11971 of 14 May 1999, as amended (“Regulation No. 11971”); or</w:t>
      </w:r>
    </w:p>
    <w:p>
      <w:pPr>
        <w:spacing w:after="0" w:line="63" w:lineRule="exact"/>
        <w:rPr>
          <w:rFonts w:ascii="Times New Roman" w:cs="Times New Roman" w:eastAsia="Times New Roman" w:hAnsi="Times New Roman"/>
          <w:sz w:val="17"/>
          <w:szCs w:val="17"/>
          <w:color w:val="auto"/>
        </w:rPr>
      </w:pPr>
    </w:p>
    <w:p>
      <w:pPr>
        <w:ind w:left="900" w:right="160" w:hanging="325"/>
        <w:spacing w:after="0" w:line="282" w:lineRule="auto"/>
        <w:tabs>
          <w:tab w:leader="none" w:pos="9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where an express exemption from compliance with the offer restrictions applies, as provided under Decree No. 58 or Regulation No. 11971.</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420"/>
          </w:cols>
          <w:pgMar w:left="240" w:top="456" w:right="23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Any offer, sale or delivery of the ADSs or distribution of copies of this prospectus or any other documents relating to the ADSs in the Republic of Italy must be:</w:t>
      </w:r>
    </w:p>
    <w:p>
      <w:pPr>
        <w:spacing w:after="0" w:line="67" w:lineRule="exact"/>
        <w:rPr>
          <w:sz w:val="20"/>
          <w:szCs w:val="20"/>
          <w:color w:val="auto"/>
        </w:rPr>
      </w:pPr>
    </w:p>
    <w:p>
      <w:pPr>
        <w:ind w:left="900" w:right="320" w:hanging="325"/>
        <w:spacing w:after="0" w:line="266" w:lineRule="auto"/>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by investment firms, banks or financial intermediaries permitted to conduct such activities in the Republic of Italy in accordance with Legislative Decree No. 385 of September 1, 1993, as amended (the “Banking Law”), Decree No. 58 and Regulation No. 16190 and any other applicable laws and regulations;</w:t>
      </w:r>
    </w:p>
    <w:p>
      <w:pPr>
        <w:spacing w:after="0" w:line="8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Article 129 of the Banking Law, and the implementing guidelines of the Bank of Italy, as amended; and</w:t>
      </w:r>
    </w:p>
    <w:p>
      <w:pPr>
        <w:spacing w:after="0" w:line="130"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any other applicable notification requirement or limitation which may be imposed, from time to time, by CONSOB or the Bank of Italy or other competent authority.</w:t>
      </w:r>
    </w:p>
    <w:p>
      <w:pPr>
        <w:spacing w:after="0" w:line="162" w:lineRule="exact"/>
        <w:rPr>
          <w:sz w:val="20"/>
          <w:szCs w:val="20"/>
          <w:color w:val="auto"/>
        </w:rPr>
      </w:pPr>
    </w:p>
    <w:p>
      <w:pPr>
        <w:jc w:val="both"/>
        <w:ind w:right="200" w:firstLine="456"/>
        <w:spacing w:after="0" w:line="266" w:lineRule="auto"/>
        <w:rPr>
          <w:sz w:val="20"/>
          <w:szCs w:val="20"/>
          <w:color w:val="auto"/>
        </w:rPr>
      </w:pPr>
      <w:r>
        <w:rPr>
          <w:rFonts w:ascii="Times New Roman" w:cs="Times New Roman" w:eastAsia="Times New Roman" w:hAnsi="Times New Roman"/>
          <w:sz w:val="18"/>
          <w:szCs w:val="18"/>
          <w:color w:val="auto"/>
        </w:rPr>
        <w:t>Please note that, in accordance with Article 100-bis of Decree No. 58, where no exemption from the rules on public offerings applies, the subsequent distribution of the ADSs on the secondary market in Italy must be made in compliance with the public offer and the prospectus requirement rules provided under Decree No. 58 and Regulation No. 11971.</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Furthermore, ADSs which are initially offered and placed in Italy or abroad to qualified investors only but in the following year are regularly (“sistematicamente”) distributed on the secondary market in Italy to non-qualified investors become subject to the public offer and the prospectus requirement rules provided under Decree No. 58 and Regulation No. 11971. Failure to comply with such rules may result in the sale of the ADSs being declared null and void and in the liability of the intermediary transferring the ADSs for any damages suffered by such non-qualified investors.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ADSs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PRC</w:t>
      </w:r>
    </w:p>
    <w:p>
      <w:pPr>
        <w:spacing w:after="0" w:line="121" w:lineRule="exact"/>
        <w:rPr>
          <w:sz w:val="20"/>
          <w:szCs w:val="20"/>
          <w:color w:val="auto"/>
        </w:rPr>
      </w:pPr>
    </w:p>
    <w:p>
      <w:pPr>
        <w:jc w:val="both"/>
        <w:ind w:right="20" w:firstLine="456"/>
        <w:spacing w:after="0" w:line="261" w:lineRule="auto"/>
        <w:rPr>
          <w:sz w:val="20"/>
          <w:szCs w:val="20"/>
          <w:color w:val="auto"/>
        </w:rPr>
      </w:pPr>
      <w:r>
        <w:rPr>
          <w:rFonts w:ascii="Times New Roman" w:cs="Times New Roman" w:eastAsia="Times New Roman" w:hAnsi="Times New Roman"/>
          <w:sz w:val="18"/>
          <w:szCs w:val="18"/>
          <w:color w:val="auto"/>
        </w:rPr>
        <w:t>This prospectus has not been and will not be circulated or distributed in the PRC, and the ADSs may not be offered or sold, and will not be offered or sold, directly or indirectly, to any resident of the PRC or to persons for re-offering or resale, directly or indirectly, to any resident of the PRC except pursuant to applicable laws and regulations of the PRC. For the purpose of this paragraph, the PRC does not include Taiwan and the Special Administrative Regions of Hong Kong and Macao.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Qatar</w:t>
      </w:r>
    </w:p>
    <w:p>
      <w:pPr>
        <w:spacing w:after="0" w:line="121" w:lineRule="exact"/>
        <w:rPr>
          <w:sz w:val="20"/>
          <w:szCs w:val="20"/>
          <w:color w:val="auto"/>
        </w:rPr>
      </w:pPr>
    </w:p>
    <w:p>
      <w:pPr>
        <w:ind w:right="220" w:firstLine="456"/>
        <w:spacing w:after="0" w:line="261" w:lineRule="auto"/>
        <w:rPr>
          <w:sz w:val="20"/>
          <w:szCs w:val="20"/>
          <w:color w:val="auto"/>
        </w:rPr>
      </w:pPr>
      <w:r>
        <w:rPr>
          <w:rFonts w:ascii="Times New Roman" w:cs="Times New Roman" w:eastAsia="Times New Roman" w:hAnsi="Times New Roman"/>
          <w:sz w:val="18"/>
          <w:szCs w:val="18"/>
          <w:color w:val="auto"/>
        </w:rPr>
        <w:t>The ADSs have not been and will not be offered, sold or delivered at any time, directly or indirectly, in the State of Qatar (“Qatar”) in a manner that would constitute a public offering. This prospectus has not been reviewed or approved by or registered with the Qatar Central Bank, the Qatar Exchange or the Qatar Financial Markets Authority. This prospectus is strictly private and confidential, and may not be reproduced or used for any other purpose, nor provided to any person other than the recipient thereof.</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400"/>
          </w:cols>
          <w:pgMar w:left="240" w:top="456" w:right="25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ADSs may not be circulated or distributed, nor may the ADSs be offered or sold, or be made the subject of an invitation for subscription or purchase, whether directly or indirectly, to persons in Singapore other than</w:t>
      </w:r>
    </w:p>
    <w:p>
      <w:pPr>
        <w:spacing w:after="0" w:line="82" w:lineRule="exact"/>
        <w:rPr>
          <w:sz w:val="20"/>
          <w:szCs w:val="20"/>
          <w:color w:val="auto"/>
        </w:rPr>
      </w:pPr>
    </w:p>
    <w:p>
      <w:pPr>
        <w:ind w:left="900" w:hanging="325"/>
        <w:spacing w:after="0"/>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under Section 274 of the Securities and Futures Act, Chapter 289 of Singapore (the ‘‘SFA’’),</w:t>
      </w:r>
    </w:p>
    <w:p>
      <w:pPr>
        <w:spacing w:after="0" w:line="130"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pursuant to Section 275(1), or any person pursuant to Section 275(1A),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 the ADSs are subscribed or purchased under Section 275 of the SFA by a relevant person which is:</w:t>
      </w:r>
    </w:p>
    <w:p>
      <w:pPr>
        <w:spacing w:after="0" w:line="131" w:lineRule="exact"/>
        <w:rPr>
          <w:sz w:val="20"/>
          <w:szCs w:val="20"/>
          <w:color w:val="auto"/>
        </w:rPr>
      </w:pPr>
    </w:p>
    <w:p>
      <w:pPr>
        <w:ind w:left="900" w:right="20" w:hanging="325"/>
        <w:spacing w:after="0" w:line="282" w:lineRule="auto"/>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900" w:hanging="325"/>
        <w:spacing w:after="0" w:line="261" w:lineRule="auto"/>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85" w:lineRule="exact"/>
        <w:rPr>
          <w:rFonts w:ascii="Times New Roman" w:cs="Times New Roman" w:eastAsia="Times New Roman" w:hAnsi="Times New Roman"/>
          <w:sz w:val="18"/>
          <w:szCs w:val="18"/>
          <w:color w:val="auto"/>
        </w:rPr>
      </w:pPr>
    </w:p>
    <w:p>
      <w:pPr>
        <w:ind w:left="1480" w:right="100" w:hanging="567"/>
        <w:spacing w:after="0" w:line="282" w:lineRule="auto"/>
        <w:tabs>
          <w:tab w:leader="none" w:pos="14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67"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480" w:right="740" w:hanging="567"/>
        <w:spacing w:after="0" w:line="282" w:lineRule="auto"/>
        <w:tabs>
          <w:tab w:leader="none" w:pos="14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(Sharesand Debentures) Regulations 2005 of Singapore.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121"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This document is not intended to constitute an offer or solicitation to purchase or invest in the ADSs described herein. The ADSs may not be publicly offered, sold or advertised, directly or indirectly, in, into or from Switzerland and will not be listed on the SIX Swiss Exchange or on any other exchange or regulated trading facility in Switzerland. Neither this document nor any other offering or marketing material relating to the ADSs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document nor any other offering or marketing material relating to the ADSs may be publicly distributed or otherwise made publicly available in Switzerland.</w:t>
      </w:r>
    </w:p>
    <w:p>
      <w:pPr>
        <w:spacing w:after="0" w:line="188" w:lineRule="exact"/>
        <w:rPr>
          <w:sz w:val="20"/>
          <w:szCs w:val="20"/>
          <w:color w:val="auto"/>
        </w:rPr>
      </w:pPr>
    </w:p>
    <w:p>
      <w:pPr>
        <w:jc w:val="both"/>
        <w:ind w:right="160" w:firstLine="456"/>
        <w:spacing w:after="0" w:line="266"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nor the Company nor the ADSs have been or will be filed with or approved by any Swiss regulatory authority. The ADSs are not subject to the supervision by any Swiss regulatory authority, e.g., the Swiss Financial Markets Supervisory Authority FINMA (FINMA), and investors in the ADSs will not benefit from protection or supervision by such authority.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420"/>
          </w:cols>
          <w:pgMar w:left="240" w:top="455" w:right="23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Taiwan</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Arab Emirates (Excluding the Dubai International Financial Center)</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ADSs have not been, and are not being, publicly offered, sold, promoted or advertised in the United Arab Emirates (“U.A.E.”) other than in compliance with the laws of the U.A.E. Prospective investors in the Dubai International Financial Centre should have regard to the specific selling restrictions on prospective investors in the Dubai International Financial Centre set out below.</w:t>
      </w:r>
    </w:p>
    <w:p>
      <w:pPr>
        <w:spacing w:after="0" w:line="176"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prospectus does not constitute a public offer of ADSs in the U.A.E. in accordance with the Commercial Companies Law (Federal Law No. 8 of 1984 of the U.A.E., as amended) or otherwise and is not intended to be a public offer. This prospectus has not been approved by or filed with the Central Bank of the United Arab Emirates, the Emirates Securities and Commodities Authority or the Dubai Financial Services Authority, or DFSA. If you do not understand the contents of this prospectus, you should consult an authorized financial adviser. This prospectus is provided for the benefit of the recipient only, and should not be delivered to, or relied on by, any other person.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of the underwriters severally represents warrants and agrees as follows:</w:t>
      </w:r>
    </w:p>
    <w:p>
      <w:pPr>
        <w:spacing w:after="0" w:line="131" w:lineRule="exact"/>
        <w:rPr>
          <w:sz w:val="20"/>
          <w:szCs w:val="20"/>
          <w:color w:val="auto"/>
        </w:rPr>
      </w:pPr>
    </w:p>
    <w:p>
      <w:pPr>
        <w:ind w:left="900" w:right="40" w:hanging="325"/>
        <w:spacing w:after="0" w:line="266" w:lineRule="auto"/>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ADSs in circumstances in which Section 21 of the FSMA does not apply to us; and</w:t>
      </w:r>
    </w:p>
    <w:p>
      <w:pPr>
        <w:spacing w:after="0" w:line="81" w:lineRule="exact"/>
        <w:rPr>
          <w:rFonts w:ascii="Times New Roman" w:cs="Times New Roman" w:eastAsia="Times New Roman" w:hAnsi="Times New Roman"/>
          <w:sz w:val="18"/>
          <w:szCs w:val="18"/>
          <w:color w:val="auto"/>
        </w:rPr>
      </w:pPr>
    </w:p>
    <w:p>
      <w:pPr>
        <w:ind w:left="900" w:right="140" w:hanging="325"/>
        <w:spacing w:after="0" w:line="282" w:lineRule="auto"/>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with, and will comply with all applicable provisions of the FSMA with respect to anything done by it in relation to the ADSs in, from or otherwise involving the United Kingdom.</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400"/>
          </w:cols>
          <w:pgMar w:left="240" w:top="456" w:right="25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EXPENSES RELATING TO THIS OFFERING</w:t>
      </w:r>
    </w:p>
    <w:p>
      <w:pPr>
        <w:spacing w:after="0" w:line="229" w:lineRule="exact"/>
        <w:rPr>
          <w:sz w:val="20"/>
          <w:szCs w:val="20"/>
          <w:color w:val="auto"/>
        </w:rPr>
      </w:pPr>
    </w:p>
    <w:p>
      <w:pPr>
        <w:ind w:right="560" w:firstLine="456"/>
        <w:spacing w:after="0" w:line="266" w:lineRule="auto"/>
        <w:rPr>
          <w:sz w:val="20"/>
          <w:szCs w:val="20"/>
          <w:color w:val="auto"/>
        </w:rPr>
      </w:pPr>
      <w:r>
        <w:rPr>
          <w:rFonts w:ascii="Times New Roman" w:cs="Times New Roman" w:eastAsia="Times New Roman" w:hAnsi="Times New Roman"/>
          <w:sz w:val="18"/>
          <w:szCs w:val="18"/>
          <w:color w:val="auto"/>
        </w:rPr>
        <w:t>Set forth below is an itemization of the total expenses, excluding underwriting discounts and commissions, that are expected to be incurred in connection with the offer and sale of the ADSs. With the exception of the Securities and Exchange Commission registration fee, the Financial Industry Regulatory Authority, Inc., or FINRA, filing fee and the NASDAQ Global Market listing fee, all amounts are estimates.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5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53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Global Market Listing Fee</w:t>
            </w:r>
          </w:p>
        </w:tc>
        <w:tc>
          <w:tcPr>
            <w:tcW w:w="5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Printing Expenses</w:t>
            </w:r>
          </w:p>
        </w:tc>
        <w:tc>
          <w:tcPr>
            <w:tcW w:w="53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5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536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53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360" w:type="dxa"/>
            <w:vAlign w:val="bottom"/>
          </w:tcPr>
          <w:p>
            <w:pPr>
              <w:spacing w:after="0"/>
              <w:rPr>
                <w:sz w:val="19"/>
                <w:szCs w:val="19"/>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w:t>
            </w:r>
          </w:p>
        </w:tc>
        <w:tc>
          <w:tcPr>
            <w:tcW w:w="6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5360" w:type="dxa"/>
            <w:vAlign w:val="bottom"/>
            <w:vMerge w:val="restart"/>
          </w:tcPr>
          <w:p>
            <w:pPr>
              <w:jc w:val="right"/>
              <w:ind w:right="4210"/>
              <w:spacing w:after="0"/>
              <w:rPr>
                <w:sz w:val="20"/>
                <w:szCs w:val="20"/>
                <w:color w:val="auto"/>
              </w:rPr>
            </w:pPr>
            <w:r>
              <w:rPr>
                <w:rFonts w:ascii="Times New Roman" w:cs="Times New Roman" w:eastAsia="Times New Roman" w:hAnsi="Times New Roman"/>
                <w:sz w:val="18"/>
                <w:szCs w:val="18"/>
                <w:color w:val="auto"/>
              </w:rPr>
              <w:t>213</w:t>
            </w: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8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are being represented by Cleary, Gottlieb, Steen &amp; Hamilton LLP with respect to certain legal matters as to United States federal securities and New York State law. The underwriters are being represented by Davis Polk &amp; Wardwell LLP with respect to certain legal matters as to United States federal securities and New York State law. The validity of the ordinary shares represented by the ADSs offered in this offering will be passed upon for us by Travers Thorp Alberga, Attorneys at Law. Certain legal matters as to PRC law will be passed upon for us by Jingtian &amp; Gongcheng and for the underwriters by Fangda Partners. Cleary, Gottlieb, Steen &amp; Hamilton LLP may rely upon Travers Thorp Alberga, Attorneys at Law, with respect to matters governed by Cayman Islands law and Jingtian &amp; Gongcheng with respect to matters governed by PRC law. Davis Polk &amp; Wardwell LLP may rely upon Fangda Partners with respect to matters governed by PRC law.</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300"/>
          </w:cols>
          <w:pgMar w:left="240" w:top="455" w:right="35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iClick Interactive Asia Group Limited (previously named Optimix Media Asia Limited) as of December 31, 2015 and 2016 and for each of the two years in the period ended December 31, 2016 included in this prospectus have been so included in reliance on the report of PricewaterhouseCoopers, an independent registered public accounting firm, given on the authority of said firm as experts in auditing and accounting.</w:t>
      </w:r>
    </w:p>
    <w:p>
      <w:pPr>
        <w:spacing w:after="0" w:line="176" w:lineRule="exact"/>
        <w:rPr>
          <w:sz w:val="20"/>
          <w:szCs w:val="20"/>
          <w:color w:val="auto"/>
        </w:rPr>
      </w:pPr>
    </w:p>
    <w:p>
      <w:pPr>
        <w:ind w:right="220" w:firstLine="456"/>
        <w:spacing w:after="0" w:line="266" w:lineRule="auto"/>
        <w:rPr>
          <w:sz w:val="20"/>
          <w:szCs w:val="20"/>
          <w:color w:val="auto"/>
        </w:rPr>
      </w:pPr>
      <w:r>
        <w:rPr>
          <w:rFonts w:ascii="Times New Roman" w:cs="Times New Roman" w:eastAsia="Times New Roman" w:hAnsi="Times New Roman"/>
          <w:sz w:val="18"/>
          <w:szCs w:val="18"/>
          <w:color w:val="auto"/>
        </w:rPr>
        <w:t>The consolidated statements of for OptAim for the period from January 1, 2015 to July 23, 2015 included in this prospectus have been so included in reliance upon the report of PricewaterhouseCoopers, an independent registered public accounting firm, given on the authority of said firm as experts in auditing and accounting.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office of PricewaterhouseCoopers is located at 22/F, Prince’s Building, Central, Hong Kong.</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420"/>
          </w:cols>
          <w:pgMar w:left="240" w:top="456" w:right="23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right="160" w:firstLine="456"/>
        <w:spacing w:after="0" w:line="281" w:lineRule="auto"/>
        <w:rPr>
          <w:sz w:val="20"/>
          <w:szCs w:val="20"/>
          <w:color w:val="auto"/>
        </w:rPr>
      </w:pPr>
      <w:r>
        <w:rPr>
          <w:rFonts w:ascii="Times New Roman" w:cs="Times New Roman" w:eastAsia="Times New Roman" w:hAnsi="Times New Roman"/>
          <w:sz w:val="17"/>
          <w:szCs w:val="17"/>
          <w:color w:val="auto"/>
        </w:rPr>
        <w:t>We have filed a registration statement, including relevant exhibits, with the SEC on Form F-1 under the Securities Act with respect to the underlying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16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Immediately upon the effectiveness of the registration statement on Form F-1 of which this prospectus forms a part, we will become subject to periodic reporting and other informational requirements of the Exchange Act as applicable to foreign private issuers. Accordingly, we will be required to file reports, including annual reports on Form 20-F, and other information with the SEC. All information filed with the SEC can be obtained over the internet at the SEC’s website at www.sec.gov or inspected and copied at the public reference facilities maintained by the SEC at 100 F Street, N.E., Washington, D.C. 20549. You can request copies of documents, upon payment of a duplicating fee, by writing to the SEC.</w:t>
      </w:r>
    </w:p>
    <w:p>
      <w:pPr>
        <w:spacing w:after="0" w:line="184"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combined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380"/>
          </w:cols>
          <w:pgMar w:left="240" w:top="455" w:right="27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2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 for the Years Ended December 31, 2015 and 2016</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1"/>
        </w:trPr>
        <w:tc>
          <w:tcPr>
            <w:tcW w:w="10240" w:type="dxa"/>
            <w:vAlign w:val="bottom"/>
            <w:gridSpan w:val="17"/>
            <w:vMerge w:val="continue"/>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0240" w:type="dxa"/>
            <w:vAlign w:val="bottom"/>
            <w:gridSpan w:val="17"/>
          </w:tcPr>
          <w:p>
            <w:pPr>
              <w:spacing w:after="0" w:line="194" w:lineRule="exact"/>
              <w:rPr>
                <w:rFonts w:ascii="Times New Roman" w:cs="Times New Roman" w:eastAsia="Times New Roman" w:hAnsi="Times New Roman"/>
                <w:sz w:val="18"/>
                <w:szCs w:val="18"/>
                <w:color w:val="0000EE"/>
              </w:rPr>
            </w:pPr>
            <w:hyperlink w:anchor="page223">
              <w:r>
                <w:rPr>
                  <w:rFonts w:ascii="Times New Roman" w:cs="Times New Roman" w:eastAsia="Times New Roman" w:hAnsi="Times New Roman"/>
                  <w:sz w:val="18"/>
                  <w:szCs w:val="18"/>
                  <w:color w:val="0000EE"/>
                </w:rPr>
                <w:t>Report of Independent Registered Public Accounting Firm</w:t>
              </w:r>
            </w:hyperlink>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0"/>
        </w:trPr>
        <w:tc>
          <w:tcPr>
            <w:tcW w:w="23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224">
              <w:r>
                <w:rPr>
                  <w:rFonts w:ascii="Times New Roman" w:cs="Times New Roman" w:eastAsia="Times New Roman" w:hAnsi="Times New Roman"/>
                  <w:sz w:val="18"/>
                  <w:szCs w:val="18"/>
                  <w:color w:val="0000EE"/>
                  <w:w w:val="99"/>
                </w:rPr>
                <w:t>Consolidated Balance Sheets as of December 31, 2015 and 2016</w:t>
              </w:r>
            </w:hyperlink>
          </w:p>
        </w:tc>
        <w:tc>
          <w:tcPr>
            <w:tcW w:w="5580" w:type="dxa"/>
            <w:vAlign w:val="bottom"/>
            <w:gridSpan w:val="1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196"/>
        </w:trPr>
        <w:tc>
          <w:tcPr>
            <w:tcW w:w="7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228">
              <w:r>
                <w:rPr>
                  <w:rFonts w:ascii="Times New Roman" w:cs="Times New Roman" w:eastAsia="Times New Roman" w:hAnsi="Times New Roman"/>
                  <w:sz w:val="18"/>
                  <w:szCs w:val="18"/>
                  <w:color w:val="0000EE"/>
                  <w:w w:val="99"/>
                </w:rPr>
                <w:t>Consolidated Statements of Comprehensive Loss for the years ended December 31, 2015 and 2016</w:t>
              </w:r>
            </w:hyperlink>
          </w:p>
        </w:tc>
        <w:tc>
          <w:tcPr>
            <w:tcW w:w="3100" w:type="dxa"/>
            <w:vAlign w:val="bottom"/>
            <w:gridSpan w:val="8"/>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229">
              <w:r>
                <w:rPr>
                  <w:rFonts w:ascii="Times New Roman" w:cs="Times New Roman" w:eastAsia="Times New Roman" w:hAnsi="Times New Roman"/>
                  <w:sz w:val="18"/>
                  <w:szCs w:val="18"/>
                  <w:color w:val="0000EE"/>
                  <w:w w:val="99"/>
                </w:rPr>
                <w:t>Consolidated Statements of Changes in Shareholders’ Deficit for the years ended December 31, 2015 and 2016</w:t>
              </w:r>
            </w:hyperlink>
          </w:p>
        </w:tc>
        <w:tc>
          <w:tcPr>
            <w:tcW w:w="2220" w:type="dxa"/>
            <w:vAlign w:val="bottom"/>
            <w:gridSpan w:val="5"/>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231">
              <w:r>
                <w:rPr>
                  <w:rFonts w:ascii="Times New Roman" w:cs="Times New Roman" w:eastAsia="Times New Roman" w:hAnsi="Times New Roman"/>
                  <w:sz w:val="18"/>
                  <w:szCs w:val="18"/>
                  <w:color w:val="0000EE"/>
                </w:rPr>
                <w:t>Consolidated Statements of Cash Flows for the years ended December 31, 2015 and 2016</w:t>
              </w:r>
            </w:hyperlink>
          </w:p>
        </w:tc>
        <w:tc>
          <w:tcPr>
            <w:tcW w:w="3720" w:type="dxa"/>
            <w:vAlign w:val="bottom"/>
            <w:gridSpan w:val="10"/>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196"/>
        </w:trPr>
        <w:tc>
          <w:tcPr>
            <w:tcW w:w="10240" w:type="dxa"/>
            <w:vAlign w:val="bottom"/>
            <w:gridSpan w:val="17"/>
          </w:tcPr>
          <w:p>
            <w:pPr>
              <w:spacing w:after="0" w:line="196" w:lineRule="exact"/>
              <w:rPr>
                <w:rFonts w:ascii="Times New Roman" w:cs="Times New Roman" w:eastAsia="Times New Roman" w:hAnsi="Times New Roman"/>
                <w:sz w:val="18"/>
                <w:szCs w:val="18"/>
                <w:color w:val="0000EE"/>
              </w:rPr>
            </w:pPr>
            <w:hyperlink w:anchor="page233">
              <w:r>
                <w:rPr>
                  <w:rFonts w:ascii="Times New Roman" w:cs="Times New Roman" w:eastAsia="Times New Roman" w:hAnsi="Times New Roman"/>
                  <w:sz w:val="18"/>
                  <w:szCs w:val="18"/>
                  <w:color w:val="0000EE"/>
                </w:rPr>
                <w:t>Notes to the Consolidated Financial Statements</w:t>
              </w:r>
            </w:hyperlink>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F-12</w:t>
            </w:r>
          </w:p>
        </w:tc>
        <w:tc>
          <w:tcPr>
            <w:tcW w:w="0" w:type="dxa"/>
            <w:vAlign w:val="bottom"/>
          </w:tcPr>
          <w:p>
            <w:pPr>
              <w:spacing w:after="0"/>
              <w:rPr>
                <w:sz w:val="1"/>
                <w:szCs w:val="1"/>
                <w:color w:val="auto"/>
              </w:rPr>
            </w:pPr>
          </w:p>
        </w:tc>
      </w:tr>
      <w:tr>
        <w:trPr>
          <w:trHeight w:val="20"/>
        </w:trPr>
        <w:tc>
          <w:tcPr>
            <w:tcW w:w="23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02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Financial Statements for the Six Months Ended June 30, 2016 and 2017</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7520" w:type="dxa"/>
            <w:vAlign w:val="bottom"/>
            <w:tcBorders>
              <w:bottom w:val="single" w:sz="8" w:color="0000EE"/>
            </w:tcBorders>
            <w:gridSpan w:val="11"/>
          </w:tcPr>
          <w:p>
            <w:pPr>
              <w:spacing w:after="0" w:line="194" w:lineRule="exact"/>
              <w:rPr>
                <w:rFonts w:ascii="Times New Roman" w:cs="Times New Roman" w:eastAsia="Times New Roman" w:hAnsi="Times New Roman"/>
                <w:sz w:val="18"/>
                <w:szCs w:val="18"/>
                <w:color w:val="0000EE"/>
                <w:w w:val="99"/>
              </w:rPr>
            </w:pPr>
            <w:hyperlink w:anchor="page292">
              <w:r>
                <w:rPr>
                  <w:rFonts w:ascii="Times New Roman" w:cs="Times New Roman" w:eastAsia="Times New Roman" w:hAnsi="Times New Roman"/>
                  <w:sz w:val="18"/>
                  <w:szCs w:val="18"/>
                  <w:color w:val="0000EE"/>
                  <w:w w:val="99"/>
                </w:rPr>
                <w:t>Unaudited Interim Condensed Consolidated Balance Sheets as of December 31, 2016 and June 30, 2017</w:t>
              </w:r>
            </w:hyperlink>
          </w:p>
        </w:tc>
        <w:tc>
          <w:tcPr>
            <w:tcW w:w="2720" w:type="dxa"/>
            <w:vAlign w:val="bottom"/>
            <w:gridSpan w:val="6"/>
          </w:tcPr>
          <w:p>
            <w:pPr>
              <w:spacing w:after="0"/>
              <w:rPr>
                <w:sz w:val="16"/>
                <w:szCs w:val="16"/>
                <w:color w:val="auto"/>
              </w:rPr>
            </w:pP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F-71</w:t>
            </w:r>
          </w:p>
        </w:tc>
        <w:tc>
          <w:tcPr>
            <w:tcW w:w="0" w:type="dxa"/>
            <w:vAlign w:val="bottom"/>
          </w:tcPr>
          <w:p>
            <w:pPr>
              <w:spacing w:after="0"/>
              <w:rPr>
                <w:sz w:val="1"/>
                <w:szCs w:val="1"/>
                <w:color w:val="auto"/>
              </w:rPr>
            </w:pPr>
          </w:p>
        </w:tc>
      </w:tr>
      <w:tr>
        <w:trPr>
          <w:trHeight w:val="196"/>
        </w:trPr>
        <w:tc>
          <w:tcPr>
            <w:tcW w:w="10240" w:type="dxa"/>
            <w:vAlign w:val="bottom"/>
            <w:gridSpan w:val="17"/>
          </w:tcPr>
          <w:p>
            <w:pPr>
              <w:spacing w:after="0" w:line="196" w:lineRule="exact"/>
              <w:rPr>
                <w:rFonts w:ascii="Times New Roman" w:cs="Times New Roman" w:eastAsia="Times New Roman" w:hAnsi="Times New Roman"/>
                <w:sz w:val="18"/>
                <w:szCs w:val="18"/>
                <w:color w:val="0000EE"/>
              </w:rPr>
            </w:pPr>
            <w:hyperlink w:anchor="page296">
              <w:r>
                <w:rPr>
                  <w:rFonts w:ascii="Times New Roman" w:cs="Times New Roman" w:eastAsia="Times New Roman" w:hAnsi="Times New Roman"/>
                  <w:sz w:val="18"/>
                  <w:szCs w:val="18"/>
                  <w:color w:val="0000EE"/>
                </w:rPr>
                <w:t>Unaudited Interim Condensed Consolidated Statements of Comprehensive Income for the six months ended June 30, 2016 and 2017</w:t>
              </w:r>
            </w:hyperlink>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F-75</w:t>
            </w:r>
          </w:p>
        </w:tc>
        <w:tc>
          <w:tcPr>
            <w:tcW w:w="0" w:type="dxa"/>
            <w:vAlign w:val="bottom"/>
          </w:tcPr>
          <w:p>
            <w:pPr>
              <w:spacing w:after="0"/>
              <w:rPr>
                <w:sz w:val="1"/>
                <w:szCs w:val="1"/>
                <w:color w:val="auto"/>
              </w:rPr>
            </w:pPr>
          </w:p>
        </w:tc>
      </w:tr>
      <w:tr>
        <w:trPr>
          <w:trHeight w:val="196"/>
        </w:trPr>
        <w:tc>
          <w:tcPr>
            <w:tcW w:w="954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297">
              <w:r>
                <w:rPr>
                  <w:rFonts w:ascii="Times New Roman" w:cs="Times New Roman" w:eastAsia="Times New Roman" w:hAnsi="Times New Roman"/>
                  <w:sz w:val="18"/>
                  <w:szCs w:val="18"/>
                  <w:color w:val="0000EE"/>
                </w:rPr>
                <w:t>Unaudited Interim Condensed Consolidated Statements of Changes in Shareholders’ Equity for the six months ended June 30, 2017</w:t>
              </w:r>
            </w:hyperlink>
          </w:p>
        </w:tc>
        <w:tc>
          <w:tcPr>
            <w:tcW w:w="70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F-76</w:t>
            </w:r>
          </w:p>
        </w:tc>
        <w:tc>
          <w:tcPr>
            <w:tcW w:w="0" w:type="dxa"/>
            <w:vAlign w:val="bottom"/>
          </w:tcPr>
          <w:p>
            <w:pPr>
              <w:spacing w:after="0"/>
              <w:rPr>
                <w:sz w:val="1"/>
                <w:szCs w:val="1"/>
                <w:color w:val="auto"/>
              </w:rPr>
            </w:pPr>
          </w:p>
        </w:tc>
      </w:tr>
      <w:tr>
        <w:trPr>
          <w:trHeight w:val="196"/>
        </w:trPr>
        <w:tc>
          <w:tcPr>
            <w:tcW w:w="868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298">
              <w:r>
                <w:rPr>
                  <w:rFonts w:ascii="Times New Roman" w:cs="Times New Roman" w:eastAsia="Times New Roman" w:hAnsi="Times New Roman"/>
                  <w:sz w:val="18"/>
                  <w:szCs w:val="18"/>
                  <w:color w:val="0000EE"/>
                  <w:w w:val="99"/>
                </w:rPr>
                <w:t>Unaudited Interim Condensed Consolidated Statements of Cash Flows for the six months ended June 30, 2016 and 2017</w:t>
              </w:r>
            </w:hyperlink>
          </w:p>
        </w:tc>
        <w:tc>
          <w:tcPr>
            <w:tcW w:w="800" w:type="dxa"/>
            <w:vAlign w:val="bottom"/>
            <w:tcBorders>
              <w:top w:val="single" w:sz="8" w:color="0000EE"/>
            </w:tcBorders>
          </w:tcPr>
          <w:p>
            <w:pPr>
              <w:spacing w:after="0"/>
              <w:rPr>
                <w:sz w:val="17"/>
                <w:szCs w:val="17"/>
                <w:color w:val="auto"/>
              </w:rPr>
            </w:pPr>
          </w:p>
        </w:tc>
        <w:tc>
          <w:tcPr>
            <w:tcW w:w="760" w:type="dxa"/>
            <w:vAlign w:val="bottom"/>
            <w:gridSpan w:val="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F-77</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300">
              <w:r>
                <w:rPr>
                  <w:rFonts w:ascii="Times New Roman" w:cs="Times New Roman" w:eastAsia="Times New Roman" w:hAnsi="Times New Roman"/>
                  <w:sz w:val="18"/>
                  <w:szCs w:val="18"/>
                  <w:color w:val="0000EE"/>
                  <w:w w:val="99"/>
                </w:rPr>
                <w:t>Notes to the Unaudited Interim Condensed Consolidated Financial Statements</w:t>
              </w:r>
            </w:hyperlink>
          </w:p>
        </w:tc>
        <w:tc>
          <w:tcPr>
            <w:tcW w:w="4600" w:type="dxa"/>
            <w:vAlign w:val="bottom"/>
            <w:gridSpan w:val="11"/>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F-79</w:t>
            </w:r>
          </w:p>
        </w:tc>
        <w:tc>
          <w:tcPr>
            <w:tcW w:w="0" w:type="dxa"/>
            <w:vAlign w:val="bottom"/>
          </w:tcPr>
          <w:p>
            <w:pPr>
              <w:spacing w:after="0"/>
              <w:rPr>
                <w:sz w:val="1"/>
                <w:szCs w:val="1"/>
                <w:color w:val="auto"/>
              </w:rPr>
            </w:pPr>
          </w:p>
        </w:tc>
      </w:tr>
      <w:tr>
        <w:trPr>
          <w:trHeight w:val="430"/>
        </w:trPr>
        <w:tc>
          <w:tcPr>
            <w:tcW w:w="102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OPTAIM LIMITED (Note)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24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40" w:type="dxa"/>
            <w:vAlign w:val="bottom"/>
            <w:gridSpan w:val="17"/>
          </w:tcPr>
          <w:p>
            <w:pPr>
              <w:spacing w:after="0" w:line="174" w:lineRule="exact"/>
              <w:rPr>
                <w:rFonts w:ascii="Times New Roman" w:cs="Times New Roman" w:eastAsia="Times New Roman" w:hAnsi="Times New Roman"/>
                <w:sz w:val="18"/>
                <w:szCs w:val="18"/>
                <w:color w:val="0000EE"/>
              </w:rPr>
            </w:pPr>
            <w:hyperlink w:anchor="page338">
              <w:r>
                <w:rPr>
                  <w:rFonts w:ascii="Times New Roman" w:cs="Times New Roman" w:eastAsia="Times New Roman" w:hAnsi="Times New Roman"/>
                  <w:sz w:val="18"/>
                  <w:szCs w:val="18"/>
                  <w:color w:val="0000EE"/>
                </w:rPr>
                <w:t>Report of Independent Auditors</w:t>
              </w:r>
            </w:hyperlink>
          </w:p>
        </w:tc>
        <w:tc>
          <w:tcPr>
            <w:tcW w:w="112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color w:val="auto"/>
              </w:rPr>
              <w:t>F-117</w:t>
            </w:r>
          </w:p>
        </w:tc>
        <w:tc>
          <w:tcPr>
            <w:tcW w:w="0" w:type="dxa"/>
            <w:vAlign w:val="bottom"/>
          </w:tcPr>
          <w:p>
            <w:pPr>
              <w:spacing w:after="0"/>
              <w:rPr>
                <w:sz w:val="1"/>
                <w:szCs w:val="1"/>
                <w:color w:val="auto"/>
              </w:rPr>
            </w:pPr>
          </w:p>
        </w:tc>
      </w:tr>
      <w:tr>
        <w:trPr>
          <w:trHeight w:val="20"/>
        </w:trPr>
        <w:tc>
          <w:tcPr>
            <w:tcW w:w="2300" w:type="dxa"/>
            <w:vAlign w:val="bottom"/>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20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339">
              <w:r>
                <w:rPr>
                  <w:rFonts w:ascii="Times New Roman" w:cs="Times New Roman" w:eastAsia="Times New Roman" w:hAnsi="Times New Roman"/>
                  <w:sz w:val="18"/>
                  <w:szCs w:val="18"/>
                  <w:color w:val="0000EE"/>
                  <w:w w:val="99"/>
                </w:rPr>
                <w:t>Consolidated Balance Sheet as of July 23, 2015</w:t>
              </w:r>
            </w:hyperlink>
          </w:p>
        </w:tc>
        <w:tc>
          <w:tcPr>
            <w:tcW w:w="6800" w:type="dxa"/>
            <w:vAlign w:val="bottom"/>
            <w:gridSpan w:val="14"/>
          </w:tcPr>
          <w:p>
            <w:pPr>
              <w:spacing w:after="0"/>
              <w:rPr>
                <w:sz w:val="18"/>
                <w:szCs w:val="18"/>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F-118</w:t>
            </w:r>
          </w:p>
        </w:tc>
        <w:tc>
          <w:tcPr>
            <w:tcW w:w="0" w:type="dxa"/>
            <w:vAlign w:val="bottom"/>
          </w:tcPr>
          <w:p>
            <w:pPr>
              <w:spacing w:after="0"/>
              <w:rPr>
                <w:sz w:val="1"/>
                <w:szCs w:val="1"/>
                <w:color w:val="auto"/>
              </w:rPr>
            </w:pPr>
          </w:p>
        </w:tc>
      </w:tr>
      <w:tr>
        <w:trPr>
          <w:trHeight w:val="210"/>
        </w:trPr>
        <w:tc>
          <w:tcPr>
            <w:tcW w:w="10240" w:type="dxa"/>
            <w:vAlign w:val="bottom"/>
            <w:gridSpan w:val="17"/>
          </w:tcPr>
          <w:p>
            <w:pPr>
              <w:spacing w:after="0" w:line="196" w:lineRule="exact"/>
              <w:rPr>
                <w:rFonts w:ascii="Times New Roman" w:cs="Times New Roman" w:eastAsia="Times New Roman" w:hAnsi="Times New Roman"/>
                <w:sz w:val="18"/>
                <w:szCs w:val="18"/>
                <w:color w:val="0000EE"/>
              </w:rPr>
            </w:pPr>
            <w:hyperlink w:anchor="page341">
              <w:r>
                <w:rPr>
                  <w:rFonts w:ascii="Times New Roman" w:cs="Times New Roman" w:eastAsia="Times New Roman" w:hAnsi="Times New Roman"/>
                  <w:sz w:val="18"/>
                  <w:szCs w:val="18"/>
                  <w:color w:val="0000EE"/>
                </w:rPr>
                <w:t>Consolidated Statement of Comprehensive Loss for the Period from January 1, 2015 to July 23, 2015</w:t>
              </w:r>
            </w:hyperlink>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F-120</w:t>
            </w:r>
          </w:p>
        </w:tc>
        <w:tc>
          <w:tcPr>
            <w:tcW w:w="0" w:type="dxa"/>
            <w:vAlign w:val="bottom"/>
          </w:tcPr>
          <w:p>
            <w:pPr>
              <w:spacing w:after="0"/>
              <w:rPr>
                <w:sz w:val="1"/>
                <w:szCs w:val="1"/>
                <w:color w:val="auto"/>
              </w:rPr>
            </w:pPr>
          </w:p>
        </w:tc>
      </w:tr>
      <w:tr>
        <w:trPr>
          <w:trHeight w:val="20"/>
        </w:trPr>
        <w:tc>
          <w:tcPr>
            <w:tcW w:w="6640" w:type="dxa"/>
            <w:vAlign w:val="bottom"/>
            <w:gridSpan w:val="8"/>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920" w:type="dxa"/>
            <w:vAlign w:val="bottom"/>
            <w:tcBorders>
              <w:left w:val="single" w:sz="8" w:color="0000EE"/>
            </w:tcBorders>
            <w:gridSpan w:val="3"/>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342">
              <w:r>
                <w:rPr>
                  <w:rFonts w:ascii="Times New Roman" w:cs="Times New Roman" w:eastAsia="Times New Roman" w:hAnsi="Times New Roman"/>
                  <w:sz w:val="18"/>
                  <w:szCs w:val="18"/>
                  <w:color w:val="0000EE"/>
                  <w:w w:val="99"/>
                </w:rPr>
                <w:t>Consolidated Statement of Changes in Shareholders’ Equity for the Period from January 1, 2015 to July 23, 2015</w:t>
              </w:r>
            </w:hyperlink>
          </w:p>
        </w:tc>
        <w:tc>
          <w:tcPr>
            <w:tcW w:w="2080" w:type="dxa"/>
            <w:vAlign w:val="bottom"/>
            <w:gridSpan w:val="4"/>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F-121</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343">
              <w:r>
                <w:rPr>
                  <w:rFonts w:ascii="Times New Roman" w:cs="Times New Roman" w:eastAsia="Times New Roman" w:hAnsi="Times New Roman"/>
                  <w:sz w:val="18"/>
                  <w:szCs w:val="18"/>
                  <w:color w:val="0000EE"/>
                  <w:w w:val="99"/>
                </w:rPr>
                <w:t>Consolidated Statement of Cash Flows for the Period from January 1, 2015 to July 23, 2015</w:t>
              </w:r>
            </w:hyperlink>
          </w:p>
        </w:tc>
        <w:tc>
          <w:tcPr>
            <w:tcW w:w="3600" w:type="dxa"/>
            <w:vAlign w:val="bottom"/>
            <w:gridSpan w:val="9"/>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F-122</w:t>
            </w:r>
          </w:p>
        </w:tc>
        <w:tc>
          <w:tcPr>
            <w:tcW w:w="0" w:type="dxa"/>
            <w:vAlign w:val="bottom"/>
          </w:tcPr>
          <w:p>
            <w:pPr>
              <w:spacing w:after="0"/>
              <w:rPr>
                <w:sz w:val="1"/>
                <w:szCs w:val="1"/>
                <w:color w:val="auto"/>
              </w:rPr>
            </w:pPr>
          </w:p>
        </w:tc>
      </w:tr>
      <w:tr>
        <w:trPr>
          <w:trHeight w:val="196"/>
        </w:trPr>
        <w:tc>
          <w:tcPr>
            <w:tcW w:w="10240" w:type="dxa"/>
            <w:vAlign w:val="bottom"/>
            <w:gridSpan w:val="17"/>
          </w:tcPr>
          <w:p>
            <w:pPr>
              <w:spacing w:after="0" w:line="196" w:lineRule="exact"/>
              <w:rPr>
                <w:rFonts w:ascii="Times New Roman" w:cs="Times New Roman" w:eastAsia="Times New Roman" w:hAnsi="Times New Roman"/>
                <w:sz w:val="18"/>
                <w:szCs w:val="18"/>
                <w:color w:val="0000EE"/>
              </w:rPr>
            </w:pPr>
            <w:hyperlink w:anchor="page344">
              <w:r>
                <w:rPr>
                  <w:rFonts w:ascii="Times New Roman" w:cs="Times New Roman" w:eastAsia="Times New Roman" w:hAnsi="Times New Roman"/>
                  <w:sz w:val="18"/>
                  <w:szCs w:val="18"/>
                  <w:color w:val="0000EE"/>
                </w:rPr>
                <w:t>Notes to the Consolidated Financial Statements for the Period from January 1, 2015 to July 23, 2015</w:t>
              </w:r>
            </w:hyperlink>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F-123</w:t>
            </w:r>
          </w:p>
        </w:tc>
        <w:tc>
          <w:tcPr>
            <w:tcW w:w="0" w:type="dxa"/>
            <w:vAlign w:val="bottom"/>
          </w:tcPr>
          <w:p>
            <w:pPr>
              <w:spacing w:after="0"/>
              <w:rPr>
                <w:sz w:val="1"/>
                <w:szCs w:val="1"/>
                <w:color w:val="auto"/>
              </w:rPr>
            </w:pPr>
          </w:p>
        </w:tc>
      </w:tr>
      <w:tr>
        <w:trPr>
          <w:trHeight w:val="20"/>
        </w:trPr>
        <w:tc>
          <w:tcPr>
            <w:tcW w:w="23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Effective July 24, 2015, the registrant acquired 100% equity interest of OptAim Limited (“OptAim”) for approximately US$67,620,000 in cash and shares (the “Acquisition”). Under Rule 3-05 of Regulation S-X, the Acquisition was determined to be greater than 50% material to the registrant and the net revenues reported by OptAim in its most recent fiscal year (i.e. fiscal year ended December 31, 2016) are less than US$50.0 million, requiring that 2 years of audited financials for OptAim be provided in connection with any public offering of securities by the registrant.</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meet the two-year audited financial statements requirement, the registrant is filing (i) pre-Acquisition financials for OptAim from January 1, 2015 (the first day of OptAim’s fiscal year) through July 23, 2015 (the day prior to the Acquisition’s effective date), together with a pro forma condensed combined statement of operations to illustrate the pro forma effect on iClick Interactive Asia Group Limited’s statement of comprehensive income had the Acquisition been completed on January 1, 2015, and (ii) consolidated audited financials for the twelve months ended December 31, 2016, together with a related Management’s Discussion and Analysis of Financial Condition and Results of Operations. Combining those financials pre- and post-Acquisition financials with the registrant’s filed audited financial statements for the year ended December 31, 2015 and 2016 (covering a post-Acquisition period) provides potential investors over 2 years of audited financials for OptAim.</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420"/>
          </w:cols>
          <w:pgMar w:left="240" w:top="456" w:right="23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Board of Directors and Shareholders of iClick Interactive Asia Group Limited</w:t>
      </w:r>
    </w:p>
    <w:p>
      <w:pPr>
        <w:spacing w:after="0" w:line="9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In our opinion, the accompanying consolidated balance sheets and the related consolidated statements of comprehensive loss, of changes in shareholders’ deficit and of cash flows, present fairly, in all material respects, the financial position of iClick Interactive Asia Group Limited and its subsidiaries at December 31, 2015 and 2016, and the results of their operations and their cash flows for each of the two years in the period ended December 31, 2016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PricewaterhouseCoopers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18, 2017, except for note 22, which is as of July 13, 2017</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340"/>
          </w:cols>
          <w:pgMar w:left="240" w:top="456" w:right="31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As of 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5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2016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Pro-forma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(Note 26)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114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Note</w:t>
            </w:r>
          </w:p>
        </w:tc>
        <w:tc>
          <w:tcPr>
            <w:tcW w:w="70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2015</w:t>
            </w:r>
          </w:p>
        </w:tc>
        <w:tc>
          <w:tcPr>
            <w:tcW w:w="20" w:type="dxa"/>
            <w:vAlign w:val="bottom"/>
          </w:tcPr>
          <w:p>
            <w:pPr>
              <w:spacing w:after="0"/>
              <w:rPr>
                <w:sz w:val="16"/>
                <w:szCs w:val="16"/>
                <w:color w:val="auto"/>
              </w:rPr>
            </w:pPr>
          </w:p>
        </w:tc>
        <w:tc>
          <w:tcPr>
            <w:tcW w:w="9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2016</w:t>
            </w:r>
          </w:p>
        </w:tc>
        <w:tc>
          <w:tcPr>
            <w:tcW w:w="280" w:type="dxa"/>
            <w:vAlign w:val="bottom"/>
          </w:tcPr>
          <w:p>
            <w:pPr>
              <w:spacing w:after="0"/>
              <w:rPr>
                <w:sz w:val="16"/>
                <w:szCs w:val="16"/>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10,395</w:t>
            </w:r>
          </w:p>
        </w:tc>
        <w:tc>
          <w:tcPr>
            <w:tcW w:w="1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27,280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receivables of US$1,733 and US$1,693 as of</w:t>
            </w: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2015 and 2016, respectively</w:t>
            </w:r>
          </w:p>
        </w:tc>
        <w:tc>
          <w:tcPr>
            <w:tcW w:w="11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28,423</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30,694</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Rebates receivable</w:t>
            </w:r>
          </w:p>
        </w:tc>
        <w:tc>
          <w:tcPr>
            <w:tcW w:w="1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Prepaid media costs</w:t>
            </w:r>
          </w:p>
        </w:tc>
        <w:tc>
          <w:tcPr>
            <w:tcW w:w="1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24,793</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34,409</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1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9</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4,081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1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21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74,706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102,969</w:t>
            </w:r>
          </w:p>
        </w:tc>
        <w:tc>
          <w:tcPr>
            <w:tcW w:w="28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21</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646</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682</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10</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2,942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1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11</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19,095</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14,804</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1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12</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48,496</w:t>
            </w:r>
          </w:p>
        </w:tc>
        <w:tc>
          <w:tcPr>
            <w:tcW w:w="1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48,496</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1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371</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66,671</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66,671</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146,110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169,640</w:t>
            </w: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420"/>
          </w:cols>
          <w:pgMar w:left="240" w:top="456" w:right="2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As of December 31,</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2016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Pro-forma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72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color w:val="auto"/>
              </w:rPr>
              <w:t>Note</w:t>
            </w:r>
          </w:p>
        </w:tc>
        <w:tc>
          <w:tcPr>
            <w:tcW w:w="6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color w:val="auto"/>
              </w:rPr>
              <w:t>2015</w:t>
            </w:r>
          </w:p>
        </w:tc>
        <w:tc>
          <w:tcPr>
            <w:tcW w:w="20" w:type="dxa"/>
            <w:vAlign w:val="bottom"/>
          </w:tcPr>
          <w:p>
            <w:pPr>
              <w:spacing w:after="0"/>
              <w:rPr>
                <w:sz w:val="12"/>
                <w:szCs w:val="12"/>
                <w:color w:val="auto"/>
              </w:rPr>
            </w:pPr>
          </w:p>
        </w:tc>
        <w:tc>
          <w:tcPr>
            <w:tcW w:w="920" w:type="dxa"/>
            <w:vAlign w:val="bottom"/>
            <w:gridSpan w:val="2"/>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2016</w:t>
            </w:r>
          </w:p>
        </w:tc>
        <w:tc>
          <w:tcPr>
            <w:tcW w:w="28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(Note 26)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deficit</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Accounts payable (including accounts payable of the consolidated variable interest entity (“VIE”) and its</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subsidiary without recourse to the Company of US$426 and US$28 as of December 31, 2015 and 2016,</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7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11,225</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9,189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Deferred revenue (including deferred revenue of the consolidated VIE and its subsidiary without recourse to</w:t>
            </w: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 of US$6,668 and US$11,878 as of December 31, 2015 and 2016, respectively)</w:t>
            </w: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14,935</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25,697</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25,697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Accrued liabilities and other current liabilities (including accrued liabilities and other current liabilities of the</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consolidated VIE and its subsidiary without recourse to the Company of US$66 and US$404 as of</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December 31, 2015 and 2016, respectively)</w:t>
            </w:r>
          </w:p>
        </w:tc>
        <w:tc>
          <w:tcPr>
            <w:tcW w:w="7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14</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14,808</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15,091</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16</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63,724</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60,525</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Amounts due to a related party (including amount due to a related party of the consolidated VIE and its</w:t>
            </w: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subsidiary without recourse to the Company of US$46 and US$nil as of December 31, 2015 and 2016,</w:t>
            </w: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7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23</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8,542</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12,982</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783</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21</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1,061</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1,067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115,124</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126,572</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66,047</w:t>
            </w: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7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21</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3,705</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2,638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7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16</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359</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3,705</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2,997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118,829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129,569</w:t>
            </w:r>
          </w:p>
        </w:tc>
        <w:tc>
          <w:tcPr>
            <w:tcW w:w="2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68,685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72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25</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420"/>
          </w:cols>
          <w:pgMar w:left="240" w:top="456" w:right="23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As of December 31,</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74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2016</w:t>
            </w:r>
          </w:p>
        </w:tc>
        <w:tc>
          <w:tcPr>
            <w:tcW w:w="60" w:type="dxa"/>
            <w:vAlign w:val="bottom"/>
          </w:tcPr>
          <w:p>
            <w:pPr>
              <w:spacing w:after="0"/>
              <w:rPr>
                <w:sz w:val="10"/>
                <w:szCs w:val="10"/>
                <w:color w:val="auto"/>
              </w:rPr>
            </w:pPr>
          </w:p>
        </w:tc>
      </w:tr>
      <w:tr>
        <w:trPr>
          <w:trHeight w:val="149"/>
        </w:trPr>
        <w:tc>
          <w:tcPr>
            <w:tcW w:w="7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Pro-forma</w:t>
            </w:r>
          </w:p>
        </w:tc>
      </w:tr>
      <w:tr>
        <w:trPr>
          <w:trHeight w:val="149"/>
        </w:trPr>
        <w:tc>
          <w:tcPr>
            <w:tcW w:w="7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w w:val="99"/>
              </w:rPr>
              <w:t>(Note 26)</w:t>
            </w:r>
          </w:p>
        </w:tc>
      </w:tr>
      <w:tr>
        <w:trPr>
          <w:trHeight w:val="185"/>
        </w:trPr>
        <w:tc>
          <w:tcPr>
            <w:tcW w:w="7480" w:type="dxa"/>
            <w:vAlign w:val="bottom"/>
          </w:tcPr>
          <w:p>
            <w:pPr>
              <w:spacing w:after="0"/>
              <w:rPr>
                <w:sz w:val="16"/>
                <w:szCs w:val="16"/>
                <w:color w:val="auto"/>
              </w:rPr>
            </w:pPr>
          </w:p>
        </w:tc>
        <w:tc>
          <w:tcPr>
            <w:tcW w:w="1040" w:type="dxa"/>
            <w:vAlign w:val="bottom"/>
          </w:tcPr>
          <w:p>
            <w:pPr>
              <w:jc w:val="right"/>
              <w:ind w:right="413"/>
              <w:spacing w:after="0"/>
              <w:rPr>
                <w:sz w:val="20"/>
                <w:szCs w:val="20"/>
                <w:color w:val="auto"/>
              </w:rPr>
            </w:pPr>
            <w:r>
              <w:rPr>
                <w:rFonts w:ascii="Times New Roman" w:cs="Times New Roman" w:eastAsia="Times New Roman" w:hAnsi="Times New Roman"/>
                <w:sz w:val="14"/>
                <w:szCs w:val="14"/>
                <w:color w:val="auto"/>
              </w:rPr>
              <w:t>Note</w:t>
            </w:r>
          </w:p>
        </w:tc>
        <w:tc>
          <w:tcPr>
            <w:tcW w:w="56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2015</w:t>
            </w:r>
          </w:p>
        </w:tc>
        <w:tc>
          <w:tcPr>
            <w:tcW w:w="20" w:type="dxa"/>
            <w:vAlign w:val="bottom"/>
          </w:tcPr>
          <w:p>
            <w:pPr>
              <w:spacing w:after="0"/>
              <w:rPr>
                <w:sz w:val="16"/>
                <w:szCs w:val="16"/>
                <w:color w:val="auto"/>
              </w:rPr>
            </w:pPr>
          </w:p>
        </w:tc>
        <w:tc>
          <w:tcPr>
            <w:tcW w:w="110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2016</w:t>
            </w:r>
          </w:p>
        </w:tc>
        <w:tc>
          <w:tcPr>
            <w:tcW w:w="50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(unaudited)</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98"/>
        </w:trPr>
        <w:tc>
          <w:tcPr>
            <w:tcW w:w="74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A convertible redeemable preferred shares (US$0.001 par value; 2,500,000 shares</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authorized as of December 31, 2015 and 2016, respectively; 2,476,190 shares issued and</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as of December 31, 2015 and 2016, respectively; redemption amount of</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7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US$7,393 and US$6,737 as of December 31, 2015 and 2016, respectively)</w:t>
            </w: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16</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5,487</w:t>
            </w:r>
          </w:p>
        </w:tc>
        <w:tc>
          <w:tcPr>
            <w:tcW w:w="16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5,597</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B convertible redeemable preferred shares (US$0.001 par value; 3,000,000 shares</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authorized as of December 31, 2015 and 2016, respectively; 1,889,249 shares issued and</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as of December 31, 2015 and 2016, respectively; redemption amount of</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7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US$14,441 and US$14,625 as of December 31, 2015 and 2016, respectively)</w:t>
            </w:r>
          </w:p>
        </w:tc>
        <w:tc>
          <w:tcPr>
            <w:tcW w:w="104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16</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9,145</w:t>
            </w:r>
          </w:p>
        </w:tc>
        <w:tc>
          <w:tcPr>
            <w:tcW w:w="16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9,807</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C convertible redeemable preferred shares (US$0.001 par value; 1,650,000 shares</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authorized as of December 31, 2015 and 2016, respectively; 1,599,186 shares issued and</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as of December 31, 2015 and 2016, respectively; redemption amount of</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7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US$20,636 and US$22,288 as of December 31, 2015 and 2016, respectively)</w:t>
            </w: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16</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10,733</w:t>
            </w:r>
          </w:p>
        </w:tc>
        <w:tc>
          <w:tcPr>
            <w:tcW w:w="16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10,733</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D convertible redeemable preferred shares (US$0.001 par value; 4,500,000 shares</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authorized as of December 31, 2015 and 2016, respectively; 2,493,018 shares issued and</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as of December 31, 2015 and 2016, respectively; redemption amount of</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7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US$55,944 and US$58,874 as of December 31, 2015 and 2016, respectively)</w:t>
            </w:r>
          </w:p>
        </w:tc>
        <w:tc>
          <w:tcPr>
            <w:tcW w:w="104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16</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43,956</w:t>
            </w:r>
          </w:p>
        </w:tc>
        <w:tc>
          <w:tcPr>
            <w:tcW w:w="16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43,956</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Series E convertible redeemable preferred shares (US$0.001 par value; 1,200,000 shares</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authorized as of December 31, 2016; 1,068,114 shares issued and outstanding as of</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7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2016; redemption amount of US$20,000 as of December 31, 2016)</w:t>
            </w: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16</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18,845</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Redeemable ordinary shares (US$0.001 par value; 742,320 shares issued and outstanding as of</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7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December 31, 2015 and 2016, respectively)</w:t>
            </w:r>
          </w:p>
        </w:tc>
        <w:tc>
          <w:tcPr>
            <w:tcW w:w="104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17</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13,889</w:t>
            </w:r>
          </w:p>
        </w:tc>
        <w:tc>
          <w:tcPr>
            <w:tcW w:w="16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15,445</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10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83,210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104,383</w:t>
            </w:r>
          </w:p>
        </w:tc>
        <w:tc>
          <w:tcPr>
            <w:tcW w:w="5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420"/>
          </w:cols>
          <w:pgMar w:left="240" w:top="455" w:right="23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As of December 31,</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8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2016</w:t>
            </w:r>
          </w:p>
        </w:tc>
        <w:tc>
          <w:tcPr>
            <w:tcW w:w="120" w:type="dxa"/>
            <w:vAlign w:val="bottom"/>
          </w:tcPr>
          <w:p>
            <w:pPr>
              <w:spacing w:after="0"/>
              <w:rPr>
                <w:sz w:val="10"/>
                <w:szCs w:val="10"/>
                <w:color w:val="auto"/>
              </w:rPr>
            </w:pPr>
          </w:p>
        </w:tc>
      </w:tr>
      <w:tr>
        <w:trPr>
          <w:trHeight w:val="149"/>
        </w:trPr>
        <w:tc>
          <w:tcPr>
            <w:tcW w:w="8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color w:val="auto"/>
              </w:rPr>
              <w:t>Pro-forma</w:t>
            </w:r>
          </w:p>
        </w:tc>
      </w:tr>
      <w:tr>
        <w:trPr>
          <w:trHeight w:val="149"/>
        </w:trPr>
        <w:tc>
          <w:tcPr>
            <w:tcW w:w="8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(Note 26)</w:t>
            </w:r>
          </w:p>
        </w:tc>
      </w:tr>
      <w:tr>
        <w:trPr>
          <w:trHeight w:val="185"/>
        </w:trPr>
        <w:tc>
          <w:tcPr>
            <w:tcW w:w="8040" w:type="dxa"/>
            <w:vAlign w:val="bottom"/>
          </w:tcPr>
          <w:p>
            <w:pPr>
              <w:spacing w:after="0"/>
              <w:rPr>
                <w:sz w:val="16"/>
                <w:szCs w:val="16"/>
                <w:color w:val="auto"/>
              </w:rPr>
            </w:pP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14"/>
                <w:szCs w:val="14"/>
                <w:color w:val="auto"/>
              </w:rPr>
              <w:t>Note</w:t>
            </w: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color w:val="auto"/>
              </w:rPr>
              <w:t>2015</w:t>
            </w:r>
          </w:p>
        </w:tc>
        <w:tc>
          <w:tcPr>
            <w:tcW w:w="60" w:type="dxa"/>
            <w:vAlign w:val="bottom"/>
          </w:tcPr>
          <w:p>
            <w:pPr>
              <w:spacing w:after="0"/>
              <w:rPr>
                <w:sz w:val="16"/>
                <w:szCs w:val="16"/>
                <w:color w:val="auto"/>
              </w:rPr>
            </w:pPr>
          </w:p>
        </w:tc>
        <w:tc>
          <w:tcPr>
            <w:tcW w:w="9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2016</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(unaudited)</w:t>
            </w: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(deficit)/equity</w:t>
            </w: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0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Ordinary shares (US$0.001 par value; 38,350,000 and 37,150,000 shares authorized as of December 31,</w:t>
            </w: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2015 and 2016, respectively; 13,104,300 and 13,609,208 shares issued and outstanding as of</w:t>
            </w: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8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December 31, 2015 and 2016, respectively)</w:t>
            </w:r>
          </w:p>
        </w:tc>
        <w:tc>
          <w:tcPr>
            <w:tcW w:w="6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18</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shares (2,654,188 and 2,149,280 shares as of December 31, 2015 and 2016, respectively)</w:t>
            </w:r>
          </w:p>
        </w:tc>
        <w:tc>
          <w:tcPr>
            <w:tcW w:w="6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(2,468)</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(2,468)</w:t>
            </w:r>
          </w:p>
        </w:tc>
      </w:tr>
      <w:tr>
        <w:trPr>
          <w:trHeight w:val="216"/>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53,917</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65,687</w:t>
            </w: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230,944</w:t>
            </w:r>
          </w:p>
        </w:tc>
        <w:tc>
          <w:tcPr>
            <w:tcW w:w="120" w:type="dxa"/>
            <w:vAlign w:val="bottom"/>
          </w:tcPr>
          <w:p>
            <w:pPr>
              <w:spacing w:after="0"/>
              <w:rPr>
                <w:sz w:val="18"/>
                <w:szCs w:val="18"/>
                <w:color w:val="auto"/>
              </w:rPr>
            </w:pPr>
          </w:p>
        </w:tc>
      </w:tr>
      <w:tr>
        <w:trPr>
          <w:trHeight w:val="216"/>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Statutory reserves</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8"/>
                <w:szCs w:val="18"/>
                <w:color w:val="auto"/>
              </w:rPr>
            </w:pPr>
          </w:p>
        </w:tc>
      </w:tr>
      <w:tr>
        <w:trPr>
          <w:trHeight w:val="216"/>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losses</w:t>
            </w:r>
          </w:p>
        </w:tc>
        <w:tc>
          <w:tcPr>
            <w:tcW w:w="6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(3,241)</w:t>
            </w:r>
          </w:p>
        </w:tc>
        <w:tc>
          <w:tcPr>
            <w:tcW w:w="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(3,241)</w:t>
            </w:r>
          </w:p>
        </w:tc>
      </w:tr>
      <w:tr>
        <w:trPr>
          <w:trHeight w:val="216"/>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(97,055)</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(124,385)</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(124,385)</w:t>
            </w: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(deficit)/equity</w:t>
            </w:r>
          </w:p>
        </w:tc>
        <w:tc>
          <w:tcPr>
            <w:tcW w:w="6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(55,929)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(64,312)</w:t>
            </w:r>
          </w:p>
        </w:tc>
        <w:tc>
          <w:tcPr>
            <w:tcW w:w="20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100,955</w:t>
            </w:r>
          </w:p>
        </w:tc>
        <w:tc>
          <w:tcPr>
            <w:tcW w:w="120" w:type="dxa"/>
            <w:vAlign w:val="bottom"/>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(deficit)/equity</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146,110</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169,640</w:t>
            </w: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169,640</w:t>
            </w:r>
          </w:p>
        </w:tc>
        <w:tc>
          <w:tcPr>
            <w:tcW w:w="120" w:type="dxa"/>
            <w:vAlign w:val="bottom"/>
            <w:shd w:val="clear" w:color="auto" w:fill="CCEEFF"/>
          </w:tcPr>
          <w:p>
            <w:pPr>
              <w:spacing w:after="0"/>
              <w:rPr>
                <w:sz w:val="18"/>
                <w:szCs w:val="18"/>
                <w:color w:val="auto"/>
              </w:rPr>
            </w:pPr>
          </w:p>
        </w:tc>
      </w:tr>
      <w:tr>
        <w:trPr>
          <w:trHeight w:val="20"/>
        </w:trPr>
        <w:tc>
          <w:tcPr>
            <w:tcW w:w="8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420"/>
          </w:cols>
          <w:pgMar w:left="240" w:top="455" w:right="23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46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color w:val="auto"/>
              </w:rPr>
              <w:t>Note</w:t>
            </w:r>
          </w:p>
        </w:tc>
        <w:tc>
          <w:tcPr>
            <w:tcW w:w="242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980" w:type="dxa"/>
            <w:vAlign w:val="bottom"/>
            <w:tcBorders>
              <w:top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65,242</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95,357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60" w:type="dxa"/>
            <w:vAlign w:val="bottom"/>
          </w:tcPr>
          <w:p>
            <w:pPr>
              <w:spacing w:after="0"/>
              <w:rPr>
                <w:sz w:val="19"/>
                <w:szCs w:val="19"/>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(34,531)</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6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(8,106)</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46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(31,385)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(12,745)</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(26,767)</w:t>
            </w: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6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(52,236)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(21,525)</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6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(107)</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gains/(losses), net</w:t>
            </w:r>
          </w:p>
        </w:tc>
        <w:tc>
          <w:tcPr>
            <w:tcW w:w="14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20</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791</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Fair value (loss)/gain on derivative liabilities</w:t>
            </w: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16</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(19,390)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(40,231)</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21</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555</w:t>
            </w:r>
          </w:p>
        </w:tc>
        <w:tc>
          <w:tcPr>
            <w:tcW w:w="3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loss from an equity investee</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to convertible redeemable preferred shares redemption value</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(2,692)</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Accretion to redeemable ordinary shares redemption value</w:t>
            </w:r>
          </w:p>
        </w:tc>
        <w:tc>
          <w:tcPr>
            <w:tcW w:w="146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(1,982)</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contribution from Series B-1 preferred shareholders</w:t>
            </w:r>
          </w:p>
        </w:tc>
        <w:tc>
          <w:tcPr>
            <w:tcW w:w="1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2,591</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iClick Interactive Asia Group Limited’s ordinary shareholders</w:t>
            </w:r>
          </w:p>
        </w:tc>
        <w:tc>
          <w:tcPr>
            <w:tcW w:w="146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(41,797)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(39,714)</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 net of US$nil tax</w:t>
            </w:r>
          </w:p>
        </w:tc>
        <w:tc>
          <w:tcPr>
            <w:tcW w:w="14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(129)</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iClick Interactive Asia Group Limited</w:t>
            </w:r>
          </w:p>
        </w:tc>
        <w:tc>
          <w:tcPr>
            <w:tcW w:w="14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(39,843)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iClick Interactive Asia Group Limited</w:t>
            </w:r>
          </w:p>
        </w:tc>
        <w:tc>
          <w:tcPr>
            <w:tcW w:w="1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 Basic</w:t>
            </w: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22</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(3.58)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w:t>
            </w:r>
          </w:p>
        </w:tc>
        <w:tc>
          <w:tcPr>
            <w:tcW w:w="14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22</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(3.58)</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used in per share calculation:</w:t>
            </w: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4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22</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11,661,049</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13,151,063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22</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11,661,049</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13,151,063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420"/>
          </w:cols>
          <w:pgMar w:left="240" w:top="456" w:right="23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DEFICIT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70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color w:val="auto"/>
              </w:rPr>
              <w:t>Ordinary shares</w:t>
            </w:r>
          </w:p>
        </w:tc>
        <w:tc>
          <w:tcPr>
            <w:tcW w:w="1700" w:type="dxa"/>
            <w:vAlign w:val="bottom"/>
            <w:gridSpan w:val="4"/>
          </w:tcPr>
          <w:p>
            <w:pPr>
              <w:jc w:val="right"/>
              <w:ind w:right="520"/>
              <w:spacing w:after="0"/>
              <w:rPr>
                <w:sz w:val="20"/>
                <w:szCs w:val="20"/>
                <w:color w:val="auto"/>
              </w:rPr>
            </w:pPr>
            <w:r>
              <w:rPr>
                <w:rFonts w:ascii="Times New Roman" w:cs="Times New Roman" w:eastAsia="Times New Roman" w:hAnsi="Times New Roman"/>
                <w:sz w:val="14"/>
                <w:szCs w:val="14"/>
                <w:color w:val="auto"/>
              </w:rPr>
              <w:t>Treasury shares</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Number of</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Number of</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color w:val="auto"/>
              </w:rPr>
              <w:t>Additional</w:t>
            </w: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w w:val="99"/>
              </w:rPr>
              <w:t>Accumulated</w:t>
            </w: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Statutory</w:t>
            </w: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Amount</w:t>
            </w:r>
          </w:p>
        </w:tc>
        <w:tc>
          <w:tcPr>
            <w:tcW w:w="920" w:type="dxa"/>
            <w:vAlign w:val="bottom"/>
            <w:gridSpan w:val="2"/>
            <w:vMerge w:val="continue"/>
          </w:tcPr>
          <w:p>
            <w:pPr>
              <w:spacing w:after="0"/>
              <w:rPr>
                <w:sz w:val="12"/>
                <w:szCs w:val="12"/>
                <w:color w:val="auto"/>
              </w:rPr>
            </w:pPr>
          </w:p>
        </w:tc>
        <w:tc>
          <w:tcPr>
            <w:tcW w:w="7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Amount</w:t>
            </w:r>
          </w:p>
        </w:tc>
        <w:tc>
          <w:tcPr>
            <w:tcW w:w="10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shares</w:t>
            </w:r>
          </w:p>
        </w:tc>
        <w:tc>
          <w:tcPr>
            <w:tcW w:w="700" w:type="dxa"/>
            <w:vAlign w:val="bottom"/>
            <w:gridSpan w:val="2"/>
            <w:vMerge w:val="continue"/>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shares</w:t>
            </w:r>
          </w:p>
        </w:tc>
        <w:tc>
          <w:tcPr>
            <w:tcW w:w="780" w:type="dxa"/>
            <w:vAlign w:val="bottom"/>
            <w:gridSpan w:val="2"/>
            <w:vMerge w:val="continue"/>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w w:val="99"/>
              </w:rPr>
              <w:t>paid-in capital</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deficit</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reserves</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losses</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deficit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2015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11,102,278</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1,143,044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(59,932)</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81</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(2,973)</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(62,813)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 and reissuance</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treasury shares upon acquisition of</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OptAim Limited</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2,535,091</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(600,169)</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51,641</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Reissuance of treasury shares upon</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of Buzzinate Company</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Limited</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142,151</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(142,151)</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2,027</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 and held as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shares</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1,578,244</w:t>
            </w:r>
          </w:p>
        </w:tc>
        <w:tc>
          <w:tcPr>
            <w:tcW w:w="22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(803,217)</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803,217</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(11,637)</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(11,638)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Reissuance of treasury shares upon</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 of employee share options</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127,997</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(127,997)</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2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(1,571)</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6,494</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accretion</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(2,692)</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ordinary shares accretion</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(1,982)</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(1,982)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Deemed contribution upon repurchase of</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Series B-1 preferred shares</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2,591</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(39,714)</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13,104,300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2,654,188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(9,783)</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53,917</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(97,055)</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81</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(3,102)</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(55,929)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420"/>
          </w:cols>
          <w:pgMar w:left="240" w:top="456" w:right="23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DEFICIT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80" w:type="dxa"/>
            <w:vAlign w:val="bottom"/>
            <w:gridSpan w:val="4"/>
          </w:tcPr>
          <w:p>
            <w:pPr>
              <w:ind w:left="220"/>
              <w:spacing w:after="0"/>
              <w:rPr>
                <w:sz w:val="20"/>
                <w:szCs w:val="20"/>
                <w:color w:val="auto"/>
              </w:rPr>
            </w:pPr>
            <w:r>
              <w:rPr>
                <w:rFonts w:ascii="Times New Roman" w:cs="Times New Roman" w:eastAsia="Times New Roman" w:hAnsi="Times New Roman"/>
                <w:sz w:val="14"/>
                <w:szCs w:val="14"/>
                <w:color w:val="auto"/>
              </w:rPr>
              <w:t>Ordinary shares</w:t>
            </w:r>
          </w:p>
        </w:tc>
        <w:tc>
          <w:tcPr>
            <w:tcW w:w="150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color w:val="auto"/>
              </w:rPr>
              <w:t>Treasury shares</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Accumulated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Number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Number of</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Additional</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Accumulated</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Statutory</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Amount</w:t>
            </w:r>
          </w:p>
        </w:tc>
        <w:tc>
          <w:tcPr>
            <w:tcW w:w="860" w:type="dxa"/>
            <w:vAlign w:val="bottom"/>
            <w:gridSpan w:val="2"/>
            <w:vMerge w:val="continue"/>
          </w:tcPr>
          <w:p>
            <w:pPr>
              <w:spacing w:after="0"/>
              <w:rPr>
                <w:sz w:val="12"/>
                <w:szCs w:val="12"/>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Amount</w:t>
            </w:r>
          </w:p>
        </w:tc>
        <w:tc>
          <w:tcPr>
            <w:tcW w:w="10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shares</w:t>
            </w:r>
          </w:p>
        </w:tc>
        <w:tc>
          <w:tcPr>
            <w:tcW w:w="600" w:type="dxa"/>
            <w:vAlign w:val="bottom"/>
            <w:gridSpan w:val="2"/>
            <w:vMerge w:val="continue"/>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shares</w:t>
            </w:r>
          </w:p>
        </w:tc>
        <w:tc>
          <w:tcPr>
            <w:tcW w:w="640" w:type="dxa"/>
            <w:vAlign w:val="bottom"/>
            <w:gridSpan w:val="2"/>
            <w:vMerge w:val="continue"/>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paid-in capital</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deficit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reserves</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losses</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deficit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2015</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13,104,300</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2,654,188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(9,783)</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53,917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(97,055)</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(3,102)</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(55,929)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Reissuance of treasury shares as share-based</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436,773</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(436,773)</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6,328</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(6,329)</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6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Reissuance of treasury shares upon exercise of</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share options</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68,135</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(68,135)</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987</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21,244</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accretion</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(773)</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Redeemable ordinary shares accretion</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(1,556)</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(27,330)</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2016</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13,609,208</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2,149,280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(2,468)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65,687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(124,385)</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(3,241)</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(64,312)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420"/>
          </w:cols>
          <w:pgMar w:left="240" w:top="455" w:right="23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268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88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7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(39,714)</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6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1,138</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2,043</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6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1,886</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Recovery of doubtful debts previously provided for</w:t>
            </w: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(185)</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 of loss from an equity investee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7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6,494</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loss/(gain) on derivative liabilities</w:t>
            </w:r>
          </w:p>
        </w:tc>
        <w:tc>
          <w:tcPr>
            <w:tcW w:w="16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19,390</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Fair value gain on re-measurement of equity investee</w:t>
            </w: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(1,161)</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w:t>
            </w:r>
          </w:p>
        </w:tc>
        <w:tc>
          <w:tcPr>
            <w:tcW w:w="16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(1,292)</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w:t>
            </w: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6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(13,746)</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(155)</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16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9,308</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(3,765)</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Rebates receivables</w:t>
            </w:r>
          </w:p>
        </w:tc>
        <w:tc>
          <w:tcPr>
            <w:tcW w:w="16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172</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media costs</w:t>
            </w:r>
          </w:p>
        </w:tc>
        <w:tc>
          <w:tcPr>
            <w:tcW w:w="16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8,100</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6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1,885</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payable</w:t>
            </w: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(237)</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(9,797)</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(3,907)</w:t>
            </w: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8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of property and equipment</w:t>
            </w:r>
          </w:p>
        </w:tc>
        <w:tc>
          <w:tcPr>
            <w:tcW w:w="16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(2,628)</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6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(121)</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(Increase)/decrease in short-term investments</w:t>
            </w: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(1,552)</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Decrease/(increase) in restricted cash</w:t>
            </w:r>
          </w:p>
        </w:tc>
        <w:tc>
          <w:tcPr>
            <w:tcW w:w="16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692</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businesses, net of cash received</w:t>
            </w: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(14,486)</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6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(18,095)</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420"/>
          </w:cols>
          <w:pgMar w:left="240" w:top="456" w:right="23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244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For the years ended December 31,</w:t>
            </w: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90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6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 of Series B convertible redeemable preferred shares</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(11,581)</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Series D convertible redeemable preferred shares</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15,000</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issuance of Series E convertible redeemable preferred shares</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284</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bank borrowings</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7,589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8,232</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Repayments of bank borrowings</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(1,642)</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(3,793)</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(11,639)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Repayment of amounts due to related parties</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(623)</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6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(decrease)/increase in cash and cash equivalents</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(30,504)</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16,947</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year</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41,131</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10,395</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exchange rate changes on cash and cash equivalents</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(232)</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year</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10,395</w:t>
            </w:r>
          </w:p>
        </w:tc>
        <w:tc>
          <w:tcPr>
            <w:tcW w:w="6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Interests paid</w:t>
            </w: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(103)</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(paid)/refunded for income taxes</w:t>
            </w:r>
          </w:p>
        </w:tc>
        <w:tc>
          <w:tcPr>
            <w:tcW w:w="15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(912)</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 of Buzzinate Company Limited in form of share issuance</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2,027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 of OptAim Limited in form of share issuance</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50,843</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896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Fair value of replacement awards attributable to pre-acquisition services for acquisition of OptAim Limited (note</w:t>
            </w: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4(b))</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801</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Accretion to Series A preferred shares redemption value</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307</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20" w:type="dxa"/>
            <w:vAlign w:val="bottom"/>
          </w:tcPr>
          <w:p>
            <w:pPr>
              <w:spacing w:after="0"/>
              <w:rPr>
                <w:sz w:val="18"/>
                <w:szCs w:val="18"/>
                <w:color w:val="auto"/>
              </w:rPr>
            </w:pPr>
          </w:p>
        </w:tc>
        <w:tc>
          <w:tcPr>
            <w:tcW w:w="8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Accretion to Series B preferred shares redemption value</w:t>
            </w: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2,385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Accretion to redeemable ordinary shares redemption value</w:t>
            </w: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1,982</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420"/>
          </w:cols>
          <w:pgMar w:left="240" w:top="455" w:right="23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351" w:lineRule="exact"/>
        <w:rPr>
          <w:sz w:val="20"/>
          <w:szCs w:val="20"/>
          <w:color w:val="auto"/>
        </w:rPr>
      </w:pPr>
    </w:p>
    <w:p>
      <w:pPr>
        <w:ind w:left="460" w:hanging="452"/>
        <w:spacing w:after="0"/>
        <w:tabs>
          <w:tab w:leader="none" w:pos="4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131" w:lineRule="exact"/>
        <w:rPr>
          <w:sz w:val="20"/>
          <w:szCs w:val="20"/>
          <w:color w:val="auto"/>
        </w:rPr>
      </w:pPr>
    </w:p>
    <w:p>
      <w:pPr>
        <w:ind w:left="460" w:hanging="452"/>
        <w:spacing w:after="0"/>
        <w:tabs>
          <w:tab w:leader="none" w:pos="4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w:t>
      </w:r>
    </w:p>
    <w:p>
      <w:pPr>
        <w:spacing w:after="0" w:line="121" w:lineRule="exact"/>
        <w:rPr>
          <w:rFonts w:ascii="Times New Roman" w:cs="Times New Roman" w:eastAsia="Times New Roman" w:hAnsi="Times New Roman"/>
          <w:sz w:val="18"/>
          <w:szCs w:val="18"/>
          <w:b w:val="1"/>
          <w:bCs w:val="1"/>
          <w:color w:val="auto"/>
        </w:rPr>
      </w:pPr>
    </w:p>
    <w:p>
      <w:pPr>
        <w:ind w:left="4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iClick Interactive Asia Group Limited (the “Company”) and its subsidiaries are collectively referred to as the Group. The Company was incorporated under the law of Cayman Islands as a limited company on February 3, 2010. The Group is principally engaged in the provision of online marketing services. The Group’s principal operations and geographic market are in Greater China and have offices in Hong Kong, the People’s Republic of China (the “PRC”). There are also sales teams in Singapore and the United Kingdom.</w:t>
      </w:r>
    </w:p>
    <w:p>
      <w:pPr>
        <w:spacing w:after="0" w:line="71" w:lineRule="exact"/>
        <w:rPr>
          <w:rFonts w:ascii="Times New Roman" w:cs="Times New Roman" w:eastAsia="Times New Roman" w:hAnsi="Times New Roman"/>
          <w:sz w:val="18"/>
          <w:szCs w:val="18"/>
          <w:b w:val="1"/>
          <w:bCs w:val="1"/>
          <w:color w:val="auto"/>
        </w:rPr>
      </w:pPr>
    </w:p>
    <w:p>
      <w:pPr>
        <w:ind w:left="460" w:right="1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2009, the business of the Group was established in Hong Kong with a primary focus on search engine marketing and optimization. The Group formed the research and development team in Hong Kong to design and build the Group’s proprietary platform for online marketing. The Group’s platform is a cross-channel, cross-device and cross-geography programmatic digital marketing platform that addresses comprehensively the needs of advertisers who want to acquire and retain online customers in Greater China. The platform also enables marketers to combine performance-based marketing and brand awareness building through its dynamic retargeting technology. Key functions include aggregating the right media source for maximizing inventory reach; audience builder for producing effective targeting solutions through data crunching and machine learning; programmatic optimization to dynamically enhance campaign performance; and data analysis and reporting for cross-channel budget allocation optimization.</w:t>
      </w:r>
    </w:p>
    <w:p>
      <w:pPr>
        <w:spacing w:after="0" w:line="77" w:lineRule="exact"/>
        <w:rPr>
          <w:rFonts w:ascii="Times New Roman" w:cs="Times New Roman" w:eastAsia="Times New Roman" w:hAnsi="Times New Roman"/>
          <w:sz w:val="18"/>
          <w:szCs w:val="18"/>
          <w:b w:val="1"/>
          <w:bCs w:val="1"/>
          <w:color w:val="auto"/>
        </w:rPr>
      </w:pPr>
    </w:p>
    <w:p>
      <w:pPr>
        <w:ind w:left="46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established an office in Beijing and Shanghai, respectively, in 2010 and in the same year the Group opened a research and development center in Beijing for the development of optimization algorithms to step up the Group’s efforts in cross-platform optimization. This facility was further expanded in 2011. The Group added an office in Shenzhen in early 2011 and further expanded into Southeast Asia when the Group set up operations in Singapore and Taiwan in that year. The Group also has sales representatives in the United Kingdom.</w:t>
      </w:r>
    </w:p>
    <w:p>
      <w:pPr>
        <w:spacing w:after="0" w:line="71" w:lineRule="exact"/>
        <w:rPr>
          <w:rFonts w:ascii="Times New Roman" w:cs="Times New Roman" w:eastAsia="Times New Roman" w:hAnsi="Times New Roman"/>
          <w:sz w:val="18"/>
          <w:szCs w:val="18"/>
          <w:b w:val="1"/>
          <w:bCs w:val="1"/>
          <w:color w:val="auto"/>
        </w:rPr>
      </w:pPr>
    </w:p>
    <w:p>
      <w:pPr>
        <w:ind w:left="4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2014, the Company entered into a sale and purchase agreement (“SPA”) with Buzzinate Company Limited (“Buzzinate”) and its shareholders and acquired 33.3% equity interest in Buzzinate as the first tranche, at a cash consideration of US$750. In the SPA, the Company has also agreed to purchase up to 57.1% equity interests in Buzzinate in stages from April 2015 to April 2016, with an option exercisable by the Company to accelerate the purchase of up to 57.1% equity interests in Buzzinate. In February 2015, the Company exercised such option and purchased up to 57.1% equity interest, and at the same time purchased the remaining 42.9% equity interest in Buzzinate by issuing 142,151 shares of the Company. As a result, Buzzinate became a wholly owned subsidiary of the Company since February 2015.</w:t>
      </w:r>
    </w:p>
    <w:p>
      <w:pPr>
        <w:spacing w:after="0" w:line="79" w:lineRule="exact"/>
        <w:rPr>
          <w:rFonts w:ascii="Times New Roman" w:cs="Times New Roman" w:eastAsia="Times New Roman" w:hAnsi="Times New Roman"/>
          <w:sz w:val="18"/>
          <w:szCs w:val="18"/>
          <w:b w:val="1"/>
          <w:bCs w:val="1"/>
          <w:color w:val="auto"/>
        </w:rPr>
      </w:pPr>
    </w:p>
    <w:p>
      <w:pPr>
        <w:ind w:left="46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Buzzinate is also engaged in the provision of online marketing services and mainly focuses on the PRC market. Refer to note 4(a) to the consolidated financial statements for more details in relation to this transaction.</w:t>
      </w:r>
    </w:p>
    <w:p>
      <w:pPr>
        <w:spacing w:after="0" w:line="53" w:lineRule="exact"/>
        <w:rPr>
          <w:rFonts w:ascii="Times New Roman" w:cs="Times New Roman" w:eastAsia="Times New Roman" w:hAnsi="Times New Roman"/>
          <w:sz w:val="18"/>
          <w:szCs w:val="18"/>
          <w:b w:val="1"/>
          <w:bCs w:val="1"/>
          <w:color w:val="auto"/>
        </w:rPr>
      </w:pPr>
    </w:p>
    <w:p>
      <w:pPr>
        <w:ind w:left="460" w:right="4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In July 2015, the Company, entered into a SPA with OptAim Limited (“OptAim”) and its shareholders where the Company agreed to subscribe for the entire equity interests in OptAim, with certain operations of OptAim conducted through VIE arrangements. Upon completion of this transaction, OptAim and its subsidiaries become wholly-owned subsidiaries of the Company. OptAim is engaged in the provision of online marketing services with a focus of mobile device in the PRC market. Refer to note 4(b) to the consolidated financial statements for more details in relation to this transaction.</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400"/>
          </w:cols>
          <w:pgMar w:left="240" w:top="456" w:right="25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2016, the Group had net current liabilities of US$23,603, total shareholders’ deficit of US$64,312 and accumulated deficit of</w:t>
      </w:r>
    </w:p>
    <w:p>
      <w:pPr>
        <w:spacing w:after="0" w:line="27" w:lineRule="exact"/>
        <w:rPr>
          <w:rFonts w:ascii="Times New Roman" w:cs="Times New Roman" w:eastAsia="Times New Roman" w:hAnsi="Times New Roman"/>
          <w:sz w:val="18"/>
          <w:szCs w:val="18"/>
          <w:b w:val="1"/>
          <w:bCs w:val="1"/>
          <w:color w:val="auto"/>
        </w:rPr>
      </w:pPr>
    </w:p>
    <w:p>
      <w:pPr>
        <w:ind w:left="460" w:right="8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US$124,385. During the year ended December 31, 2016, the Group incurred a net loss of US$27,330 and a net operating cash outflow of US$3,907. In December 2016, the Company entered into an agreement to issue Series E preferred shares for a total cash consideration of US$20,000 and management considered such additional funding to enable the Company to operate without significant curtailment of its operation and to meet its financial obligations as and when they fall due. As of December 31, 2016, the Group had violated certain financial covenants with respect to its bank borrowings extended by a bank, however, the Group had obtained the necessary waiver letters such that the bank would not demand immediate repayment. Accordingly, the management is of the opinion that the financial statements have been prepared on a going concern basis.</w:t>
      </w:r>
    </w:p>
    <w:p>
      <w:pPr>
        <w:spacing w:after="0" w:line="82" w:lineRule="exact"/>
        <w:rPr>
          <w:rFonts w:ascii="Times New Roman" w:cs="Times New Roman" w:eastAsia="Times New Roman" w:hAnsi="Times New Roman"/>
          <w:sz w:val="18"/>
          <w:szCs w:val="18"/>
          <w:b w:val="1"/>
          <w:bCs w:val="1"/>
          <w:color w:val="auto"/>
        </w:rPr>
      </w:pPr>
    </w:p>
    <w:p>
      <w:pPr>
        <w:ind w:left="460"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consolidated financial statements include the financial statements of the Company, its subsidiaries and consolidated VIEs and the VIE’s subsidiary (defined in Note 1(b))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 of direct</w:t>
            </w: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Place of</w:t>
            </w:r>
          </w:p>
        </w:tc>
        <w:tc>
          <w:tcPr>
            <w:tcW w:w="4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or indirect</w:t>
            </w:r>
          </w:p>
        </w:tc>
        <w:tc>
          <w:tcPr>
            <w:tcW w:w="11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rPr>
              <w:t>Date of</w:t>
            </w:r>
          </w:p>
        </w:tc>
        <w:tc>
          <w:tcPr>
            <w:tcW w:w="4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220" w:type="dxa"/>
            <w:vAlign w:val="bottom"/>
          </w:tcPr>
          <w:p>
            <w:pPr>
              <w:spacing w:after="0"/>
              <w:rPr>
                <w:sz w:val="12"/>
                <w:szCs w:val="12"/>
                <w:color w:val="auto"/>
              </w:rPr>
            </w:pPr>
          </w:p>
        </w:tc>
        <w:tc>
          <w:tcPr>
            <w:tcW w:w="11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Relationship</w:t>
            </w:r>
          </w:p>
        </w:tc>
        <w:tc>
          <w:tcPr>
            <w:tcW w:w="10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economic</w:t>
            </w:r>
          </w:p>
        </w:tc>
        <w:tc>
          <w:tcPr>
            <w:tcW w:w="11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incorporation/</w:t>
            </w:r>
          </w:p>
        </w:tc>
        <w:tc>
          <w:tcPr>
            <w:tcW w:w="420" w:type="dxa"/>
            <w:vAlign w:val="bottom"/>
          </w:tcPr>
          <w:p>
            <w:pPr>
              <w:spacing w:after="0"/>
              <w:rPr>
                <w:sz w:val="12"/>
                <w:szCs w:val="12"/>
                <w:color w:val="auto"/>
              </w:rPr>
            </w:pPr>
          </w:p>
        </w:tc>
        <w:tc>
          <w:tcPr>
            <w:tcW w:w="310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color w:val="auto"/>
              </w:rPr>
              <w:t>Principal activities</w:t>
            </w:r>
          </w:p>
        </w:tc>
        <w:tc>
          <w:tcPr>
            <w:tcW w:w="0" w:type="dxa"/>
            <w:vAlign w:val="bottom"/>
          </w:tcPr>
          <w:p>
            <w:pPr>
              <w:spacing w:after="0"/>
              <w:rPr>
                <w:sz w:val="1"/>
                <w:szCs w:val="1"/>
                <w:color w:val="auto"/>
              </w:rPr>
            </w:pPr>
          </w:p>
        </w:tc>
      </w:tr>
      <w:tr>
        <w:trPr>
          <w:trHeight w:val="171"/>
        </w:trPr>
        <w:tc>
          <w:tcPr>
            <w:tcW w:w="30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ownership</w:t>
            </w:r>
          </w:p>
        </w:tc>
        <w:tc>
          <w:tcPr>
            <w:tcW w:w="11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incorporation</w:t>
            </w:r>
          </w:p>
        </w:tc>
        <w:tc>
          <w:tcPr>
            <w:tcW w:w="4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4"/>
                <w:szCs w:val="14"/>
                <w:color w:val="auto"/>
              </w:rPr>
              <w:t>establishment</w:t>
            </w:r>
          </w:p>
        </w:tc>
        <w:tc>
          <w:tcPr>
            <w:tcW w:w="420" w:type="dxa"/>
            <w:vAlign w:val="bottom"/>
          </w:tcPr>
          <w:p>
            <w:pPr>
              <w:spacing w:after="0"/>
              <w:rPr>
                <w:sz w:val="14"/>
                <w:szCs w:val="14"/>
                <w:color w:val="auto"/>
              </w:rPr>
            </w:pPr>
          </w:p>
        </w:tc>
        <w:tc>
          <w:tcPr>
            <w:tcW w:w="3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Digital Marketing Group Limited</w:t>
            </w:r>
          </w:p>
        </w:tc>
        <w:tc>
          <w:tcPr>
            <w:tcW w:w="22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Subsidiary</w:t>
            </w:r>
          </w:p>
        </w:tc>
        <w:tc>
          <w:tcPr>
            <w:tcW w:w="44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440" w:type="dxa"/>
            <w:vAlign w:val="bottom"/>
            <w:vMerge w:val="continue"/>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October 2006</w:t>
            </w:r>
          </w:p>
        </w:tc>
        <w:tc>
          <w:tcPr>
            <w:tcW w:w="44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Hong Kong</w:t>
            </w:r>
          </w:p>
        </w:tc>
        <w:tc>
          <w:tcPr>
            <w:tcW w:w="420" w:type="dxa"/>
            <w:vAlign w:val="bottom"/>
            <w:vMerge w:val="continue"/>
            <w:shd w:val="clear" w:color="auto" w:fill="CCEEFF"/>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Dormant</w:t>
            </w:r>
          </w:p>
        </w:tc>
        <w:tc>
          <w:tcPr>
            <w:tcW w:w="0" w:type="dxa"/>
            <w:vAlign w:val="bottom"/>
          </w:tcPr>
          <w:p>
            <w:pPr>
              <w:spacing w:after="0"/>
              <w:rPr>
                <w:sz w:val="1"/>
                <w:szCs w:val="1"/>
                <w:color w:val="auto"/>
              </w:rPr>
            </w:pPr>
          </w:p>
        </w:tc>
      </w:tr>
      <w:tr>
        <w:trPr>
          <w:trHeight w:val="309"/>
        </w:trPr>
        <w:tc>
          <w:tcPr>
            <w:tcW w:w="3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Tetris Media Limited</w:t>
            </w:r>
          </w:p>
        </w:tc>
        <w:tc>
          <w:tcPr>
            <w:tcW w:w="140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Subsidiary</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July 2007</w:t>
            </w:r>
          </w:p>
        </w:tc>
        <w:tc>
          <w:tcPr>
            <w:tcW w:w="12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Hong Kong</w:t>
            </w:r>
          </w:p>
        </w:tc>
        <w:tc>
          <w:tcPr>
            <w:tcW w:w="352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Internet marketing services and solutions</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iClick Interactive Asia Limited</w:t>
            </w:r>
          </w:p>
        </w:tc>
        <w:tc>
          <w:tcPr>
            <w:tcW w:w="14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Subsidiary</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2008</w:t>
            </w:r>
          </w:p>
        </w:tc>
        <w:tc>
          <w:tcPr>
            <w:tcW w:w="1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Hong Kong</w:t>
            </w:r>
          </w:p>
        </w:tc>
        <w:tc>
          <w:tcPr>
            <w:tcW w:w="3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Internet marketing services and solutions</w:t>
            </w:r>
          </w:p>
        </w:tc>
        <w:tc>
          <w:tcPr>
            <w:tcW w:w="0" w:type="dxa"/>
            <w:vAlign w:val="bottom"/>
          </w:tcPr>
          <w:p>
            <w:pPr>
              <w:spacing w:after="0"/>
              <w:rPr>
                <w:sz w:val="1"/>
                <w:szCs w:val="1"/>
                <w:color w:val="auto"/>
              </w:rPr>
            </w:pPr>
          </w:p>
        </w:tc>
      </w:tr>
      <w:tr>
        <w:trPr>
          <w:trHeight w:val="309"/>
        </w:trPr>
        <w:tc>
          <w:tcPr>
            <w:tcW w:w="3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Optimix Media Asia Limited</w:t>
            </w:r>
          </w:p>
        </w:tc>
        <w:tc>
          <w:tcPr>
            <w:tcW w:w="140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Subsidiary</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March 2009</w:t>
            </w:r>
          </w:p>
        </w:tc>
        <w:tc>
          <w:tcPr>
            <w:tcW w:w="12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Hong Kong</w:t>
            </w:r>
          </w:p>
        </w:tc>
        <w:tc>
          <w:tcPr>
            <w:tcW w:w="352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Investment holding</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China Search (Asia) Limited</w:t>
            </w:r>
          </w:p>
        </w:tc>
        <w:tc>
          <w:tcPr>
            <w:tcW w:w="14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Subsidiary</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September 2010</w:t>
            </w:r>
          </w:p>
        </w:tc>
        <w:tc>
          <w:tcPr>
            <w:tcW w:w="1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Hong Kong</w:t>
            </w:r>
          </w:p>
        </w:tc>
        <w:tc>
          <w:tcPr>
            <w:tcW w:w="3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Internet marketing services and solutions</w:t>
            </w:r>
          </w:p>
        </w:tc>
        <w:tc>
          <w:tcPr>
            <w:tcW w:w="0" w:type="dxa"/>
            <w:vAlign w:val="bottom"/>
          </w:tcPr>
          <w:p>
            <w:pPr>
              <w:spacing w:after="0"/>
              <w:rPr>
                <w:sz w:val="1"/>
                <w:szCs w:val="1"/>
                <w:color w:val="auto"/>
              </w:rPr>
            </w:pPr>
          </w:p>
        </w:tc>
      </w:tr>
      <w:tr>
        <w:trPr>
          <w:trHeight w:val="289"/>
        </w:trPr>
        <w:tc>
          <w:tcPr>
            <w:tcW w:w="3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Diablo Holdings Corporation</w:t>
            </w:r>
          </w:p>
        </w:tc>
        <w:tc>
          <w:tcPr>
            <w:tcW w:w="140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Subsidiary</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August 2010</w:t>
            </w:r>
          </w:p>
        </w:tc>
        <w:tc>
          <w:tcPr>
            <w:tcW w:w="12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British</w:t>
            </w:r>
          </w:p>
        </w:tc>
        <w:tc>
          <w:tcPr>
            <w:tcW w:w="352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Investment holding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Virgin</w:t>
            </w:r>
          </w:p>
        </w:tc>
        <w:tc>
          <w:tcPr>
            <w:tcW w:w="4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Islands</w:t>
            </w:r>
          </w:p>
        </w:tc>
        <w:tc>
          <w:tcPr>
            <w:tcW w:w="4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(“BVI”)</w:t>
            </w:r>
          </w:p>
        </w:tc>
        <w:tc>
          <w:tcPr>
            <w:tcW w:w="4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Harmattan Capital Holdings Corporation</w:t>
            </w:r>
          </w:p>
        </w:tc>
        <w:tc>
          <w:tcPr>
            <w:tcW w:w="14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7"/>
                <w:szCs w:val="17"/>
                <w:color w:val="auto"/>
              </w:rPr>
              <w:t>Subsidiary</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August 2010</w:t>
            </w:r>
          </w:p>
        </w:tc>
        <w:tc>
          <w:tcPr>
            <w:tcW w:w="1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BVI</w:t>
            </w:r>
          </w:p>
        </w:tc>
        <w:tc>
          <w:tcPr>
            <w:tcW w:w="3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Investment holding</w:t>
            </w:r>
          </w:p>
        </w:tc>
        <w:tc>
          <w:tcPr>
            <w:tcW w:w="0" w:type="dxa"/>
            <w:vAlign w:val="bottom"/>
          </w:tcPr>
          <w:p>
            <w:pPr>
              <w:spacing w:after="0"/>
              <w:rPr>
                <w:sz w:val="1"/>
                <w:szCs w:val="1"/>
                <w:color w:val="auto"/>
              </w:rPr>
            </w:pPr>
          </w:p>
        </w:tc>
      </w:tr>
      <w:tr>
        <w:trPr>
          <w:trHeight w:val="309"/>
        </w:trPr>
        <w:tc>
          <w:tcPr>
            <w:tcW w:w="3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iClick Interactive (Singapore) Pte. Ltd.</w:t>
            </w:r>
          </w:p>
        </w:tc>
        <w:tc>
          <w:tcPr>
            <w:tcW w:w="140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color w:val="auto"/>
              </w:rPr>
              <w:t>Subsidiary</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4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auto"/>
              </w:rPr>
              <w:t>January 2011</w:t>
            </w:r>
          </w:p>
        </w:tc>
        <w:tc>
          <w:tcPr>
            <w:tcW w:w="12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Singapore</w:t>
            </w:r>
          </w:p>
        </w:tc>
        <w:tc>
          <w:tcPr>
            <w:tcW w:w="352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Internet marketing services and solutions</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02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iClick Interactive (Beijing)</w:t>
            </w:r>
          </w:p>
        </w:tc>
        <w:tc>
          <w:tcPr>
            <w:tcW w:w="1400" w:type="dxa"/>
            <w:vAlign w:val="bottom"/>
            <w:gridSpan w:val="3"/>
            <w:shd w:val="clear" w:color="auto" w:fill="CCEEFF"/>
          </w:tcPr>
          <w:p>
            <w:pPr>
              <w:jc w:val="right"/>
              <w:ind w:right="440"/>
              <w:spacing w:after="0" w:line="181" w:lineRule="exact"/>
              <w:rPr>
                <w:sz w:val="20"/>
                <w:szCs w:val="20"/>
                <w:color w:val="auto"/>
              </w:rPr>
            </w:pPr>
            <w:r>
              <w:rPr>
                <w:rFonts w:ascii="Times New Roman" w:cs="Times New Roman" w:eastAsia="Times New Roman" w:hAnsi="Times New Roman"/>
                <w:sz w:val="17"/>
                <w:szCs w:val="17"/>
                <w:color w:val="auto"/>
              </w:rPr>
              <w:t>Subsidiary</w:t>
            </w:r>
          </w:p>
        </w:tc>
        <w:tc>
          <w:tcPr>
            <w:tcW w:w="64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7"/>
                <w:szCs w:val="17"/>
                <w:color w:val="auto"/>
              </w:rPr>
              <w:t>100%</w:t>
            </w: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January 2011</w:t>
            </w:r>
          </w:p>
        </w:tc>
        <w:tc>
          <w:tcPr>
            <w:tcW w:w="1260" w:type="dxa"/>
            <w:vAlign w:val="bottom"/>
            <w:gridSpan w:val="2"/>
            <w:shd w:val="clear" w:color="auto" w:fill="CCEEFF"/>
          </w:tcPr>
          <w:p>
            <w:pPr>
              <w:ind w:left="440"/>
              <w:spacing w:after="0" w:line="181" w:lineRule="exact"/>
              <w:rPr>
                <w:sz w:val="20"/>
                <w:szCs w:val="20"/>
                <w:color w:val="auto"/>
              </w:rPr>
            </w:pPr>
            <w:r>
              <w:rPr>
                <w:rFonts w:ascii="Times New Roman" w:cs="Times New Roman" w:eastAsia="Times New Roman" w:hAnsi="Times New Roman"/>
                <w:sz w:val="17"/>
                <w:szCs w:val="17"/>
                <w:color w:val="auto"/>
              </w:rPr>
              <w:t>The PRC</w:t>
            </w:r>
          </w:p>
        </w:tc>
        <w:tc>
          <w:tcPr>
            <w:tcW w:w="3520" w:type="dxa"/>
            <w:vAlign w:val="bottom"/>
            <w:gridSpan w:val="2"/>
            <w:shd w:val="clear" w:color="auto" w:fill="CCEEFF"/>
          </w:tcPr>
          <w:p>
            <w:pPr>
              <w:ind w:left="420"/>
              <w:spacing w:after="0" w:line="181" w:lineRule="exact"/>
              <w:rPr>
                <w:sz w:val="20"/>
                <w:szCs w:val="20"/>
                <w:color w:val="auto"/>
              </w:rPr>
            </w:pPr>
            <w:r>
              <w:rPr>
                <w:rFonts w:ascii="Times New Roman" w:cs="Times New Roman" w:eastAsia="Times New Roman" w:hAnsi="Times New Roman"/>
                <w:sz w:val="17"/>
                <w:szCs w:val="17"/>
                <w:color w:val="auto"/>
              </w:rPr>
              <w:t>Internet marketing services and solutions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Advertisement Co., Ltd</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420"/>
          </w:cols>
          <w:pgMar w:left="240" w:top="456" w:right="23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 (Continued)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 of direct</w:t>
            </w: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color w:val="auto"/>
              </w:rPr>
              <w:t>Place of</w:t>
            </w:r>
          </w:p>
        </w:tc>
        <w:tc>
          <w:tcPr>
            <w:tcW w:w="3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or indirect</w:t>
            </w:r>
          </w:p>
        </w:tc>
        <w:tc>
          <w:tcPr>
            <w:tcW w:w="460" w:type="dxa"/>
            <w:vAlign w:val="bottom"/>
          </w:tcPr>
          <w:p>
            <w:pPr>
              <w:spacing w:after="0"/>
              <w:rPr>
                <w:sz w:val="12"/>
                <w:szCs w:val="12"/>
                <w:color w:val="auto"/>
              </w:rPr>
            </w:pPr>
          </w:p>
        </w:tc>
        <w:tc>
          <w:tcPr>
            <w:tcW w:w="8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Date of</w:t>
            </w:r>
          </w:p>
        </w:tc>
        <w:tc>
          <w:tcPr>
            <w:tcW w:w="4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1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Relationship</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economic</w:t>
            </w:r>
          </w:p>
        </w:tc>
        <w:tc>
          <w:tcPr>
            <w:tcW w:w="4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incorporation/</w:t>
            </w:r>
          </w:p>
        </w:tc>
        <w:tc>
          <w:tcPr>
            <w:tcW w:w="3080" w:type="dxa"/>
            <w:vAlign w:val="bottom"/>
            <w:vMerge w:val="restart"/>
          </w:tcPr>
          <w:p>
            <w:pPr>
              <w:ind w:left="1000"/>
              <w:spacing w:after="0"/>
              <w:rPr>
                <w:sz w:val="20"/>
                <w:szCs w:val="20"/>
                <w:color w:val="auto"/>
              </w:rPr>
            </w:pPr>
            <w:r>
              <w:rPr>
                <w:rFonts w:ascii="Times New Roman" w:cs="Times New Roman" w:eastAsia="Times New Roman" w:hAnsi="Times New Roman"/>
                <w:sz w:val="14"/>
                <w:szCs w:val="14"/>
                <w:color w:val="auto"/>
              </w:rPr>
              <w:t>Principal activities</w:t>
            </w:r>
          </w:p>
        </w:tc>
        <w:tc>
          <w:tcPr>
            <w:tcW w:w="0" w:type="dxa"/>
            <w:vAlign w:val="bottom"/>
          </w:tcPr>
          <w:p>
            <w:pPr>
              <w:spacing w:after="0"/>
              <w:rPr>
                <w:sz w:val="1"/>
                <w:szCs w:val="1"/>
                <w:color w:val="auto"/>
              </w:rPr>
            </w:pPr>
          </w:p>
        </w:tc>
      </w:tr>
      <w:tr>
        <w:trPr>
          <w:trHeight w:val="171"/>
        </w:trPr>
        <w:tc>
          <w:tcPr>
            <w:tcW w:w="2960" w:type="dxa"/>
            <w:vAlign w:val="bottom"/>
            <w:gridSpan w:val="3"/>
            <w:vMerge w:val="continue"/>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ownership</w:t>
            </w:r>
          </w:p>
        </w:tc>
        <w:tc>
          <w:tcPr>
            <w:tcW w:w="46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incorporation</w:t>
            </w:r>
          </w:p>
        </w:tc>
        <w:tc>
          <w:tcPr>
            <w:tcW w:w="44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establishment</w:t>
            </w:r>
          </w:p>
        </w:tc>
        <w:tc>
          <w:tcPr>
            <w:tcW w:w="3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294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Search Asia Technology</w:t>
            </w:r>
          </w:p>
        </w:tc>
        <w:tc>
          <w:tcPr>
            <w:tcW w:w="10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Subsidiary</w:t>
            </w:r>
          </w:p>
        </w:tc>
        <w:tc>
          <w:tcPr>
            <w:tcW w:w="440" w:type="dxa"/>
            <w:vAlign w:val="bottom"/>
            <w:vMerge w:val="continue"/>
            <w:shd w:val="clear" w:color="auto" w:fill="CCEEFF"/>
          </w:tcPr>
          <w:p>
            <w:pPr>
              <w:spacing w:after="0"/>
              <w:rPr>
                <w:sz w:val="15"/>
                <w:szCs w:val="15"/>
                <w:color w:val="auto"/>
              </w:rPr>
            </w:pPr>
          </w:p>
        </w:tc>
        <w:tc>
          <w:tcPr>
            <w:tcW w:w="720" w:type="dxa"/>
            <w:vAlign w:val="bottom"/>
            <w:shd w:val="clear" w:color="auto" w:fill="CCEEFF"/>
          </w:tcPr>
          <w:p>
            <w:pPr>
              <w:jc w:val="center"/>
              <w:spacing w:after="0" w:line="178" w:lineRule="exact"/>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vMerge w:val="continue"/>
            <w:shd w:val="clear" w:color="auto" w:fill="CCEEFF"/>
          </w:tcPr>
          <w:p>
            <w:pPr>
              <w:spacing w:after="0"/>
              <w:rPr>
                <w:sz w:val="15"/>
                <w:szCs w:val="15"/>
                <w:color w:val="auto"/>
              </w:rPr>
            </w:pPr>
          </w:p>
        </w:tc>
        <w:tc>
          <w:tcPr>
            <w:tcW w:w="8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January</w:t>
            </w:r>
          </w:p>
        </w:tc>
        <w:tc>
          <w:tcPr>
            <w:tcW w:w="440" w:type="dxa"/>
            <w:vAlign w:val="bottom"/>
            <w:vMerge w:val="continue"/>
            <w:shd w:val="clear" w:color="auto" w:fill="CCEEFF"/>
          </w:tcPr>
          <w:p>
            <w:pPr>
              <w:spacing w:after="0"/>
              <w:rPr>
                <w:sz w:val="15"/>
                <w:szCs w:val="15"/>
                <w:color w:val="auto"/>
              </w:rPr>
            </w:pPr>
          </w:p>
        </w:tc>
        <w:tc>
          <w:tcPr>
            <w:tcW w:w="100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The PRC</w:t>
            </w:r>
          </w:p>
        </w:tc>
        <w:tc>
          <w:tcPr>
            <w:tcW w:w="440" w:type="dxa"/>
            <w:vAlign w:val="bottom"/>
            <w:vMerge w:val="continue"/>
            <w:shd w:val="clear" w:color="auto" w:fill="CCEEFF"/>
          </w:tcPr>
          <w:p>
            <w:pPr>
              <w:spacing w:after="0"/>
              <w:rPr>
                <w:sz w:val="15"/>
                <w:szCs w:val="15"/>
                <w:color w:val="auto"/>
              </w:rPr>
            </w:pPr>
          </w:p>
        </w:tc>
        <w:tc>
          <w:tcPr>
            <w:tcW w:w="308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Internet marketing services and solutions</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(Shenzhen) Co., Ltd.</w:t>
            </w:r>
          </w:p>
        </w:tc>
        <w:tc>
          <w:tcPr>
            <w:tcW w:w="10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2011</w:t>
            </w: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i-Click Interactive Taiwan</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September</w:t>
            </w:r>
          </w:p>
        </w:tc>
        <w:tc>
          <w:tcPr>
            <w:tcW w:w="18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Taiwan</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Internet marketing services and solutions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Limited Taiwan Branch</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branch</w:t>
            </w:r>
          </w:p>
        </w:tc>
        <w:tc>
          <w:tcPr>
            <w:tcW w:w="720" w:type="dxa"/>
            <w:vAlign w:val="bottom"/>
          </w:tcPr>
          <w:p>
            <w:pPr>
              <w:spacing w:after="0"/>
              <w:rPr>
                <w:sz w:val="20"/>
                <w:szCs w:val="20"/>
                <w:color w:val="auto"/>
              </w:rPr>
            </w:pPr>
          </w:p>
        </w:tc>
        <w:tc>
          <w:tcPr>
            <w:tcW w:w="13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2011</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Performance Media Group</w:t>
            </w:r>
          </w:p>
        </w:tc>
        <w:tc>
          <w:tcPr>
            <w:tcW w:w="14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Subsidiary</w:t>
            </w:r>
          </w:p>
        </w:tc>
        <w:tc>
          <w:tcPr>
            <w:tcW w:w="7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January</w:t>
            </w:r>
          </w:p>
        </w:tc>
        <w:tc>
          <w:tcPr>
            <w:tcW w:w="1880" w:type="dxa"/>
            <w:vAlign w:val="bottom"/>
            <w:gridSpan w:val="3"/>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Hong Kong</w:t>
            </w:r>
          </w:p>
        </w:tc>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Internet marketing services and solutions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Limited</w:t>
            </w: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2013</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Tetris Media (Shanghai) Co., Ltd.</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July 2013</w:t>
            </w:r>
          </w:p>
        </w:tc>
        <w:tc>
          <w:tcPr>
            <w:tcW w:w="18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 PRC</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Internet marketing services and solutions</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Buzzinate Company Limited</w:t>
            </w:r>
          </w:p>
        </w:tc>
        <w:tc>
          <w:tcPr>
            <w:tcW w:w="14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Subsidiary</w:t>
            </w:r>
          </w:p>
        </w:tc>
        <w:tc>
          <w:tcPr>
            <w:tcW w:w="7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March</w:t>
            </w:r>
          </w:p>
        </w:tc>
        <w:tc>
          <w:tcPr>
            <w:tcW w:w="1880" w:type="dxa"/>
            <w:vAlign w:val="bottom"/>
            <w:gridSpan w:val="3"/>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Hong Kong</w:t>
            </w:r>
          </w:p>
        </w:tc>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Technology development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2009</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Buzzinate (Shanghai) Information</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July 2009</w:t>
            </w:r>
          </w:p>
        </w:tc>
        <w:tc>
          <w:tcPr>
            <w:tcW w:w="18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 PRC</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Technology development service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Technology Co., Ltd.</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OptAim Limited</w:t>
            </w:r>
          </w:p>
        </w:tc>
        <w:tc>
          <w:tcPr>
            <w:tcW w:w="14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Subsidiary</w:t>
            </w:r>
          </w:p>
        </w:tc>
        <w:tc>
          <w:tcPr>
            <w:tcW w:w="7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July 2014</w:t>
            </w:r>
          </w:p>
        </w:tc>
        <w:tc>
          <w:tcPr>
            <w:tcW w:w="1880" w:type="dxa"/>
            <w:vAlign w:val="bottom"/>
            <w:gridSpan w:val="3"/>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Cayman</w:t>
            </w:r>
          </w:p>
        </w:tc>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Islands</w:t>
            </w: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OptAim (HK) Limited</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July 2014</w:t>
            </w:r>
          </w:p>
        </w:tc>
        <w:tc>
          <w:tcPr>
            <w:tcW w:w="18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Hong Kong</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OptAim (Beijing) Information</w:t>
            </w:r>
          </w:p>
        </w:tc>
        <w:tc>
          <w:tcPr>
            <w:tcW w:w="14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Subsidiary</w:t>
            </w:r>
          </w:p>
        </w:tc>
        <w:tc>
          <w:tcPr>
            <w:tcW w:w="7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November</w:t>
            </w:r>
          </w:p>
        </w:tc>
        <w:tc>
          <w:tcPr>
            <w:tcW w:w="1880" w:type="dxa"/>
            <w:vAlign w:val="bottom"/>
            <w:gridSpan w:val="3"/>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The PRC</w:t>
            </w:r>
          </w:p>
        </w:tc>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Internet marketing services and solutions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Technology Co., Ltd.</w:t>
            </w: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2014</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Beijing OptAim Network</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September</w:t>
            </w:r>
          </w:p>
        </w:tc>
        <w:tc>
          <w:tcPr>
            <w:tcW w:w="18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 PRC</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Internet marketing services and solutions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Technology Co., Ltd.</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2012</w:t>
            </w: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Zhiyunzhong (Shanghai)</w:t>
            </w:r>
          </w:p>
        </w:tc>
        <w:tc>
          <w:tcPr>
            <w:tcW w:w="14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VIE’s</w:t>
            </w:r>
          </w:p>
        </w:tc>
        <w:tc>
          <w:tcPr>
            <w:tcW w:w="7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September</w:t>
            </w:r>
          </w:p>
        </w:tc>
        <w:tc>
          <w:tcPr>
            <w:tcW w:w="1880" w:type="dxa"/>
            <w:vAlign w:val="bottom"/>
            <w:gridSpan w:val="3"/>
            <w:shd w:val="clear" w:color="auto" w:fill="CCEEFF"/>
          </w:tcPr>
          <w:p>
            <w:pPr>
              <w:ind w:left="440"/>
              <w:spacing w:after="0" w:line="198" w:lineRule="exact"/>
              <w:rPr>
                <w:sz w:val="20"/>
                <w:szCs w:val="20"/>
                <w:color w:val="auto"/>
              </w:rPr>
            </w:pPr>
            <w:r>
              <w:rPr>
                <w:rFonts w:ascii="Times New Roman" w:cs="Times New Roman" w:eastAsia="Times New Roman" w:hAnsi="Times New Roman"/>
                <w:sz w:val="18"/>
                <w:szCs w:val="18"/>
                <w:color w:val="auto"/>
              </w:rPr>
              <w:t>The PRC</w:t>
            </w:r>
          </w:p>
        </w:tc>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Internet marketing services and solutions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Technology Co., Ltd.</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subsidiary</w:t>
            </w:r>
          </w:p>
        </w:tc>
        <w:tc>
          <w:tcPr>
            <w:tcW w:w="7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2014</w:t>
            </w: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Arda Holdings Limited</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VIE</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46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May 2010</w:t>
            </w:r>
          </w:p>
        </w:tc>
        <w:tc>
          <w:tcPr>
            <w:tcW w:w="18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BVI</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To hold treasury shares</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F-14</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VIE and VIE’s subsidiary</w:t>
      </w:r>
    </w:p>
    <w:p>
      <w:pPr>
        <w:spacing w:after="0" w:line="121" w:lineRule="exact"/>
        <w:rPr>
          <w:rFonts w:ascii="Times New Roman" w:cs="Times New Roman" w:eastAsia="Times New Roman" w:hAnsi="Times New Roman"/>
          <w:sz w:val="18"/>
          <w:szCs w:val="18"/>
          <w:b w:val="1"/>
          <w:bCs w:val="1"/>
          <w:color w:val="auto"/>
        </w:rPr>
      </w:pPr>
    </w:p>
    <w:p>
      <w:pPr>
        <w:ind w:left="46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the Company acquired OptAim WFOE in July 2015, OptAim WFOE is considered as a foreign invested enterprise and any foreign ownership in advertising business was subject to certain restrictions under the PRC laws and regulations at that time. To comply with the then-effective PRC laws and regulations, certain of the Group’s operations are conducted through Beijing OptAim Network Technology Co., Ltd. (“Beijing OptAim”) and Zhiyun Zhong (Shanghai) Technology Co., Ltd. (“Shanghai OptAim”) (or “OptAim VIE”). OptAim (Beijing) Information Technology Co., Ltd, (“OptAim WFOE”), a wholly-owned subsidiary of the Company, or a wholly foreign owned enterprise (“WFOE”) of the Company entered into a series of contractual agreements among Beijing OptAim and Beijing OptAim’s legal shareholders.</w:t>
      </w:r>
    </w:p>
    <w:p>
      <w:pPr>
        <w:spacing w:after="0" w:line="295"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OptAim VIE</w:t>
      </w:r>
    </w:p>
    <w:p>
      <w:pPr>
        <w:spacing w:after="0" w:line="117"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relationships with Beijing OptAim and its shareholders are governed by the following contractual arrangements:</w:t>
      </w:r>
    </w:p>
    <w:p>
      <w:pPr>
        <w:spacing w:after="0" w:line="374" w:lineRule="exact"/>
        <w:rPr>
          <w:sz w:val="20"/>
          <w:szCs w:val="20"/>
          <w:color w:val="auto"/>
        </w:rPr>
      </w:pPr>
    </w:p>
    <w:p>
      <w:pPr>
        <w:ind w:left="900" w:hanging="446"/>
        <w:spacing w:after="0"/>
        <w:tabs>
          <w:tab w:leader="none" w:pos="9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 Agreement</w:t>
      </w:r>
    </w:p>
    <w:p>
      <w:pPr>
        <w:spacing w:after="0" w:line="117" w:lineRule="exact"/>
        <w:rPr>
          <w:sz w:val="20"/>
          <w:szCs w:val="20"/>
          <w:color w:val="auto"/>
        </w:rPr>
      </w:pPr>
    </w:p>
    <w:p>
      <w:pPr>
        <w:ind w:left="920" w:right="100"/>
        <w:spacing w:after="0" w:line="256" w:lineRule="auto"/>
        <w:rPr>
          <w:sz w:val="20"/>
          <w:szCs w:val="20"/>
          <w:color w:val="auto"/>
        </w:rPr>
      </w:pPr>
      <w:r>
        <w:rPr>
          <w:rFonts w:ascii="Times New Roman" w:cs="Times New Roman" w:eastAsia="Times New Roman" w:hAnsi="Times New Roman"/>
          <w:sz w:val="18"/>
          <w:szCs w:val="18"/>
          <w:color w:val="auto"/>
        </w:rPr>
        <w:t>Under the cooperative agreement between OptAim WFOE, Beijing OptAim and Shanghai OptAim, OptAim WFOE has the exclusive right to provide to Beijing OptAim and Shanghai OptAim, among others, technical consulting, technical support, business consulting, and appointment and dismissal of employees. OptAim WFOE will collect a fee from Beijing OptAim and Shanghai OptAim to be determined at the sole discretion of OptAim WFOE. The term of this agreement will not expire unless OptAim WFOE provides prior written notice to Beijing OptAim and Shanghai OptAim. There was no service fee paid and payable from Beijing OptAim and Shanghai OptAim to OptAim WFOE for the years ended December 31, 2015 and 2016 as Beijing OptAim and Shanghai OptAim, in aggregated, have been incurring losses.</w:t>
      </w:r>
    </w:p>
    <w:p>
      <w:pPr>
        <w:spacing w:after="0" w:line="336" w:lineRule="exact"/>
        <w:rPr>
          <w:sz w:val="20"/>
          <w:szCs w:val="20"/>
          <w:color w:val="auto"/>
        </w:rPr>
      </w:pPr>
    </w:p>
    <w:p>
      <w:pPr>
        <w:ind w:left="900" w:hanging="446"/>
        <w:spacing w:after="0"/>
        <w:tabs>
          <w:tab w:leader="none" w:pos="9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Option Agreement</w:t>
      </w:r>
    </w:p>
    <w:p>
      <w:pPr>
        <w:spacing w:after="0" w:line="117" w:lineRule="exact"/>
        <w:rPr>
          <w:sz w:val="20"/>
          <w:szCs w:val="20"/>
          <w:color w:val="auto"/>
        </w:rPr>
      </w:pPr>
    </w:p>
    <w:p>
      <w:pPr>
        <w:ind w:left="920" w:right="60"/>
        <w:spacing w:after="0" w:line="256" w:lineRule="auto"/>
        <w:rPr>
          <w:sz w:val="20"/>
          <w:szCs w:val="20"/>
          <w:color w:val="auto"/>
        </w:rPr>
      </w:pPr>
      <w:r>
        <w:rPr>
          <w:rFonts w:ascii="Times New Roman" w:cs="Times New Roman" w:eastAsia="Times New Roman" w:hAnsi="Times New Roman"/>
          <w:sz w:val="18"/>
          <w:szCs w:val="18"/>
          <w:color w:val="auto"/>
        </w:rPr>
        <w:t>The parties to the purchase option agreement are OptAim WFOE, Beijing OptAim and each of the shareholders of Beijing OptAim. Under the purchase option agreement, each of the shareholder of Beijing OptAim irrevocably granted OptAim WFOE or its designated representative(s) an exclusive option to purchase, to the extent permitted under PRC law, all or part of its equity interests in Beijing OptAim. OptAim WFOE or its designated representative(s) have sole discretion as to when to exercise such options, either in part or in full. Without OptAim WFOE’s prior written consent, Beijing OptAim’s shareholders shall not sell, transfer, mortgage or otherwise dispose their equity interests in Beijing OptAim. The agreement will not expire until all shares of Beijing OptAim are transferred to OptAim WFOE or its designated representative(s).</w:t>
      </w:r>
    </w:p>
    <w:p>
      <w:pPr>
        <w:spacing w:after="0" w:line="336" w:lineRule="exact"/>
        <w:rPr>
          <w:sz w:val="20"/>
          <w:szCs w:val="20"/>
          <w:color w:val="auto"/>
        </w:rPr>
      </w:pPr>
    </w:p>
    <w:p>
      <w:pPr>
        <w:ind w:left="900" w:hanging="446"/>
        <w:spacing w:after="0"/>
        <w:tabs>
          <w:tab w:leader="none" w:pos="9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w:t>
      </w:r>
    </w:p>
    <w:p>
      <w:pPr>
        <w:spacing w:after="0" w:line="117" w:lineRule="exact"/>
        <w:rPr>
          <w:sz w:val="20"/>
          <w:szCs w:val="20"/>
          <w:color w:val="auto"/>
        </w:rPr>
      </w:pPr>
    </w:p>
    <w:p>
      <w:pPr>
        <w:ind w:left="920"/>
        <w:spacing w:after="0" w:line="261" w:lineRule="auto"/>
        <w:rPr>
          <w:sz w:val="20"/>
          <w:szCs w:val="20"/>
          <w:color w:val="auto"/>
        </w:rPr>
      </w:pPr>
      <w:r>
        <w:rPr>
          <w:rFonts w:ascii="Times New Roman" w:cs="Times New Roman" w:eastAsia="Times New Roman" w:hAnsi="Times New Roman"/>
          <w:sz w:val="18"/>
          <w:szCs w:val="18"/>
          <w:color w:val="auto"/>
        </w:rPr>
        <w:t>Pursuant to the irrevocable power of attorney executed by the shareholders of Beijing OptAim, Beijing OptAim appointed OptAim WFOE as its attorney-in-fact to exercise all shareholders’ rights in Beijing OptAim, including, without limitation, the power to vote on all matters of Beijing OptAim requiring shareholder approval under PRC laws and regulations and the articles of association of Beijing OptAim. The power of attorney will remain in force until OptAim WFOE provides prior written notice to Beijing OptAim.</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420"/>
          </w:cols>
          <w:pgMar w:left="240" w:top="456" w:right="23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VIE and VIE’s subsidiary (Continued)</w:t>
      </w:r>
    </w:p>
    <w:p>
      <w:pPr>
        <w:spacing w:after="0" w:line="135" w:lineRule="exact"/>
        <w:rPr>
          <w:sz w:val="20"/>
          <w:szCs w:val="20"/>
          <w:color w:val="auto"/>
        </w:rPr>
      </w:pPr>
    </w:p>
    <w:p>
      <w:pPr>
        <w:ind w:left="900" w:hanging="446"/>
        <w:spacing w:after="0"/>
        <w:tabs>
          <w:tab w:leader="none" w:pos="9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Agreement</w:t>
      </w:r>
    </w:p>
    <w:p>
      <w:pPr>
        <w:spacing w:after="0" w:line="117" w:lineRule="exact"/>
        <w:rPr>
          <w:sz w:val="20"/>
          <w:szCs w:val="20"/>
          <w:color w:val="auto"/>
        </w:rPr>
      </w:pPr>
    </w:p>
    <w:p>
      <w:pPr>
        <w:ind w:left="460" w:right="120"/>
        <w:spacing w:after="0" w:line="256" w:lineRule="auto"/>
        <w:rPr>
          <w:sz w:val="20"/>
          <w:szCs w:val="20"/>
          <w:color w:val="auto"/>
        </w:rPr>
      </w:pPr>
      <w:r>
        <w:rPr>
          <w:rFonts w:ascii="Times New Roman" w:cs="Times New Roman" w:eastAsia="Times New Roman" w:hAnsi="Times New Roman"/>
          <w:sz w:val="18"/>
          <w:szCs w:val="18"/>
          <w:color w:val="auto"/>
        </w:rPr>
        <w:t>Pursuant to the pledge agreement between OptAim WFOE and the shareholders of Beijing OptAim, the shareholders of Beijing OptAim have pledged all of their equity interests in Beijing OptAim to OptAim WFOE to guarantee the performance by Beijing OptAim under the cooperative agreement, purchase option agreement, and powers of attorney. If Beijing OptAim and/or its shareholders breach their contractual obligations under those agreements, OptAim WFOE, as pledgee, will be entitled to certain rights, including the right to sell the pledged equity interests. Under the pledge agreement, the shareholders of Beijing OptAim are not able to provide any other guarantee by pledging the shares of Beijing OptAim, transfer or sell their pledged shares to other individual, change share capital of Beijing OptAim or transfer or sell the assets out of Beijing OptAim.</w:t>
      </w:r>
    </w:p>
    <w:p>
      <w:pPr>
        <w:spacing w:after="0" w:line="80" w:lineRule="exact"/>
        <w:rPr>
          <w:sz w:val="20"/>
          <w:szCs w:val="20"/>
          <w:color w:val="auto"/>
        </w:rPr>
      </w:pPr>
    </w:p>
    <w:p>
      <w:pPr>
        <w:ind w:left="460" w:right="200"/>
        <w:spacing w:after="0" w:line="282" w:lineRule="auto"/>
        <w:rPr>
          <w:sz w:val="20"/>
          <w:szCs w:val="20"/>
          <w:color w:val="auto"/>
        </w:rPr>
      </w:pPr>
      <w:r>
        <w:rPr>
          <w:rFonts w:ascii="Times New Roman" w:cs="Times New Roman" w:eastAsia="Times New Roman" w:hAnsi="Times New Roman"/>
          <w:sz w:val="18"/>
          <w:szCs w:val="18"/>
          <w:color w:val="auto"/>
        </w:rPr>
        <w:t>The shareholders of Beijing OptAim are in the process of registering the equity pledge with the relevant office of the Administration for Industry and Commerce in accordance with the PRC Property Rights Law and expect to complete by June 2017.</w:t>
      </w:r>
    </w:p>
    <w:p>
      <w:pPr>
        <w:spacing w:after="0" w:line="54"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Through the aforementioned contractual agreements, OptAim VIE are considered VIE in accordance with Generally Accepted Accounting Principles in the United States (“US GAAP”) because the Company, through OptAim WFOE, has the ability to:</w:t>
      </w:r>
    </w:p>
    <w:p>
      <w:pPr>
        <w:spacing w:after="0" w:line="67" w:lineRule="exact"/>
        <w:rPr>
          <w:sz w:val="20"/>
          <w:szCs w:val="20"/>
          <w:color w:val="auto"/>
        </w:rPr>
      </w:pPr>
    </w:p>
    <w:p>
      <w:pPr>
        <w:ind w:left="1460" w:right="60" w:hanging="547"/>
        <w:spacing w:after="0" w:line="282" w:lineRule="auto"/>
        <w:tabs>
          <w:tab w:leader="none" w:pos="14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effective control over OptAim VIE whereby having the power to direct OptAim VIE’s activities that most significantly drive the economic results of OptAim VIE;</w:t>
      </w:r>
    </w:p>
    <w:p>
      <w:pPr>
        <w:spacing w:after="0" w:line="67" w:lineRule="exact"/>
        <w:rPr>
          <w:rFonts w:ascii="Times New Roman" w:cs="Times New Roman" w:eastAsia="Times New Roman" w:hAnsi="Times New Roman"/>
          <w:sz w:val="18"/>
          <w:szCs w:val="18"/>
          <w:color w:val="auto"/>
        </w:rPr>
      </w:pPr>
    </w:p>
    <w:p>
      <w:pPr>
        <w:ind w:left="1460" w:right="140" w:hanging="547"/>
        <w:spacing w:after="0" w:line="282" w:lineRule="auto"/>
        <w:tabs>
          <w:tab w:leader="none" w:pos="14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and residual returns, and absorb substantially all the risks and expected losses from the OptAim VIE as if it was their sole shareholder; and</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exclusive option to purchase all of the equity interests in OptAim VIE.</w:t>
      </w:r>
    </w:p>
    <w:p>
      <w:pPr>
        <w:spacing w:after="0" w:line="117" w:lineRule="exact"/>
        <w:rPr>
          <w:sz w:val="20"/>
          <w:szCs w:val="20"/>
          <w:color w:val="auto"/>
        </w:rPr>
      </w:pPr>
    </w:p>
    <w:p>
      <w:pPr>
        <w:ind w:left="460" w:right="100"/>
        <w:spacing w:after="0" w:line="266" w:lineRule="auto"/>
        <w:rPr>
          <w:sz w:val="20"/>
          <w:szCs w:val="20"/>
          <w:color w:val="auto"/>
        </w:rPr>
      </w:pPr>
      <w:r>
        <w:rPr>
          <w:rFonts w:ascii="Times New Roman" w:cs="Times New Roman" w:eastAsia="Times New Roman" w:hAnsi="Times New Roman"/>
          <w:sz w:val="18"/>
          <w:szCs w:val="18"/>
          <w:color w:val="auto"/>
        </w:rPr>
        <w:t>Management evaluated the relationships among the Company, OptAim WFOE and OptAim VIE, and concluded that OptAim WFOE is the primary beneficiary of the VIEs. As a result, OptAim VIE’s results of operations, assets and liabilities have been included in the Group’s consolidated financial statements.</w:t>
      </w:r>
    </w:p>
    <w:p>
      <w:pPr>
        <w:spacing w:after="0" w:line="68" w:lineRule="exact"/>
        <w:rPr>
          <w:sz w:val="20"/>
          <w:szCs w:val="20"/>
          <w:color w:val="auto"/>
        </w:rPr>
      </w:pPr>
    </w:p>
    <w:p>
      <w:pPr>
        <w:ind w:left="460" w:right="180"/>
        <w:spacing w:after="0" w:line="261" w:lineRule="auto"/>
        <w:rPr>
          <w:sz w:val="20"/>
          <w:szCs w:val="20"/>
          <w:color w:val="auto"/>
        </w:rPr>
      </w:pPr>
      <w:r>
        <w:rPr>
          <w:rFonts w:ascii="Times New Roman" w:cs="Times New Roman" w:eastAsia="Times New Roman" w:hAnsi="Times New Roman"/>
          <w:sz w:val="18"/>
          <w:szCs w:val="18"/>
          <w:color w:val="auto"/>
        </w:rPr>
        <w:t>As of December 31, 2015 and 2016, the total assets of OptAim VIE and its subsidiary were US$20,341 and US$27,135, respectively, mainly comprising cash and cash equivalents, accounts receivable, prepayments and other current assets, property and equipment. As of December 31, 2015 and 2016, the total liabilities of the OptAim VIE and its subsidiary were US$7,206 and US$12,310 respectively, mainly comprising deferred revenue, accrued liabilities and other current liabilities.</w:t>
      </w:r>
    </w:p>
    <w:p>
      <w:pPr>
        <w:spacing w:after="0" w:line="72" w:lineRule="exact"/>
        <w:rPr>
          <w:sz w:val="20"/>
          <w:szCs w:val="20"/>
          <w:color w:val="auto"/>
        </w:rPr>
      </w:pPr>
    </w:p>
    <w:p>
      <w:pPr>
        <w:ind w:left="460" w:right="80"/>
        <w:spacing w:after="0" w:line="256" w:lineRule="auto"/>
        <w:rPr>
          <w:sz w:val="20"/>
          <w:szCs w:val="20"/>
          <w:color w:val="auto"/>
        </w:rPr>
      </w:pPr>
      <w:r>
        <w:rPr>
          <w:rFonts w:ascii="Times New Roman" w:cs="Times New Roman" w:eastAsia="Times New Roman" w:hAnsi="Times New Roman"/>
          <w:sz w:val="18"/>
          <w:szCs w:val="18"/>
          <w:color w:val="auto"/>
        </w:rPr>
        <w:t>In accordance with the aforementioned agreements, the Company has power to direct activities of the OptAim VIE, and can have assets transferred out of OptAim VIE. Therefore the Company considers that there is no asset in OptAim VIE that can be used only to settle obligations of the OptAim VIE, except for registered capital and PRC statutory reserves of the OptAim VIE amounting to US$2,081 and US$2,081, respectively, as of December 31, 2015 and 2016. As the OptAim VIE and its subsidiary were incorporated as limited liability company under the PRC Company Law, the creditors do not have recourse to the general credit of the Company for all the liabilities of the OptAim VIE. Currently there is no contractual arrangement that could require the Company to provide additional financial support to OptAim VIE.</w:t>
      </w:r>
    </w:p>
    <w:p>
      <w:pPr>
        <w:spacing w:after="0" w:line="80" w:lineRule="exact"/>
        <w:rPr>
          <w:sz w:val="20"/>
          <w:szCs w:val="20"/>
          <w:color w:val="auto"/>
        </w:rPr>
      </w:pPr>
    </w:p>
    <w:p>
      <w:pPr>
        <w:ind w:left="460" w:right="40"/>
        <w:spacing w:after="0" w:line="282" w:lineRule="auto"/>
        <w:rPr>
          <w:sz w:val="20"/>
          <w:szCs w:val="20"/>
          <w:color w:val="auto"/>
        </w:rPr>
      </w:pPr>
      <w:r>
        <w:rPr>
          <w:rFonts w:ascii="Times New Roman" w:cs="Times New Roman" w:eastAsia="Times New Roman" w:hAnsi="Times New Roman"/>
          <w:sz w:val="18"/>
          <w:szCs w:val="18"/>
          <w:color w:val="auto"/>
        </w:rPr>
        <w:t>As the Company is conducting its PRC online marketing services business through OptAim VIE, the Company will, if needed, provide such support on a discretion basis in the future, which could expose the Company to a loss.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is no VIE where the Company has variable interest but is not the primary beneficiary.</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420"/>
          </w:cols>
          <w:pgMar w:left="240" w:top="455" w:right="23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VIE and VIE’s subsidiary (Continued)</w:t>
      </w:r>
    </w:p>
    <w:p>
      <w:pPr>
        <w:spacing w:after="0" w:line="134" w:lineRule="exact"/>
        <w:rPr>
          <w:rFonts w:ascii="Times New Roman" w:cs="Times New Roman" w:eastAsia="Times New Roman" w:hAnsi="Times New Roman"/>
          <w:sz w:val="18"/>
          <w:szCs w:val="18"/>
          <w:b w:val="1"/>
          <w:bCs w:val="1"/>
          <w:color w:val="auto"/>
        </w:rPr>
      </w:pPr>
    </w:p>
    <w:p>
      <w:pPr>
        <w:ind w:left="460" w:righ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believes that the contractual arrangements among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71" w:lineRule="exact"/>
        <w:rPr>
          <w:rFonts w:ascii="Times New Roman" w:cs="Times New Roman" w:eastAsia="Times New Roman" w:hAnsi="Times New Roman"/>
          <w:sz w:val="18"/>
          <w:szCs w:val="18"/>
          <w:b w:val="1"/>
          <w:bCs w:val="1"/>
          <w:color w:val="auto"/>
        </w:rPr>
      </w:pPr>
    </w:p>
    <w:p>
      <w:pPr>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ability to control the OptAim VIE also depends on the power of attorney and the effect of the share pledge under the Pledge Agreement and OptAim WFOE has to vote on all matters requiring shareholder approval in OptAim VIE. As noted above, the Company believes this power of attorney is legally enforceable but may not be as effective as direct equity ownership.</w:t>
      </w:r>
    </w:p>
    <w:p>
      <w:pPr>
        <w:spacing w:after="0" w:line="321" w:lineRule="exact"/>
        <w:rPr>
          <w:sz w:val="20"/>
          <w:szCs w:val="20"/>
          <w:color w:val="auto"/>
        </w:rPr>
      </w:pPr>
    </w:p>
    <w:p>
      <w:pPr>
        <w:ind w:left="460" w:hanging="452"/>
        <w:spacing w:after="0"/>
        <w:tabs>
          <w:tab w:leader="none" w:pos="46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w:t>
      </w:r>
    </w:p>
    <w:p>
      <w:pPr>
        <w:spacing w:after="0" w:line="131" w:lineRule="exact"/>
        <w:rPr>
          <w:sz w:val="20"/>
          <w:szCs w:val="20"/>
          <w:color w:val="auto"/>
        </w:rPr>
      </w:pPr>
    </w:p>
    <w:p>
      <w:pPr>
        <w:ind w:left="460" w:hanging="452"/>
        <w:spacing w:after="0"/>
        <w:tabs>
          <w:tab w:leader="none" w:pos="46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rFonts w:ascii="Times New Roman" w:cs="Times New Roman" w:eastAsia="Times New Roman" w:hAnsi="Times New Roman"/>
          <w:sz w:val="18"/>
          <w:szCs w:val="18"/>
          <w:b w:val="1"/>
          <w:bCs w:val="1"/>
          <w:color w:val="auto"/>
        </w:rPr>
      </w:pPr>
    </w:p>
    <w:p>
      <w:pPr>
        <w:ind w:left="4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have been prepared in accordance with the US GAAP. Significant accounting policies followed by the Company in the preparation of the accompanying consolidated financial statements are summarized below.</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121" w:lineRule="exact"/>
        <w:rPr>
          <w:rFonts w:ascii="Times New Roman" w:cs="Times New Roman" w:eastAsia="Times New Roman" w:hAnsi="Times New Roman"/>
          <w:sz w:val="18"/>
          <w:szCs w:val="18"/>
          <w:b w:val="1"/>
          <w:bCs w:val="1"/>
          <w:color w:val="auto"/>
        </w:rPr>
      </w:pPr>
    </w:p>
    <w:p>
      <w:pPr>
        <w:ind w:left="46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the Group’s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68" w:lineRule="exact"/>
        <w:rPr>
          <w:rFonts w:ascii="Times New Roman" w:cs="Times New Roman" w:eastAsia="Times New Roman" w:hAnsi="Times New Roman"/>
          <w:sz w:val="18"/>
          <w:szCs w:val="18"/>
          <w:b w:val="1"/>
          <w:bCs w:val="1"/>
          <w:color w:val="auto"/>
        </w:rPr>
      </w:pPr>
    </w:p>
    <w:p>
      <w:pPr>
        <w:ind w:left="4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believes that revenue recognition, consolidation of VIE, determination of share-based compensation, measurement of redemption value of redeemable preferred shares and impairment assessment of long-lived assets and intangible assets that reflect more significant judgments and estimates used in the preparation of its consolidated financial statements.</w:t>
      </w:r>
    </w:p>
    <w:p>
      <w:pPr>
        <w:spacing w:after="0" w:line="68" w:lineRule="exact"/>
        <w:rPr>
          <w:rFonts w:ascii="Times New Roman" w:cs="Times New Roman" w:eastAsia="Times New Roman" w:hAnsi="Times New Roman"/>
          <w:sz w:val="18"/>
          <w:szCs w:val="18"/>
          <w:b w:val="1"/>
          <w:bCs w:val="1"/>
          <w:color w:val="auto"/>
        </w:rPr>
      </w:pPr>
    </w:p>
    <w:p>
      <w:pPr>
        <w:ind w:left="460" w:right="5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Consolidation</w:t>
      </w:r>
    </w:p>
    <w:p>
      <w:pPr>
        <w:spacing w:after="0" w:line="121" w:lineRule="exact"/>
        <w:rPr>
          <w:rFonts w:ascii="Times New Roman" w:cs="Times New Roman" w:eastAsia="Times New Roman" w:hAnsi="Times New Roman"/>
          <w:sz w:val="18"/>
          <w:szCs w:val="18"/>
          <w:b w:val="1"/>
          <w:bCs w:val="1"/>
          <w:color w:val="auto"/>
        </w:rPr>
      </w:pPr>
    </w:p>
    <w:p>
      <w:pPr>
        <w:ind w:left="4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consolidated financial statements include the financial statements of the Company, its subsidiaries, its VIEs and a VIE’s subsidiary for which the Company or its subsidiary is the primary beneficiary. All transactions and balances among the Company, its subsidiaries, its VIEs have been eliminated upon consolidation.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400"/>
          </w:cols>
          <w:pgMar w:left="240" w:top="456" w:right="25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Consolidation (Continued)</w:t>
      </w:r>
    </w:p>
    <w:p>
      <w:pPr>
        <w:spacing w:after="0" w:line="134" w:lineRule="exact"/>
        <w:rPr>
          <w:rFonts w:ascii="Times New Roman" w:cs="Times New Roman" w:eastAsia="Times New Roman" w:hAnsi="Times New Roman"/>
          <w:sz w:val="18"/>
          <w:szCs w:val="18"/>
          <w:b w:val="1"/>
          <w:bCs w:val="1"/>
          <w:color w:val="auto"/>
        </w:rPr>
      </w:pPr>
    </w:p>
    <w:p>
      <w:pPr>
        <w:jc w:val="both"/>
        <w:ind w:left="4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68" w:lineRule="exact"/>
        <w:rPr>
          <w:rFonts w:ascii="Times New Roman" w:cs="Times New Roman" w:eastAsia="Times New Roman" w:hAnsi="Times New Roman"/>
          <w:sz w:val="18"/>
          <w:szCs w:val="18"/>
          <w:b w:val="1"/>
          <w:bCs w:val="1"/>
          <w:color w:val="auto"/>
        </w:rPr>
      </w:pPr>
    </w:p>
    <w:p>
      <w:pPr>
        <w:ind w:left="460" w:right="1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VIE is an entity in which the Company, or its subsidiary, through contractual agreements, bears the risks of, and enjoys the rewards normally associated with ownership of the entity. In determining whether the Company or its subsidiaries are the primary beneficiary, the Company considered whether it has the power to direct activities that are significant to the VIE’s economic performance, and also the Group’s obligation to absorb losses of the VIE that could potentially be significant to the VIE or the right to receive benefits from the VIE that could potentially be significant to the VIE. OptAim WFOE and ultimately the Company hold all the variable interests of the VIE and its subsidiary, and has been determined to be the primary beneficiary of the VIE.</w:t>
      </w:r>
    </w:p>
    <w:p>
      <w:pPr>
        <w:spacing w:after="0" w:line="332"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rFonts w:ascii="Times New Roman" w:cs="Times New Roman" w:eastAsia="Times New Roman" w:hAnsi="Times New Roman"/>
          <w:sz w:val="18"/>
          <w:szCs w:val="18"/>
          <w:b w:val="1"/>
          <w:bCs w:val="1"/>
          <w:color w:val="auto"/>
        </w:rPr>
      </w:pPr>
    </w:p>
    <w:p>
      <w:pPr>
        <w:ind w:left="46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reporting currency of the Company is the United States dollars (“US$”). The Company is a holding company engaged in capital raising and financing activities denominated in US$. As such, the Company’s functional currency has been determined to be the US$. The functional currency of the Company’s subsidiaries is the local currency of the country in which they are domiciled.</w:t>
      </w:r>
    </w:p>
    <w:p>
      <w:pPr>
        <w:spacing w:after="0" w:line="68" w:lineRule="exact"/>
        <w:rPr>
          <w:rFonts w:ascii="Times New Roman" w:cs="Times New Roman" w:eastAsia="Times New Roman" w:hAnsi="Times New Roman"/>
          <w:sz w:val="18"/>
          <w:szCs w:val="18"/>
          <w:b w:val="1"/>
          <w:bCs w:val="1"/>
          <w:color w:val="auto"/>
        </w:rPr>
      </w:pPr>
    </w:p>
    <w:p>
      <w:pPr>
        <w:ind w:left="460" w:right="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 Transaction gains and losses are recognized in “Other losses, net”. Assets and liabilities denominated in foreign currencies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consolidated statements of changes in shareholders’ deficit and comprehensive loss.</w:t>
      </w:r>
    </w:p>
    <w:p>
      <w:pPr>
        <w:spacing w:after="0" w:line="333"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rFonts w:ascii="Times New Roman" w:cs="Times New Roman" w:eastAsia="Times New Roman" w:hAnsi="Times New Roman"/>
          <w:sz w:val="18"/>
          <w:szCs w:val="18"/>
          <w:b w:val="1"/>
          <w:bCs w:val="1"/>
          <w:color w:val="auto"/>
        </w:rPr>
      </w:pPr>
    </w:p>
    <w:p>
      <w:pPr>
        <w:ind w:left="4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Fair value measurements are based on a fair value hierarchy, based on three levels of inputs, of which the first two are considered observable and the last unobservable, that may be used to measure fair value which are the following:</w:t>
      </w:r>
    </w:p>
    <w:p>
      <w:pPr>
        <w:spacing w:after="0" w:line="75" w:lineRule="exact"/>
        <w:rPr>
          <w:rFonts w:ascii="Times New Roman" w:cs="Times New Roman" w:eastAsia="Times New Roman" w:hAnsi="Times New Roman"/>
          <w:sz w:val="18"/>
          <w:szCs w:val="18"/>
          <w:b w:val="1"/>
          <w:bCs w:val="1"/>
          <w:color w:val="auto"/>
        </w:rPr>
      </w:pPr>
    </w:p>
    <w:p>
      <w:pPr>
        <w:ind w:left="4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 — Quoted prices (unadjusted) in active markets for identical assets or liabilities that the Company has the ability to access at the measurement date.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400"/>
          </w:cols>
          <w:pgMar w:left="240" w:top="456" w:right="25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 (Continued)</w:t>
      </w:r>
    </w:p>
    <w:p>
      <w:pPr>
        <w:spacing w:after="0" w:line="134" w:lineRule="exact"/>
        <w:rPr>
          <w:rFonts w:ascii="Times New Roman" w:cs="Times New Roman" w:eastAsia="Times New Roman" w:hAnsi="Times New Roman"/>
          <w:sz w:val="18"/>
          <w:szCs w:val="18"/>
          <w:b w:val="1"/>
          <w:bCs w:val="1"/>
          <w:color w:val="auto"/>
        </w:rPr>
      </w:pPr>
    </w:p>
    <w:p>
      <w:pPr>
        <w:ind w:left="460" w:right="4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such as quoted market prices for similar assets and liabilities; quoted prices in markets that are not active; or other inputs that are observable or can be corroborated by observable market data for substantially the full term of the asset or liability.</w:t>
      </w:r>
    </w:p>
    <w:p>
      <w:pPr>
        <w:spacing w:after="0" w:line="6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 — Unobservable inputs to the valuation methodology that are significant to the measurement of the fair value of the assets or liabilities.</w:t>
      </w:r>
    </w:p>
    <w:p>
      <w:pPr>
        <w:spacing w:after="0" w:line="117" w:lineRule="exact"/>
        <w:rPr>
          <w:rFonts w:ascii="Times New Roman" w:cs="Times New Roman" w:eastAsia="Times New Roman" w:hAnsi="Times New Roman"/>
          <w:sz w:val="18"/>
          <w:szCs w:val="18"/>
          <w:b w:val="1"/>
          <w:bCs w:val="1"/>
          <w:color w:val="auto"/>
        </w:rPr>
      </w:pPr>
    </w:p>
    <w:p>
      <w:pPr>
        <w:ind w:left="460" w:right="20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Observable inputs are based on market data obtained from independent sources. At December 31, 2015 and 2016 the Company’s derivative liabilities are measured using unobservable inputs that require a high level of judgment to determine fair value, and thus classified as Level 3 (Note 3(c)).</w:t>
      </w:r>
    </w:p>
    <w:p>
      <w:pPr>
        <w:spacing w:after="0" w:line="30" w:lineRule="exact"/>
        <w:rPr>
          <w:rFonts w:ascii="Times New Roman" w:cs="Times New Roman" w:eastAsia="Times New Roman" w:hAnsi="Times New Roman"/>
          <w:sz w:val="18"/>
          <w:szCs w:val="18"/>
          <w:b w:val="1"/>
          <w:bCs w:val="1"/>
          <w:color w:val="auto"/>
        </w:rPr>
      </w:pPr>
    </w:p>
    <w:p>
      <w:pPr>
        <w:ind w:left="4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carrying amounts of cash and cash equivalents, restricted cash, accounts receivable, prepayment and other current assets, accounts payable, accrued liabilities and other current liabilities, deferred revenue and amounts due to a related party, approximate to their fair value due to the short-term nature of these instruments. Based on the borrowing rates currently available to the Group for debt with similar terms, the carrying value of the short-term loan approximates to its fair value (using Level 2 inputs).</w:t>
      </w:r>
    </w:p>
    <w:p>
      <w:pPr>
        <w:spacing w:after="0" w:line="71" w:lineRule="exact"/>
        <w:rPr>
          <w:rFonts w:ascii="Times New Roman" w:cs="Times New Roman" w:eastAsia="Times New Roman" w:hAnsi="Times New Roman"/>
          <w:sz w:val="18"/>
          <w:szCs w:val="18"/>
          <w:b w:val="1"/>
          <w:bCs w:val="1"/>
          <w:color w:val="auto"/>
        </w:rPr>
      </w:pPr>
    </w:p>
    <w:p>
      <w:pPr>
        <w:ind w:left="4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assets, including intangible assets, are also subject to measurement at fair value on a non-recurring basis if they are deemed to be impaired as a result of an impairment review. For the years ended December 31, 2015 and 2016, no impairments were recorded on those assets required to be measured at fair value on a non-recurring basis.</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rFonts w:ascii="Times New Roman" w:cs="Times New Roman" w:eastAsia="Times New Roman" w:hAnsi="Times New Roman"/>
          <w:sz w:val="18"/>
          <w:szCs w:val="18"/>
          <w:b w:val="1"/>
          <w:bCs w:val="1"/>
          <w:color w:val="auto"/>
        </w:rPr>
      </w:pPr>
    </w:p>
    <w:p>
      <w:pPr>
        <w:ind w:left="460"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include cash on hand, cash in bank and time deposits placed with banks or other financial institutions, which have original maturities of three months or less and are readily convertible to known amounts of cash.</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Cash</w:t>
      </w:r>
    </w:p>
    <w:p>
      <w:pPr>
        <w:spacing w:after="0" w:line="121" w:lineRule="exact"/>
        <w:rPr>
          <w:rFonts w:ascii="Times New Roman" w:cs="Times New Roman" w:eastAsia="Times New Roman" w:hAnsi="Times New Roman"/>
          <w:sz w:val="18"/>
          <w:szCs w:val="18"/>
          <w:b w:val="1"/>
          <w:bCs w:val="1"/>
          <w:color w:val="auto"/>
        </w:rPr>
      </w:pPr>
    </w:p>
    <w:p>
      <w:pPr>
        <w:ind w:left="4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cash represented bank deposits in accounts that are restricted as to withdrawal or usage. For restriction which is expected to be released within one year of the balance sheet date, the respective restricted cash balance is classified as current. As of December 31, 2015 and 2016, the Group’s restricted cash represents balance held in restricted bank accounts as required by certain loan agreement.</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investments</w:t>
      </w:r>
    </w:p>
    <w:p>
      <w:pPr>
        <w:spacing w:after="0" w:line="121" w:lineRule="exact"/>
        <w:rPr>
          <w:rFonts w:ascii="Times New Roman" w:cs="Times New Roman" w:eastAsia="Times New Roman" w:hAnsi="Times New Roman"/>
          <w:sz w:val="18"/>
          <w:szCs w:val="18"/>
          <w:b w:val="1"/>
          <w:bCs w:val="1"/>
          <w:color w:val="auto"/>
        </w:rPr>
      </w:pPr>
    </w:p>
    <w:p>
      <w:pPr>
        <w:ind w:left="46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Short-term investments primarily consist of wealth management treasury products that are principal-protected variable interest rate deposits held at certain financial institutions with original maturities greater than three months but less than one year. In addition, short-term investments also comprise financial instruments with fixed interest rates. Investments in these financial instruments are stated in the consolidated balance sheets at the principal amount plus accrued interest income, calculated at the specified interest rate.</w:t>
      </w:r>
    </w:p>
    <w:p>
      <w:pPr>
        <w:spacing w:after="0" w:line="7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2016, the Group did not have any short-term investments.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420"/>
          </w:cols>
          <w:pgMar w:left="240" w:top="455" w:right="23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121" w:lineRule="exact"/>
        <w:rPr>
          <w:rFonts w:ascii="Times New Roman" w:cs="Times New Roman" w:eastAsia="Times New Roman" w:hAnsi="Times New Roman"/>
          <w:sz w:val="18"/>
          <w:szCs w:val="18"/>
          <w:b w:val="1"/>
          <w:bCs w:val="1"/>
          <w:color w:val="auto"/>
        </w:rPr>
      </w:pPr>
    </w:p>
    <w:p>
      <w:pPr>
        <w:jc w:val="both"/>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 are presented net of allowance for doubtful accounts. The Group uses specific identification in providing for bad debts when facts and circumstances indicate that collection is doubtful and based on factors listed in the following paragraph. If the financial conditions of its customers were to deteriorate, resulting in an impairment of their ability to make payments, additional allowance may be required.</w:t>
      </w:r>
    </w:p>
    <w:p>
      <w:pPr>
        <w:spacing w:after="0" w:line="68" w:lineRule="exact"/>
        <w:rPr>
          <w:rFonts w:ascii="Times New Roman" w:cs="Times New Roman" w:eastAsia="Times New Roman" w:hAnsi="Times New Roman"/>
          <w:sz w:val="18"/>
          <w:szCs w:val="18"/>
          <w:b w:val="1"/>
          <w:bCs w:val="1"/>
          <w:color w:val="auto"/>
        </w:rPr>
      </w:pPr>
    </w:p>
    <w:p>
      <w:pPr>
        <w:ind w:left="460" w:right="1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maintains an allowance for doubtful accounts which reflects its best estimate of amounts that potentially will not be collected. The Company determines the allowance for doubtful accounts on an individual basis taking into consideration various factors including but not limited to historical collection experience and credit-worthiness of the customers as well as the age of the individual receivables balance. Additionally, the Company makes specific bad debt provisions based on any specific knowledge the Company has acquired that might indicate that an account is uncollectible. The facts and circumstances of each account may require the Company to use substantial judgment in assessing its collectability.</w:t>
      </w:r>
    </w:p>
    <w:p>
      <w:pPr>
        <w:spacing w:after="0" w:line="328"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Rebates receivable</w:t>
      </w:r>
    </w:p>
    <w:p>
      <w:pPr>
        <w:spacing w:after="0" w:line="121" w:lineRule="exact"/>
        <w:rPr>
          <w:rFonts w:ascii="Times New Roman" w:cs="Times New Roman" w:eastAsia="Times New Roman" w:hAnsi="Times New Roman"/>
          <w:sz w:val="18"/>
          <w:szCs w:val="18"/>
          <w:b w:val="1"/>
          <w:bCs w:val="1"/>
          <w:color w:val="auto"/>
        </w:rPr>
      </w:pPr>
    </w:p>
    <w:p>
      <w:pPr>
        <w:ind w:left="46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Rebates receivable represent sales rebates that have already been earned but not received from third party publishers. The Company earns its rebates from purchasing advertising spaces from these website publishers.</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method investment</w:t>
      </w:r>
    </w:p>
    <w:p>
      <w:pPr>
        <w:spacing w:after="0" w:line="121" w:lineRule="exact"/>
        <w:rPr>
          <w:rFonts w:ascii="Times New Roman" w:cs="Times New Roman" w:eastAsia="Times New Roman" w:hAnsi="Times New Roman"/>
          <w:sz w:val="18"/>
          <w:szCs w:val="18"/>
          <w:b w:val="1"/>
          <w:bCs w:val="1"/>
          <w:color w:val="auto"/>
        </w:rPr>
      </w:pPr>
    </w:p>
    <w:p>
      <w:pPr>
        <w:ind w:lef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holds investments in privately held companies. The Group accounts for these investments over which it has significant influence but does not own a majority equity interest or otherwise control using the equity method of accounting. The Group assesses its equity method investments for other-than-temporary impairment by considering factors including, but not limited to, current economic and market conditions, operating performance of the companies, including current earnings trends and undiscounted cash flows, and other company-specific information. The fair value determination, particularly for investments in privately-held companies, requires significant judgment to determine appropriate estimates and assumptions. Changes in these estimates and assumptions could affect the calculation of the fair value of the investments and determination of whether any identified impairment is other-than-temporary.</w:t>
      </w:r>
    </w:p>
    <w:p>
      <w:pPr>
        <w:spacing w:after="0" w:line="81" w:lineRule="exact"/>
        <w:rPr>
          <w:rFonts w:ascii="Times New Roman" w:cs="Times New Roman" w:eastAsia="Times New Roman" w:hAnsi="Times New Roman"/>
          <w:sz w:val="18"/>
          <w:szCs w:val="18"/>
          <w:b w:val="1"/>
          <w:bCs w:val="1"/>
          <w:color w:val="auto"/>
        </w:rPr>
      </w:pPr>
    </w:p>
    <w:p>
      <w:pPr>
        <w:ind w:left="4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noted in Note 1 to the consolidated financial statements, the Company accelerated the purchase of up to 57.1% equity interests in Buzzinate by exercising the option in February 2015 and at the same time purchased the remaining 42.9% equity interest. Prior to the acquisition, the equity interest held in Buzzinate was accounted for using the equity method. When Buzzinate became a wholly-owned subsidiary of the Company, and accordingly the previously held interest was remeasured at fair value with the revaluation gain was recorded in “other gains/(losses), net”. Furthermore, as of December 31, 2015 and 2016, there was no equity method investment.</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340"/>
          </w:cols>
          <w:pgMar w:left="240" w:top="456" w:right="31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460"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are stated at historical cost less accumulated depreciation and impairment loss, if any. Depreciation is calculated using the straight-line method over their estimated useful lives. The estimated useful lives are as follows:</w:t>
      </w:r>
    </w:p>
    <w:p>
      <w:pPr>
        <w:sectPr>
          <w:pgSz w:w="11900" w:h="16838" w:orient="portrait"/>
          <w:cols w:equalWidth="0" w:num="1">
            <w:col w:w="11400"/>
          </w:cols>
          <w:pgMar w:left="240" w:top="455" w:right="259" w:bottom="1440" w:gutter="0" w:footer="0" w:header="0"/>
        </w:sectPr>
      </w:pP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Furniture and fixtures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Office equipment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Over the shorter of lease term or 2 – 5 years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 5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 5 years</w:t>
      </w:r>
    </w:p>
    <w:p>
      <w:pPr>
        <w:spacing w:after="0" w:line="99" w:lineRule="exact"/>
        <w:rPr>
          <w:sz w:val="20"/>
          <w:szCs w:val="20"/>
          <w:color w:val="auto"/>
        </w:rPr>
      </w:pPr>
    </w:p>
    <w:p>
      <w:pPr>
        <w:sectPr>
          <w:pgSz w:w="11900" w:h="16838" w:orient="portrait"/>
          <w:cols w:equalWidth="0" w:num="2">
            <w:col w:w="5420" w:space="720"/>
            <w:col w:w="5260"/>
          </w:cols>
          <w:pgMar w:left="240" w:top="455" w:right="259" w:bottom="1440" w:gutter="0" w:footer="0" w:header="0"/>
          <w:type w:val="continuous"/>
        </w:sectPr>
      </w:pPr>
    </w:p>
    <w:p>
      <w:pPr>
        <w:ind w:left="460" w:right="160"/>
        <w:spacing w:after="0" w:line="282" w:lineRule="auto"/>
        <w:rPr>
          <w:sz w:val="20"/>
          <w:szCs w:val="20"/>
          <w:color w:val="auto"/>
        </w:rPr>
      </w:pPr>
      <w:r>
        <w:rPr>
          <w:rFonts w:ascii="Times New Roman" w:cs="Times New Roman" w:eastAsia="Times New Roman" w:hAnsi="Times New Roman"/>
          <w:sz w:val="18"/>
          <w:szCs w:val="18"/>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statements of comprehensive loss.</w:t>
      </w:r>
    </w:p>
    <w:p>
      <w:pPr>
        <w:spacing w:after="0" w:line="306" w:lineRule="exact"/>
        <w:rPr>
          <w:sz w:val="20"/>
          <w:szCs w:val="20"/>
          <w:color w:val="auto"/>
        </w:rPr>
      </w:pPr>
    </w:p>
    <w:p>
      <w:pPr>
        <w:ind w:left="460" w:hanging="452"/>
        <w:spacing w:after="0"/>
        <w:tabs>
          <w:tab w:leader="none" w:pos="4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rFonts w:ascii="Times New Roman" w:cs="Times New Roman" w:eastAsia="Times New Roman" w:hAnsi="Times New Roman"/>
          <w:sz w:val="18"/>
          <w:szCs w:val="18"/>
          <w:b w:val="1"/>
          <w:bCs w:val="1"/>
          <w:color w:val="auto"/>
        </w:rPr>
      </w:pPr>
    </w:p>
    <w:p>
      <w:pPr>
        <w:ind w:left="460" w:right="2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accounts for acquisitions of entities that include inputs and processes and have the ability to create outputs as business combinations. The Group allocates the purchase price of the acquisition to the tangible assets, liabilities, and identifiable intangible assets acquired based on their estimated fair values. The excess of the purchase price over those fair values is recorded as goodwill. Acquisition related costs are expensed as incurred.</w:t>
      </w:r>
    </w:p>
    <w:p>
      <w:pPr>
        <w:spacing w:after="0" w:line="324"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121" w:lineRule="exact"/>
        <w:rPr>
          <w:rFonts w:ascii="Times New Roman" w:cs="Times New Roman" w:eastAsia="Times New Roman" w:hAnsi="Times New Roman"/>
          <w:sz w:val="18"/>
          <w:szCs w:val="18"/>
          <w:b w:val="1"/>
          <w:bCs w:val="1"/>
          <w:color w:val="auto"/>
        </w:rPr>
      </w:pPr>
    </w:p>
    <w:p>
      <w:pPr>
        <w:ind w:left="46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mainly consist of computer software and systems acquired through the acquisition of OptAim and Buzzinate, respectively. Identifiable intangible assets are carried at acquisition cost less accumulated amortization and impairment loss, if any. Finite lived intangible assets are tested for impairment if impairment indicators arise. Amortization of finite lived intangible assets is computed using the straight-line method over the following estimated useful lives, which are as follows:</w:t>
      </w:r>
    </w:p>
    <w:p>
      <w:pPr>
        <w:spacing w:after="0" w:line="207" w:lineRule="exact"/>
        <w:rPr>
          <w:sz w:val="20"/>
          <w:szCs w:val="20"/>
          <w:color w:val="auto"/>
        </w:rPr>
      </w:pPr>
    </w:p>
    <w:p>
      <w:pPr>
        <w:ind w:left="460"/>
        <w:spacing w:after="0"/>
        <w:tabs>
          <w:tab w:leader="none" w:pos="6120" w:val="left"/>
        </w:tabs>
        <w:rPr>
          <w:sz w:val="20"/>
          <w:szCs w:val="20"/>
          <w:color w:val="auto"/>
        </w:rPr>
      </w:pPr>
      <w:r>
        <w:rPr>
          <w:rFonts w:ascii="Times New Roman" w:cs="Times New Roman" w:eastAsia="Times New Roman" w:hAnsi="Times New Roman"/>
          <w:sz w:val="18"/>
          <w:szCs w:val="18"/>
          <w:color w:val="auto"/>
        </w:rPr>
        <w:t>Computer software and systems</w:t>
      </w:r>
      <w:r>
        <w:rPr>
          <w:sz w:val="20"/>
          <w:szCs w:val="20"/>
          <w:color w:val="auto"/>
        </w:rPr>
        <w:tab/>
      </w:r>
      <w:r>
        <w:rPr>
          <w:rFonts w:ascii="Times New Roman" w:cs="Times New Roman" w:eastAsia="Times New Roman" w:hAnsi="Times New Roman"/>
          <w:sz w:val="17"/>
          <w:szCs w:val="17"/>
          <w:color w:val="auto"/>
        </w:rPr>
        <w:t>2 – 5 years</w:t>
      </w:r>
    </w:p>
    <w:p>
      <w:pPr>
        <w:spacing w:after="0" w:line="370" w:lineRule="exact"/>
        <w:rPr>
          <w:sz w:val="20"/>
          <w:szCs w:val="20"/>
          <w:color w:val="auto"/>
        </w:rPr>
      </w:pPr>
    </w:p>
    <w:p>
      <w:pPr>
        <w:ind w:left="460" w:hanging="452"/>
        <w:spacing w:after="0"/>
        <w:tabs>
          <w:tab w:leader="none" w:pos="46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long-lived assets and intangible assets</w:t>
      </w:r>
    </w:p>
    <w:p>
      <w:pPr>
        <w:spacing w:after="0" w:line="121" w:lineRule="exact"/>
        <w:rPr>
          <w:rFonts w:ascii="Times New Roman" w:cs="Times New Roman" w:eastAsia="Times New Roman" w:hAnsi="Times New Roman"/>
          <w:sz w:val="18"/>
          <w:szCs w:val="18"/>
          <w:b w:val="1"/>
          <w:bCs w:val="1"/>
          <w:color w:val="auto"/>
        </w:rPr>
      </w:pPr>
    </w:p>
    <w:p>
      <w:pPr>
        <w:ind w:left="4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other long-lived assets including property and equipment and amortizable intangible assets, the Group evaluates for impairment whenever events or changes (triggering events) indicate that the carrying amount of an asset may no longer be recoverable. The Group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w:t>
      </w:r>
    </w:p>
    <w:p>
      <w:pPr>
        <w:spacing w:after="0" w:line="332"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21" w:lineRule="exact"/>
        <w:rPr>
          <w:rFonts w:ascii="Times New Roman" w:cs="Times New Roman" w:eastAsia="Times New Roman" w:hAnsi="Times New Roman"/>
          <w:sz w:val="18"/>
          <w:szCs w:val="18"/>
          <w:b w:val="1"/>
          <w:bCs w:val="1"/>
          <w:color w:val="auto"/>
        </w:rPr>
      </w:pPr>
    </w:p>
    <w:p>
      <w:pPr>
        <w:ind w:left="4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Goodwill represents the excess of the purchase price over the amounts assigned to the fair value of the assets acquired and the liabilities assumed of an acquired business.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400"/>
          </w:cols>
          <w:pgMar w:left="240" w:top="455" w:right="259" w:bottom="1440" w:gutter="0" w:footer="0" w:header="0"/>
          <w:type w:val="continuous"/>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goodwill</w:t>
      </w:r>
    </w:p>
    <w:p>
      <w:pPr>
        <w:spacing w:after="0" w:line="121" w:lineRule="exact"/>
        <w:rPr>
          <w:rFonts w:ascii="Times New Roman" w:cs="Times New Roman" w:eastAsia="Times New Roman" w:hAnsi="Times New Roman"/>
          <w:sz w:val="18"/>
          <w:szCs w:val="18"/>
          <w:b w:val="1"/>
          <w:bCs w:val="1"/>
          <w:color w:val="auto"/>
        </w:rPr>
      </w:pPr>
    </w:p>
    <w:p>
      <w:pPr>
        <w:ind w:left="4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is, a likelihood of more than 50 percent) that the fair value of a reporting unit is less than its carrying amount, including goodwill. The Group, however, selects proceed directly to perform a two-step goodwill impairment test. The first step compares the fair values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adjusting the value of any assets or liabilities. An impairment loss is recognized for any excess in the carrying value of goodwill over the implied fair value of goodwill. The judgment in estimating the fair value of a reporting unit includes estimating future cash flows, determining appropriate discount rates and making other assumptions. Changes in these estimates and assumptions could materially affect the determination of the fair value of a reporting unit. No goodwill impairment losses were recognized for the years ended December 31, 2015 and 2016.</w:t>
      </w:r>
    </w:p>
    <w:p>
      <w:pPr>
        <w:spacing w:after="0" w:line="343"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Customer deposits</w:t>
      </w:r>
    </w:p>
    <w:p>
      <w:pPr>
        <w:spacing w:after="0" w:line="121" w:lineRule="exact"/>
        <w:rPr>
          <w:rFonts w:ascii="Times New Roman" w:cs="Times New Roman" w:eastAsia="Times New Roman" w:hAnsi="Times New Roman"/>
          <w:sz w:val="18"/>
          <w:szCs w:val="18"/>
          <w:b w:val="1"/>
          <w:bCs w:val="1"/>
          <w:color w:val="auto"/>
        </w:rPr>
      </w:pPr>
    </w:p>
    <w:p>
      <w:pPr>
        <w:ind w:left="4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receives prepayments for services in advance of service performance from certain customers. The amounts received in advance are recorded as customer deposits and recognized in the period which the corresponding services are performed.</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rFonts w:ascii="Times New Roman" w:cs="Times New Roman" w:eastAsia="Times New Roman" w:hAnsi="Times New Roman"/>
          <w:sz w:val="18"/>
          <w:szCs w:val="18"/>
          <w:b w:val="1"/>
          <w:bCs w:val="1"/>
          <w:color w:val="auto"/>
        </w:rPr>
      </w:pPr>
    </w:p>
    <w:p>
      <w:pPr>
        <w:ind w:left="460" w:right="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ASC 815, “Accounting for Derivative Instruments and Hedging Activities” (“ASC 815”) requires every derivative financial instrument (including certain derivative financial instruments embedded in other contracts) to be recorded on the balance sheet at fair value as either an asset or a liability. ASC 815 also requires that changes in the fair value of recorded derivatives be recognized currently in earnings unless specific hedge accounting criteria are met.</w:t>
      </w:r>
    </w:p>
    <w:p>
      <w:pPr>
        <w:spacing w:after="0" w:line="324"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rFonts w:ascii="Times New Roman" w:cs="Times New Roman" w:eastAsia="Times New Roman" w:hAnsi="Times New Roman"/>
          <w:sz w:val="18"/>
          <w:szCs w:val="18"/>
          <w:b w:val="1"/>
          <w:bCs w:val="1"/>
          <w:color w:val="auto"/>
        </w:rPr>
      </w:pPr>
    </w:p>
    <w:p>
      <w:pPr>
        <w:ind w:left="4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services are the provisions of online marketing services. The Group utilizes a combination of pricing models and revenue is recognized when the related services are delivered based on the specific terms of the contract, which are commonly based on (i) cost-plus, (ii) agreed rebates to be earned from certain website publishers or (iii) specified actions (i.e. cost per impression (“CPM”), cost per click (“CPC”), cost per action (“CPA”), cost per sale (“CPS”), cost per lead (“CPL”) or return on investment (“ROI”)) and related campaign budgets, depending on the customers’ preferences and their campaigns launched.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420"/>
          </w:cols>
          <w:pgMar w:left="240" w:top="456" w:right="23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(Continued)</w:t>
      </w:r>
    </w:p>
    <w:p>
      <w:pPr>
        <w:spacing w:after="0" w:line="134" w:lineRule="exact"/>
        <w:rPr>
          <w:rFonts w:ascii="Times New Roman" w:cs="Times New Roman" w:eastAsia="Times New Roman" w:hAnsi="Times New Roman"/>
          <w:sz w:val="18"/>
          <w:szCs w:val="18"/>
          <w:b w:val="1"/>
          <w:bCs w:val="1"/>
          <w:color w:val="auto"/>
        </w:rPr>
      </w:pPr>
    </w:p>
    <w:p>
      <w:pPr>
        <w:ind w:left="46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recognizes revenue when four basic criteria are met: (1) persuasive evidence of an arrangement with the customer exists reflecting the terms and conditions under which the services will be provided; (2) services have been provided or delivery has occurred; (3) the fee is fixed or determinable; and (4) 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w:t>
      </w:r>
    </w:p>
    <w:p>
      <w:pPr>
        <w:spacing w:after="0" w:line="71" w:lineRule="exact"/>
        <w:rPr>
          <w:rFonts w:ascii="Times New Roman" w:cs="Times New Roman" w:eastAsia="Times New Roman" w:hAnsi="Times New Roman"/>
          <w:sz w:val="18"/>
          <w:szCs w:val="18"/>
          <w:b w:val="1"/>
          <w:bCs w:val="1"/>
          <w:color w:val="auto"/>
        </w:rPr>
      </w:pPr>
    </w:p>
    <w:p>
      <w:pPr>
        <w:ind w:left="46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in relation to rebates to be earned from certain website publishers are based on factors determined by these website publishers, such as yearly spending at these website publishers’ various platforms and other factors selected at the discretion of these website publishers. Such rebates earned from website publishers are recorded as revenues when the Group is acting as an agent in a transaction, and is based on an evaluation of the terms of each arrangement. Revenues are recorded net of value-added taxes and surcharges.</w:t>
      </w:r>
    </w:p>
    <w:p>
      <w:pPr>
        <w:spacing w:after="0" w:line="286"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Cost-plus and agreed rebates to be earned from certain website publishers</w:t>
      </w:r>
    </w:p>
    <w:p>
      <w:pPr>
        <w:spacing w:after="0" w:line="119" w:lineRule="exact"/>
        <w:rPr>
          <w:rFonts w:ascii="Times New Roman" w:cs="Times New Roman" w:eastAsia="Times New Roman" w:hAnsi="Times New Roman"/>
          <w:sz w:val="18"/>
          <w:szCs w:val="18"/>
          <w:b w:val="1"/>
          <w:bCs w:val="1"/>
          <w:color w:val="auto"/>
        </w:rPr>
      </w:pPr>
    </w:p>
    <w:p>
      <w:pPr>
        <w:ind w:left="4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cost-plus advertisement campaigns and rebates to be earned from certain website publishers, sales are valued at the amount received and receivable. Rebates and discounts granted to customers, along with free or extended marketing campaigns, are recorded as a deduction from revenue. In the normal course of business, the Group acts as an intermediary in executing transactions with third parties, specifically for transactions where the Group is not the principal in executing these transactions as the Group is acting on behalf of the website publishers. The determination of whether revenue should be reported on a gross or net basis is based on an assessment of whether the Group is acting as the principal or an agent in our transactions. In determining whether the Group acts as the principal or an agent, the Group follows the accounting guidance for principal-agent considerations. Such determination involves judgment and is based on an evaluation of the terms of each arrangement. While none of the factors individually are considered presumptive or determinative, because the Group is simply facilitating the customers and the publishers to purchase and to sell inventory and the pricing is generally restricted by the costs incurred through purchasing the inventory, the Group is not the principal in these arrangements and therefore reports revenue earned and costs incurred related to these transaction on a net basis.</w:t>
      </w:r>
    </w:p>
    <w:p>
      <w:pPr>
        <w:spacing w:after="0" w:line="29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Specified actions</w:t>
      </w:r>
    </w:p>
    <w:p>
      <w:pPr>
        <w:spacing w:after="0" w:line="119" w:lineRule="exact"/>
        <w:rPr>
          <w:rFonts w:ascii="Times New Roman" w:cs="Times New Roman" w:eastAsia="Times New Roman" w:hAnsi="Times New Roman"/>
          <w:sz w:val="18"/>
          <w:szCs w:val="18"/>
          <w:b w:val="1"/>
          <w:bCs w:val="1"/>
          <w:color w:val="auto"/>
        </w:rPr>
      </w:pPr>
    </w:p>
    <w:p>
      <w:pPr>
        <w:ind w:left="460"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also generates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the Group is the primary obligor and are responsible for (1) identifying and contracting with third-party customers; (2) identifying website publishers to provide website spaces where the Group views the website publishers as suppliers; (3) establishing the selling prices of each of the CPM, CPC, CPA, CPS, CPL or ROI pricing model;</w:t>
      </w:r>
    </w:p>
    <w:p>
      <w:pPr>
        <w:spacing w:after="0" w:line="3" w:lineRule="exact"/>
        <w:rPr>
          <w:rFonts w:ascii="Times New Roman" w:cs="Times New Roman" w:eastAsia="Times New Roman" w:hAnsi="Times New Roman"/>
          <w:sz w:val="18"/>
          <w:szCs w:val="18"/>
          <w:b w:val="1"/>
          <w:bCs w:val="1"/>
          <w:color w:val="auto"/>
        </w:rPr>
      </w:pPr>
    </w:p>
    <w:p>
      <w:pPr>
        <w:ind w:left="4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 performing all billing and collection activities, including retaining credit risk; and (5) bearing sole responsibility for fulfillment of the marketing, the Group acts as the principal of these arrangements and therefore reports revenue earned and costs incurred related to these transactions on a gross basis.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420"/>
          </w:cols>
          <w:pgMar w:left="240" w:top="456" w:right="23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 of revenues</w:t>
      </w:r>
    </w:p>
    <w:p>
      <w:pPr>
        <w:spacing w:after="0" w:line="121" w:lineRule="exact"/>
        <w:rPr>
          <w:rFonts w:ascii="Times New Roman" w:cs="Times New Roman" w:eastAsia="Times New Roman" w:hAnsi="Times New Roman"/>
          <w:sz w:val="18"/>
          <w:szCs w:val="18"/>
          <w:b w:val="1"/>
          <w:bCs w:val="1"/>
          <w:color w:val="auto"/>
        </w:rPr>
      </w:pPr>
    </w:p>
    <w:p>
      <w:pPr>
        <w:ind w:left="460" w:right="1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 of revenues consists of the costs to purchase space for the online marketing operations, amortization expenses related to the Group’s computer software and systems, salaries and benefits of relevant operations and support personnel and depreciation of relevant property and equipment depreciation. The Group becomes obligated to make payments related to website publishers in the period the marketing impressions and click-through occur. Such expenses are classified as cost of revenues in the consolidated statements of operations as incurred. Cost of revenues also includes rebates received from website publishers which are recorded as a deduction against the cost of revenues when the Group is acting as a principal in a transaction. Following recent reforms of PRC tax laws, business tax is gradually being replaced by VAT, which is recorded as a reduction of revenue. The Group’s PRC subsidiaries, OptAim VIE and its subsidiary are subjected to VAT at a rate of 6%.</w:t>
      </w:r>
    </w:p>
    <w:p>
      <w:pPr>
        <w:spacing w:after="0" w:line="212"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media costs</w:t>
      </w:r>
    </w:p>
    <w:p>
      <w:pPr>
        <w:spacing w:after="0" w:line="121" w:lineRule="exact"/>
        <w:rPr>
          <w:rFonts w:ascii="Times New Roman" w:cs="Times New Roman" w:eastAsia="Times New Roman" w:hAnsi="Times New Roman"/>
          <w:sz w:val="18"/>
          <w:szCs w:val="18"/>
          <w:b w:val="1"/>
          <w:bCs w:val="1"/>
          <w:color w:val="auto"/>
        </w:rPr>
      </w:pPr>
    </w:p>
    <w:p>
      <w:pPr>
        <w:ind w:left="46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media costs represent prepayments for online space paid by the Group to third party publishers of websites. Upon utilization, media costs are recognized in cost of revenues when the Group is determined as acting as the principal. However, when the Group is determined as acting as the agent, those costs are recognized as deduction to revenue by the Group. These prepayments are classified as current considering the corresponding online spaces are expected to be purchased and utilized within twelve months from the date of payments.</w:t>
      </w:r>
    </w:p>
    <w:p>
      <w:pPr>
        <w:spacing w:after="0" w:line="203"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Research and development expenses consist primarily of (i) salary and welfare for research and development personnel, (ii) rental expenses and</w:t>
      </w:r>
    </w:p>
    <w:p>
      <w:pPr>
        <w:spacing w:after="0" w:line="27" w:lineRule="exact"/>
        <w:rPr>
          <w:rFonts w:ascii="Times New Roman" w:cs="Times New Roman" w:eastAsia="Times New Roman" w:hAnsi="Times New Roman"/>
          <w:sz w:val="18"/>
          <w:szCs w:val="18"/>
          <w:b w:val="1"/>
          <w:bCs w:val="1"/>
          <w:color w:val="auto"/>
        </w:rPr>
      </w:pPr>
    </w:p>
    <w:p>
      <w:pPr>
        <w:ind w:lef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(iii) depreciation of office premise and servers utilized by research and development personnel. Costs incurred during the research stage are expensed as incurred. Costs incurred in the development stage, prior to the establishment of technological feasibility, which is when a working model is available, are expensed when incurred.</w:t>
      </w:r>
    </w:p>
    <w:p>
      <w:pPr>
        <w:spacing w:after="0" w:line="78" w:lineRule="exact"/>
        <w:rPr>
          <w:sz w:val="20"/>
          <w:szCs w:val="20"/>
          <w:color w:val="auto"/>
        </w:rPr>
      </w:pPr>
    </w:p>
    <w:p>
      <w:pPr>
        <w:ind w:left="460" w:right="40"/>
        <w:spacing w:after="0" w:line="258" w:lineRule="auto"/>
        <w:rPr>
          <w:sz w:val="20"/>
          <w:szCs w:val="20"/>
          <w:color w:val="auto"/>
        </w:rPr>
      </w:pPr>
      <w:r>
        <w:rPr>
          <w:rFonts w:ascii="Times New Roman" w:cs="Times New Roman" w:eastAsia="Times New Roman" w:hAnsi="Times New Roman"/>
          <w:sz w:val="18"/>
          <w:szCs w:val="18"/>
          <w:color w:val="auto"/>
        </w:rPr>
        <w:t>The Company accounts for internal use software development costs in accordance with guidance on intangible assets and internal use software. This requires capitalization of qualifying costs incurred during the software’s application development stage and to expense costs as they are incurred during the preliminary project and post implementation/operation stages. For the years ended December 31, 2015 and 2016, the Company has not capitalized any costs related to internal use software. The research and development expenses amounted to US$8,106 and US$8,584 during the years ended December 31, 2015 and 2016, respectively.</w:t>
      </w:r>
    </w:p>
    <w:p>
      <w:pPr>
        <w:spacing w:after="0" w:line="207" w:lineRule="exact"/>
        <w:rPr>
          <w:sz w:val="20"/>
          <w:szCs w:val="20"/>
          <w:color w:val="auto"/>
        </w:rPr>
      </w:pPr>
    </w:p>
    <w:p>
      <w:pPr>
        <w:ind w:left="460" w:hanging="452"/>
        <w:spacing w:after="0"/>
        <w:tabs>
          <w:tab w:leader="none" w:pos="46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Sales and marketing expenses</w:t>
      </w:r>
    </w:p>
    <w:p>
      <w:pPr>
        <w:spacing w:after="0" w:line="121" w:lineRule="exact"/>
        <w:rPr>
          <w:rFonts w:ascii="Times New Roman" w:cs="Times New Roman" w:eastAsia="Times New Roman" w:hAnsi="Times New Roman"/>
          <w:sz w:val="18"/>
          <w:szCs w:val="18"/>
          <w:b w:val="1"/>
          <w:bCs w:val="1"/>
          <w:color w:val="auto"/>
        </w:rPr>
      </w:pPr>
    </w:p>
    <w:p>
      <w:pPr>
        <w:ind w:left="460" w:right="2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Sales and marketing expenses consist primarily of (i) advertising and marketing expenses, and (ii) salary and welfare for sales and marketing personnel. The sales and market promotion expenses amounted to US$31,385 and US$28,266 during the years ended December 31, 2015 and 2016, respectively.</w:t>
      </w:r>
    </w:p>
    <w:p>
      <w:pPr>
        <w:spacing w:after="0" w:line="161"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rFonts w:ascii="Times New Roman" w:cs="Times New Roman" w:eastAsia="Times New Roman" w:hAnsi="Times New Roman"/>
          <w:sz w:val="18"/>
          <w:szCs w:val="18"/>
          <w:b w:val="1"/>
          <w:bCs w:val="1"/>
          <w:color w:val="auto"/>
        </w:rPr>
      </w:pPr>
    </w:p>
    <w:p>
      <w:pPr>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 and administrative expenses consist primarily of (i) salary and welfare for general and administrative personnel, (ii) allowance for doubtful receivables, and (iii) professional service fees. The general and administrative expenses amounted to US$12,745 and US$26,767 during the years ended December 31, 2015 and 2016, respectively.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420"/>
          </w:cols>
          <w:pgMar w:left="240" w:top="456" w:right="23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121" w:lineRule="exact"/>
        <w:rPr>
          <w:rFonts w:ascii="Times New Roman" w:cs="Times New Roman" w:eastAsia="Times New Roman" w:hAnsi="Times New Roman"/>
          <w:sz w:val="18"/>
          <w:szCs w:val="18"/>
          <w:b w:val="1"/>
          <w:bCs w:val="1"/>
          <w:color w:val="auto"/>
        </w:rPr>
      </w:pPr>
    </w:p>
    <w:p>
      <w:pPr>
        <w:jc w:val="both"/>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Leases where substantially all the rewards and risks of ownership of assets remain with the lessor are accounted for as operating leases. Payments made under operating leases are charged to the consolidated statements of operations on a straight-line basis over the lease periods. The Group had no capital leases for the years ended December 31, 2015 and 2016.</w:t>
      </w:r>
    </w:p>
    <w:p>
      <w:pPr>
        <w:spacing w:after="0" w:line="321" w:lineRule="exact"/>
        <w:rPr>
          <w:sz w:val="20"/>
          <w:szCs w:val="20"/>
          <w:color w:val="auto"/>
        </w:rPr>
      </w:pPr>
    </w:p>
    <w:p>
      <w:pPr>
        <w:ind w:left="460" w:hanging="452"/>
        <w:spacing w:after="0"/>
        <w:tabs>
          <w:tab w:leader="none" w:pos="46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social security and welfare benefits</w:t>
      </w:r>
    </w:p>
    <w:p>
      <w:pPr>
        <w:spacing w:after="0" w:line="121" w:lineRule="exact"/>
        <w:rPr>
          <w:rFonts w:ascii="Times New Roman" w:cs="Times New Roman" w:eastAsia="Times New Roman" w:hAnsi="Times New Roman"/>
          <w:sz w:val="18"/>
          <w:szCs w:val="18"/>
          <w:b w:val="1"/>
          <w:bCs w:val="1"/>
          <w:color w:val="auto"/>
        </w:rPr>
      </w:pPr>
    </w:p>
    <w:p>
      <w:pPr>
        <w:ind w:left="4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contribute to the plan based on certain percentages of the employees’ salaries, up to a maximum amount specified by the local government.</w:t>
      </w:r>
    </w:p>
    <w:p>
      <w:pPr>
        <w:spacing w:after="0" w:line="71" w:lineRule="exact"/>
        <w:rPr>
          <w:rFonts w:ascii="Times New Roman" w:cs="Times New Roman" w:eastAsia="Times New Roman" w:hAnsi="Times New Roman"/>
          <w:sz w:val="18"/>
          <w:szCs w:val="18"/>
          <w:b w:val="1"/>
          <w:bCs w:val="1"/>
          <w:color w:val="auto"/>
        </w:rPr>
      </w:pPr>
    </w:p>
    <w:p>
      <w:pPr>
        <w:ind w:left="460"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PRC government is responsible for the medical benefits and the pension liability to be paid to these employees and the Group’s obligations are limited to the amounts contributed and no legal obligation beyond the contributions made.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  Income taxes</w:t>
      </w:r>
    </w:p>
    <w:p>
      <w:pPr>
        <w:spacing w:after="0" w:line="121" w:lineRule="exact"/>
        <w:rPr>
          <w:sz w:val="20"/>
          <w:szCs w:val="20"/>
          <w:color w:val="auto"/>
        </w:rPr>
      </w:pPr>
    </w:p>
    <w:p>
      <w:pPr>
        <w:ind w:left="460" w:right="20"/>
        <w:spacing w:after="0" w:line="255" w:lineRule="auto"/>
        <w:rPr>
          <w:sz w:val="20"/>
          <w:szCs w:val="20"/>
          <w:color w:val="auto"/>
        </w:rPr>
      </w:pPr>
      <w:r>
        <w:rPr>
          <w:rFonts w:ascii="Times New Roman" w:cs="Times New Roman" w:eastAsia="Times New Roman" w:hAnsi="Times New Roman"/>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statements of comprehensive loss in the period of change. A valuation allowance is provided to reduce the amount of deferred tax assets if it is considered more likely than not that some portion of, or all of the deferred tax assets will not be realized.</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119" w:lineRule="exact"/>
        <w:rPr>
          <w:sz w:val="20"/>
          <w:szCs w:val="20"/>
          <w:color w:val="auto"/>
        </w:rPr>
      </w:pPr>
    </w:p>
    <w:p>
      <w:pPr>
        <w:ind w:left="460"/>
        <w:spacing w:after="0" w:line="255" w:lineRule="auto"/>
        <w:rPr>
          <w:sz w:val="20"/>
          <w:szCs w:val="20"/>
          <w:color w:val="auto"/>
        </w:rPr>
      </w:pPr>
      <w:r>
        <w:rPr>
          <w:rFonts w:ascii="Times New Roman" w:cs="Times New Roman" w:eastAsia="Times New Roman" w:hAnsi="Times New Roman"/>
          <w:sz w:val="18"/>
          <w:szCs w:val="18"/>
          <w:color w:val="auto"/>
        </w:rPr>
        <w:t>The guidance on accounting for uncertainties in income taxes prescribes a more likely than not threshold for financial statements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Group’s uncertain tax positions and determining its provision for income taxes. The Group recognizes interests and penalties, if any, under accrued expenses and other current liabilities on its consolidated balance sheets and under other expenses in its statements of operations and comprehensive loss. The Group did not recognize any significant interest and penalties associated with uncertain tax positions for the years ended December 31, 2015 and 2016. As of December 31, 2015 and 2016, the Group did not have any significant unrecognized uncertain tax positions.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400"/>
          </w:cols>
          <w:pgMar w:left="240" w:top="455" w:right="25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right="7720" w:firstLine="8"/>
        <w:spacing w:after="0" w:line="385" w:lineRule="auto"/>
        <w:tabs>
          <w:tab w:leader="none" w:pos="446"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 (ac) Share-based compensation</w:t>
      </w:r>
    </w:p>
    <w:p>
      <w:pPr>
        <w:spacing w:after="0" w:line="2" w:lineRule="exact"/>
        <w:rPr>
          <w:sz w:val="20"/>
          <w:szCs w:val="20"/>
          <w:color w:val="auto"/>
        </w:rPr>
      </w:pPr>
    </w:p>
    <w:p>
      <w:pPr>
        <w:ind w:left="460" w:right="120"/>
        <w:spacing w:after="0" w:line="261" w:lineRule="auto"/>
        <w:rPr>
          <w:sz w:val="20"/>
          <w:szCs w:val="20"/>
          <w:color w:val="auto"/>
        </w:rPr>
      </w:pPr>
      <w:r>
        <w:rPr>
          <w:rFonts w:ascii="Times New Roman" w:cs="Times New Roman" w:eastAsia="Times New Roman" w:hAnsi="Times New Roman"/>
          <w:sz w:val="18"/>
          <w:szCs w:val="18"/>
          <w:color w:val="auto"/>
        </w:rPr>
        <w:t>The Group accounts for share-based compensation expenses in accordance with ASC subtopic 718-10 (“ASC 718-10”), Compensation-Stock Compensation, for share-based awards to employees. Under the fair value recognition provisions of ASC 718-10, share-based compensation costs are measured at the grant date. The share-based compensation expenses have been categorized as either general and administrative expenses, selling and marketing expenses or research and development expenses, depending on the job functions of the grantees.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Option granted to employees</w:t>
      </w:r>
    </w:p>
    <w:p>
      <w:pPr>
        <w:spacing w:after="0" w:line="119" w:lineRule="exact"/>
        <w:rPr>
          <w:sz w:val="20"/>
          <w:szCs w:val="20"/>
          <w:color w:val="auto"/>
        </w:rPr>
      </w:pPr>
    </w:p>
    <w:p>
      <w:pPr>
        <w:ind w:left="460" w:right="80"/>
        <w:spacing w:after="0" w:line="261" w:lineRule="auto"/>
        <w:rPr>
          <w:sz w:val="20"/>
          <w:szCs w:val="20"/>
          <w:color w:val="auto"/>
        </w:rPr>
      </w:pPr>
      <w:r>
        <w:rPr>
          <w:rFonts w:ascii="Times New Roman" w:cs="Times New Roman" w:eastAsia="Times New Roman" w:hAnsi="Times New Roman"/>
          <w:sz w:val="18"/>
          <w:szCs w:val="18"/>
          <w:color w:val="auto"/>
        </w:rPr>
        <w:t>For the options granted to employees, the compensation expense is recognized using the graded-vesting attribution approach over the requisite service period, which is generally the vesting period. Forfeitures are estimated at the time of grant, with such estimate updated periodically and with actual forfeitures recognized currently to the extent they differ from the estimate. In determining the fair value of the Company’s share options, the binomial option pricing model has been applied.</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Option modification</w:t>
      </w:r>
    </w:p>
    <w:p>
      <w:pPr>
        <w:spacing w:after="0" w:line="119"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color w:val="auto"/>
        </w:rPr>
        <w:t>According to ASC 718, a change in any of the terms or conditions of equity based awards shall be accounted for as a modification of the award. Therefore, the Company calculates incremental compensation cost of a modification as the excess of the fair value of the modified option over the fair value of the original option immediately before its terms are modified. For vested options, the Company would recognize incremental compensation costs on the date of modification and for unvested options, the Company would recognize, prospectively and over the remaining requisite service period, the sum of the incremental compensation costs and the remaining unrecognized compensation costs for the original award.</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Option granted to non-employees</w:t>
      </w:r>
    </w:p>
    <w:p>
      <w:pPr>
        <w:spacing w:after="0" w:line="119"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color w:val="auto"/>
        </w:rPr>
        <w:t>For share-based awards granted to non-employees, the Group accounts for the related share-based compensation expenses in accordance with ASC subtopic, 505-50 (“ASC 505-50”), Equity-Based Payments to Non-Employees. Under the provision of ASC 505-50, options of the Company issued to non-employees are measured based on fair value of the options which are determined by using the binomial option pricing model. These options are measured as of the earlier of the date at which either: (1) commitment for performance by the non-employee has been reached; or (2) the non-employee’s performance is complete.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  Statutory reserves</w:t>
      </w:r>
    </w:p>
    <w:p>
      <w:pPr>
        <w:spacing w:after="0" w:line="121" w:lineRule="exact"/>
        <w:rPr>
          <w:sz w:val="20"/>
          <w:szCs w:val="20"/>
          <w:color w:val="auto"/>
        </w:rPr>
      </w:pPr>
    </w:p>
    <w:p>
      <w:pPr>
        <w:ind w:left="460"/>
        <w:spacing w:after="0" w:line="313" w:lineRule="auto"/>
        <w:rPr>
          <w:sz w:val="20"/>
          <w:szCs w:val="20"/>
          <w:color w:val="auto"/>
        </w:rPr>
      </w:pPr>
      <w:r>
        <w:rPr>
          <w:rFonts w:ascii="Times New Roman" w:cs="Times New Roman" w:eastAsia="Times New Roman" w:hAnsi="Times New Roman"/>
          <w:sz w:val="17"/>
          <w:szCs w:val="17"/>
          <w:color w:val="auto"/>
        </w:rPr>
        <w:t>The Group’s subsidiaries, consolidated VIE and its subsidiaries incorporated in the PRC are required on an annual basis to make appropriations of retained earnings set at certain percentage of after-tax profit determined in accordance with PRC accounting standards and regulations (“PRC GAAP”).</w:t>
      </w:r>
    </w:p>
    <w:p>
      <w:pPr>
        <w:spacing w:after="0" w:line="30" w:lineRule="exact"/>
        <w:rPr>
          <w:sz w:val="20"/>
          <w:szCs w:val="20"/>
          <w:color w:val="auto"/>
        </w:rPr>
      </w:pPr>
    </w:p>
    <w:p>
      <w:pPr>
        <w:jc w:val="both"/>
        <w:ind w:left="460" w:right="100"/>
        <w:spacing w:after="0" w:line="266" w:lineRule="auto"/>
        <w:rPr>
          <w:sz w:val="20"/>
          <w:szCs w:val="20"/>
          <w:color w:val="auto"/>
        </w:rPr>
      </w:pPr>
      <w:r>
        <w:rPr>
          <w:rFonts w:ascii="Times New Roman" w:cs="Times New Roman" w:eastAsia="Times New Roman" w:hAnsi="Times New Roman"/>
          <w:sz w:val="18"/>
          <w:szCs w:val="18"/>
          <w:color w:val="auto"/>
        </w:rPr>
        <w:t>Appropriation to the statutory general reserve should be at least 10% of the after tax net income determined in accordance with the legal requirements in the PRC until the reserve is equal to 50% of the entities’ registered capital. The Group is not required to make appropriation to other reserve funds and the Group does not have any intentions to make appropriations to any other reserve funds.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360"/>
          </w:cols>
          <w:pgMar w:left="240" w:top="455" w:right="29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right="7680" w:firstLine="8"/>
        <w:spacing w:after="0" w:line="393" w:lineRule="auto"/>
        <w:tabs>
          <w:tab w:leader="none" w:pos="446"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 (ad) Statutory reserves (Continued)</w:t>
      </w:r>
    </w:p>
    <w:p>
      <w:pPr>
        <w:spacing w:after="0" w:line="1" w:lineRule="exact"/>
        <w:rPr>
          <w:sz w:val="20"/>
          <w:szCs w:val="20"/>
          <w:color w:val="auto"/>
        </w:rPr>
      </w:pPr>
    </w:p>
    <w:p>
      <w:pPr>
        <w:ind w:left="460" w:right="360"/>
        <w:spacing w:after="0" w:line="282" w:lineRule="auto"/>
        <w:rPr>
          <w:sz w:val="20"/>
          <w:szCs w:val="20"/>
          <w:color w:val="auto"/>
        </w:rPr>
      </w:pPr>
      <w:r>
        <w:rPr>
          <w:rFonts w:ascii="Times New Roman" w:cs="Times New Roman" w:eastAsia="Times New Roman" w:hAnsi="Times New Roman"/>
          <w:sz w:val="18"/>
          <w:szCs w:val="18"/>
          <w:color w:val="auto"/>
        </w:rPr>
        <w:t>The general reserve fund can only be used for specific purposes, such as setting off the accumulated losses, enterprise expansion or increasing the registered capital. Appropriations to the general reserve funds are classified in the consolidated balance sheets as statutory reserves.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no legal requirements in the PRC to fund these reserves by transfer of cash to restricted accounts, and the Group was not done so.</w:t>
      </w:r>
    </w:p>
    <w:p>
      <w:pPr>
        <w:spacing w:after="0" w:line="117" w:lineRule="exact"/>
        <w:rPr>
          <w:sz w:val="20"/>
          <w:szCs w:val="20"/>
          <w:color w:val="auto"/>
        </w:rPr>
      </w:pPr>
    </w:p>
    <w:p>
      <w:pPr>
        <w:ind w:left="460" w:right="240"/>
        <w:spacing w:after="0" w:line="266" w:lineRule="auto"/>
        <w:rPr>
          <w:sz w:val="20"/>
          <w:szCs w:val="20"/>
          <w:color w:val="auto"/>
        </w:rPr>
      </w:pPr>
      <w:r>
        <w:rPr>
          <w:rFonts w:ascii="Times New Roman" w:cs="Times New Roman" w:eastAsia="Times New Roman" w:hAnsi="Times New Roman"/>
          <w:sz w:val="18"/>
          <w:szCs w:val="18"/>
          <w:color w:val="auto"/>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the Company in terms of cash dividends, loans or advances.</w:t>
      </w:r>
    </w:p>
    <w:p>
      <w:pPr>
        <w:spacing w:after="0" w:line="3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(ae)</w:t>
      </w:r>
      <w:r>
        <w:rPr>
          <w:sz w:val="20"/>
          <w:szCs w:val="20"/>
          <w:color w:val="auto"/>
        </w:rPr>
        <w:tab/>
      </w:r>
      <w:r>
        <w:rPr>
          <w:rFonts w:ascii="Times New Roman" w:cs="Times New Roman" w:eastAsia="Times New Roman" w:hAnsi="Times New Roman"/>
          <w:sz w:val="17"/>
          <w:szCs w:val="17"/>
          <w:b w:val="1"/>
          <w:bCs w:val="1"/>
          <w:color w:val="auto"/>
        </w:rPr>
        <w:t>Related parties</w:t>
      </w:r>
    </w:p>
    <w:p>
      <w:pPr>
        <w:spacing w:after="0" w:line="121" w:lineRule="exact"/>
        <w:rPr>
          <w:sz w:val="20"/>
          <w:szCs w:val="20"/>
          <w:color w:val="auto"/>
        </w:rPr>
      </w:pPr>
    </w:p>
    <w:p>
      <w:pPr>
        <w:ind w:left="460"/>
        <w:spacing w:after="0" w:line="266" w:lineRule="auto"/>
        <w:rPr>
          <w:sz w:val="20"/>
          <w:szCs w:val="20"/>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3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(af)</w:t>
      </w:r>
      <w:r>
        <w:rPr>
          <w:sz w:val="20"/>
          <w:szCs w:val="20"/>
          <w:color w:val="auto"/>
        </w:rPr>
        <w:tab/>
      </w:r>
      <w:r>
        <w:rPr>
          <w:rFonts w:ascii="Times New Roman" w:cs="Times New Roman" w:eastAsia="Times New Roman" w:hAnsi="Times New Roman"/>
          <w:sz w:val="17"/>
          <w:szCs w:val="17"/>
          <w:b w:val="1"/>
          <w:bCs w:val="1"/>
          <w:color w:val="auto"/>
        </w:rPr>
        <w:t>Dividends</w:t>
      </w:r>
    </w:p>
    <w:p>
      <w:pPr>
        <w:spacing w:after="0" w:line="121" w:lineRule="exact"/>
        <w:rPr>
          <w:sz w:val="20"/>
          <w:szCs w:val="20"/>
          <w:color w:val="auto"/>
        </w:rPr>
      </w:pPr>
    </w:p>
    <w:p>
      <w:pPr>
        <w:ind w:left="460" w:right="40"/>
        <w:spacing w:after="0" w:line="266" w:lineRule="auto"/>
        <w:rPr>
          <w:sz w:val="20"/>
          <w:szCs w:val="20"/>
          <w:color w:val="auto"/>
        </w:rPr>
      </w:pPr>
      <w:r>
        <w:rPr>
          <w:rFonts w:ascii="Times New Roman" w:cs="Times New Roman" w:eastAsia="Times New Roman" w:hAnsi="Times New Roman"/>
          <w:sz w:val="18"/>
          <w:szCs w:val="18"/>
          <w:color w:val="auto"/>
        </w:rPr>
        <w:t>Dividends are recognized when declared. No dividends were declared for the years ended December 31, 2015 and 2016, respectively. The Group does not have any present plan to pay any dividends on ordinary shares in the foreseeable future. The Group currently intends to retain the available funds and any future earnings to operate and expand its business.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  Loss per share</w:t>
      </w:r>
    </w:p>
    <w:p>
      <w:pPr>
        <w:spacing w:after="0" w:line="121" w:lineRule="exact"/>
        <w:rPr>
          <w:sz w:val="20"/>
          <w:szCs w:val="20"/>
          <w:color w:val="auto"/>
        </w:rPr>
      </w:pPr>
    </w:p>
    <w:p>
      <w:pPr>
        <w:ind w:left="460" w:right="340"/>
        <w:spacing w:after="0" w:line="266"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holders of ordinary shares by the weighted average number of ordinary shares outstanding during the year using the two class method. Using the two class method, net loss is allocated between ordinary shares and other participating securities (i.e. preferred shares) based on their participating rights.</w:t>
      </w:r>
    </w:p>
    <w:p>
      <w:pPr>
        <w:spacing w:after="0" w:line="68" w:lineRule="exact"/>
        <w:rPr>
          <w:sz w:val="20"/>
          <w:szCs w:val="20"/>
          <w:color w:val="auto"/>
        </w:rPr>
      </w:pPr>
    </w:p>
    <w:p>
      <w:pPr>
        <w:ind w:left="460" w:right="160"/>
        <w:spacing w:after="0" w:line="258"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as adjusted for the effect of dilutive ordinary equivalent shares, if any, by the weighted average number of ordinary and dilutive ordinary equivalents shares outstanding during the year. Dilutive equivalent shares are excluded from the computation of diluted loss per share if their effects would be anti-dilutive. Ordinary share equivalents consist of the ordinary shares issuable in connection with the Group’s convertible non-redeemable and redeemable preferred shares using the if-converted method, and ordinary shares issuable upon the conversion of the stock options, using the treasury stock method.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(ah)  Comprehensive loss</w:t>
      </w:r>
    </w:p>
    <w:p>
      <w:pPr>
        <w:spacing w:after="0" w:line="121" w:lineRule="exact"/>
        <w:rPr>
          <w:sz w:val="20"/>
          <w:szCs w:val="20"/>
          <w:color w:val="auto"/>
        </w:rPr>
      </w:pPr>
    </w:p>
    <w:p>
      <w:pPr>
        <w:ind w:left="460" w:right="240"/>
        <w:spacing w:after="0" w:line="282" w:lineRule="auto"/>
        <w:rPr>
          <w:sz w:val="20"/>
          <w:szCs w:val="20"/>
          <w:color w:val="auto"/>
        </w:rPr>
      </w:pPr>
      <w:r>
        <w:rPr>
          <w:rFonts w:ascii="Times New Roman" w:cs="Times New Roman" w:eastAsia="Times New Roman" w:hAnsi="Times New Roman"/>
          <w:sz w:val="18"/>
          <w:szCs w:val="18"/>
          <w:color w:val="auto"/>
        </w:rPr>
        <w:t>Comprehensive loss is defined as the change in shareholders’ deficit of the Company during a period arising from transactions and other events and circumstances excluding transactions resulting from investments by shareholders and distributions to shareholders.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320"/>
          </w:cols>
          <w:pgMar w:left="240" w:top="456" w:right="33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right="7780" w:firstLine="8"/>
        <w:spacing w:after="0" w:line="393" w:lineRule="auto"/>
        <w:tabs>
          <w:tab w:leader="none" w:pos="446"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 (ah) Comprehensive loss (Continued)</w:t>
      </w:r>
    </w:p>
    <w:p>
      <w:pPr>
        <w:spacing w:after="0" w:line="1" w:lineRule="exact"/>
        <w:rPr>
          <w:sz w:val="20"/>
          <w:szCs w:val="20"/>
          <w:color w:val="auto"/>
        </w:rPr>
      </w:pPr>
    </w:p>
    <w:p>
      <w:pPr>
        <w:ind w:left="460" w:right="220"/>
        <w:spacing w:after="0" w:line="282" w:lineRule="auto"/>
        <w:rPr>
          <w:sz w:val="20"/>
          <w:szCs w:val="20"/>
          <w:color w:val="auto"/>
        </w:rPr>
      </w:pPr>
      <w:r>
        <w:rPr>
          <w:rFonts w:ascii="Times New Roman" w:cs="Times New Roman" w:eastAsia="Times New Roman" w:hAnsi="Times New Roman"/>
          <w:sz w:val="18"/>
          <w:szCs w:val="18"/>
          <w:color w:val="auto"/>
        </w:rPr>
        <w:t>Comprehensive loss is reported in the consolidated statements of comprehensive loss. Accumulated other comprehensive losses of the Group include the foreign currency translation adjustments.</w:t>
      </w:r>
    </w:p>
    <w:p>
      <w:pPr>
        <w:spacing w:after="0" w:line="30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(ai)</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121"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engaging in businesses activities for which separate financial information is available that is regularly evaluated by the Group’s chief operating decision makers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Hence, the Group has only one operating segment and one reportable segment.</w:t>
      </w:r>
    </w:p>
    <w:p>
      <w:pPr>
        <w:spacing w:after="0" w:line="3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(aj)</w:t>
      </w:r>
      <w:r>
        <w:rPr>
          <w:sz w:val="20"/>
          <w:szCs w:val="20"/>
          <w:color w:val="auto"/>
        </w:rPr>
        <w:tab/>
      </w:r>
      <w:r>
        <w:rPr>
          <w:rFonts w:ascii="Times New Roman" w:cs="Times New Roman" w:eastAsia="Times New Roman" w:hAnsi="Times New Roman"/>
          <w:sz w:val="17"/>
          <w:szCs w:val="17"/>
          <w:b w:val="1"/>
          <w:bCs w:val="1"/>
          <w:color w:val="auto"/>
        </w:rPr>
        <w:t>Recently issued accounting pronouncements</w:t>
      </w:r>
    </w:p>
    <w:p>
      <w:pPr>
        <w:spacing w:after="0" w:line="121" w:lineRule="exact"/>
        <w:rPr>
          <w:sz w:val="20"/>
          <w:szCs w:val="20"/>
          <w:color w:val="auto"/>
        </w:rPr>
      </w:pPr>
    </w:p>
    <w:p>
      <w:pPr>
        <w:ind w:left="460" w:right="100"/>
        <w:spacing w:after="0" w:line="254"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(“ASU”) No. 2014-09, “Revenue from Contracts with Customers (Topic 606)” (“ASU 2014-09”). ASU 2014-09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81" w:lineRule="exact"/>
        <w:rPr>
          <w:sz w:val="20"/>
          <w:szCs w:val="20"/>
          <w:color w:val="auto"/>
        </w:rPr>
      </w:pPr>
    </w:p>
    <w:p>
      <w:pPr>
        <w:ind w:left="460" w:right="40"/>
        <w:spacing w:after="0" w:line="258" w:lineRule="auto"/>
        <w:rPr>
          <w:sz w:val="20"/>
          <w:szCs w:val="20"/>
          <w:color w:val="auto"/>
        </w:rPr>
      </w:pPr>
      <w:r>
        <w:rPr>
          <w:rFonts w:ascii="Times New Roman" w:cs="Times New Roman" w:eastAsia="Times New Roman" w:hAnsi="Times New Roman"/>
          <w:sz w:val="18"/>
          <w:szCs w:val="18"/>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76"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color w:val="auto"/>
        </w:rPr>
        <w:t>The Company will apply the new revenue standard beginning January 1, 2018 and will not early adopt. The Company will set up an implementation team to analyze each of the Group’s revenue stream in accordance with the new revenue standard to determine the impact on the Company’s consolidated financial statements. The Company plans to continue the evaluation, analysis and documentation of its adoption of ASU 2014-9 (including those subsequently issued updates that clarify its provisions) throughout 2017 as the Company works towards the implementation and finalizes its determination of the impact that the adoption will have on its consolidated financial statements.</w:t>
      </w:r>
    </w:p>
    <w:p>
      <w:pPr>
        <w:spacing w:after="0" w:line="76" w:lineRule="exact"/>
        <w:rPr>
          <w:sz w:val="20"/>
          <w:szCs w:val="20"/>
          <w:color w:val="auto"/>
        </w:rPr>
      </w:pPr>
    </w:p>
    <w:p>
      <w:pPr>
        <w:ind w:left="460" w:right="320"/>
        <w:spacing w:after="0" w:line="282" w:lineRule="auto"/>
        <w:rPr>
          <w:sz w:val="20"/>
          <w:szCs w:val="20"/>
          <w:color w:val="auto"/>
        </w:rPr>
      </w:pPr>
      <w:r>
        <w:rPr>
          <w:rFonts w:ascii="Times New Roman" w:cs="Times New Roman" w:eastAsia="Times New Roman" w:hAnsi="Times New Roman"/>
          <w:sz w:val="18"/>
          <w:szCs w:val="18"/>
          <w:color w:val="auto"/>
        </w:rPr>
        <w:t>In February 2015, the FASB issued ASU No. 2015-02, “Consolidation (Topic 810): Amendments to the Consolidation Analysis” (“ASU 2015-02”). ASU 2015-02 focuses on the consolidation evaluation for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420"/>
          </w:cols>
          <w:pgMar w:left="240" w:top="456" w:right="23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(aj)</w:t>
      </w:r>
      <w:r>
        <w:rPr>
          <w:sz w:val="20"/>
          <w:szCs w:val="20"/>
          <w:color w:val="auto"/>
        </w:rPr>
        <w:tab/>
      </w:r>
      <w:r>
        <w:rPr>
          <w:rFonts w:ascii="Times New Roman" w:cs="Times New Roman" w:eastAsia="Times New Roman" w:hAnsi="Times New Roman"/>
          <w:sz w:val="17"/>
          <w:szCs w:val="17"/>
          <w:b w:val="1"/>
          <w:bCs w:val="1"/>
          <w:color w:val="auto"/>
        </w:rPr>
        <w:t>Recently issued accounting pronouncements (Continued)</w:t>
      </w:r>
    </w:p>
    <w:p>
      <w:pPr>
        <w:spacing w:after="0" w:line="135" w:lineRule="exact"/>
        <w:rPr>
          <w:sz w:val="20"/>
          <w:szCs w:val="20"/>
          <w:color w:val="auto"/>
        </w:rPr>
      </w:pPr>
    </w:p>
    <w:p>
      <w:pPr>
        <w:ind w:left="460" w:right="20"/>
        <w:spacing w:after="0" w:line="257" w:lineRule="auto"/>
        <w:rPr>
          <w:sz w:val="20"/>
          <w:szCs w:val="20"/>
          <w:color w:val="auto"/>
        </w:rPr>
      </w:pPr>
      <w:r>
        <w:rPr>
          <w:rFonts w:ascii="Times New Roman" w:cs="Times New Roman" w:eastAsia="Times New Roman" w:hAnsi="Times New Roman"/>
          <w:sz w:val="18"/>
          <w:szCs w:val="18"/>
          <w:color w:val="auto"/>
        </w:rPr>
        <w:t>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w:t>
      </w:r>
    </w:p>
    <w:p>
      <w:pPr>
        <w:spacing w:after="0" w:line="2" w:lineRule="exact"/>
        <w:rPr>
          <w:sz w:val="20"/>
          <w:szCs w:val="20"/>
          <w:color w:val="auto"/>
        </w:rPr>
      </w:pPr>
    </w:p>
    <w:p>
      <w:pPr>
        <w:ind w:left="460" w:right="240" w:firstLine="4"/>
        <w:spacing w:after="0" w:line="261" w:lineRule="auto"/>
        <w:tabs>
          <w:tab w:leader="none" w:pos="72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72" w:lineRule="exact"/>
        <w:rPr>
          <w:sz w:val="20"/>
          <w:szCs w:val="20"/>
          <w:color w:val="auto"/>
        </w:rPr>
      </w:pPr>
    </w:p>
    <w:p>
      <w:pPr>
        <w:ind w:left="460" w:right="180"/>
        <w:spacing w:after="0" w:line="266" w:lineRule="auto"/>
        <w:rPr>
          <w:sz w:val="20"/>
          <w:szCs w:val="20"/>
          <w:color w:val="auto"/>
        </w:rPr>
      </w:pPr>
      <w:r>
        <w:rPr>
          <w:rFonts w:ascii="Times New Roman" w:cs="Times New Roman" w:eastAsia="Times New Roman" w:hAnsi="Times New Roman"/>
          <w:sz w:val="18"/>
          <w:szCs w:val="18"/>
          <w:color w:val="auto"/>
        </w:rPr>
        <w:t>The ASU will be effective for periods beginning after December 15, 2016, for public companies. For public business entities, the amendments in this Update are effective for fiscal years beginning after December 15, 2017, including interim periods within those fiscal years. The Company is in the process of evaluating the impact of the standard on its consolidated financial statements.</w:t>
      </w:r>
    </w:p>
    <w:p>
      <w:pPr>
        <w:spacing w:after="0" w:line="68" w:lineRule="exact"/>
        <w:rPr>
          <w:sz w:val="20"/>
          <w:szCs w:val="20"/>
          <w:color w:val="auto"/>
        </w:rPr>
      </w:pPr>
    </w:p>
    <w:p>
      <w:pPr>
        <w:ind w:left="460" w:right="300"/>
        <w:spacing w:after="0" w:line="261" w:lineRule="auto"/>
        <w:rPr>
          <w:sz w:val="20"/>
          <w:szCs w:val="20"/>
          <w:color w:val="auto"/>
        </w:rPr>
      </w:pPr>
      <w:r>
        <w:rPr>
          <w:rFonts w:ascii="Times New Roman" w:cs="Times New Roman" w:eastAsia="Times New Roman" w:hAnsi="Times New Roman"/>
          <w:sz w:val="18"/>
          <w:szCs w:val="18"/>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The Company does not expect this standard to have a material impact on its consolidated financial statements.</w:t>
      </w:r>
    </w:p>
    <w:p>
      <w:pPr>
        <w:spacing w:after="0" w:line="72" w:lineRule="exact"/>
        <w:rPr>
          <w:sz w:val="20"/>
          <w:szCs w:val="20"/>
          <w:color w:val="auto"/>
        </w:rPr>
      </w:pPr>
    </w:p>
    <w:p>
      <w:pPr>
        <w:ind w:left="460"/>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GAAP, which did not require lease assets and lease liabilities to be recognized for most leases.</w:t>
      </w:r>
    </w:p>
    <w:p>
      <w:pPr>
        <w:spacing w:after="0" w:line="72" w:lineRule="exact"/>
        <w:rPr>
          <w:sz w:val="20"/>
          <w:szCs w:val="20"/>
          <w:color w:val="auto"/>
        </w:rPr>
      </w:pPr>
    </w:p>
    <w:p>
      <w:pPr>
        <w:ind w:left="460" w:right="120"/>
        <w:spacing w:after="0" w:line="282" w:lineRule="auto"/>
        <w:rPr>
          <w:sz w:val="20"/>
          <w:szCs w:val="20"/>
          <w:color w:val="auto"/>
        </w:rPr>
      </w:pPr>
      <w:r>
        <w:rPr>
          <w:rFonts w:ascii="Times New Roman" w:cs="Times New Roman" w:eastAsia="Times New Roman" w:hAnsi="Times New Roman"/>
          <w:sz w:val="18"/>
          <w:szCs w:val="18"/>
          <w:color w:val="auto"/>
        </w:rPr>
        <w:t>For public business entities, the amendments in this update are effective for fiscal years beginning after December 15, 2018, including interim periods within those fiscal years. The Company is in the process of evaluating the impact of the standard on its consolidated financial statements.</w:t>
      </w:r>
    </w:p>
    <w:p>
      <w:pPr>
        <w:spacing w:after="0" w:line="54" w:lineRule="exact"/>
        <w:rPr>
          <w:sz w:val="20"/>
          <w:szCs w:val="20"/>
          <w:color w:val="auto"/>
        </w:rPr>
      </w:pPr>
    </w:p>
    <w:p>
      <w:pPr>
        <w:ind w:left="460" w:right="40"/>
        <w:spacing w:after="0" w:line="258" w:lineRule="auto"/>
        <w:rPr>
          <w:sz w:val="20"/>
          <w:szCs w:val="20"/>
          <w:color w:val="auto"/>
        </w:rPr>
      </w:pPr>
      <w:r>
        <w:rPr>
          <w:rFonts w:ascii="Times New Roman" w:cs="Times New Roman" w:eastAsia="Times New Roman" w:hAnsi="Times New Roman"/>
          <w:sz w:val="18"/>
          <w:szCs w:val="18"/>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The Company is currently evaluating the impact of this standard will have on its consolidated financial statements.</w:t>
      </w:r>
    </w:p>
    <w:p>
      <w:pPr>
        <w:spacing w:after="0" w:line="76" w:lineRule="exact"/>
        <w:rPr>
          <w:sz w:val="20"/>
          <w:szCs w:val="20"/>
          <w:color w:val="auto"/>
        </w:rPr>
      </w:pPr>
    </w:p>
    <w:p>
      <w:pPr>
        <w:ind w:left="460"/>
        <w:spacing w:after="0" w:line="261" w:lineRule="auto"/>
        <w:rPr>
          <w:sz w:val="20"/>
          <w:szCs w:val="20"/>
          <w:color w:val="auto"/>
        </w:rPr>
      </w:pPr>
      <w:r>
        <w:rPr>
          <w:rFonts w:ascii="Times New Roman" w:cs="Times New Roman" w:eastAsia="Times New Roman" w:hAnsi="Times New Roman"/>
          <w:sz w:val="18"/>
          <w:szCs w:val="18"/>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The Company does not expect ASU 2016-16 to have a material impact to the Company’s consolidated financial statements.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380"/>
          </w:cols>
          <w:pgMar w:left="240" w:top="456" w:right="27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(aj)</w:t>
      </w:r>
      <w:r>
        <w:rPr>
          <w:sz w:val="20"/>
          <w:szCs w:val="20"/>
          <w:color w:val="auto"/>
        </w:rPr>
        <w:tab/>
      </w:r>
      <w:r>
        <w:rPr>
          <w:rFonts w:ascii="Times New Roman" w:cs="Times New Roman" w:eastAsia="Times New Roman" w:hAnsi="Times New Roman"/>
          <w:sz w:val="17"/>
          <w:szCs w:val="17"/>
          <w:b w:val="1"/>
          <w:bCs w:val="1"/>
          <w:color w:val="auto"/>
        </w:rPr>
        <w:t>Recently issued accounting pronouncements (Continued)</w:t>
      </w:r>
    </w:p>
    <w:p>
      <w:pPr>
        <w:spacing w:after="0" w:line="135"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8"/>
          <w:szCs w:val="18"/>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We currently do not expect ASU 2017-01 to have a material impact to our consolidated financial statements, but will apply the guidance upon adoption to business acquisitions, disposals and segment changes, if any.</w:t>
      </w:r>
    </w:p>
    <w:p>
      <w:pPr>
        <w:spacing w:after="0" w:line="80" w:lineRule="exact"/>
        <w:rPr>
          <w:sz w:val="20"/>
          <w:szCs w:val="20"/>
          <w:color w:val="auto"/>
        </w:rPr>
      </w:pPr>
    </w:p>
    <w:p>
      <w:pPr>
        <w:ind w:left="460" w:right="60"/>
        <w:spacing w:after="0" w:line="256" w:lineRule="auto"/>
        <w:rPr>
          <w:sz w:val="20"/>
          <w:szCs w:val="20"/>
          <w:color w:val="auto"/>
        </w:rPr>
      </w:pPr>
      <w:r>
        <w:rPr>
          <w:rFonts w:ascii="Times New Roman" w:cs="Times New Roman" w:eastAsia="Times New Roman" w:hAnsi="Times New Roman"/>
          <w:sz w:val="18"/>
          <w:szCs w:val="18"/>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The Company currently does not expect ASU 2017-01 to have a material impact to the Company’s consolidated financial statements, but will evaluate the impact of adopting this standard prospectively upon any transactions of acquisitions or disposals of assets of businesses.</w:t>
      </w:r>
    </w:p>
    <w:p>
      <w:pPr>
        <w:spacing w:after="0" w:line="80" w:lineRule="exact"/>
        <w:rPr>
          <w:sz w:val="20"/>
          <w:szCs w:val="20"/>
          <w:color w:val="auto"/>
        </w:rPr>
      </w:pPr>
    </w:p>
    <w:p>
      <w:pPr>
        <w:ind w:left="460" w:right="160"/>
        <w:spacing w:after="0" w:line="256" w:lineRule="auto"/>
        <w:rPr>
          <w:sz w:val="20"/>
          <w:szCs w:val="20"/>
          <w:color w:val="auto"/>
        </w:rPr>
      </w:pPr>
      <w:r>
        <w:rPr>
          <w:rFonts w:ascii="Times New Roman" w:cs="Times New Roman" w:eastAsia="Times New Roman" w:hAnsi="Times New Roman"/>
          <w:sz w:val="18"/>
          <w:szCs w:val="18"/>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 (c) classification on the statement of cash flows; (d) accounting for forfeitures of share-based payments. The ASU will be effective for fiscal years beginning after December 15, 2016, including interim periods within those fiscal years. The Group does not expect this standard to have a material impact on its consolidated financial statements.</w:t>
      </w:r>
    </w:p>
    <w:p>
      <w:pPr>
        <w:spacing w:after="0" w:line="80" w:lineRule="exact"/>
        <w:rPr>
          <w:sz w:val="20"/>
          <w:szCs w:val="20"/>
          <w:color w:val="auto"/>
        </w:rPr>
      </w:pPr>
    </w:p>
    <w:p>
      <w:pPr>
        <w:ind w:left="460" w:right="240"/>
        <w:spacing w:after="0" w:line="261" w:lineRule="auto"/>
        <w:rPr>
          <w:sz w:val="20"/>
          <w:szCs w:val="20"/>
          <w:color w:val="auto"/>
        </w:rPr>
      </w:pPr>
      <w:r>
        <w:rPr>
          <w:rFonts w:ascii="Times New Roman" w:cs="Times New Roman" w:eastAsia="Times New Roman" w:hAnsi="Times New Roman"/>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The Group is currently evaluating the impact of the adoption on its consolidated financial statements.</w:t>
      </w:r>
    </w:p>
    <w:p>
      <w:pPr>
        <w:spacing w:after="0" w:line="72" w:lineRule="exact"/>
        <w:rPr>
          <w:sz w:val="20"/>
          <w:szCs w:val="20"/>
          <w:color w:val="auto"/>
        </w:rPr>
      </w:pPr>
    </w:p>
    <w:p>
      <w:pPr>
        <w:ind w:left="460" w:right="80"/>
        <w:spacing w:after="0" w:line="256" w:lineRule="auto"/>
        <w:rPr>
          <w:sz w:val="20"/>
          <w:szCs w:val="20"/>
          <w:color w:val="auto"/>
        </w:rPr>
      </w:pPr>
      <w:r>
        <w:rPr>
          <w:rFonts w:ascii="Times New Roman" w:cs="Times New Roman" w:eastAsia="Times New Roman" w:hAnsi="Times New Roman"/>
          <w:sz w:val="18"/>
          <w:szCs w:val="18"/>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 January 1, 2017. The Group is currently evaluating the impact of adopting this standard on its consolidated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420"/>
          </w:cols>
          <w:pgMar w:left="240" w:top="455" w:right="23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w:t>
      </w:r>
    </w:p>
    <w:p>
      <w:pPr>
        <w:spacing w:after="0" w:line="131" w:lineRule="exact"/>
        <w:rPr>
          <w:sz w:val="20"/>
          <w:szCs w:val="20"/>
          <w:color w:val="auto"/>
        </w:rPr>
      </w:pPr>
    </w:p>
    <w:p>
      <w:pPr>
        <w:ind w:left="460" w:hanging="452"/>
        <w:spacing w:after="0"/>
        <w:tabs>
          <w:tab w:leader="none" w:pos="46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regulations</w:t>
      </w:r>
    </w:p>
    <w:p>
      <w:pPr>
        <w:spacing w:after="0" w:line="121" w:lineRule="exact"/>
        <w:rPr>
          <w:rFonts w:ascii="Times New Roman" w:cs="Times New Roman" w:eastAsia="Times New Roman" w:hAnsi="Times New Roman"/>
          <w:sz w:val="18"/>
          <w:szCs w:val="18"/>
          <w:b w:val="1"/>
          <w:bCs w:val="1"/>
          <w:color w:val="auto"/>
        </w:rPr>
      </w:pPr>
    </w:p>
    <w:p>
      <w:pPr>
        <w:ind w:left="4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Chinese market in which the Company operates poses certain macro-economic and regulatory risks and uncertainties. These uncertainties extend to the ability of the Company to engage in online marketing businesses through contractual arrangements in the PRC since the internet and marketing services industries remain regulated. The Company conducts certain of its operations in China through its variable interest entity,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China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 online marketing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97"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the business licenses of such entities;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restricting the conduct of any transactions between the Company’s PRC subsidiaries and the OptAim VIE;</w:t>
      </w:r>
    </w:p>
    <w:p>
      <w:pPr>
        <w:spacing w:after="0" w:line="130"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confiscating the income of the OptAim VIE or the Company’s PRC subsidiaries, or imposing other requirements with which the Company or its PRC subsidiaries and consolidated VIEs may not be able to comply;</w:t>
      </w:r>
    </w:p>
    <w:p>
      <w:pPr>
        <w:spacing w:after="0" w:line="67" w:lineRule="exact"/>
        <w:rPr>
          <w:rFonts w:ascii="Times New Roman" w:cs="Times New Roman" w:eastAsia="Times New Roman" w:hAnsi="Times New Roman"/>
          <w:sz w:val="18"/>
          <w:szCs w:val="18"/>
          <w:color w:val="auto"/>
        </w:rPr>
      </w:pPr>
    </w:p>
    <w:p>
      <w:pPr>
        <w:jc w:val="both"/>
        <w:ind w:left="900" w:right="20" w:hanging="446"/>
        <w:spacing w:after="0" w:line="266" w:lineRule="auto"/>
        <w:tabs>
          <w:tab w:leader="none" w:pos="90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prohibiting its use of the proceeds of any offering to finance its business and operations in China.</w:t>
      </w:r>
    </w:p>
    <w:p>
      <w:pPr>
        <w:spacing w:after="0" w:line="117" w:lineRule="exact"/>
        <w:rPr>
          <w:sz w:val="20"/>
          <w:szCs w:val="20"/>
          <w:color w:val="auto"/>
        </w:rPr>
      </w:pPr>
    </w:p>
    <w:p>
      <w:pPr>
        <w:jc w:val="both"/>
        <w:ind w:left="460" w:right="20"/>
        <w:spacing w:after="0" w:line="266" w:lineRule="auto"/>
        <w:rPr>
          <w:sz w:val="20"/>
          <w:szCs w:val="20"/>
          <w:color w:val="auto"/>
        </w:rPr>
      </w:pPr>
      <w:r>
        <w:rPr>
          <w:rFonts w:ascii="Times New Roman" w:cs="Times New Roman" w:eastAsia="Times New Roman" w:hAnsi="Times New Roman"/>
          <w:sz w:val="18"/>
          <w:szCs w:val="18"/>
          <w:color w:val="auto"/>
        </w:rPr>
        <w:t>If the imposition of any of these penalties precludes the Company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420"/>
          </w:cols>
          <w:pgMar w:left="240" w:top="456" w:right="23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regulations (Continued)</w:t>
      </w:r>
    </w:p>
    <w:p>
      <w:pPr>
        <w:spacing w:after="0" w:line="134" w:lineRule="exact"/>
        <w:rPr>
          <w:rFonts w:ascii="Times New Roman" w:cs="Times New Roman" w:eastAsia="Times New Roman" w:hAnsi="Times New Roman"/>
          <w:sz w:val="18"/>
          <w:szCs w:val="18"/>
          <w:b w:val="1"/>
          <w:bCs w:val="1"/>
          <w:color w:val="auto"/>
        </w:rPr>
      </w:pPr>
    </w:p>
    <w:p>
      <w:pPr>
        <w:ind w:left="46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 Nevertheless, the laws and regulations that imposed restrictions on foreign ownership in advertising companies, including the Administrative Provisions on Foreign-Invested Advertising Enterprises were abolished in June 2015. To the extent any current or future business of OptAim VIE can be directly operated by the Company’s wholly owned subsidiaries under PRC law, the Company is in the process of transferring such business to the Company’s wholly owned subsidiaries. The Company expects that by the end of 2018, OptAim WFOE will replace OptAim VIE and its subsidiary as contracting party for their businesses that are operated by OptAim VIE and its subsidiary.</w:t>
      </w:r>
    </w:p>
    <w:p>
      <w:pPr>
        <w:spacing w:after="0" w:line="77" w:lineRule="exact"/>
        <w:rPr>
          <w:rFonts w:ascii="Times New Roman" w:cs="Times New Roman" w:eastAsia="Times New Roman" w:hAnsi="Times New Roman"/>
          <w:sz w:val="18"/>
          <w:szCs w:val="18"/>
          <w:b w:val="1"/>
          <w:bCs w:val="1"/>
          <w:color w:val="auto"/>
        </w:rPr>
      </w:pPr>
    </w:p>
    <w:p>
      <w:pPr>
        <w:ind w:left="4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reach the Group’s VIE arrangement, and as a result the Group’s VIE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w:t>
      </w:r>
    </w:p>
    <w:p>
      <w:pPr>
        <w:spacing w:after="0" w:line="78" w:lineRule="exact"/>
        <w:rPr>
          <w:rFonts w:ascii="Times New Roman" w:cs="Times New Roman" w:eastAsia="Times New Roman" w:hAnsi="Times New Roman"/>
          <w:sz w:val="18"/>
          <w:szCs w:val="18"/>
          <w:b w:val="1"/>
          <w:bCs w:val="1"/>
          <w:color w:val="auto"/>
        </w:rPr>
      </w:pPr>
    </w:p>
    <w:p>
      <w:pPr>
        <w:ind w:left="46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the Draft FIE Law if it becomes effective, that the Company’s operation of certain of its operations and businesses through VIE violates the Draft FIE Law, regulatory authorities with jurisdiction over the licensing and operation of such operations and businesses may require the Company to take various actions as discussed in the paragraph above. The Group’s management considers the possibility of such a finding by PRC regulatory authorities under the Draft VIE law, if it becomes effective, to be remote.</w:t>
      </w:r>
    </w:p>
    <w:p>
      <w:pPr>
        <w:spacing w:after="0" w:line="79" w:lineRule="exact"/>
        <w:rPr>
          <w:rFonts w:ascii="Times New Roman" w:cs="Times New Roman" w:eastAsia="Times New Roman" w:hAnsi="Times New Roman"/>
          <w:sz w:val="18"/>
          <w:szCs w:val="18"/>
          <w:b w:val="1"/>
          <w:bCs w:val="1"/>
          <w:color w:val="auto"/>
        </w:rPr>
      </w:pPr>
    </w:p>
    <w:p>
      <w:pPr>
        <w:ind w:left="4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OptAim VIE holds assets that are important to the operation of the Group’s business, including patents for proprietary technology and trademarks. If OptAim VIE falls into bankruptcy and all or part of its assets become subject to liens or rights of third-party creditors, the Group may be unable to conduct major part of its business activities in China, which could have a material adverse effect on the Group’s future financial position, results of operations or cash flows. However, the Group believes this is a normal business risk many companies face. The Group will continue to closely monitor the financial conditions of OptAim VIE.</w:t>
      </w:r>
    </w:p>
    <w:p>
      <w:pPr>
        <w:spacing w:after="0" w:line="75" w:lineRule="exact"/>
        <w:rPr>
          <w:rFonts w:ascii="Times New Roman" w:cs="Times New Roman" w:eastAsia="Times New Roman" w:hAnsi="Times New Roman"/>
          <w:sz w:val="18"/>
          <w:szCs w:val="18"/>
          <w:b w:val="1"/>
          <w:bCs w:val="1"/>
          <w:color w:val="auto"/>
        </w:rPr>
      </w:pPr>
    </w:p>
    <w:p>
      <w:pPr>
        <w:ind w:left="460" w:right="7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OptAim VIE’s assets comprise both recognized and unrecognized revenue-producing assets. The recognized revenue-producing assets include leasehold improvements, computers and network equipment and self-developed computer software which are recognized in the Company’s consolidated balance sheet. The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420"/>
          </w:cols>
          <w:pgMar w:left="240" w:top="456" w:right="23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regulations (Continued)</w:t>
      </w:r>
    </w:p>
    <w:p>
      <w:pPr>
        <w:spacing w:after="0" w:line="134" w:lineRule="exact"/>
        <w:rPr>
          <w:rFonts w:ascii="Times New Roman" w:cs="Times New Roman" w:eastAsia="Times New Roman" w:hAnsi="Times New Roman"/>
          <w:sz w:val="18"/>
          <w:szCs w:val="18"/>
          <w:b w:val="1"/>
          <w:bCs w:val="1"/>
          <w:color w:val="auto"/>
        </w:rPr>
      </w:pPr>
    </w:p>
    <w:p>
      <w:pPr>
        <w:ind w:left="460" w:right="2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unrecognized revenue-producing assets mainly consist of patents, trademarks and assembled workforce which are not recorded in the financial statements of OptAim VIE as it did not meet the recognition criteria set in ASC 350-30-25.</w:t>
      </w:r>
    </w:p>
    <w:p>
      <w:pPr>
        <w:spacing w:after="0" w:line="53" w:lineRule="exact"/>
        <w:rPr>
          <w:rFonts w:ascii="Times New Roman" w:cs="Times New Roman" w:eastAsia="Times New Roman" w:hAnsi="Times New Roman"/>
          <w:sz w:val="18"/>
          <w:szCs w:val="18"/>
          <w:b w:val="1"/>
          <w:bCs w:val="1"/>
          <w:color w:val="auto"/>
        </w:rPr>
      </w:pPr>
    </w:p>
    <w:p>
      <w:pPr>
        <w:ind w:lef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financial information of the OptAim VIE and its subsidiary excluding the intercompany items with the Company’s subsidiaries was included in the accompanying financial statements as of and for the years ended December 31, 2015 and 2016:</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6"/>
          </w:tcPr>
          <w:p>
            <w:pPr>
              <w:ind w:left="200"/>
              <w:spacing w:after="0"/>
              <w:rPr>
                <w:sz w:val="20"/>
                <w:szCs w:val="20"/>
                <w:color w:val="auto"/>
              </w:rPr>
            </w:pPr>
            <w:r>
              <w:rPr>
                <w:rFonts w:ascii="Times New Roman" w:cs="Times New Roman" w:eastAsia="Times New Roman" w:hAnsi="Times New Roman"/>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040" w:type="dxa"/>
            <w:vAlign w:val="bottom"/>
            <w:tcBorders>
              <w:top w:val="single" w:sz="8" w:color="auto"/>
            </w:tcBorders>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6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15,212</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20,084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20,341</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2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6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36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a related party</w:t>
            </w:r>
          </w:p>
        </w:tc>
        <w:tc>
          <w:tcPr>
            <w:tcW w:w="36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960" w:type="dxa"/>
            <w:vAlign w:val="bottom"/>
            <w:gridSpan w:val="3"/>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38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gridSpan w:val="8"/>
          </w:tcPr>
          <w:p>
            <w:pPr>
              <w:ind w:left="30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Borders>
              <w:top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19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3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11,653</w:t>
            </w:r>
          </w:p>
        </w:tc>
        <w:tc>
          <w:tcPr>
            <w:tcW w:w="5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profit/(loss)</w:t>
            </w:r>
          </w:p>
        </w:tc>
        <w:tc>
          <w:tcPr>
            <w:tcW w:w="3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580" w:type="dxa"/>
            <w:vAlign w:val="bottom"/>
          </w:tcPr>
          <w:p>
            <w:pPr>
              <w:spacing w:after="0"/>
              <w:rPr>
                <w:sz w:val="20"/>
                <w:szCs w:val="20"/>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gridSpan w:val="8"/>
          </w:tcPr>
          <w:p>
            <w:pPr>
              <w:ind w:left="26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tcBorders>
              <w:top w:val="single" w:sz="8" w:color="auto"/>
            </w:tcBorders>
            <w:gridSpan w:val="2"/>
          </w:tcPr>
          <w:p>
            <w:pPr>
              <w:ind w:left="320"/>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13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in)/provided by operating activities</w:t>
            </w:r>
          </w:p>
        </w:tc>
        <w:tc>
          <w:tcPr>
            <w:tcW w:w="3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5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80" w:type="dxa"/>
            <w:vAlign w:val="bottom"/>
          </w:tcPr>
          <w:p>
            <w:pPr>
              <w:spacing w:after="0"/>
              <w:rPr>
                <w:sz w:val="19"/>
                <w:szCs w:val="19"/>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2080" w:type="dxa"/>
            <w:vAlign w:val="bottom"/>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600" w:type="dxa"/>
            <w:vAlign w:val="bottom"/>
            <w:gridSpan w:val="5"/>
          </w:tcPr>
          <w:p>
            <w:pPr>
              <w:jc w:val="right"/>
              <w:ind w:right="2988"/>
              <w:spacing w:after="0"/>
              <w:rPr>
                <w:sz w:val="20"/>
                <w:szCs w:val="20"/>
                <w:color w:val="auto"/>
              </w:rPr>
            </w:pPr>
            <w:r>
              <w:rPr>
                <w:rFonts w:ascii="Times New Roman" w:cs="Times New Roman" w:eastAsia="Times New Roman" w:hAnsi="Times New Roman"/>
                <w:sz w:val="18"/>
                <w:szCs w:val="18"/>
                <w:color w:val="auto"/>
              </w:rPr>
              <w:t>F-33</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55" w:right="65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regulations (Continued)</w:t>
      </w:r>
    </w:p>
    <w:p>
      <w:pPr>
        <w:spacing w:after="0" w:line="134" w:lineRule="exact"/>
        <w:rPr>
          <w:rFonts w:ascii="Times New Roman" w:cs="Times New Roman" w:eastAsia="Times New Roman" w:hAnsi="Times New Roman"/>
          <w:sz w:val="18"/>
          <w:szCs w:val="18"/>
          <w:b w:val="1"/>
          <w:bCs w:val="1"/>
          <w:color w:val="auto"/>
        </w:rPr>
      </w:pPr>
    </w:p>
    <w:p>
      <w:pPr>
        <w:ind w:left="460" w:righ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VIE arrangements, the Group has power to direct activities of the OptAim VIE, and can have assets transferred out of the OptAim VIE. Therefore, the Group considers that there is no assets of the OptAim VIE can be used only to settle their obligations.</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exchange risk</w:t>
      </w:r>
    </w:p>
    <w:p>
      <w:pPr>
        <w:spacing w:after="0" w:line="121" w:lineRule="exact"/>
        <w:rPr>
          <w:rFonts w:ascii="Times New Roman" w:cs="Times New Roman" w:eastAsia="Times New Roman" w:hAnsi="Times New Roman"/>
          <w:sz w:val="18"/>
          <w:szCs w:val="18"/>
          <w:b w:val="1"/>
          <w:bCs w:val="1"/>
          <w:color w:val="auto"/>
        </w:rPr>
      </w:pPr>
    </w:p>
    <w:p>
      <w:pPr>
        <w:ind w:left="4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Assets and liabilities of non-US$ functional currency entities are translated into US$ using the applicable exchange rates at the balance sheet date. Items in the statements of comprehensive loss are translated into US$ using the average exchange rate during the period. Equity accounts were translated at their historical exchange rates. The resulting translation adjustments are accumulated as a component of accumulated other comprehensive income on the consolidated statements of shareholders’ deficit.</w:t>
      </w:r>
    </w:p>
    <w:p>
      <w:pPr>
        <w:spacing w:after="0" w:line="71" w:lineRule="exact"/>
        <w:rPr>
          <w:rFonts w:ascii="Times New Roman" w:cs="Times New Roman" w:eastAsia="Times New Roman" w:hAnsi="Times New Roman"/>
          <w:sz w:val="18"/>
          <w:szCs w:val="18"/>
          <w:b w:val="1"/>
          <w:bCs w:val="1"/>
          <w:color w:val="auto"/>
        </w:rPr>
      </w:pPr>
    </w:p>
    <w:p>
      <w:pPr>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of the Group’s operating activities are transacted in Renminbi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68" w:lineRule="exact"/>
        <w:rPr>
          <w:rFonts w:ascii="Times New Roman" w:cs="Times New Roman" w:eastAsia="Times New Roman" w:hAnsi="Times New Roman"/>
          <w:sz w:val="18"/>
          <w:szCs w:val="18"/>
          <w:b w:val="1"/>
          <w:bCs w:val="1"/>
          <w:color w:val="auto"/>
        </w:rPr>
      </w:pPr>
    </w:p>
    <w:p>
      <w:pPr>
        <w:ind w:left="460" w:right="1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revenues and expenses of the Group’s subsidiaries and the VIE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81" w:lineRule="exact"/>
        <w:rPr>
          <w:rFonts w:ascii="Times New Roman" w:cs="Times New Roman" w:eastAsia="Times New Roman" w:hAnsi="Times New Roman"/>
          <w:sz w:val="18"/>
          <w:szCs w:val="18"/>
          <w:b w:val="1"/>
          <w:bCs w:val="1"/>
          <w:color w:val="auto"/>
        </w:rPr>
      </w:pPr>
    </w:p>
    <w:p>
      <w:pPr>
        <w:ind w:left="460"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of the Group’s operating activities are transacted in Hong Kong Dollars (“HK$”). Foreign exchange risk arises from future commercial transactions, recognized assets and liabilities and net investments in foreign operations. The Group considers the foreign exchange risk in relation to transactions denominated in HK$ with respect to US$ is not significant as HK$ is pegged to US$.</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rFonts w:ascii="Times New Roman" w:cs="Times New Roman" w:eastAsia="Times New Roman" w:hAnsi="Times New Roman"/>
          <w:sz w:val="18"/>
          <w:szCs w:val="18"/>
          <w:b w:val="1"/>
          <w:bCs w:val="1"/>
          <w:color w:val="auto"/>
        </w:rPr>
      </w:pPr>
    </w:p>
    <w:p>
      <w:pPr>
        <w:ind w:left="460" w:right="2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considers assumptions that market participants would use when pricing the asset or liability.</w:t>
      </w:r>
    </w:p>
    <w:p>
      <w:pPr>
        <w:spacing w:after="0" w:line="71" w:lineRule="exact"/>
        <w:rPr>
          <w:rFonts w:ascii="Times New Roman" w:cs="Times New Roman" w:eastAsia="Times New Roman" w:hAnsi="Times New Roman"/>
          <w:sz w:val="18"/>
          <w:szCs w:val="18"/>
          <w:b w:val="1"/>
          <w:bCs w:val="1"/>
          <w:color w:val="auto"/>
        </w:rPr>
      </w:pPr>
    </w:p>
    <w:p>
      <w:pPr>
        <w:ind w:left="4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There are three levels of inputs that may be used to measure fair value:</w:t>
      </w:r>
    </w:p>
    <w:p>
      <w:pPr>
        <w:spacing w:after="0" w:line="6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380"/>
          </w:cols>
          <w:pgMar w:left="240" w:top="456" w:right="27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 (Continued)</w:t>
      </w:r>
    </w:p>
    <w:p>
      <w:pPr>
        <w:spacing w:after="0" w:line="134" w:lineRule="exact"/>
        <w:rPr>
          <w:rFonts w:ascii="Times New Roman" w:cs="Times New Roman" w:eastAsia="Times New Roman" w:hAnsi="Times New Roman"/>
          <w:sz w:val="18"/>
          <w:szCs w:val="18"/>
          <w:b w:val="1"/>
          <w:bCs w:val="1"/>
          <w:color w:val="auto"/>
        </w:rPr>
      </w:pPr>
    </w:p>
    <w:p>
      <w:pPr>
        <w:ind w:left="460" w:right="2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71" w:lineRule="exact"/>
        <w:rPr>
          <w:rFonts w:ascii="Times New Roman" w:cs="Times New Roman" w:eastAsia="Times New Roman" w:hAnsi="Times New Roman"/>
          <w:sz w:val="18"/>
          <w:szCs w:val="18"/>
          <w:b w:val="1"/>
          <w:bCs w:val="1"/>
          <w:color w:val="auto"/>
        </w:rPr>
      </w:pPr>
    </w:p>
    <w:p>
      <w:pPr>
        <w:ind w:left="46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53" w:lineRule="exact"/>
        <w:rPr>
          <w:rFonts w:ascii="Times New Roman" w:cs="Times New Roman" w:eastAsia="Times New Roman" w:hAnsi="Times New Roman"/>
          <w:sz w:val="18"/>
          <w:szCs w:val="18"/>
          <w:b w:val="1"/>
          <w:bCs w:val="1"/>
          <w:color w:val="auto"/>
        </w:rPr>
      </w:pPr>
    </w:p>
    <w:p>
      <w:pPr>
        <w:ind w:left="4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estimated fair values of the Company’s financial assets and liabilities classified under the appropriate level of the fair value hierarchy as described above was as follows: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2"/>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Quoted prices</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Significant</w:t>
            </w: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 active</w:t>
            </w:r>
          </w:p>
        </w:tc>
        <w:tc>
          <w:tcPr>
            <w:tcW w:w="1300" w:type="dxa"/>
            <w:vAlign w:val="bottom"/>
            <w:vMerge w:val="continue"/>
          </w:tcPr>
          <w:p>
            <w:pPr>
              <w:spacing w:after="0"/>
              <w:rPr>
                <w:sz w:val="12"/>
                <w:szCs w:val="12"/>
                <w:color w:val="auto"/>
              </w:rPr>
            </w:pPr>
          </w:p>
        </w:tc>
        <w:tc>
          <w:tcPr>
            <w:tcW w:w="1160" w:type="dxa"/>
            <w:vAlign w:val="bottom"/>
            <w:gridSpan w:val="2"/>
            <w:vMerge w:val="restart"/>
          </w:tcPr>
          <w:p>
            <w:pPr>
              <w:jc w:val="center"/>
              <w:ind w:left="156"/>
              <w:spacing w:after="0"/>
              <w:rPr>
                <w:sz w:val="20"/>
                <w:szCs w:val="20"/>
                <w:color w:val="auto"/>
              </w:rPr>
            </w:pPr>
            <w:r>
              <w:rPr>
                <w:rFonts w:ascii="Times New Roman" w:cs="Times New Roman" w:eastAsia="Times New Roman" w:hAnsi="Times New Roman"/>
                <w:sz w:val="14"/>
                <w:szCs w:val="14"/>
                <w:color w:val="auto"/>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market for</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identical</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observable</w:t>
            </w:r>
          </w:p>
        </w:tc>
        <w:tc>
          <w:tcPr>
            <w:tcW w:w="1160" w:type="dxa"/>
            <w:vAlign w:val="bottom"/>
            <w:gridSpan w:val="2"/>
          </w:tcPr>
          <w:p>
            <w:pPr>
              <w:jc w:val="center"/>
              <w:ind w:left="156"/>
              <w:spacing w:after="0" w:line="149"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880" w:type="dxa"/>
            <w:vAlign w:val="bottom"/>
          </w:tcPr>
          <w:p>
            <w:pPr>
              <w:jc w:val="right"/>
              <w:ind w:right="253"/>
              <w:spacing w:after="0" w:line="158" w:lineRule="exact"/>
              <w:rPr>
                <w:sz w:val="20"/>
                <w:szCs w:val="20"/>
                <w:color w:val="auto"/>
              </w:rPr>
            </w:pPr>
            <w:r>
              <w:rPr>
                <w:rFonts w:ascii="Times New Roman" w:cs="Times New Roman" w:eastAsia="Times New Roman" w:hAnsi="Times New Roman"/>
                <w:sz w:val="14"/>
                <w:szCs w:val="14"/>
                <w:color w:val="auto"/>
                <w:w w:val="98"/>
              </w:rPr>
              <w:t>Total fair</w:t>
            </w:r>
          </w:p>
        </w:tc>
        <w:tc>
          <w:tcPr>
            <w:tcW w:w="14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w w:val="97"/>
              </w:rPr>
              <w:t>assets</w:t>
            </w:r>
          </w:p>
        </w:tc>
        <w:tc>
          <w:tcPr>
            <w:tcW w:w="13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w w:val="99"/>
              </w:rPr>
              <w:t>inputs</w:t>
            </w:r>
          </w:p>
        </w:tc>
        <w:tc>
          <w:tcPr>
            <w:tcW w:w="1160" w:type="dxa"/>
            <w:vAlign w:val="bottom"/>
            <w:gridSpan w:val="2"/>
          </w:tcPr>
          <w:p>
            <w:pPr>
              <w:jc w:val="center"/>
              <w:ind w:left="156"/>
              <w:spacing w:after="0" w:line="158" w:lineRule="exact"/>
              <w:rPr>
                <w:sz w:val="20"/>
                <w:szCs w:val="20"/>
                <w:color w:val="auto"/>
              </w:rPr>
            </w:pPr>
            <w:r>
              <w:rPr>
                <w:rFonts w:ascii="Times New Roman" w:cs="Times New Roman" w:eastAsia="Times New Roman" w:hAnsi="Times New Roman"/>
                <w:sz w:val="14"/>
                <w:szCs w:val="14"/>
                <w:color w:val="auto"/>
              </w:rPr>
              <w:t>inputs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880" w:type="dxa"/>
            <w:vAlign w:val="bottom"/>
          </w:tcPr>
          <w:p>
            <w:pPr>
              <w:jc w:val="right"/>
              <w:ind w:right="353"/>
              <w:spacing w:after="0"/>
              <w:rPr>
                <w:sz w:val="20"/>
                <w:szCs w:val="20"/>
                <w:color w:val="auto"/>
              </w:rPr>
            </w:pPr>
            <w:r>
              <w:rPr>
                <w:rFonts w:ascii="Times New Roman" w:cs="Times New Roman" w:eastAsia="Times New Roman" w:hAnsi="Times New Roman"/>
                <w:sz w:val="14"/>
                <w:szCs w:val="14"/>
                <w:color w:val="auto"/>
              </w:rPr>
              <w:t>value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(Level 1)</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(Level 2)</w:t>
            </w:r>
          </w:p>
        </w:tc>
        <w:tc>
          <w:tcPr>
            <w:tcW w:w="1160" w:type="dxa"/>
            <w:vAlign w:val="bottom"/>
            <w:gridSpan w:val="2"/>
          </w:tcPr>
          <w:p>
            <w:pPr>
              <w:jc w:val="center"/>
              <w:ind w:left="156"/>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2015</w:t>
            </w:r>
          </w:p>
        </w:tc>
        <w:tc>
          <w:tcPr>
            <w:tcW w:w="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10,395</w:t>
            </w:r>
          </w:p>
        </w:tc>
        <w:tc>
          <w:tcPr>
            <w:tcW w:w="14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10,395</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1,000</w:t>
            </w:r>
          </w:p>
        </w:tc>
        <w:tc>
          <w:tcPr>
            <w:tcW w:w="14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1,552</w:t>
            </w:r>
          </w:p>
        </w:tc>
        <w:tc>
          <w:tcPr>
            <w:tcW w:w="14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8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8,542</w:t>
            </w:r>
          </w:p>
        </w:tc>
        <w:tc>
          <w:tcPr>
            <w:tcW w:w="14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8,542</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63,724</w:t>
            </w:r>
          </w:p>
        </w:tc>
        <w:tc>
          <w:tcPr>
            <w:tcW w:w="14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63,724</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56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2016</w:t>
            </w:r>
          </w:p>
        </w:tc>
        <w:tc>
          <w:tcPr>
            <w:tcW w:w="8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27,280</w:t>
            </w:r>
          </w:p>
        </w:tc>
        <w:tc>
          <w:tcPr>
            <w:tcW w:w="14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27,280</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5,234</w:t>
            </w:r>
          </w:p>
        </w:tc>
        <w:tc>
          <w:tcPr>
            <w:tcW w:w="14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5,234</w:t>
            </w:r>
          </w:p>
        </w:tc>
        <w:tc>
          <w:tcPr>
            <w:tcW w:w="130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88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12,982</w:t>
            </w:r>
          </w:p>
        </w:tc>
        <w:tc>
          <w:tcPr>
            <w:tcW w:w="146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12,982</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88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60,525</w:t>
            </w:r>
          </w:p>
        </w:tc>
        <w:tc>
          <w:tcPr>
            <w:tcW w:w="1460" w:type="dxa"/>
            <w:vAlign w:val="bottom"/>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60,525</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460" w:hanging="452"/>
        <w:spacing w:after="0"/>
        <w:tabs>
          <w:tab w:leader="none" w:pos="46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risk</w:t>
      </w:r>
    </w:p>
    <w:p>
      <w:pPr>
        <w:spacing w:after="0" w:line="131" w:lineRule="exact"/>
        <w:rPr>
          <w:sz w:val="20"/>
          <w:szCs w:val="20"/>
          <w:color w:val="auto"/>
        </w:rPr>
      </w:pPr>
    </w:p>
    <w:p>
      <w:pPr>
        <w:ind w:left="900" w:hanging="446"/>
        <w:spacing w:after="0"/>
        <w:tabs>
          <w:tab w:leader="none" w:pos="900"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revenues</w:t>
      </w:r>
    </w:p>
    <w:p>
      <w:pPr>
        <w:spacing w:after="0" w:line="121" w:lineRule="exact"/>
        <w:rPr>
          <w:sz w:val="20"/>
          <w:szCs w:val="20"/>
          <w:color w:val="auto"/>
        </w:rPr>
      </w:pPr>
    </w:p>
    <w:p>
      <w:pPr>
        <w:ind w:left="920" w:right="3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2016, two individual customers accounted for 18% and 11% of the net revenue, respectively. No individual customer accounted for more than 10% of the net revenues for the year ended December 31, 2015.</w:t>
      </w:r>
    </w:p>
    <w:p>
      <w:pPr>
        <w:spacing w:after="0" w:line="306" w:lineRule="exact"/>
        <w:rPr>
          <w:sz w:val="20"/>
          <w:szCs w:val="20"/>
          <w:color w:val="auto"/>
        </w:rPr>
      </w:pPr>
    </w:p>
    <w:p>
      <w:pPr>
        <w:ind w:left="900" w:hanging="446"/>
        <w:spacing w:after="0"/>
        <w:tabs>
          <w:tab w:leader="none" w:pos="90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accounts receivable</w:t>
      </w:r>
    </w:p>
    <w:p>
      <w:pPr>
        <w:spacing w:after="0" w:line="121" w:lineRule="exact"/>
        <w:rPr>
          <w:sz w:val="20"/>
          <w:szCs w:val="20"/>
          <w:color w:val="auto"/>
        </w:rPr>
      </w:pPr>
    </w:p>
    <w:p>
      <w:pPr>
        <w:ind w:left="920"/>
        <w:spacing w:after="0" w:line="261" w:lineRule="auto"/>
        <w:rPr>
          <w:sz w:val="20"/>
          <w:szCs w:val="20"/>
          <w:color w:val="auto"/>
        </w:rPr>
      </w:pPr>
      <w:r>
        <w:rPr>
          <w:rFonts w:ascii="Times New Roman" w:cs="Times New Roman" w:eastAsia="Times New Roman" w:hAnsi="Times New Roman"/>
          <w:sz w:val="18"/>
          <w:szCs w:val="18"/>
          <w:color w:val="auto"/>
        </w:rPr>
        <w:t>The Group has not experienced any significant recoverability issue with respect to its accounts receivable. The Group conducts credit evaluations on its customers and generally does not require collateral or other security from such customers. The Group periodically evaluates the creditworthiness of the existing customers in determining an allowance for doubtful accounts primarily based upon the age of the receivables and factors surrounding the credit risk of specific customers.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400"/>
          </w:cols>
          <w:pgMar w:left="240" w:top="455" w:right="25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risk (Continued)</w:t>
      </w:r>
    </w:p>
    <w:p>
      <w:pPr>
        <w:spacing w:after="0" w:line="13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accounts receivable (Continued)</w:t>
      </w:r>
    </w:p>
    <w:p>
      <w:pPr>
        <w:spacing w:after="0" w:line="135" w:lineRule="exact"/>
        <w:rPr>
          <w:sz w:val="20"/>
          <w:szCs w:val="20"/>
          <w:color w:val="auto"/>
        </w:rPr>
      </w:pPr>
    </w:p>
    <w:p>
      <w:pPr>
        <w:ind w:left="920" w:right="40"/>
        <w:spacing w:after="0" w:line="266" w:lineRule="auto"/>
        <w:rPr>
          <w:sz w:val="20"/>
          <w:szCs w:val="20"/>
          <w:color w:val="auto"/>
        </w:rPr>
      </w:pPr>
      <w:r>
        <w:rPr>
          <w:rFonts w:ascii="Times New Roman" w:cs="Times New Roman" w:eastAsia="Times New Roman" w:hAnsi="Times New Roman"/>
          <w:sz w:val="18"/>
          <w:szCs w:val="18"/>
          <w:color w:val="auto"/>
        </w:rPr>
        <w:t>As of December 31, 2015, one customer accounted for 13% of the consolidated accounts receivable. No individual customer accounted for more than 10% of the consolidated accounts receivable as of December 31, 2016. The top 10 accounts receivable accounted for 44% and 39% of the consolidated accounts receivable as of December 31, 2015 and 2016, respectively.</w:t>
      </w:r>
    </w:p>
    <w:p>
      <w:pPr>
        <w:spacing w:after="0" w:line="321" w:lineRule="exact"/>
        <w:rPr>
          <w:sz w:val="20"/>
          <w:szCs w:val="20"/>
          <w:color w:val="auto"/>
        </w:rPr>
      </w:pPr>
    </w:p>
    <w:p>
      <w:pPr>
        <w:ind w:left="900" w:hanging="446"/>
        <w:spacing w:after="0"/>
        <w:tabs>
          <w:tab w:leader="none" w:pos="90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left="920"/>
        <w:spacing w:after="0" w:line="253" w:lineRule="auto"/>
        <w:rPr>
          <w:sz w:val="20"/>
          <w:szCs w:val="20"/>
          <w:color w:val="auto"/>
        </w:rPr>
      </w:pPr>
      <w:r>
        <w:rPr>
          <w:rFonts w:ascii="Times New Roman" w:cs="Times New Roman" w:eastAsia="Times New Roman" w:hAnsi="Times New Roman"/>
          <w:sz w:val="18"/>
          <w:szCs w:val="18"/>
          <w:color w:val="auto"/>
        </w:rPr>
        <w:t>As of December 31, 2015 and 2016,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deposits of cash and cash equivalents during the years ended December 31, 2015 and 2016 and believes that its credit risk to be minimal.</w:t>
      </w:r>
    </w:p>
    <w:p>
      <w:pPr>
        <w:spacing w:after="0" w:line="337" w:lineRule="exact"/>
        <w:rPr>
          <w:sz w:val="20"/>
          <w:szCs w:val="20"/>
          <w:color w:val="auto"/>
        </w:rPr>
      </w:pPr>
    </w:p>
    <w:p>
      <w:pPr>
        <w:ind w:left="460" w:hanging="452"/>
        <w:spacing w:after="0"/>
        <w:tabs>
          <w:tab w:leader="none" w:pos="46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w:t>
      </w:r>
    </w:p>
    <w:p>
      <w:pPr>
        <w:spacing w:after="0" w:line="121" w:lineRule="exact"/>
        <w:rPr>
          <w:rFonts w:ascii="Times New Roman" w:cs="Times New Roman" w:eastAsia="Times New Roman" w:hAnsi="Times New Roman"/>
          <w:sz w:val="18"/>
          <w:szCs w:val="18"/>
          <w:b w:val="1"/>
          <w:bCs w:val="1"/>
          <w:color w:val="auto"/>
        </w:rPr>
      </w:pPr>
    </w:p>
    <w:p>
      <w:pPr>
        <w:ind w:left="460" w:right="2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accounted for its acquisitions in accordance with ASC 805, “Business Combination” (“ASC 805”). The results of the acquirees’ operations have been included in the consolidated financial statements since the acquisition date. The excess of the fair value of the acquired entities over the fair value of net tangible and intangible assets acquired was recorded as goodwill, which is not deductible for corporate income taxation purposes.</w:t>
      </w:r>
    </w:p>
    <w:p>
      <w:pPr>
        <w:spacing w:after="0" w:line="325" w:lineRule="exact"/>
        <w:rPr>
          <w:sz w:val="20"/>
          <w:szCs w:val="20"/>
          <w:color w:val="auto"/>
        </w:rPr>
      </w:pPr>
    </w:p>
    <w:p>
      <w:pPr>
        <w:ind w:left="460" w:hanging="452"/>
        <w:spacing w:after="0"/>
        <w:tabs>
          <w:tab w:leader="none" w:pos="46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Buzzinate</w:t>
      </w:r>
    </w:p>
    <w:p>
      <w:pPr>
        <w:spacing w:after="0" w:line="121" w:lineRule="exact"/>
        <w:rPr>
          <w:rFonts w:ascii="Times New Roman" w:cs="Times New Roman" w:eastAsia="Times New Roman" w:hAnsi="Times New Roman"/>
          <w:sz w:val="18"/>
          <w:szCs w:val="18"/>
          <w:b w:val="1"/>
          <w:bCs w:val="1"/>
          <w:color w:val="auto"/>
        </w:rPr>
      </w:pPr>
    </w:p>
    <w:p>
      <w:pPr>
        <w:ind w:left="4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2014, the Company entered into a SPA with Buzzinate and its shareholders and acquired 33.3% equity interest in Buzzinate as the first tranche, at a cash consideration of US$750. In the SPA, the Company has also agreed to purchase up to 57.1% equity interests in Buzzinate in stages from April 2015 to April 2016, and there was an agreement to purchase the remaining 42.9% equity interests in Buzzinate when the purchase of equity interests up to 57.1% was completed.</w:t>
      </w:r>
    </w:p>
    <w:p>
      <w:pPr>
        <w:spacing w:after="0" w:line="71" w:lineRule="exact"/>
        <w:rPr>
          <w:rFonts w:ascii="Times New Roman" w:cs="Times New Roman" w:eastAsia="Times New Roman" w:hAnsi="Times New Roman"/>
          <w:sz w:val="18"/>
          <w:szCs w:val="18"/>
          <w:b w:val="1"/>
          <w:bCs w:val="1"/>
          <w:color w:val="auto"/>
        </w:rPr>
      </w:pPr>
    </w:p>
    <w:p>
      <w:pPr>
        <w:ind w:left="460" w:right="2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SPA, the Company had an option to accelerate the completion dates of the remaining tranches by paying the cash consideration upon exercising the option. On February 13, 2015, the Company acquired in one go the equity interests in Buzzinate of the remaining five tranches at cash considerations of US$250 for each tranche purchased, and exercised the option to acquire the remaining equity interests in Buzzinate by issuing 142,151 shares of the Company which amounted to US$2,027. Buzzinate then became a wholly owned subsidiary of the Company.</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380"/>
          </w:cols>
          <w:pgMar w:left="240" w:top="456" w:right="27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 (Continued)</w:t>
      </w:r>
    </w:p>
    <w:p>
      <w:pPr>
        <w:spacing w:after="0" w:line="131" w:lineRule="exact"/>
        <w:rPr>
          <w:sz w:val="20"/>
          <w:szCs w:val="20"/>
          <w:color w:val="auto"/>
        </w:rPr>
      </w:pPr>
    </w:p>
    <w:p>
      <w:pPr>
        <w:ind w:left="460" w:hanging="452"/>
        <w:spacing w:after="0"/>
        <w:tabs>
          <w:tab w:leader="none" w:pos="460" w:val="left"/>
        </w:tabs>
        <w:numPr>
          <w:ilvl w:val="0"/>
          <w:numId w:val="1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Buzzinate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movement of carrying value of the equity method investment in Buzzinate from January 1, 2015 to February 13, 2015 (the “period”) is as follows:</w:t>
      </w:r>
    </w:p>
    <w:p>
      <w:pPr>
        <w:spacing w:after="0" w:line="27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 of equity investee for the period</w:t>
            </w:r>
          </w:p>
        </w:tc>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February 13, 2015</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Fair value gain on re-measurement of equity investee</w:t>
            </w:r>
          </w:p>
        </w:tc>
        <w:tc>
          <w:tcPr>
            <w:tcW w:w="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7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of the Company</w:t>
            </w:r>
          </w:p>
        </w:tc>
        <w:tc>
          <w:tcPr>
            <w:tcW w:w="20" w:type="dxa"/>
            <w:vAlign w:val="bottom"/>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Fair value of previously held interest in Buzzinate</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Recognised amounts of identifiable assets acquired and liabilities assumed:</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9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9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Cash</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1,439</w:t>
            </w:r>
          </w:p>
        </w:tc>
      </w:tr>
      <w:tr>
        <w:trPr>
          <w:trHeight w:val="216"/>
        </w:trPr>
        <w:tc>
          <w:tcPr>
            <w:tcW w:w="9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Other current assets</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9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Property and equipment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375</w:t>
            </w:r>
          </w:p>
        </w:tc>
      </w:tr>
      <w:tr>
        <w:trPr>
          <w:trHeight w:val="216"/>
        </w:trPr>
        <w:tc>
          <w:tcPr>
            <w:tcW w:w="9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Intangible asset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644</w:t>
            </w:r>
          </w:p>
        </w:tc>
      </w:tr>
      <w:tr>
        <w:trPr>
          <w:trHeight w:val="216"/>
        </w:trPr>
        <w:tc>
          <w:tcPr>
            <w:tcW w:w="9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Current liabilities</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(529)</w:t>
            </w:r>
          </w:p>
        </w:tc>
      </w:tr>
      <w:tr>
        <w:trPr>
          <w:trHeight w:val="216"/>
        </w:trPr>
        <w:tc>
          <w:tcPr>
            <w:tcW w:w="9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r>
      <w:tr>
        <w:trPr>
          <w:trHeight w:val="27"/>
        </w:trPr>
        <w:tc>
          <w:tcPr>
            <w:tcW w:w="98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9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1,975</w:t>
            </w:r>
          </w:p>
        </w:tc>
      </w:tr>
      <w:tr>
        <w:trPr>
          <w:trHeight w:val="223"/>
        </w:trPr>
        <w:tc>
          <w:tcPr>
            <w:tcW w:w="98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Goodwill (Note 12)</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40" w:type="dxa"/>
            <w:vAlign w:val="bottom"/>
          </w:tcPr>
          <w:p>
            <w:pPr>
              <w:spacing w:after="0"/>
              <w:rPr>
                <w:sz w:val="19"/>
                <w:szCs w:val="19"/>
                <w:color w:val="auto"/>
              </w:rPr>
            </w:pPr>
          </w:p>
        </w:tc>
      </w:tr>
      <w:tr>
        <w:trPr>
          <w:trHeight w:val="20"/>
        </w:trPr>
        <w:tc>
          <w:tcPr>
            <w:tcW w:w="9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consideration, net of cash acquired</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3,494</w:t>
            </w:r>
          </w:p>
        </w:tc>
      </w:tr>
      <w:tr>
        <w:trPr>
          <w:trHeight w:val="20"/>
        </w:trPr>
        <w:tc>
          <w:tcPr>
            <w:tcW w:w="9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spacing w:after="0" w:line="261" w:lineRule="auto"/>
        <w:rPr>
          <w:sz w:val="20"/>
          <w:szCs w:val="20"/>
          <w:color w:val="auto"/>
        </w:rPr>
      </w:pPr>
      <w:r>
        <w:rPr>
          <w:rFonts w:ascii="Times New Roman" w:cs="Times New Roman" w:eastAsia="Times New Roman" w:hAnsi="Times New Roman"/>
          <w:sz w:val="18"/>
          <w:szCs w:val="18"/>
          <w:color w:val="auto"/>
        </w:rPr>
        <w:t>The excess of purchase price over tangible assets and identifiable intangible assets acquired and liabilities assumed was recorded as goodwill. Goodwill associated with acquisition of Buzzinate was attributable to the expected synergy arising from the consolidated operations. The acquired goodwill is not deductible for tax purposes. Acquisition-related costs were insignificant and were included in general and administrative expenses for the year ended December 31, 2015.</w:t>
      </w:r>
    </w:p>
    <w:p>
      <w:pPr>
        <w:spacing w:after="0" w:line="72" w:lineRule="exact"/>
        <w:rPr>
          <w:sz w:val="20"/>
          <w:szCs w:val="20"/>
          <w:color w:val="auto"/>
        </w:rPr>
      </w:pPr>
    </w:p>
    <w:p>
      <w:pPr>
        <w:ind w:left="460" w:right="40"/>
        <w:spacing w:after="0" w:line="261" w:lineRule="auto"/>
        <w:rPr>
          <w:sz w:val="20"/>
          <w:szCs w:val="20"/>
          <w:color w:val="auto"/>
        </w:rPr>
      </w:pPr>
      <w:r>
        <w:rPr>
          <w:rFonts w:ascii="Times New Roman" w:cs="Times New Roman" w:eastAsia="Times New Roman" w:hAnsi="Times New Roman"/>
          <w:sz w:val="18"/>
          <w:szCs w:val="18"/>
          <w:color w:val="auto"/>
        </w:rPr>
        <w:t>In determining the fair value of previously held interest in Buzzinate, a business valuation of Buzzinate was undertaken by management with the assistance of an external valuer. Significant factor, assumptions and methodologies used in determining the business valuation include applying the discounted cash flow approach. Such approach involves certain significant estimates, which are terminal growth rate of 3.0%, weighted average cost of capital of 18.6%, and growth rate on average spending per customer ranges from 3.0% to 10.0%.</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400"/>
          </w:cols>
          <w:pgMar w:left="240" w:top="456" w:right="25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 (Continued)</w:t>
      </w:r>
    </w:p>
    <w:p>
      <w:pPr>
        <w:spacing w:after="0" w:line="131" w:lineRule="exact"/>
        <w:rPr>
          <w:sz w:val="20"/>
          <w:szCs w:val="20"/>
          <w:color w:val="auto"/>
        </w:rPr>
      </w:pPr>
    </w:p>
    <w:p>
      <w:pPr>
        <w:ind w:left="460" w:hanging="452"/>
        <w:spacing w:after="0"/>
        <w:tabs>
          <w:tab w:leader="none" w:pos="46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Buzzinate (Continued)</w:t>
      </w:r>
    </w:p>
    <w:p>
      <w:pPr>
        <w:spacing w:after="0" w:line="134" w:lineRule="exact"/>
        <w:rPr>
          <w:rFonts w:ascii="Times New Roman" w:cs="Times New Roman" w:eastAsia="Times New Roman" w:hAnsi="Times New Roman"/>
          <w:sz w:val="18"/>
          <w:szCs w:val="18"/>
          <w:b w:val="1"/>
          <w:bCs w:val="1"/>
          <w:color w:val="auto"/>
        </w:rPr>
      </w:pPr>
    </w:p>
    <w:p>
      <w:pPr>
        <w:ind w:left="4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determining the fair value of the intangible asset, an income approach was used. In this approach, significant estimates consist of discount rate of 19.6% and growth rate on average spending per customer ranges from 3.0% to 10.0%. The estimated amounts recognized on the acquired identifiable intangible asset and its estimated useful life are shown in the following table:</w:t>
      </w:r>
    </w:p>
    <w:p>
      <w:pPr>
        <w:spacing w:after="0" w:line="199"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color w:val="auto"/>
        </w:rPr>
        <w:t>Gross carrying</w:t>
      </w:r>
    </w:p>
    <w:p>
      <w:pPr>
        <w:ind w:left="6860"/>
        <w:spacing w:after="0" w:line="226" w:lineRule="auto"/>
        <w:tabs>
          <w:tab w:leader="none" w:pos="9320" w:val="left"/>
        </w:tabs>
        <w:rPr>
          <w:sz w:val="20"/>
          <w:szCs w:val="20"/>
          <w:color w:val="auto"/>
        </w:rPr>
      </w:pPr>
      <w:r>
        <w:rPr>
          <w:rFonts w:ascii="Times New Roman" w:cs="Times New Roman" w:eastAsia="Times New Roman" w:hAnsi="Times New Roman"/>
          <w:sz w:val="14"/>
          <w:szCs w:val="14"/>
          <w:color w:val="auto"/>
        </w:rPr>
        <w:t>Estimated useful life</w:t>
      </w:r>
      <w:r>
        <w:rPr>
          <w:sz w:val="20"/>
          <w:szCs w:val="20"/>
          <w:color w:val="auto"/>
        </w:rPr>
        <w:tab/>
      </w:r>
      <w:r>
        <w:rPr>
          <w:rFonts w:ascii="Times New Roman" w:cs="Times New Roman" w:eastAsia="Times New Roman" w:hAnsi="Times New Roman"/>
          <w:sz w:val="14"/>
          <w:szCs w:val="14"/>
          <w:color w:val="auto"/>
        </w:rPr>
        <w:t>amount</w:t>
      </w:r>
    </w:p>
    <w:p>
      <w:pPr>
        <w:ind w:left="9300"/>
        <w:spacing w:after="0" w:line="234" w:lineRule="auto"/>
        <w:rPr>
          <w:sz w:val="20"/>
          <w:szCs w:val="20"/>
          <w:color w:val="auto"/>
        </w:rPr>
      </w:pPr>
      <w:r>
        <w:rPr>
          <w:rFonts w:ascii="Times New Roman" w:cs="Times New Roman" w:eastAsia="Times New Roman" w:hAnsi="Times New Roman"/>
          <w:sz w:val="14"/>
          <w:szCs w:val="14"/>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0</wp:posOffset>
            </wp:positionV>
            <wp:extent cx="5505450"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7520" w:val="left"/>
          <w:tab w:leader="none" w:pos="9700" w:val="left"/>
        </w:tabs>
        <w:rPr>
          <w:sz w:val="20"/>
          <w:szCs w:val="20"/>
          <w:color w:val="auto"/>
        </w:rPr>
      </w:pPr>
      <w:r>
        <w:rPr>
          <w:rFonts w:ascii="Times New Roman" w:cs="Times New Roman" w:eastAsia="Times New Roman" w:hAnsi="Times New Roman"/>
          <w:sz w:val="18"/>
          <w:szCs w:val="18"/>
          <w:color w:val="auto"/>
        </w:rPr>
        <w:t>A self-developed computer software and systems</w:t>
      </w:r>
      <w:r>
        <w:rPr>
          <w:sz w:val="20"/>
          <w:szCs w:val="20"/>
          <w:color w:val="auto"/>
        </w:rPr>
        <w:tab/>
      </w:r>
      <w:r>
        <w:rPr>
          <w:rFonts w:ascii="Times New Roman" w:cs="Times New Roman" w:eastAsia="Times New Roman" w:hAnsi="Times New Roman"/>
          <w:sz w:val="18"/>
          <w:szCs w:val="18"/>
          <w:color w:val="auto"/>
        </w:rPr>
        <w:t>5 years</w:t>
      </w:r>
      <w:r>
        <w:rPr>
          <w:sz w:val="20"/>
          <w:szCs w:val="20"/>
          <w:color w:val="auto"/>
        </w:rPr>
        <w:tab/>
      </w:r>
      <w:r>
        <w:rPr>
          <w:rFonts w:ascii="Times New Roman" w:cs="Times New Roman" w:eastAsia="Times New Roman" w:hAnsi="Times New Roman"/>
          <w:sz w:val="18"/>
          <w:szCs w:val="18"/>
          <w:color w:val="auto"/>
        </w:rPr>
        <w:t>644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4445</wp:posOffset>
            </wp:positionV>
            <wp:extent cx="54864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21590</wp:posOffset>
            </wp:positionV>
            <wp:extent cx="54864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131" w:lineRule="exact"/>
        <w:rPr>
          <w:sz w:val="20"/>
          <w:szCs w:val="20"/>
          <w:color w:val="auto"/>
        </w:rPr>
      </w:pPr>
    </w:p>
    <w:p>
      <w:pPr>
        <w:jc w:val="both"/>
        <w:ind w:left="460" w:right="80"/>
        <w:spacing w:after="0" w:line="266" w:lineRule="auto"/>
        <w:rPr>
          <w:sz w:val="20"/>
          <w:szCs w:val="20"/>
          <w:color w:val="auto"/>
        </w:rPr>
      </w:pPr>
      <w:r>
        <w:rPr>
          <w:rFonts w:ascii="Times New Roman" w:cs="Times New Roman" w:eastAsia="Times New Roman" w:hAnsi="Times New Roman"/>
          <w:sz w:val="18"/>
          <w:szCs w:val="18"/>
          <w:color w:val="auto"/>
        </w:rPr>
        <w:t>Pro-forma results related to the acquisition in accordance with ASC 805 have not been presented because the acquisition of Buzzinate is not material, where net revenue and net loss of the acquired entities are less than 5% of the Company’s consolidated net revenue and net loss for the corresponding year.</w:t>
      </w:r>
    </w:p>
    <w:p>
      <w:pPr>
        <w:spacing w:after="0" w:line="321" w:lineRule="exact"/>
        <w:rPr>
          <w:sz w:val="20"/>
          <w:szCs w:val="20"/>
          <w:color w:val="auto"/>
        </w:rPr>
      </w:pPr>
    </w:p>
    <w:p>
      <w:pPr>
        <w:ind w:left="460" w:hanging="452"/>
        <w:spacing w:after="0"/>
        <w:tabs>
          <w:tab w:leader="none" w:pos="46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OptAim</w:t>
      </w:r>
    </w:p>
    <w:p>
      <w:pPr>
        <w:spacing w:after="0" w:line="121" w:lineRule="exact"/>
        <w:rPr>
          <w:rFonts w:ascii="Times New Roman" w:cs="Times New Roman" w:eastAsia="Times New Roman" w:hAnsi="Times New Roman"/>
          <w:sz w:val="18"/>
          <w:szCs w:val="18"/>
          <w:b w:val="1"/>
          <w:bCs w:val="1"/>
          <w:color w:val="auto"/>
        </w:rPr>
      </w:pPr>
    </w:p>
    <w:p>
      <w:pPr>
        <w:ind w:left="460"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2015, the Company acquired 100% equity interest of OptAim from several independent third parties. OptAim, through its VIE and its underlying subsidiary, is engaged in the provision of online and mobile marketing services in the PRC. The Company expects to increase its market shares in the PRC online marketing segment, particularly in relation to mobile platforms.</w:t>
      </w:r>
    </w:p>
    <w:p>
      <w:pPr>
        <w:spacing w:after="0" w:line="68" w:lineRule="exact"/>
        <w:rPr>
          <w:rFonts w:ascii="Times New Roman" w:cs="Times New Roman" w:eastAsia="Times New Roman" w:hAnsi="Times New Roman"/>
          <w:sz w:val="18"/>
          <w:szCs w:val="18"/>
          <w:b w:val="1"/>
          <w:bCs w:val="1"/>
          <w:color w:val="auto"/>
        </w:rPr>
      </w:pPr>
    </w:p>
    <w:p>
      <w:pPr>
        <w:ind w:left="4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total purchase consideration for all the equity interest of OptAim amounted to US$67,620. This is comprised of cash consideration of US$15,976, 2,535,091 shares of the Company amounted to US$50,843 and fair value of replacement awards attributable to pre-acquisition services amounted to US$801.</w:t>
      </w:r>
    </w:p>
    <w:p>
      <w:pPr>
        <w:spacing w:after="0" w:line="68" w:lineRule="exact"/>
        <w:rPr>
          <w:rFonts w:ascii="Times New Roman" w:cs="Times New Roman" w:eastAsia="Times New Roman" w:hAnsi="Times New Roman"/>
          <w:sz w:val="18"/>
          <w:szCs w:val="18"/>
          <w:b w:val="1"/>
          <w:bCs w:val="1"/>
          <w:color w:val="auto"/>
        </w:rPr>
      </w:pPr>
    </w:p>
    <w:p>
      <w:pPr>
        <w:ind w:lef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acquisition was recorded as a business combination. The following table summarizes the estimated fair values of the assets acquired and liabilities assumed at the date of acquisition:</w:t>
      </w:r>
    </w:p>
    <w:p>
      <w:pPr>
        <w:spacing w:after="0" w:line="53"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of consideration transferred:</w:t>
      </w:r>
    </w:p>
    <w:p>
      <w:pPr>
        <w:spacing w:after="0" w:line="271"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15,976</w:t>
            </w:r>
          </w:p>
        </w:tc>
        <w:tc>
          <w:tcPr>
            <w:tcW w:w="80" w:type="dxa"/>
            <w:vAlign w:val="bottom"/>
            <w:shd w:val="clear" w:color="auto" w:fill="CCEEFF"/>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of the Company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50,843</w:t>
            </w:r>
          </w:p>
        </w:tc>
        <w:tc>
          <w:tcPr>
            <w:tcW w:w="8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replacement awards attributable to pre-acquisition services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80" w:type="dxa"/>
            <w:vAlign w:val="bottom"/>
            <w:shd w:val="clear" w:color="auto" w:fill="CCEEFF"/>
          </w:tcPr>
          <w:p>
            <w:pPr>
              <w:spacing w:after="0"/>
              <w:rPr>
                <w:sz w:val="18"/>
                <w:szCs w:val="18"/>
                <w:color w:val="auto"/>
              </w:rPr>
            </w:pPr>
          </w:p>
        </w:tc>
      </w:tr>
      <w:tr>
        <w:trPr>
          <w:trHeight w:val="223"/>
        </w:trPr>
        <w:tc>
          <w:tcPr>
            <w:tcW w:w="79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67,620</w:t>
            </w:r>
          </w:p>
        </w:tc>
        <w:tc>
          <w:tcPr>
            <w:tcW w:w="8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3"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9760" w:type="dxa"/>
            <w:vAlign w:val="bottom"/>
          </w:tcPr>
          <w:p>
            <w:pPr>
              <w:spacing w:after="0"/>
              <w:rPr>
                <w:sz w:val="20"/>
                <w:szCs w:val="20"/>
                <w:color w:val="auto"/>
              </w:rPr>
            </w:pPr>
            <w:r>
              <w:rPr>
                <w:rFonts w:ascii="Times New Roman" w:cs="Times New Roman" w:eastAsia="Times New Roman" w:hAnsi="Times New Roman"/>
                <w:sz w:val="18"/>
                <w:szCs w:val="18"/>
                <w:color w:val="auto"/>
              </w:rPr>
              <w:t>Recognised amounts of identifiable assets acquired and liabilities assumed:</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Cash</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16"/>
        </w:trPr>
        <w:tc>
          <w:tcPr>
            <w:tcW w:w="9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current assets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13,193</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Property and equipment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9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Intangible asset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20,100</w:t>
            </w:r>
          </w:p>
        </w:tc>
        <w:tc>
          <w:tcPr>
            <w:tcW w:w="0" w:type="dxa"/>
            <w:vAlign w:val="bottom"/>
          </w:tcPr>
          <w:p>
            <w:pPr>
              <w:spacing w:after="0"/>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Current liabilities</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(7,571)</w:t>
            </w:r>
          </w:p>
        </w:tc>
        <w:tc>
          <w:tcPr>
            <w:tcW w:w="0" w:type="dxa"/>
            <w:vAlign w:val="bottom"/>
          </w:tcPr>
          <w:p>
            <w:pPr>
              <w:spacing w:after="0"/>
              <w:rPr>
                <w:sz w:val="1"/>
                <w:szCs w:val="1"/>
                <w:color w:val="auto"/>
              </w:rPr>
            </w:pPr>
          </w:p>
        </w:tc>
      </w:tr>
      <w:tr>
        <w:trPr>
          <w:trHeight w:val="216"/>
        </w:trPr>
        <w:tc>
          <w:tcPr>
            <w:tcW w:w="9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(5,025)</w:t>
            </w:r>
          </w:p>
        </w:tc>
        <w:tc>
          <w:tcPr>
            <w:tcW w:w="0" w:type="dxa"/>
            <w:vAlign w:val="bottom"/>
          </w:tcPr>
          <w:p>
            <w:pPr>
              <w:spacing w:after="0"/>
              <w:rPr>
                <w:sz w:val="1"/>
                <w:szCs w:val="1"/>
                <w:color w:val="auto"/>
              </w:rPr>
            </w:pPr>
          </w:p>
        </w:tc>
      </w:tr>
      <w:tr>
        <w:trPr>
          <w:trHeight w:val="27"/>
        </w:trPr>
        <w:tc>
          <w:tcPr>
            <w:tcW w:w="97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7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22,082</w:t>
            </w:r>
          </w:p>
        </w:tc>
        <w:tc>
          <w:tcPr>
            <w:tcW w:w="0" w:type="dxa"/>
            <w:vAlign w:val="bottom"/>
          </w:tcPr>
          <w:p>
            <w:pPr>
              <w:spacing w:after="0"/>
              <w:rPr>
                <w:sz w:val="1"/>
                <w:szCs w:val="1"/>
                <w:color w:val="auto"/>
              </w:rPr>
            </w:pPr>
          </w:p>
        </w:tc>
      </w:tr>
      <w:tr>
        <w:trPr>
          <w:trHeight w:val="223"/>
        </w:trPr>
        <w:tc>
          <w:tcPr>
            <w:tcW w:w="9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Goodwill (Note 12)</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consideration, net of cash acquired</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50,343</w:t>
            </w:r>
          </w:p>
        </w:tc>
        <w:tc>
          <w:tcPr>
            <w:tcW w:w="0" w:type="dxa"/>
            <w:vAlign w:val="bottom"/>
          </w:tcPr>
          <w:p>
            <w:pPr>
              <w:spacing w:after="0"/>
              <w:rPr>
                <w:sz w:val="1"/>
                <w:szCs w:val="1"/>
                <w:color w:val="auto"/>
              </w:rPr>
            </w:pPr>
          </w:p>
        </w:tc>
      </w:tr>
      <w:tr>
        <w:trPr>
          <w:trHeight w:val="20"/>
        </w:trPr>
        <w:tc>
          <w:tcPr>
            <w:tcW w:w="9760" w:type="dxa"/>
            <w:vAlign w:val="bottom"/>
            <w:vMerge w:val="restart"/>
          </w:tcPr>
          <w:p>
            <w:pPr>
              <w:ind w:left="5080"/>
              <w:spacing w:after="0"/>
              <w:rPr>
                <w:sz w:val="20"/>
                <w:szCs w:val="20"/>
                <w:color w:val="auto"/>
              </w:rPr>
            </w:pPr>
            <w:r>
              <w:rPr>
                <w:rFonts w:ascii="Times New Roman" w:cs="Times New Roman" w:eastAsia="Times New Roman" w:hAnsi="Times New Roman"/>
                <w:sz w:val="18"/>
                <w:szCs w:val="18"/>
                <w:color w:val="auto"/>
              </w:rPr>
              <w:t>F-38</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7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6" w:right="33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Acquisition (Continued)</w:t>
      </w:r>
    </w:p>
    <w:p>
      <w:pPr>
        <w:spacing w:after="0" w:line="131" w:lineRule="exact"/>
        <w:rPr>
          <w:sz w:val="20"/>
          <w:szCs w:val="20"/>
          <w:color w:val="auto"/>
        </w:rPr>
      </w:pPr>
    </w:p>
    <w:p>
      <w:pPr>
        <w:ind w:left="460" w:hanging="452"/>
        <w:spacing w:after="0"/>
        <w:tabs>
          <w:tab w:leader="none" w:pos="46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 of OptAim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2015, purchase consideration payable of US$15,976 was settled and there is no adjustment to the purchase consideration amounts.</w:t>
      </w:r>
    </w:p>
    <w:p>
      <w:pPr>
        <w:spacing w:after="0" w:line="117" w:lineRule="exact"/>
        <w:rPr>
          <w:rFonts w:ascii="Times New Roman" w:cs="Times New Roman" w:eastAsia="Times New Roman" w:hAnsi="Times New Roman"/>
          <w:sz w:val="18"/>
          <w:szCs w:val="18"/>
          <w:b w:val="1"/>
          <w:bCs w:val="1"/>
          <w:color w:val="auto"/>
        </w:rPr>
      </w:pPr>
    </w:p>
    <w:p>
      <w:pPr>
        <w:ind w:left="46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excess of purchase price over tangible assets, identifiable intangible asset acquired and liabilities assumed was recorded as goodwill. Goodwill associated with the acquisition of OptAim was attributable to the expected synergy arising from the consolidated marketing operations. The acquired goodwill is not deductible for tax purposes. Acquisition-related costs were immaterial and were included in general and administrative expenses for the year ended December 31, 2015.</w:t>
      </w:r>
    </w:p>
    <w:p>
      <w:pPr>
        <w:spacing w:after="0" w:line="71" w:lineRule="exact"/>
        <w:rPr>
          <w:rFonts w:ascii="Times New Roman" w:cs="Times New Roman" w:eastAsia="Times New Roman" w:hAnsi="Times New Roman"/>
          <w:sz w:val="18"/>
          <w:szCs w:val="18"/>
          <w:b w:val="1"/>
          <w:bCs w:val="1"/>
          <w:color w:val="auto"/>
        </w:rPr>
      </w:pPr>
    </w:p>
    <w:p>
      <w:pPr>
        <w:ind w:left="46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determining the fair value of shares of the Company issued as part of the consideration of acquiring OptAim, a business valuation of the Company was performed by management with the assistance of an external valuer. Significant factors, assumptions and methodologies used in determining the business valuation include applying the discounted cash flow approach. Such approach involves certain significant estimates. They are terminal growth rate of 3.0%, weighted average cost of capital of 16.1%, and growth rate on average spending per customer ranges from 1.0% to 4.0%.</w:t>
      </w:r>
    </w:p>
    <w:p>
      <w:pPr>
        <w:spacing w:after="0" w:line="71" w:lineRule="exact"/>
        <w:rPr>
          <w:rFonts w:ascii="Times New Roman" w:cs="Times New Roman" w:eastAsia="Times New Roman" w:hAnsi="Times New Roman"/>
          <w:sz w:val="18"/>
          <w:szCs w:val="18"/>
          <w:b w:val="1"/>
          <w:bCs w:val="1"/>
          <w:color w:val="auto"/>
        </w:rPr>
      </w:pPr>
    </w:p>
    <w:p>
      <w:pPr>
        <w:ind w:left="4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determining the fair value of the intangible asset, an income approach was used. In this approach, significant estimates consist of discount rate of 20.6% and a growth rate on average spending per customer ranges from 3.0% to 8.0%. The estimated amounts recognized on the acquired identifiable intangible asset and its estimated useful life are shown in the following table:</w:t>
      </w:r>
    </w:p>
    <w:p>
      <w:pPr>
        <w:spacing w:after="0" w:line="199"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color w:val="auto"/>
        </w:rPr>
        <w:t>Gross carrying</w:t>
      </w:r>
    </w:p>
    <w:p>
      <w:pPr>
        <w:ind w:left="6940"/>
        <w:spacing w:after="0" w:line="226" w:lineRule="auto"/>
        <w:tabs>
          <w:tab w:leader="none" w:pos="9320" w:val="left"/>
        </w:tabs>
        <w:rPr>
          <w:sz w:val="20"/>
          <w:szCs w:val="20"/>
          <w:color w:val="auto"/>
        </w:rPr>
      </w:pPr>
      <w:r>
        <w:rPr>
          <w:rFonts w:ascii="Times New Roman" w:cs="Times New Roman" w:eastAsia="Times New Roman" w:hAnsi="Times New Roman"/>
          <w:sz w:val="14"/>
          <w:szCs w:val="14"/>
          <w:color w:val="auto"/>
        </w:rPr>
        <w:t>Estimated useful life</w:t>
      </w:r>
      <w:r>
        <w:rPr>
          <w:sz w:val="20"/>
          <w:szCs w:val="20"/>
          <w:color w:val="auto"/>
        </w:rPr>
        <w:tab/>
      </w:r>
      <w:r>
        <w:rPr>
          <w:rFonts w:ascii="Times New Roman" w:cs="Times New Roman" w:eastAsia="Times New Roman" w:hAnsi="Times New Roman"/>
          <w:sz w:val="14"/>
          <w:szCs w:val="14"/>
          <w:color w:val="auto"/>
        </w:rPr>
        <w:t>amount</w:t>
      </w:r>
    </w:p>
    <w:p>
      <w:pPr>
        <w:ind w:left="9300"/>
        <w:spacing w:after="0" w:line="234" w:lineRule="auto"/>
        <w:rPr>
          <w:sz w:val="20"/>
          <w:szCs w:val="20"/>
          <w:color w:val="auto"/>
        </w:rPr>
      </w:pPr>
      <w:r>
        <w:rPr>
          <w:rFonts w:ascii="Times New Roman" w:cs="Times New Roman" w:eastAsia="Times New Roman" w:hAnsi="Times New Roman"/>
          <w:sz w:val="14"/>
          <w:szCs w:val="14"/>
          <w:color w:val="auto"/>
        </w:rPr>
        <w:t>US$‘000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0</wp:posOffset>
            </wp:positionV>
            <wp:extent cx="5505450" cy="1371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7620" w:val="left"/>
          <w:tab w:leader="none" w:pos="9480" w:val="left"/>
        </w:tabs>
        <w:rPr>
          <w:sz w:val="20"/>
          <w:szCs w:val="20"/>
          <w:color w:val="auto"/>
        </w:rPr>
      </w:pPr>
      <w:r>
        <w:rPr>
          <w:rFonts w:ascii="Times New Roman" w:cs="Times New Roman" w:eastAsia="Times New Roman" w:hAnsi="Times New Roman"/>
          <w:sz w:val="18"/>
          <w:szCs w:val="18"/>
          <w:color w:val="auto"/>
        </w:rPr>
        <w:t>A self-developed computer software and systems</w:t>
      </w:r>
      <w:r>
        <w:rPr>
          <w:sz w:val="20"/>
          <w:szCs w:val="20"/>
          <w:color w:val="auto"/>
        </w:rPr>
        <w:tab/>
      </w:r>
      <w:r>
        <w:rPr>
          <w:rFonts w:ascii="Times New Roman" w:cs="Times New Roman" w:eastAsia="Times New Roman" w:hAnsi="Times New Roman"/>
          <w:sz w:val="18"/>
          <w:szCs w:val="18"/>
          <w:color w:val="auto"/>
        </w:rPr>
        <w:t>5 years</w:t>
      </w:r>
      <w:r>
        <w:rPr>
          <w:sz w:val="20"/>
          <w:szCs w:val="20"/>
          <w:color w:val="auto"/>
        </w:rPr>
        <w:tab/>
      </w:r>
      <w:r>
        <w:rPr>
          <w:rFonts w:ascii="Times New Roman" w:cs="Times New Roman" w:eastAsia="Times New Roman" w:hAnsi="Times New Roman"/>
          <w:sz w:val="18"/>
          <w:szCs w:val="18"/>
          <w:color w:val="auto"/>
        </w:rPr>
        <w:t>20,100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4445</wp:posOffset>
            </wp:positionV>
            <wp:extent cx="54864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21590</wp:posOffset>
            </wp:positionV>
            <wp:extent cx="54864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Unaudited pro forma operating results for the Company, assuming the acquisition of OptAim occurred on January 1, 2015 is as follows:</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For the year</w:t>
            </w:r>
          </w:p>
        </w:tc>
      </w:tr>
      <w:tr>
        <w:trPr>
          <w:trHeight w:val="149"/>
        </w:trPr>
        <w:tc>
          <w:tcPr>
            <w:tcW w:w="42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ended</w:t>
            </w:r>
          </w:p>
        </w:tc>
      </w:tr>
      <w:tr>
        <w:trPr>
          <w:trHeight w:val="149"/>
        </w:trPr>
        <w:tc>
          <w:tcPr>
            <w:tcW w:w="4200" w:type="dxa"/>
            <w:vAlign w:val="bottom"/>
          </w:tcPr>
          <w:p>
            <w:pPr>
              <w:spacing w:after="0"/>
              <w:rPr>
                <w:sz w:val="12"/>
                <w:szCs w:val="12"/>
                <w:color w:val="auto"/>
              </w:rPr>
            </w:pPr>
          </w:p>
        </w:tc>
        <w:tc>
          <w:tcPr>
            <w:tcW w:w="3560" w:type="dxa"/>
            <w:vAlign w:val="bottom"/>
            <w:gridSpan w:val="3"/>
          </w:tcPr>
          <w:p>
            <w:pPr>
              <w:jc w:val="center"/>
              <w:ind w:left="2437"/>
              <w:spacing w:after="0" w:line="149" w:lineRule="exact"/>
              <w:rPr>
                <w:sz w:val="20"/>
                <w:szCs w:val="20"/>
                <w:color w:val="auto"/>
              </w:rPr>
            </w:pPr>
            <w:r>
              <w:rPr>
                <w:rFonts w:ascii="Times New Roman" w:cs="Times New Roman" w:eastAsia="Times New Roman" w:hAnsi="Times New Roman"/>
                <w:sz w:val="14"/>
                <w:szCs w:val="14"/>
                <w:color w:val="auto"/>
              </w:rPr>
              <w:t>December 31,</w:t>
            </w:r>
          </w:p>
        </w:tc>
      </w:tr>
      <w:tr>
        <w:trPr>
          <w:trHeight w:val="171"/>
        </w:trPr>
        <w:tc>
          <w:tcPr>
            <w:tcW w:w="4200" w:type="dxa"/>
            <w:vAlign w:val="bottom"/>
          </w:tcPr>
          <w:p>
            <w:pPr>
              <w:spacing w:after="0"/>
              <w:rPr>
                <w:sz w:val="14"/>
                <w:szCs w:val="14"/>
                <w:color w:val="auto"/>
              </w:rPr>
            </w:pPr>
          </w:p>
        </w:tc>
        <w:tc>
          <w:tcPr>
            <w:tcW w:w="3440" w:type="dxa"/>
            <w:vAlign w:val="bottom"/>
            <w:gridSpan w:val="2"/>
          </w:tcPr>
          <w:p>
            <w:pPr>
              <w:jc w:val="center"/>
              <w:ind w:left="2557"/>
              <w:spacing w:after="0"/>
              <w:rPr>
                <w:sz w:val="20"/>
                <w:szCs w:val="20"/>
                <w:color w:val="auto"/>
              </w:rPr>
            </w:pPr>
            <w:r>
              <w:rPr>
                <w:rFonts w:ascii="Times New Roman" w:cs="Times New Roman" w:eastAsia="Times New Roman" w:hAnsi="Times New Roman"/>
                <w:sz w:val="14"/>
                <w:szCs w:val="14"/>
                <w:color w:val="auto"/>
                <w:w w:val="99"/>
              </w:rPr>
              <w:t>2015</w:t>
            </w:r>
          </w:p>
        </w:tc>
        <w:tc>
          <w:tcPr>
            <w:tcW w:w="120" w:type="dxa"/>
            <w:vAlign w:val="bottom"/>
          </w:tcPr>
          <w:p>
            <w:pPr>
              <w:spacing w:after="0"/>
              <w:rPr>
                <w:sz w:val="14"/>
                <w:szCs w:val="14"/>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6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(39,688)</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3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(3.80)</w:t>
            </w: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3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(3.80)</w:t>
            </w:r>
          </w:p>
        </w:tc>
      </w:tr>
    </w:tbl>
    <w:p>
      <w:pPr>
        <w:spacing w:after="0" w:line="71"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The Company did not have any material, non-recurring pro-forma adjustments directly attributable to the business combination reflected in the reported pro-forma net revenue and net loss.</w:t>
      </w:r>
    </w:p>
    <w:p>
      <w:pPr>
        <w:spacing w:after="0" w:line="54" w:lineRule="exact"/>
        <w:rPr>
          <w:sz w:val="20"/>
          <w:szCs w:val="20"/>
          <w:color w:val="auto"/>
        </w:rPr>
      </w:pPr>
    </w:p>
    <w:p>
      <w:pPr>
        <w:ind w:left="460" w:right="400"/>
        <w:spacing w:after="0" w:line="282" w:lineRule="auto"/>
        <w:rPr>
          <w:sz w:val="20"/>
          <w:szCs w:val="20"/>
          <w:color w:val="auto"/>
        </w:rPr>
      </w:pPr>
      <w:r>
        <w:rPr>
          <w:rFonts w:ascii="Times New Roman" w:cs="Times New Roman" w:eastAsia="Times New Roman" w:hAnsi="Times New Roman"/>
          <w:sz w:val="18"/>
          <w:szCs w:val="18"/>
          <w:color w:val="auto"/>
        </w:rPr>
        <w:t>The pro forma information is not necessarily indicative of the actual results that would have been achieved had OptAim acquisition occurred as of January 1, 2015 or the results that may be achieved in future periods.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400"/>
          </w:cols>
          <w:pgMar w:left="240" w:top="456" w:right="25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00" w:lineRule="exact"/>
        <w:rPr>
          <w:sz w:val="20"/>
          <w:szCs w:val="20"/>
          <w:color w:val="auto"/>
        </w:rPr>
      </w:pPr>
    </w:p>
    <w:p>
      <w:pPr>
        <w:spacing w:after="0" w:line="300" w:lineRule="exact"/>
        <w:rPr>
          <w:sz w:val="20"/>
          <w:szCs w:val="20"/>
          <w:color w:val="auto"/>
        </w:rPr>
      </w:pPr>
    </w:p>
    <w:p>
      <w:pPr>
        <w:ind w:left="460" w:hanging="452"/>
        <w:spacing w:after="0"/>
        <w:tabs>
          <w:tab w:leader="none" w:pos="460"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rFonts w:ascii="Times New Roman" w:cs="Times New Roman" w:eastAsia="Times New Roman" w:hAnsi="Times New Roman"/>
          <w:sz w:val="18"/>
          <w:szCs w:val="18"/>
          <w:b w:val="1"/>
          <w:bCs w:val="1"/>
          <w:color w:val="auto"/>
        </w:rPr>
      </w:pPr>
    </w:p>
    <w:p>
      <w:pPr>
        <w:ind w:left="4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represent cash on hand, cash held at bank, and time deposits placed with banks or other financial institutions, which have original maturities of three months or less. Cash on hand and cash held at bank balance as of December 31, 2015 and 2016 primarily consist of the following currencies: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172"/>
              <w:spacing w:after="0"/>
              <w:rPr>
                <w:sz w:val="20"/>
                <w:szCs w:val="20"/>
                <w:color w:val="auto"/>
              </w:rPr>
            </w:pPr>
            <w:r>
              <w:rPr>
                <w:rFonts w:ascii="Times New Roman" w:cs="Times New Roman" w:eastAsia="Times New Roman" w:hAnsi="Times New Roman"/>
                <w:sz w:val="14"/>
                <w:szCs w:val="14"/>
                <w:color w:val="auto"/>
              </w:rPr>
              <w:t>As of December 31,</w:t>
            </w: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7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US$’000</w:t>
            </w:r>
          </w:p>
        </w:tc>
        <w:tc>
          <w:tcPr>
            <w:tcW w:w="10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US$’000</w:t>
            </w:r>
          </w:p>
        </w:tc>
        <w:tc>
          <w:tcPr>
            <w:tcW w:w="0" w:type="dxa"/>
            <w:vAlign w:val="bottom"/>
          </w:tcPr>
          <w:p>
            <w:pPr>
              <w:spacing w:after="0"/>
              <w:rPr>
                <w:sz w:val="1"/>
                <w:szCs w:val="1"/>
                <w:color w:val="auto"/>
              </w:rPr>
            </w:pPr>
          </w:p>
        </w:tc>
      </w:tr>
      <w:tr>
        <w:trPr>
          <w:trHeight w:val="86"/>
        </w:trPr>
        <w:tc>
          <w:tcPr>
            <w:tcW w:w="6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6700" w:type="dxa"/>
            <w:vAlign w:val="bottom"/>
          </w:tcPr>
          <w:p>
            <w:pPr>
              <w:spacing w:after="0"/>
              <w:rPr>
                <w:sz w:val="16"/>
                <w:szCs w:val="16"/>
                <w:color w:val="auto"/>
              </w:rPr>
            </w:pPr>
          </w:p>
        </w:tc>
        <w:tc>
          <w:tcPr>
            <w:tcW w:w="6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Amount</w:t>
            </w:r>
          </w:p>
        </w:tc>
        <w:tc>
          <w:tcPr>
            <w:tcW w:w="42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9"/>
              </w:rPr>
              <w:t>equivalent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Amount</w:t>
            </w:r>
          </w:p>
        </w:tc>
        <w:tc>
          <w:tcPr>
            <w:tcW w:w="42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equivalent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RMB</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43,725</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6,762</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67,697</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9,771</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HK$</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1,294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15,666</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1,268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15,064</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15,064</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SGD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TWD</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16,383</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528</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Euro (“EUR”)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6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10,395</w:t>
            </w:r>
          </w:p>
        </w:tc>
        <w:tc>
          <w:tcPr>
            <w:tcW w:w="20" w:type="dxa"/>
            <w:vAlign w:val="bottom"/>
            <w:tcBorders>
              <w:bottom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460" w:hanging="452"/>
        <w:spacing w:after="0"/>
        <w:tabs>
          <w:tab w:leader="none" w:pos="46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cash</w:t>
      </w:r>
    </w:p>
    <w:p>
      <w:pPr>
        <w:spacing w:after="0" w:line="121" w:lineRule="exact"/>
        <w:rPr>
          <w:rFonts w:ascii="Times New Roman" w:cs="Times New Roman" w:eastAsia="Times New Roman" w:hAnsi="Times New Roman"/>
          <w:sz w:val="18"/>
          <w:szCs w:val="18"/>
          <w:b w:val="1"/>
          <w:bCs w:val="1"/>
          <w:color w:val="auto"/>
        </w:rPr>
      </w:pPr>
    </w:p>
    <w:p>
      <w:pPr>
        <w:ind w:left="46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restricted cash amounting to US$1,000 and US$5,234 as of December 31, 2015 and 2016, respectively, represented balance held in a restricted bank account pursuant to certain short term loan agreements (see Note 15 for details). The restricted cash is held in US$ and carries fixed interest at the rate of 0.55% and 0.05% per annum as of December 31, 2015 and 2016, respectively.</w:t>
      </w:r>
    </w:p>
    <w:p>
      <w:pPr>
        <w:spacing w:after="0" w:line="321" w:lineRule="exact"/>
        <w:rPr>
          <w:sz w:val="20"/>
          <w:szCs w:val="20"/>
          <w:color w:val="auto"/>
        </w:rPr>
      </w:pPr>
    </w:p>
    <w:p>
      <w:pPr>
        <w:ind w:left="460" w:hanging="452"/>
        <w:spacing w:after="0"/>
        <w:tabs>
          <w:tab w:leader="none" w:pos="460"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investments</w:t>
      </w:r>
    </w:p>
    <w:p>
      <w:pPr>
        <w:spacing w:after="0" w:line="252"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4"/>
          <w:szCs w:val="14"/>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6350</wp:posOffset>
            </wp:positionV>
            <wp:extent cx="105473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8500"/>
        <w:spacing w:after="0"/>
        <w:tabs>
          <w:tab w:leader="none" w:pos="9620" w:val="left"/>
        </w:tabs>
        <w:rPr>
          <w:sz w:val="20"/>
          <w:szCs w:val="20"/>
          <w:color w:val="auto"/>
        </w:rPr>
      </w:pPr>
      <w:r>
        <w:rPr>
          <w:rFonts w:ascii="Times New Roman" w:cs="Times New Roman" w:eastAsia="Times New Roman" w:hAnsi="Times New Roman"/>
          <w:sz w:val="14"/>
          <w:szCs w:val="14"/>
          <w:color w:val="auto"/>
        </w:rPr>
        <w:t>2015</w:t>
      </w:r>
      <w:r>
        <w:rPr>
          <w:sz w:val="20"/>
          <w:szCs w:val="20"/>
          <w:color w:val="auto"/>
        </w:rPr>
        <w:tab/>
      </w:r>
      <w:r>
        <w:rPr>
          <w:rFonts w:ascii="Times New Roman" w:cs="Times New Roman" w:eastAsia="Times New Roman" w:hAnsi="Times New Roman"/>
          <w:sz w:val="14"/>
          <w:szCs w:val="14"/>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-635</wp:posOffset>
            </wp:positionV>
            <wp:extent cx="5505450" cy="1371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8520" w:val="left"/>
          <w:tab w:leader="none" w:pos="9800" w:val="left"/>
        </w:tabs>
        <w:rPr>
          <w:sz w:val="20"/>
          <w:szCs w:val="20"/>
          <w:color w:val="auto"/>
        </w:rPr>
      </w:pPr>
      <w:r>
        <w:rPr>
          <w:rFonts w:ascii="Times New Roman" w:cs="Times New Roman" w:eastAsia="Times New Roman" w:hAnsi="Times New Roman"/>
          <w:sz w:val="18"/>
          <w:szCs w:val="18"/>
          <w:color w:val="auto"/>
        </w:rPr>
        <w:t>Investment in treasury instruments</w:t>
      </w:r>
      <w:r>
        <w:rPr>
          <w:sz w:val="20"/>
          <w:szCs w:val="20"/>
          <w:color w:val="auto"/>
        </w:rPr>
        <w:tab/>
      </w:r>
      <w:r>
        <w:rPr>
          <w:rFonts w:ascii="Times New Roman" w:cs="Times New Roman" w:eastAsia="Times New Roman" w:hAnsi="Times New Roman"/>
          <w:sz w:val="18"/>
          <w:szCs w:val="18"/>
          <w:color w:val="auto"/>
        </w:rPr>
        <w:t>1,552</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4445</wp:posOffset>
            </wp:positionV>
            <wp:extent cx="3860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21590</wp:posOffset>
            </wp:positionV>
            <wp:extent cx="3860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86080" cy="889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4445</wp:posOffset>
            </wp:positionV>
            <wp:extent cx="26606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21590</wp:posOffset>
            </wp:positionV>
            <wp:extent cx="26606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66065" cy="8890"/>
                    </a:xfrm>
                    <a:prstGeom prst="rect">
                      <a:avLst/>
                    </a:prstGeom>
                    <a:noFill/>
                  </pic:spPr>
                </pic:pic>
              </a:graphicData>
            </a:graphic>
          </wp:anchor>
        </w:drawing>
      </w:r>
    </w:p>
    <w:p>
      <w:pPr>
        <w:spacing w:after="0" w:line="131"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The investments were issued by commercial banks in Hong Kong with a variable interest rate. Since these investments’ maturity dates are within one year, they are classified as short-term investments.</w:t>
      </w:r>
    </w:p>
    <w:p>
      <w:pPr>
        <w:spacing w:after="0" w:line="54" w:lineRule="exact"/>
        <w:rPr>
          <w:sz w:val="20"/>
          <w:szCs w:val="20"/>
          <w:color w:val="auto"/>
        </w:rPr>
      </w:pPr>
    </w:p>
    <w:p>
      <w:pPr>
        <w:ind w:left="460" w:right="100"/>
        <w:spacing w:after="0" w:line="282" w:lineRule="auto"/>
        <w:rPr>
          <w:sz w:val="20"/>
          <w:szCs w:val="20"/>
          <w:color w:val="auto"/>
        </w:rPr>
      </w:pPr>
      <w:r>
        <w:rPr>
          <w:rFonts w:ascii="Times New Roman" w:cs="Times New Roman" w:eastAsia="Times New Roman" w:hAnsi="Times New Roman"/>
          <w:sz w:val="18"/>
          <w:szCs w:val="18"/>
          <w:color w:val="auto"/>
        </w:rPr>
        <w:t>Interest income generated from short-term investments are recorded using the effective interest method. It was recorded in “other losses, net” on the consolidated statement of comprehensive loss.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45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3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color w:val="auto"/>
              </w:rPr>
              <w:t>As of December 31,</w:t>
            </w:r>
          </w:p>
        </w:tc>
      </w:tr>
      <w:tr>
        <w:trPr>
          <w:trHeight w:val="142"/>
        </w:trPr>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3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20" w:type="dxa"/>
            <w:vAlign w:val="bottom"/>
          </w:tcPr>
          <w:p>
            <w:pPr>
              <w:spacing w:after="0"/>
              <w:rPr>
                <w:sz w:val="12"/>
                <w:szCs w:val="12"/>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4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30,156</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32,387</w:t>
            </w:r>
          </w:p>
        </w:tc>
        <w:tc>
          <w:tcPr>
            <w:tcW w:w="12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356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(1,733)</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(1,693)</w:t>
            </w: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56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28,423</w:t>
            </w:r>
          </w:p>
        </w:tc>
        <w:tc>
          <w:tcPr>
            <w:tcW w:w="3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30,694</w:t>
            </w:r>
          </w:p>
        </w:tc>
        <w:tc>
          <w:tcPr>
            <w:tcW w:w="12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500" w:type="dxa"/>
            <w:vAlign w:val="bottom"/>
            <w:gridSpan w:val="3"/>
          </w:tcPr>
          <w:p>
            <w:pPr>
              <w:jc w:val="right"/>
              <w:ind w:right="3460"/>
              <w:spacing w:after="0"/>
              <w:rPr>
                <w:sz w:val="20"/>
                <w:szCs w:val="20"/>
                <w:color w:val="auto"/>
              </w:rPr>
            </w:pPr>
            <w:r>
              <w:rPr>
                <w:rFonts w:ascii="Times New Roman" w:cs="Times New Roman" w:eastAsia="Times New Roman" w:hAnsi="Times New Roman"/>
                <w:sz w:val="18"/>
                <w:szCs w:val="18"/>
                <w:color w:val="auto"/>
              </w:rPr>
              <w:t>F-40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20"/>
          </w:cols>
          <w:pgMar w:left="240" w:top="455" w:right="439" w:bottom="1440" w:gutter="0" w:footer="0" w:header="0"/>
        </w:sectPr>
      </w:pPr>
    </w:p>
    <w:bookmarkStart w:id="261" w:name="page262"/>
    <w:bookmarkEnd w:id="26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Times New Roman" w:cs="Times New Roman" w:eastAsia="Times New Roman" w:hAnsi="Times New Roman"/>
                <w:sz w:val="18"/>
                <w:szCs w:val="18"/>
                <w:b w:val="1"/>
                <w:bCs w:val="1"/>
                <w:color w:val="0000EE"/>
                <w:w w:val="97"/>
              </w:rPr>
            </w:pPr>
            <w:hyperlink w:anchor="page5">
              <w:r>
                <w:rPr>
                  <w:rFonts w:ascii="Times New Roman" w:cs="Times New Roman" w:eastAsia="Times New Roman" w:hAnsi="Times New Roman"/>
                  <w:sz w:val="18"/>
                  <w:szCs w:val="18"/>
                  <w:b w:val="1"/>
                  <w:bCs w:val="1"/>
                  <w:color w:val="0000EE"/>
                  <w:w w:val="97"/>
                </w:rPr>
                <w:t>Table of Contents</w:t>
              </w:r>
            </w:hyperlink>
          </w:p>
        </w:tc>
        <w:tc>
          <w:tcPr>
            <w:tcW w:w="578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6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68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Accounts receivable, net (Continued)</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The following table presents the movement in the allowance for doubtful accounts:</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920" w:type="dxa"/>
            <w:vAlign w:val="bottom"/>
            <w:gridSpan w:val="8"/>
          </w:tcPr>
          <w:p>
            <w:pPr>
              <w:ind w:left="40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60" w:type="dxa"/>
            <w:vAlign w:val="bottom"/>
            <w:tcBorders>
              <w:top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5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year</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the year</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(185)</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written off</w:t>
            </w: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(544)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3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the end of year</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68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686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6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The other assets consist of the following:</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60" w:type="dxa"/>
            <w:vAlign w:val="bottom"/>
            <w:gridSpan w:val="6"/>
          </w:tcPr>
          <w:p>
            <w:pPr>
              <w:ind w:left="160"/>
              <w:spacing w:after="0"/>
              <w:rPr>
                <w:sz w:val="20"/>
                <w:szCs w:val="20"/>
                <w:color w:val="auto"/>
              </w:rPr>
            </w:pPr>
            <w:r>
              <w:rPr>
                <w:rFonts w:ascii="Times New Roman" w:cs="Times New Roman" w:eastAsia="Times New Roman" w:hAnsi="Times New Roman"/>
                <w:sz w:val="14"/>
                <w:szCs w:val="14"/>
                <w:color w:val="auto"/>
              </w:rPr>
              <w:t>As of December 31,</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360" w:type="dxa"/>
            <w:vAlign w:val="bottom"/>
            <w:gridSpan w:val="2"/>
          </w:tcPr>
          <w:p>
            <w:pPr>
              <w:spacing w:after="0"/>
              <w:rPr>
                <w:sz w:val="12"/>
                <w:szCs w:val="12"/>
                <w:color w:val="auto"/>
              </w:rPr>
            </w:pPr>
          </w:p>
        </w:tc>
        <w:tc>
          <w:tcPr>
            <w:tcW w:w="480" w:type="dxa"/>
            <w:vAlign w:val="bottom"/>
            <w:tcBorders>
              <w:top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VAT receivable</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Prepayment for acquisition of fixed assets</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deposits</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360" w:type="dxa"/>
            <w:vAlign w:val="bottom"/>
            <w:gridSpan w:val="2"/>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460" w:hanging="452"/>
        <w:spacing w:after="0"/>
        <w:tabs>
          <w:tab w:leader="none" w:pos="460"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 of the following:</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color w:val="auto"/>
              </w:rPr>
              <w:t>As of December 31,</w:t>
            </w:r>
          </w:p>
        </w:tc>
      </w:tr>
      <w:tr>
        <w:trPr>
          <w:trHeight w:val="142"/>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52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4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3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Office equipment</w:t>
            </w:r>
          </w:p>
        </w:tc>
        <w:tc>
          <w:tcPr>
            <w:tcW w:w="4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Leasehold improvements</w:t>
            </w:r>
          </w:p>
        </w:tc>
        <w:tc>
          <w:tcPr>
            <w:tcW w:w="4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Furniture and fixtures</w:t>
            </w:r>
          </w:p>
        </w:tc>
        <w:tc>
          <w:tcPr>
            <w:tcW w:w="38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4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4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(3,011)</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(4,519)</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48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(72)</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w:t>
            </w:r>
          </w:p>
        </w:tc>
      </w:tr>
      <w:tr>
        <w:trPr>
          <w:trHeight w:val="22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4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800" w:type="dxa"/>
            <w:vAlign w:val="bottom"/>
            <w:gridSpan w:val="3"/>
          </w:tcPr>
          <w:p>
            <w:pPr>
              <w:jc w:val="right"/>
              <w:ind w:right="3540"/>
              <w:spacing w:after="0"/>
              <w:rPr>
                <w:sz w:val="20"/>
                <w:szCs w:val="20"/>
                <w:color w:val="auto"/>
              </w:rPr>
            </w:pPr>
            <w:r>
              <w:rPr>
                <w:rFonts w:ascii="Times New Roman" w:cs="Times New Roman" w:eastAsia="Times New Roman" w:hAnsi="Times New Roman"/>
                <w:sz w:val="18"/>
                <w:szCs w:val="18"/>
                <w:color w:val="auto"/>
              </w:rPr>
              <w:t>F-41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219"/>
          </w:cols>
          <w:pgMar w:left="240" w:top="446" w:right="1440" w:bottom="1440" w:gutter="0" w:footer="0" w:header="0"/>
        </w:sectPr>
      </w:pPr>
    </w:p>
    <w:bookmarkStart w:id="262" w:name="page263"/>
    <w:bookmarkEnd w:id="2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4619"/>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64" w:lineRule="exact"/>
        <w:rPr>
          <w:sz w:val="20"/>
          <w:szCs w:val="20"/>
          <w:color w:val="auto"/>
        </w:rPr>
      </w:pPr>
    </w:p>
    <w:p>
      <w:pPr>
        <w:ind w:left="460" w:hanging="452"/>
        <w:spacing w:after="0"/>
        <w:tabs>
          <w:tab w:leader="none" w:pos="460"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Depreciation expense recognized for the years ended December 31, 2015 and 2016 are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720" w:type="dxa"/>
            <w:vAlign w:val="bottom"/>
            <w:gridSpan w:val="8"/>
          </w:tcPr>
          <w:p>
            <w:pPr>
              <w:jc w:val="center"/>
              <w:ind w:right="6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Borders>
              <w:top w:val="single" w:sz="8" w:color="auto"/>
            </w:tcBorders>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5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4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20" w:type="dxa"/>
            <w:vAlign w:val="bottom"/>
            <w:vMerge w:val="continue"/>
          </w:tcPr>
          <w:p>
            <w:pPr>
              <w:spacing w:after="0"/>
              <w:rPr>
                <w:sz w:val="24"/>
                <w:szCs w:val="24"/>
                <w:color w:val="auto"/>
              </w:rPr>
            </w:pPr>
          </w:p>
        </w:tc>
        <w:tc>
          <w:tcPr>
            <w:tcW w:w="4460" w:type="dxa"/>
            <w:vAlign w:val="bottom"/>
            <w:gridSpan w:val="2"/>
            <w:vMerge w:val="continue"/>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0" w:type="dxa"/>
            <w:vAlign w:val="bottom"/>
          </w:tcPr>
          <w:p>
            <w:pPr>
              <w:spacing w:after="0"/>
              <w:rPr>
                <w:sz w:val="24"/>
                <w:szCs w:val="24"/>
                <w:color w:val="auto"/>
              </w:rPr>
            </w:pPr>
          </w:p>
        </w:tc>
        <w:tc>
          <w:tcPr>
            <w:tcW w:w="4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Intangible assets consist of the following:</w:t>
            </w: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6"/>
          </w:tcPr>
          <w:p>
            <w:pPr>
              <w:ind w:left="180"/>
              <w:spacing w:after="0"/>
              <w:rPr>
                <w:sz w:val="20"/>
                <w:szCs w:val="20"/>
                <w:color w:val="auto"/>
              </w:rPr>
            </w:pPr>
            <w:r>
              <w:rPr>
                <w:rFonts w:ascii="Times New Roman" w:cs="Times New Roman" w:eastAsia="Times New Roman" w:hAnsi="Times New Roman"/>
                <w:sz w:val="14"/>
                <w:szCs w:val="14"/>
                <w:color w:val="auto"/>
              </w:rPr>
              <w:t>As of 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620" w:type="dxa"/>
            <w:vAlign w:val="bottom"/>
            <w:gridSpan w:val="3"/>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2015</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Computer software</w:t>
            </w:r>
          </w:p>
        </w:tc>
        <w:tc>
          <w:tcPr>
            <w:tcW w:w="4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21,557</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21,576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Computer software</w:t>
            </w:r>
          </w:p>
        </w:tc>
        <w:tc>
          <w:tcPr>
            <w:tcW w:w="43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(2,461)</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436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Intangible assets, net</w:t>
            </w:r>
          </w:p>
        </w:tc>
        <w:tc>
          <w:tcPr>
            <w:tcW w:w="3620" w:type="dxa"/>
            <w:vAlign w:val="bottom"/>
            <w:gridSpan w:val="3"/>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80" w:type="dxa"/>
            <w:vAlign w:val="bottom"/>
            <w:gridSpan w:val="5"/>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 w:type="dxa"/>
            <w:vAlign w:val="bottom"/>
          </w:tcPr>
          <w:p>
            <w:pPr>
              <w:spacing w:after="0"/>
              <w:rPr>
                <w:sz w:val="24"/>
                <w:szCs w:val="24"/>
                <w:color w:val="auto"/>
              </w:rPr>
            </w:pPr>
          </w:p>
        </w:tc>
        <w:tc>
          <w:tcPr>
            <w:tcW w:w="8820" w:type="dxa"/>
            <w:vAlign w:val="bottom"/>
            <w:gridSpan w:val="7"/>
          </w:tcPr>
          <w:p>
            <w:pPr>
              <w:ind w:left="140"/>
              <w:spacing w:after="0"/>
              <w:rPr>
                <w:sz w:val="20"/>
                <w:szCs w:val="20"/>
                <w:color w:val="auto"/>
              </w:rPr>
            </w:pPr>
            <w:r>
              <w:rPr>
                <w:rFonts w:ascii="Times New Roman" w:cs="Times New Roman" w:eastAsia="Times New Roman" w:hAnsi="Times New Roman"/>
                <w:sz w:val="18"/>
                <w:szCs w:val="18"/>
                <w:color w:val="auto"/>
              </w:rPr>
              <w:t>Amortization expense recognized for the years ended December 31, 2015 and 2016 are summarized as follows:</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20" w:type="dxa"/>
            <w:vAlign w:val="bottom"/>
            <w:gridSpan w:val="8"/>
          </w:tcPr>
          <w:p>
            <w:pPr>
              <w:jc w:val="center"/>
              <w:ind w:right="6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860" w:type="dxa"/>
            <w:vAlign w:val="bottom"/>
            <w:tcBorders>
              <w:top w:val="single" w:sz="8" w:color="auto"/>
            </w:tcBorders>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5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4360" w:type="dxa"/>
            <w:vAlign w:val="bottom"/>
            <w:gridSpan w:val="5"/>
          </w:tcPr>
          <w:p>
            <w:pPr>
              <w:jc w:val="right"/>
              <w:ind w:right="3260"/>
              <w:spacing w:after="0"/>
              <w:rPr>
                <w:sz w:val="20"/>
                <w:szCs w:val="20"/>
                <w:color w:val="auto"/>
              </w:rPr>
            </w:pPr>
            <w:r>
              <w:rPr>
                <w:rFonts w:ascii="Times New Roman" w:cs="Times New Roman" w:eastAsia="Times New Roman" w:hAnsi="Times New Roman"/>
                <w:sz w:val="18"/>
                <w:szCs w:val="18"/>
                <w:color w:val="auto"/>
              </w:rPr>
              <w:t>F-42</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6" w:right="1440" w:bottom="1440" w:gutter="0" w:footer="0" w:header="0"/>
        </w:sectPr>
      </w:pPr>
    </w:p>
    <w:bookmarkStart w:id="263" w:name="page264"/>
    <w:bookmarkEnd w:id="2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9040" w:type="dxa"/>
            <w:vAlign w:val="bottom"/>
            <w:gridSpan w:val="2"/>
          </w:tcPr>
          <w:p>
            <w:pPr>
              <w:jc w:val="right"/>
              <w:ind w:right="6230"/>
              <w:spacing w:after="0"/>
              <w:rPr>
                <w:sz w:val="20"/>
                <w:szCs w:val="20"/>
                <w:color w:val="auto"/>
              </w:rPr>
            </w:pPr>
            <w:r>
              <w:rPr>
                <w:rFonts w:ascii="Times New Roman" w:cs="Times New Roman" w:eastAsia="Times New Roman" w:hAnsi="Times New Roman"/>
                <w:sz w:val="18"/>
                <w:szCs w:val="18"/>
                <w:b w:val="1"/>
                <w:bCs w:val="1"/>
                <w:color w:val="auto"/>
              </w:rPr>
              <w:t>Intangible assets, net (Continued)</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38"/>
        </w:trPr>
        <w:tc>
          <w:tcPr>
            <w:tcW w:w="320" w:type="dxa"/>
            <w:vAlign w:val="bottom"/>
          </w:tcPr>
          <w:p>
            <w:pPr>
              <w:spacing w:after="0"/>
              <w:rPr>
                <w:sz w:val="24"/>
                <w:szCs w:val="24"/>
                <w:color w:val="auto"/>
              </w:rPr>
            </w:pPr>
          </w:p>
        </w:tc>
        <w:tc>
          <w:tcPr>
            <w:tcW w:w="9040" w:type="dxa"/>
            <w:vAlign w:val="bottom"/>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The estimated aggregate amortization expense for each of the next five years as of December 31, 2016 is: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Computer</w:t>
            </w:r>
          </w:p>
        </w:tc>
      </w:tr>
      <w:tr>
        <w:trPr>
          <w:trHeight w:val="171"/>
        </w:trPr>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software</w:t>
            </w: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shd w:val="clear" w:color="auto" w:fill="CCEEFF"/>
          </w:tcPr>
          <w:p>
            <w:pPr>
              <w:jc w:val="right"/>
              <w:ind w:right="7530"/>
              <w:spacing w:after="0"/>
              <w:rPr>
                <w:sz w:val="20"/>
                <w:szCs w:val="20"/>
                <w:color w:val="auto"/>
              </w:rPr>
            </w:pPr>
            <w:r>
              <w:rPr>
                <w:rFonts w:ascii="Times New Roman" w:cs="Times New Roman" w:eastAsia="Times New Roman" w:hAnsi="Times New Roman"/>
                <w:sz w:val="18"/>
                <w:szCs w:val="18"/>
                <w:color w:val="auto"/>
                <w:w w:val="94"/>
              </w:rPr>
              <w:t>2017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tcPr>
          <w:p>
            <w:pPr>
              <w:jc w:val="right"/>
              <w:ind w:right="7530"/>
              <w:spacing w:after="0"/>
              <w:rPr>
                <w:sz w:val="20"/>
                <w:szCs w:val="20"/>
                <w:color w:val="auto"/>
              </w:rPr>
            </w:pPr>
            <w:r>
              <w:rPr>
                <w:rFonts w:ascii="Times New Roman" w:cs="Times New Roman" w:eastAsia="Times New Roman" w:hAnsi="Times New Roman"/>
                <w:sz w:val="18"/>
                <w:szCs w:val="18"/>
                <w:color w:val="auto"/>
                <w:w w:val="94"/>
              </w:rPr>
              <w:t>2018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shd w:val="clear" w:color="auto" w:fill="CCEEFF"/>
          </w:tcPr>
          <w:p>
            <w:pPr>
              <w:jc w:val="right"/>
              <w:ind w:right="7530"/>
              <w:spacing w:after="0"/>
              <w:rPr>
                <w:sz w:val="20"/>
                <w:szCs w:val="20"/>
                <w:color w:val="auto"/>
              </w:rPr>
            </w:pPr>
            <w:r>
              <w:rPr>
                <w:rFonts w:ascii="Times New Roman" w:cs="Times New Roman" w:eastAsia="Times New Roman" w:hAnsi="Times New Roman"/>
                <w:sz w:val="18"/>
                <w:szCs w:val="18"/>
                <w:color w:val="auto"/>
                <w:w w:val="94"/>
              </w:rPr>
              <w:t>2019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tcPr>
          <w:p>
            <w:pPr>
              <w:jc w:val="right"/>
              <w:ind w:right="7530"/>
              <w:spacing w:after="0"/>
              <w:rPr>
                <w:sz w:val="20"/>
                <w:szCs w:val="20"/>
                <w:color w:val="auto"/>
              </w:rPr>
            </w:pPr>
            <w:r>
              <w:rPr>
                <w:rFonts w:ascii="Times New Roman" w:cs="Times New Roman" w:eastAsia="Times New Roman" w:hAnsi="Times New Roman"/>
                <w:sz w:val="18"/>
                <w:szCs w:val="18"/>
                <w:color w:val="auto"/>
                <w:w w:val="94"/>
              </w:rPr>
              <w:t>2020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980" w:type="dxa"/>
            <w:vAlign w:val="bottom"/>
            <w:shd w:val="clear" w:color="auto" w:fill="CCEEFF"/>
          </w:tcPr>
          <w:p>
            <w:pPr>
              <w:jc w:val="right"/>
              <w:ind w:right="7530"/>
              <w:spacing w:after="0"/>
              <w:rPr>
                <w:sz w:val="20"/>
                <w:szCs w:val="20"/>
                <w:color w:val="auto"/>
              </w:rPr>
            </w:pPr>
            <w:r>
              <w:rPr>
                <w:rFonts w:ascii="Times New Roman" w:cs="Times New Roman" w:eastAsia="Times New Roman" w:hAnsi="Times New Roman"/>
                <w:sz w:val="18"/>
                <w:szCs w:val="18"/>
                <w:color w:val="auto"/>
                <w:w w:val="94"/>
              </w:rPr>
              <w:t>2021</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14,804</w:t>
            </w:r>
          </w:p>
        </w:tc>
        <w:tc>
          <w:tcPr>
            <w:tcW w:w="8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12</w:t>
        <w:tab/>
        <w:t>Goodwill</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Movements on goodwill during the year were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Buzzinate</w:t>
            </w:r>
          </w:p>
        </w:tc>
        <w:tc>
          <w:tcPr>
            <w:tcW w:w="42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OptAim</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Total</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2015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Goodwill arising from acquisition during the year (Note 4)</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4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45,538</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48,496</w:t>
            </w:r>
          </w:p>
        </w:tc>
      </w:tr>
      <w:tr>
        <w:trPr>
          <w:trHeight w:val="27"/>
        </w:trPr>
        <w:tc>
          <w:tcPr>
            <w:tcW w:w="69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2015 and 2016</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45,538</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48,496</w:t>
            </w:r>
          </w:p>
        </w:tc>
      </w:tr>
      <w:tr>
        <w:trPr>
          <w:trHeight w:val="20"/>
        </w:trPr>
        <w:tc>
          <w:tcPr>
            <w:tcW w:w="6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Goodwill is not deductible for tax purposes. The Group performs the annual impairment test on December 31 of each year. Based on the impairment tests performed, no impairment of goodwill was recorded for all years presented.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13   Customer deposits</w:t>
            </w: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138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7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As of December 31,</w:t>
            </w:r>
          </w:p>
        </w:tc>
      </w:tr>
      <w:tr>
        <w:trPr>
          <w:trHeight w:val="142"/>
        </w:trPr>
        <w:tc>
          <w:tcPr>
            <w:tcW w:w="138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040" w:type="dxa"/>
            <w:vAlign w:val="bottom"/>
            <w:tcBorders>
              <w:top w:val="single" w:sz="8" w:color="auto"/>
            </w:tcBorders>
            <w:gridSpan w:val="2"/>
          </w:tcPr>
          <w:p>
            <w:pPr>
              <w:ind w:left="56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8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 current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1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25,697</w:t>
            </w:r>
          </w:p>
        </w:tc>
        <w:tc>
          <w:tcPr>
            <w:tcW w:w="80" w:type="dxa"/>
            <w:vAlign w:val="bottom"/>
            <w:shd w:val="clear" w:color="auto" w:fill="CCEEFF"/>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14</w:t>
            </w:r>
          </w:p>
        </w:tc>
        <w:tc>
          <w:tcPr>
            <w:tcW w:w="46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Accrued liabilities and other current liabilities</w:t>
            </w:r>
          </w:p>
        </w:tc>
        <w:tc>
          <w:tcPr>
            <w:tcW w:w="3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7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As of December 31,</w:t>
            </w: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640" w:type="dxa"/>
            <w:vAlign w:val="bottom"/>
            <w:tcBorders>
              <w:top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04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80" w:type="dxa"/>
            <w:vAlign w:val="bottom"/>
          </w:tcPr>
          <w:p>
            <w:pPr>
              <w:spacing w:after="0"/>
              <w:rPr>
                <w:sz w:val="12"/>
                <w:szCs w:val="12"/>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Rebates payable to customers</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VAT and other taxes payable</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 received from customers</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benefits</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80" w:type="dxa"/>
            <w:vAlign w:val="bottom"/>
            <w:shd w:val="clear" w:color="auto" w:fill="CCEEFF"/>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Accrued marketing and hosting expense</w:t>
            </w:r>
          </w:p>
        </w:tc>
        <w:tc>
          <w:tcPr>
            <w:tcW w:w="3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3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8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15,091</w:t>
            </w:r>
          </w:p>
        </w:tc>
        <w:tc>
          <w:tcPr>
            <w:tcW w:w="8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980" w:type="dxa"/>
            <w:vAlign w:val="bottom"/>
            <w:gridSpan w:val="2"/>
          </w:tcPr>
          <w:p>
            <w:pPr>
              <w:jc w:val="right"/>
              <w:ind w:right="2982"/>
              <w:spacing w:after="0"/>
              <w:rPr>
                <w:sz w:val="20"/>
                <w:szCs w:val="20"/>
                <w:color w:val="auto"/>
              </w:rPr>
            </w:pPr>
            <w:r>
              <w:rPr>
                <w:rFonts w:ascii="Times New Roman" w:cs="Times New Roman" w:eastAsia="Times New Roman" w:hAnsi="Times New Roman"/>
                <w:sz w:val="18"/>
                <w:szCs w:val="18"/>
                <w:color w:val="auto"/>
              </w:rPr>
              <w:t>F-43</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60"/>
          </w:cols>
          <w:pgMar w:left="240" w:top="456" w:right="499" w:bottom="1440" w:gutter="0" w:footer="0" w:header="0"/>
        </w:sectPr>
      </w:pPr>
    </w:p>
    <w:bookmarkStart w:id="264" w:name="page265"/>
    <w:bookmarkEnd w:id="2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00" w:lineRule="exact"/>
        <w:rPr>
          <w:sz w:val="20"/>
          <w:szCs w:val="20"/>
          <w:color w:val="auto"/>
        </w:rPr>
      </w:pPr>
    </w:p>
    <w:p>
      <w:pPr>
        <w:spacing w:after="0" w:line="30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15</w:t>
        <w:tab/>
        <w:t>Bank borrowings</w:t>
      </w:r>
    </w:p>
    <w:p>
      <w:pPr>
        <w:spacing w:after="0" w:line="1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460" w:type="dxa"/>
            <w:vAlign w:val="bottom"/>
            <w:gridSpan w:val="4"/>
          </w:tcPr>
          <w:p>
            <w:pPr>
              <w:ind w:left="100"/>
              <w:spacing w:after="0"/>
              <w:rPr>
                <w:sz w:val="20"/>
                <w:szCs w:val="20"/>
                <w:color w:val="auto"/>
              </w:rPr>
            </w:pPr>
            <w:r>
              <w:rPr>
                <w:rFonts w:ascii="Times New Roman" w:cs="Times New Roman" w:eastAsia="Times New Roman" w:hAnsi="Times New Roman"/>
                <w:sz w:val="14"/>
                <w:szCs w:val="14"/>
                <w:color w:val="auto"/>
              </w:rPr>
              <w:t>As of December 31,</w:t>
            </w: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50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90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1-year revolving loan denominated in RMB (Note (i), (viii))</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1-year revolving loan denominated in US$ (Note (ii), (viii))</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loan denominated in RMB (Note (iii))</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2-year demand loan agreement denominated in US$ (Note (iv), (viii))</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6-month revolving loan denominated in RMB (Note (v))</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1-year revolving loan denominated in RMB (Note (vi), (viii))</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3-month loan denominated in RMB (Note (vii), (viii))</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900" w:right="40" w:hanging="446"/>
        <w:spacing w:after="0" w:line="258" w:lineRule="auto"/>
        <w:tabs>
          <w:tab w:leader="none" w:pos="9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21, 2015, the Company, through its PRC subsidiaries, entered into a one-year revolving loan agreement with a bank amounting to RMB30 million (equivalent to US$4,639). The interest rate of this loan facility was the benchmark interest rate determined by the People’s Bank of China for loans over one year granted by financial institutions plus 1.65% per annum. The Company, through its PRC subsidiary, renewed the one-year revolving loan agreement with the bank on December 19, 2016. The interest rate remained as the benchmark interest rate determined by the People’s Bank of China for loans over one year granted by financial institutions plus 1.65% per annum.</w:t>
      </w:r>
    </w:p>
    <w:p>
      <w:pPr>
        <w:spacing w:after="0" w:line="89" w:lineRule="exact"/>
        <w:rPr>
          <w:rFonts w:ascii="Times New Roman" w:cs="Times New Roman" w:eastAsia="Times New Roman" w:hAnsi="Times New Roman"/>
          <w:sz w:val="18"/>
          <w:szCs w:val="18"/>
          <w:color w:val="auto"/>
        </w:rPr>
      </w:pPr>
    </w:p>
    <w:p>
      <w:pPr>
        <w:ind w:left="900" w:right="80" w:hanging="446"/>
        <w:spacing w:after="0" w:line="261" w:lineRule="auto"/>
        <w:tabs>
          <w:tab w:leader="none" w:pos="9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21, 2015, the Company, through its Hong Kong subsidiaries, entered into a one-year loan agreement with a bank amounting to US$3,000. Out of this loan facility, the Hong Kong subsidiary had utilized US$2,950 as of December 31, 2015 and 2016. The Company, through its Hong Kong subsidiary, renewed the one-year revolving loan agreement with the bank on December 19, 2016. The interest rate of this short-term loan facility was determined by three-month LIBOR plus 5.75% for the years ended December 31, 2015 and 2016.</w:t>
      </w:r>
    </w:p>
    <w:p>
      <w:pPr>
        <w:spacing w:after="0" w:line="85" w:lineRule="exact"/>
        <w:rPr>
          <w:rFonts w:ascii="Times New Roman" w:cs="Times New Roman" w:eastAsia="Times New Roman" w:hAnsi="Times New Roman"/>
          <w:sz w:val="18"/>
          <w:szCs w:val="18"/>
          <w:color w:val="auto"/>
        </w:rPr>
      </w:pPr>
    </w:p>
    <w:p>
      <w:pPr>
        <w:ind w:left="900" w:hanging="446"/>
        <w:spacing w:after="0" w:line="256" w:lineRule="auto"/>
        <w:tabs>
          <w:tab w:leader="none" w:pos="9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28, 2015, the Company, through its PRC subsidiary, obtained a short-term loan facility amounting to RMB20 million (equivalent to US$3,093) granted by the bank. Out of this credit facility, the PRC subsidiary had utilized US$953 as of December 31, 2015 with approximately US$2,140 remained unutilized. The interest rate of this bank loan was the benchmark interest rate determined by the People’s Bank of China for loans over six months granted by financial institutions plus 20.0% per annum. The bank loan had a maturity period of six months and such loan was finally settled on June 28, 2016. Restricted cash amounting to US$1,000 was held in a restricted bank account as required by this loan agreement as of December 31, 2015.</w:t>
      </w:r>
    </w:p>
    <w:p>
      <w:pPr>
        <w:spacing w:after="0" w:line="93" w:lineRule="exact"/>
        <w:rPr>
          <w:rFonts w:ascii="Times New Roman" w:cs="Times New Roman" w:eastAsia="Times New Roman" w:hAnsi="Times New Roman"/>
          <w:sz w:val="18"/>
          <w:szCs w:val="18"/>
          <w:color w:val="auto"/>
        </w:rPr>
      </w:pPr>
    </w:p>
    <w:p>
      <w:pPr>
        <w:ind w:left="900" w:right="320" w:hanging="446"/>
        <w:spacing w:after="0" w:line="258" w:lineRule="auto"/>
        <w:tabs>
          <w:tab w:leader="none" w:pos="9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20, 2016, the Company, through its Hong Kong subsidiaries, entered into a two-year loan agreement with a bank amounting to US$2,000. Out of this loan facility, the Hong Kong subsidiaries had utilized US$1,083 as of December 31, 2016. The interest rate of this loan was the benchmark interest rate determined by three-month LIBOR plus 7.00% per annum for the year ended December 31, 2016. The bank facility agreement includes repayable on demand clauses such that the bank borrowing are classified as current liabilities as of December 31, 2016.</w:t>
      </w:r>
    </w:p>
    <w:p>
      <w:pPr>
        <w:spacing w:after="0" w:line="89" w:lineRule="exact"/>
        <w:rPr>
          <w:rFonts w:ascii="Times New Roman" w:cs="Times New Roman" w:eastAsia="Times New Roman" w:hAnsi="Times New Roman"/>
          <w:sz w:val="18"/>
          <w:szCs w:val="18"/>
          <w:color w:val="auto"/>
        </w:rPr>
      </w:pPr>
    </w:p>
    <w:p>
      <w:pPr>
        <w:ind w:left="900" w:right="20" w:hanging="446"/>
        <w:spacing w:after="0" w:line="261" w:lineRule="auto"/>
        <w:tabs>
          <w:tab w:leader="none" w:pos="90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20, 2016, the Company, through its PRC subsidiary, entered into a six-month revolving loan agreement with a bank of limit up to RMB20 million. Out of this loan facility, the PRC subsidiary had utilized RMB10 million (equivalent to US$1,444) as of 31 December 2016. The interest rate of this loan facility was the benchmark interest rate determined by the People’s Bank of China for loans over six months granted by financial institutions plus 20.0% per annum. Restricted cash amounting to</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420"/>
          </w:cols>
          <w:pgMar w:left="240" w:top="455" w:right="239" w:bottom="1440" w:gutter="0" w:footer="0" w:header="0"/>
        </w:sectPr>
      </w:pPr>
    </w:p>
    <w:bookmarkStart w:id="265" w:name="page266"/>
    <w:bookmarkEnd w:id="2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15</w:t>
        <w:tab/>
        <w:t>Bank borrowings (Continued)</w:t>
      </w:r>
    </w:p>
    <w:p>
      <w:pPr>
        <w:spacing w:after="0" w:line="1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US$1,568 was held in a restricted bank account as required by this loan agreement as of December 31, 2016.</w:t>
      </w:r>
    </w:p>
    <w:p>
      <w:pPr>
        <w:spacing w:after="0" w:line="131" w:lineRule="exact"/>
        <w:rPr>
          <w:sz w:val="20"/>
          <w:szCs w:val="20"/>
          <w:color w:val="auto"/>
        </w:rPr>
      </w:pPr>
    </w:p>
    <w:p>
      <w:pPr>
        <w:ind w:left="900" w:hanging="446"/>
        <w:spacing w:after="0" w:line="261" w:lineRule="auto"/>
        <w:tabs>
          <w:tab w:leader="none" w:pos="9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28, 2016, the Company, through its PRC subsidiary, entered into a one-year revolving loan agreement with a bank amounting to a total of RMB12 million (equivalent to US$1,732). The interest rate of this loan facility was the benchmark interest rate determined by the People’s Bank of China for loans over one year granted by financial institutions plus 0.435% per annum. Restricted cash amounting to US$2,000 was held in a restricted bank account as required by this loan agreement as of December 31, 2016.</w:t>
      </w:r>
    </w:p>
    <w:p>
      <w:pPr>
        <w:spacing w:after="0" w:line="85" w:lineRule="exact"/>
        <w:rPr>
          <w:rFonts w:ascii="Times New Roman" w:cs="Times New Roman" w:eastAsia="Times New Roman" w:hAnsi="Times New Roman"/>
          <w:sz w:val="18"/>
          <w:szCs w:val="18"/>
          <w:color w:val="auto"/>
        </w:rPr>
      </w:pPr>
    </w:p>
    <w:p>
      <w:pPr>
        <w:ind w:left="900" w:right="160" w:hanging="446"/>
        <w:spacing w:after="0" w:line="261" w:lineRule="auto"/>
        <w:tabs>
          <w:tab w:leader="none" w:pos="9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14, 2016, the Company, through its PRC subsidiary, entered into a three-month revolving loan agreement with a bank amounting to a total of RMB10 million (equivalent to US$1,443). The interest rate of this loan facility was the benchmark interest rate determined by the People’s Bank of China for loans over three months granted by financial institutions plus 0.435% per annum. Restricted cash amounting to US$1,666 was held in a restricted bank account as required by this loan agreement as of December 31, 2016.</w:t>
      </w:r>
    </w:p>
    <w:p>
      <w:pPr>
        <w:spacing w:after="0" w:line="85" w:lineRule="exact"/>
        <w:rPr>
          <w:rFonts w:ascii="Times New Roman" w:cs="Times New Roman" w:eastAsia="Times New Roman" w:hAnsi="Times New Roman"/>
          <w:sz w:val="18"/>
          <w:szCs w:val="18"/>
          <w:color w:val="auto"/>
        </w:rPr>
      </w:pPr>
    </w:p>
    <w:p>
      <w:pPr>
        <w:jc w:val="both"/>
        <w:ind w:left="900" w:right="360" w:hanging="446"/>
        <w:spacing w:after="0" w:line="289" w:lineRule="auto"/>
        <w:tabs>
          <w:tab w:leader="none" w:pos="90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December 31, 2015 and 2016, certain financial covenants (minimum monthly adjusted quick ratio and minimum quarterly EBITDA as defined in the banking facilities agreements) as set out in these loan agreements have been breached. The relevant subsidiaries have obtained waiver letters for waiving the requirements to meet the financial covenants such that the bank cannot demand for immediate repayment.</w:t>
      </w:r>
    </w:p>
    <w:p>
      <w:pPr>
        <w:spacing w:after="0" w:line="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weighted average interest rate for bank loans outstanding as of December 31, 2015 and 2016 was 6.03% and 5.99% per annum, respectively.</w:t>
      </w:r>
    </w:p>
    <w:p>
      <w:pPr>
        <w:spacing w:after="0" w:line="370" w:lineRule="exact"/>
        <w:rPr>
          <w:sz w:val="20"/>
          <w:szCs w:val="20"/>
          <w:color w:val="auto"/>
        </w:rPr>
      </w:pPr>
    </w:p>
    <w:p>
      <w:pPr>
        <w:ind w:left="460" w:right="7800" w:hanging="452"/>
        <w:spacing w:after="0" w:line="378" w:lineRule="auto"/>
        <w:tabs>
          <w:tab w:leader="none" w:pos="449"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w:t>
      </w:r>
      <w:r>
        <w:rPr>
          <w:rFonts w:ascii="Times New Roman" w:cs="Times New Roman" w:eastAsia="Times New Roman" w:hAnsi="Times New Roman"/>
          <w:sz w:val="18"/>
          <w:szCs w:val="18"/>
          <w:i w:val="1"/>
          <w:iCs w:val="1"/>
          <w:color w:val="auto"/>
        </w:rPr>
        <w:t>Series A preferred shares</w:t>
      </w:r>
    </w:p>
    <w:p>
      <w:pPr>
        <w:ind w:left="46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17, 2010, the Company entered into an agreement (“Series A Agreement”) to issue Series A preferred shares and preferred share warrants to a third-party investor (“Investor A”) for a total cash consideration of US$1,200. Accordingly, the Company issued 1,142,857 Series A preferred shares at US$1.05 per share; and warrants to purchase 342,857 Series A preferred shares at US$1.05 per share (“Series A Warrants”) at the option of Investor A. Pursuant to the Series A Agreement, the Company also granted an option, exercisable within one year from the date of agreement, to Investor A where the Company would issue 761,905 Series A preferred shares at US$1.05 per share (“Series A-1 preferred shares”) and warrants to purchase 228,571 Series A preferred shares at US$1.05 per share (“Series A-1 Warrants”) at the option of Investor A. On September 29, 2010, Investor A exercised the option and the Group received a total consideration of US$800. During the year ended December 31, 2013, both Series A Warrants and Series A-1 Warrants were fully exercised.</w:t>
      </w:r>
    </w:p>
    <w:p>
      <w:pPr>
        <w:spacing w:after="0" w:line="29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Series B preferred shares</w:t>
      </w:r>
    </w:p>
    <w:p>
      <w:pPr>
        <w:spacing w:after="0" w:line="119" w:lineRule="exact"/>
        <w:rPr>
          <w:rFonts w:ascii="Times New Roman" w:cs="Times New Roman" w:eastAsia="Times New Roman" w:hAnsi="Times New Roman"/>
          <w:sz w:val="18"/>
          <w:szCs w:val="18"/>
          <w:b w:val="1"/>
          <w:bCs w:val="1"/>
          <w:color w:val="auto"/>
        </w:rPr>
      </w:pPr>
    </w:p>
    <w:p>
      <w:pPr>
        <w:ind w:left="46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21, 2011, the Company entered into agreements (“Series B Agreements”) to issue Series B preferred shares and preferred share warrants to two other third-party investors (“Investors B”) for an aggregate cash consideration of US$7,000. Pursuant to the Series B Agreements, the Company issued 1,266,667 Series B preferred shares at US$5.53 per share; and warrants to purchase 542,858 Series B</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400"/>
          </w:cols>
          <w:pgMar w:left="240" w:top="456" w:right="259" w:bottom="1440" w:gutter="0" w:footer="0" w:header="0"/>
        </w:sectPr>
      </w:pPr>
    </w:p>
    <w:bookmarkStart w:id="266" w:name="page267"/>
    <w:bookmarkEnd w:id="2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right="6840" w:hanging="452"/>
        <w:spacing w:after="0" w:line="385" w:lineRule="auto"/>
        <w:tabs>
          <w:tab w:leader="none" w:pos="449"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Series B preferred shares (Continued)</w:t>
      </w:r>
    </w:p>
    <w:p>
      <w:pPr>
        <w:spacing w:after="0" w:line="1" w:lineRule="exact"/>
        <w:rPr>
          <w:rFonts w:ascii="Times New Roman" w:cs="Times New Roman" w:eastAsia="Times New Roman" w:hAnsi="Times New Roman"/>
          <w:sz w:val="18"/>
          <w:szCs w:val="18"/>
          <w:b w:val="1"/>
          <w:bCs w:val="1"/>
          <w:color w:val="auto"/>
        </w:rPr>
      </w:pPr>
    </w:p>
    <w:p>
      <w:pPr>
        <w:ind w:left="460" w:right="5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preferred shares at US$5.53 per share (“Series B Warrants”) at the option of Investors B. During the year ended December 31, 2013, the Series B Warrants were fully exercised.</w:t>
      </w:r>
    </w:p>
    <w:p>
      <w:pPr>
        <w:spacing w:after="0" w:line="53" w:lineRule="exact"/>
        <w:rPr>
          <w:rFonts w:ascii="Times New Roman" w:cs="Times New Roman" w:eastAsia="Times New Roman" w:hAnsi="Times New Roman"/>
          <w:sz w:val="18"/>
          <w:szCs w:val="18"/>
          <w:b w:val="1"/>
          <w:bCs w:val="1"/>
          <w:color w:val="auto"/>
        </w:rPr>
      </w:pPr>
    </w:p>
    <w:p>
      <w:pPr>
        <w:ind w:left="4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16, 2011, the Company entered into an agreement (“Series B-1 Agreement”) to issue additional Series B preferred shares to another third-party investor (“Investor B-1”) for a total consideration of US$4,285 (“Series B-1 preferred shares”). Pursuant to the Series B-1 Agreement, the Company issued 723,808 Series B-1 preferred shares at US$5.92 per share.</w:t>
      </w:r>
    </w:p>
    <w:p>
      <w:pPr>
        <w:spacing w:after="0" w:line="6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24, 2015, the Company repurchased from Investor B-1 723,808 Series B-1 preferred shares at a consideration of US$11,581.</w:t>
      </w:r>
    </w:p>
    <w:p>
      <w:pPr>
        <w:spacing w:after="0" w:line="117" w:lineRule="exact"/>
        <w:rPr>
          <w:rFonts w:ascii="Times New Roman" w:cs="Times New Roman" w:eastAsia="Times New Roman" w:hAnsi="Times New Roman"/>
          <w:sz w:val="18"/>
          <w:szCs w:val="18"/>
          <w:b w:val="1"/>
          <w:bCs w:val="1"/>
          <w:color w:val="auto"/>
        </w:rPr>
      </w:pPr>
    </w:p>
    <w:p>
      <w:pPr>
        <w:ind w:left="460" w:right="1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accounting purposes, the Company determined the per share fair value of Series B-1 preferred shares to be US$19.58 on September 24, 2015, the date of repurchase. The per share repurchase price of US$16.00 was mutually negotiated at the time of the repurchase transaction. There were no other arrangements with Investor B-1. Investor B-1 was willing to sell its Series B-1 preferred shares at the US$16.00 per share price as it would provide liquidity to Investor B-1. For the Series B-1 preferred shares repurchased, the Company recorded the excess of purchase price over the carrying value of US$2,591 to accumulated deficit as deemed contribution from Series B-1 preferred shareholders.</w:t>
      </w:r>
    </w:p>
    <w:p>
      <w:pPr>
        <w:spacing w:after="0" w:line="290"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Series C preferred shares</w:t>
      </w:r>
    </w:p>
    <w:p>
      <w:pPr>
        <w:spacing w:after="0" w:line="119" w:lineRule="exact"/>
        <w:rPr>
          <w:rFonts w:ascii="Times New Roman" w:cs="Times New Roman" w:eastAsia="Times New Roman" w:hAnsi="Times New Roman"/>
          <w:sz w:val="18"/>
          <w:szCs w:val="18"/>
          <w:b w:val="1"/>
          <w:bCs w:val="1"/>
          <w:color w:val="auto"/>
        </w:rPr>
      </w:pPr>
    </w:p>
    <w:p>
      <w:pPr>
        <w:jc w:val="both"/>
        <w:ind w:left="460" w:right="4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16, 2013, the Company entered into an agreement (“Series C Agreement”) to issue Series C preferred shares to another third-party investor (“Investor C”) for a total cash consideration of US$13,000. Pursuant to the Series C Agreement, the Company issued 1,599,186 Series C preferred shares at US$8.13 per share.</w:t>
      </w:r>
    </w:p>
    <w:p>
      <w:pPr>
        <w:spacing w:after="0" w:line="28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Series D preferred shares</w:t>
      </w:r>
    </w:p>
    <w:p>
      <w:pPr>
        <w:spacing w:after="0" w:line="119" w:lineRule="exact"/>
        <w:rPr>
          <w:rFonts w:ascii="Times New Roman" w:cs="Times New Roman" w:eastAsia="Times New Roman" w:hAnsi="Times New Roman"/>
          <w:sz w:val="18"/>
          <w:szCs w:val="18"/>
          <w:b w:val="1"/>
          <w:bCs w:val="1"/>
          <w:color w:val="auto"/>
        </w:rPr>
      </w:pPr>
    </w:p>
    <w:p>
      <w:pPr>
        <w:jc w:val="both"/>
        <w:ind w:left="460" w:righ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30, 2014, the Company entered into an agreement (“Series D Agreement”) to issue Series D preferred shares to another third-party investor (“Investor D”) for a total cash consideration of US$48,000. Pursuant to the Series D Agreement, the Company issued 2,493,018 Series D preferred shares at US$19.25 per share.</w:t>
      </w:r>
    </w:p>
    <w:p>
      <w:pPr>
        <w:spacing w:after="0" w:line="68" w:lineRule="exact"/>
        <w:rPr>
          <w:rFonts w:ascii="Times New Roman" w:cs="Times New Roman" w:eastAsia="Times New Roman" w:hAnsi="Times New Roman"/>
          <w:sz w:val="18"/>
          <w:szCs w:val="18"/>
          <w:b w:val="1"/>
          <w:bCs w:val="1"/>
          <w:color w:val="auto"/>
        </w:rPr>
      </w:pPr>
    </w:p>
    <w:p>
      <w:pPr>
        <w:ind w:left="4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was also obligated to issue additional Series D preferred shares to Investor D at no consideration, the total number of which is based on a formula stipulated in the agreement, if the gross billing of the Group as defined in the Series D Agreement for the year ended December 31, 2015 is less than US$85,000. Considering the gross billing of the Group as defined in the Series D Agreement for the year ended December 31, 2015 was more than US$85,000, no additional Series D preferred shares were issued. Furthermore, the Company determines that the fair value of this obligation is zero as of December 31, 2015.</w:t>
      </w:r>
    </w:p>
    <w:p>
      <w:pPr>
        <w:spacing w:after="0" w:line="290"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Series E preferred shares</w:t>
      </w:r>
    </w:p>
    <w:p>
      <w:pPr>
        <w:spacing w:after="0" w:line="119" w:lineRule="exact"/>
        <w:rPr>
          <w:rFonts w:ascii="Times New Roman" w:cs="Times New Roman" w:eastAsia="Times New Roman" w:hAnsi="Times New Roman"/>
          <w:sz w:val="18"/>
          <w:szCs w:val="18"/>
          <w:b w:val="1"/>
          <w:bCs w:val="1"/>
          <w:color w:val="auto"/>
        </w:rPr>
      </w:pPr>
    </w:p>
    <w:p>
      <w:pPr>
        <w:jc w:val="both"/>
        <w:ind w:left="460" w:right="5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28, 2016, the Company entered into an agreement (“Series E Agreement”) to issue Series E preferred shares to another third-party investor (“Investor E”) for a total cash consideration of US$20,000. Pursuant to the Series E Agreement, the Company issued 1,068,114 Series E preferred shares at US$18.72 per share.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420"/>
          </w:cols>
          <w:pgMar w:left="240" w:top="455" w:right="239" w:bottom="1440" w:gutter="0" w:footer="0" w:header="0"/>
        </w:sectPr>
      </w:pPr>
    </w:p>
    <w:bookmarkStart w:id="267" w:name="page268"/>
    <w:bookmarkEnd w:id="2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right="6820" w:hanging="452"/>
        <w:spacing w:after="0" w:line="385" w:lineRule="auto"/>
        <w:tabs>
          <w:tab w:leader="none" w:pos="449"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Series E preferred shares (Continued)</w:t>
      </w:r>
    </w:p>
    <w:p>
      <w:pPr>
        <w:spacing w:after="0" w:line="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key terms of the Series A, B, C, D and E preferred shares are as follows:</w:t>
      </w:r>
    </w:p>
    <w:p>
      <w:pPr>
        <w:spacing w:after="0" w:line="33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Dividend rights</w:t>
      </w:r>
    </w:p>
    <w:p>
      <w:pPr>
        <w:spacing w:after="0" w:line="119" w:lineRule="exact"/>
        <w:rPr>
          <w:rFonts w:ascii="Times New Roman" w:cs="Times New Roman" w:eastAsia="Times New Roman" w:hAnsi="Times New Roman"/>
          <w:sz w:val="18"/>
          <w:szCs w:val="18"/>
          <w:b w:val="1"/>
          <w:bCs w:val="1"/>
          <w:color w:val="auto"/>
        </w:rPr>
      </w:pPr>
    </w:p>
    <w:p>
      <w:pPr>
        <w:ind w:left="46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approval and declaration by the Board of Directors, the holders of the preferred shares are entitled to receive dividends in the following order:</w:t>
      </w:r>
    </w:p>
    <w:p>
      <w:pPr>
        <w:spacing w:after="0" w:line="67" w:lineRule="exact"/>
        <w:rPr>
          <w:rFonts w:ascii="Times New Roman" w:cs="Times New Roman" w:eastAsia="Times New Roman" w:hAnsi="Times New Roman"/>
          <w:sz w:val="18"/>
          <w:szCs w:val="18"/>
          <w:b w:val="1"/>
          <w:bCs w:val="1"/>
          <w:color w:val="auto"/>
        </w:rPr>
      </w:pPr>
    </w:p>
    <w:p>
      <w:pPr>
        <w:ind w:left="1460" w:right="120" w:hanging="547"/>
        <w:spacing w:after="0" w:line="266" w:lineRule="auto"/>
        <w:tabs>
          <w:tab w:leader="none" w:pos="146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E preferred shareholders are entitled to receive dividends at an amount equal to 8% of the issue price prior to and in preference to any dividend on the Series D preferred Shares, Series B preferred shares, Series A preferred shares, Series C preferred shares and ordinary shares or any other class or series of shares</w:t>
      </w:r>
    </w:p>
    <w:p>
      <w:pPr>
        <w:spacing w:after="0" w:line="81" w:lineRule="exact"/>
        <w:rPr>
          <w:rFonts w:ascii="Times New Roman" w:cs="Times New Roman" w:eastAsia="Times New Roman" w:hAnsi="Times New Roman"/>
          <w:sz w:val="18"/>
          <w:szCs w:val="18"/>
          <w:color w:val="auto"/>
        </w:rPr>
      </w:pPr>
    </w:p>
    <w:p>
      <w:pPr>
        <w:ind w:left="1460" w:right="20" w:hanging="547"/>
        <w:spacing w:after="0" w:line="282" w:lineRule="auto"/>
        <w:tabs>
          <w:tab w:leader="none" w:pos="146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D preferred shareholders are entitled to receive dividends at an amount equal to 8% of the issue price prior to and in preference to any dividends on the Series B, Series A and Series C preferred shares and ordinary shares or any other class or series of shares;</w:t>
      </w:r>
    </w:p>
    <w:p>
      <w:pPr>
        <w:spacing w:after="0" w:line="67" w:lineRule="exact"/>
        <w:rPr>
          <w:rFonts w:ascii="Times New Roman" w:cs="Times New Roman" w:eastAsia="Times New Roman" w:hAnsi="Times New Roman"/>
          <w:sz w:val="18"/>
          <w:szCs w:val="18"/>
          <w:color w:val="auto"/>
        </w:rPr>
      </w:pPr>
    </w:p>
    <w:p>
      <w:pPr>
        <w:ind w:left="1460" w:right="40" w:hanging="547"/>
        <w:spacing w:after="0" w:line="282" w:lineRule="auto"/>
        <w:tabs>
          <w:tab w:leader="none" w:pos="146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B preferred shareholders are entitled to receive dividends at an amount equal to 8% of the issue price prior to and in preference to any dividends on the Series A and Series C preferred shares and ordinary shares or any other class or series of shares;</w:t>
      </w:r>
    </w:p>
    <w:p>
      <w:pPr>
        <w:spacing w:after="0" w:line="67" w:lineRule="exact"/>
        <w:rPr>
          <w:rFonts w:ascii="Times New Roman" w:cs="Times New Roman" w:eastAsia="Times New Roman" w:hAnsi="Times New Roman"/>
          <w:sz w:val="18"/>
          <w:szCs w:val="18"/>
          <w:color w:val="auto"/>
        </w:rPr>
      </w:pPr>
    </w:p>
    <w:p>
      <w:pPr>
        <w:ind w:left="1460" w:right="20" w:hanging="547"/>
        <w:spacing w:after="0" w:line="282" w:lineRule="auto"/>
        <w:tabs>
          <w:tab w:leader="none" w:pos="146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A preferred shareholders are entitled to receive dividends at an amount equal to 8% of the issue price prior to and in preference to any dividends on the Series C preferred shares and ordinary shares or any other class or series of shares;</w:t>
      </w:r>
    </w:p>
    <w:p>
      <w:pPr>
        <w:spacing w:after="0" w:line="67" w:lineRule="exact"/>
        <w:rPr>
          <w:rFonts w:ascii="Times New Roman" w:cs="Times New Roman" w:eastAsia="Times New Roman" w:hAnsi="Times New Roman"/>
          <w:sz w:val="18"/>
          <w:szCs w:val="18"/>
          <w:color w:val="auto"/>
        </w:rPr>
      </w:pPr>
    </w:p>
    <w:p>
      <w:pPr>
        <w:ind w:left="1460" w:hanging="547"/>
        <w:spacing w:after="0" w:line="282" w:lineRule="auto"/>
        <w:tabs>
          <w:tab w:leader="none" w:pos="146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remaining dividends shall be distributed on a pro rata basis to holders of all the preferred shares and ordinary shares on a fully diluted and as-if converted basis.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460" w:right="60"/>
        <w:spacing w:after="0" w:line="282" w:lineRule="auto"/>
        <w:rPr>
          <w:sz w:val="20"/>
          <w:szCs w:val="20"/>
          <w:color w:val="auto"/>
        </w:rPr>
      </w:pPr>
      <w:r>
        <w:rPr>
          <w:rFonts w:ascii="Times New Roman" w:cs="Times New Roman" w:eastAsia="Times New Roman" w:hAnsi="Times New Roman"/>
          <w:sz w:val="18"/>
          <w:szCs w:val="18"/>
          <w:color w:val="auto"/>
        </w:rPr>
        <w:t>The holders of the Series A, B, C, D and E preferred shares shall be entitled to such number of votes equal to the whole number of ordinary shares into which such Series A, B, C, D and E preferred shares are convertible.</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19" w:lineRule="exact"/>
        <w:rPr>
          <w:sz w:val="20"/>
          <w:szCs w:val="20"/>
          <w:color w:val="auto"/>
        </w:rPr>
      </w:pPr>
    </w:p>
    <w:p>
      <w:pPr>
        <w:ind w:left="460" w:right="100"/>
        <w:spacing w:after="0" w:line="256" w:lineRule="auto"/>
        <w:rPr>
          <w:sz w:val="20"/>
          <w:szCs w:val="20"/>
          <w:color w:val="auto"/>
        </w:rPr>
      </w:pPr>
      <w:r>
        <w:rPr>
          <w:rFonts w:ascii="Times New Roman" w:cs="Times New Roman" w:eastAsia="Times New Roman" w:hAnsi="Times New Roman"/>
          <w:sz w:val="18"/>
          <w:szCs w:val="18"/>
          <w:color w:val="auto"/>
        </w:rPr>
        <w:t>In the event of a liquidating transaction as defined in the Company’s Memorandum and Articles of Association as 1) a winding up or other dissolution of the Company or any of its subsidiaries, 2) a merger or acquisition of the Company or any of its subsidiaries in which the shareholders of the Company do not directly or indirectly own a majority of the outstanding shares of the surviving corporation, 3) a sale of all or substantially all of the assets of the Company or assets of its subsidiaries, or 4) government policies promulgated or interpreted after the closing that prohibit investment or exit of the Company by foreign investors, provided, that, in the case of 2) and 3), only when such merger, acquisition or sale implies a valuation of the Company on a fully diluted basis of less than US$550,000, available assets and funds are distributed as following manner.</w:t>
      </w:r>
    </w:p>
    <w:p>
      <w:pPr>
        <w:spacing w:after="0" w:line="80"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The holders of Series E, Series D, Series B and Series A preferred shares are entitled to receive an amount equal to i) 110% prior to or on December 28, 2017 or ii) 120% from January 1, 2018, 150%, 150%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400"/>
          </w:cols>
          <w:pgMar w:left="240" w:top="456" w:right="259" w:bottom="1440" w:gutter="0" w:footer="0" w:header="0"/>
        </w:sectPr>
      </w:pPr>
    </w:p>
    <w:bookmarkStart w:id="268" w:name="page269"/>
    <w:bookmarkEnd w:id="2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right="6840" w:hanging="452"/>
        <w:spacing w:after="0" w:line="385" w:lineRule="auto"/>
        <w:tabs>
          <w:tab w:leader="none" w:pos="449"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Liquidation preference (Continued)</w:t>
      </w:r>
    </w:p>
    <w:p>
      <w:pPr>
        <w:spacing w:after="0" w:line="1" w:lineRule="exact"/>
        <w:rPr>
          <w:rFonts w:ascii="Times New Roman" w:cs="Times New Roman" w:eastAsia="Times New Roman" w:hAnsi="Times New Roman"/>
          <w:sz w:val="18"/>
          <w:szCs w:val="18"/>
          <w:b w:val="1"/>
          <w:bCs w:val="1"/>
          <w:color w:val="auto"/>
        </w:rPr>
      </w:pPr>
    </w:p>
    <w:p>
      <w:pPr>
        <w:ind w:left="46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200%, respectively, of the issue price as defined in the Company’s Memorandum and Articles of Association (adjusted for share dividends, splits, combinations, recapitalizations or similar events, and plus all accrued or declared but unpaid dividends thereon minus all paid cash or non-cash dividends and distributions paid thereon since issue date). If the assets of the Company shall be insufficient to make the payment of the amount in full, then the assets of the Company shall be distributed ratably to the holders of preferred shares in proportion to the amount each holder would otherwise be entitled to receive in order of 1) Series E, 2) Series D, 3) Series B and then 4) Series A.</w:t>
      </w:r>
    </w:p>
    <w:p>
      <w:pPr>
        <w:spacing w:after="0" w:line="75" w:lineRule="exact"/>
        <w:rPr>
          <w:rFonts w:ascii="Times New Roman" w:cs="Times New Roman" w:eastAsia="Times New Roman" w:hAnsi="Times New Roman"/>
          <w:sz w:val="18"/>
          <w:szCs w:val="18"/>
          <w:b w:val="1"/>
          <w:bCs w:val="1"/>
          <w:color w:val="auto"/>
        </w:rPr>
      </w:pPr>
    </w:p>
    <w:p>
      <w:pPr>
        <w:ind w:left="4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liquidating transaction is a qualified merger or acquisition of the Company in which the shareholders of the Company do not directly or indirectly own a majority of the outstanding shares of the surviving corporation or a sale of all or substantially all of the assets of the Company, in each case, which implies i) an equity valuation of the Group of US$300,000 or higher, the distribution to the holders of Series B and Series A preferred shares shall be reduced to 0% of issue price or ii) an equity valuation of the Group of US$250,000 or higher, but lower than US$300,000, the distribution to the holders of Series B and Series A preferred shares shall be reduced to 100% of issue price as defined in the Company’s Memorandum and Articles of Association.</w:t>
      </w:r>
    </w:p>
    <w:p>
      <w:pPr>
        <w:spacing w:after="0" w:line="79" w:lineRule="exact"/>
        <w:rPr>
          <w:rFonts w:ascii="Times New Roman" w:cs="Times New Roman" w:eastAsia="Times New Roman" w:hAnsi="Times New Roman"/>
          <w:sz w:val="18"/>
          <w:szCs w:val="18"/>
          <w:b w:val="1"/>
          <w:bCs w:val="1"/>
          <w:color w:val="auto"/>
        </w:rPr>
      </w:pPr>
    </w:p>
    <w:p>
      <w:pPr>
        <w:ind w:left="460"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the full amount has been paid to holders of Series E, Series D, Series B and Series A, any remaining funds or assets of the Company legally available for distribution shall be distributed pro rata among the holders of preferred shares on an as-converted basis together with the holders of the ordinary shares.</w:t>
      </w:r>
    </w:p>
    <w:p>
      <w:pPr>
        <w:spacing w:after="0" w:line="28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Conversion rights</w:t>
      </w:r>
    </w:p>
    <w:p>
      <w:pPr>
        <w:spacing w:after="0" w:line="119" w:lineRule="exact"/>
        <w:rPr>
          <w:rFonts w:ascii="Times New Roman" w:cs="Times New Roman" w:eastAsia="Times New Roman" w:hAnsi="Times New Roman"/>
          <w:sz w:val="18"/>
          <w:szCs w:val="18"/>
          <w:b w:val="1"/>
          <w:bCs w:val="1"/>
          <w:color w:val="auto"/>
        </w:rPr>
      </w:pPr>
    </w:p>
    <w:p>
      <w:pPr>
        <w:ind w:left="460" w:right="2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share of the Series A, B, C, D and E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75" w:lineRule="exact"/>
        <w:rPr>
          <w:rFonts w:ascii="Times New Roman" w:cs="Times New Roman" w:eastAsia="Times New Roman" w:hAnsi="Times New Roman"/>
          <w:sz w:val="18"/>
          <w:szCs w:val="18"/>
          <w:b w:val="1"/>
          <w:bCs w:val="1"/>
          <w:color w:val="auto"/>
        </w:rPr>
      </w:pPr>
    </w:p>
    <w:p>
      <w:pPr>
        <w:ind w:left="4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each share of the Series A, B, C, D and E preferred shares would automatically be converted into ordinary shares of the Company (i) upon the closing of an initial public offering of the Company’s shares or (ii) upon the election of holders of at least a majority of the then issued and outstanding preferred shares, voting together as a single class on an as-if-converted basis.</w:t>
      </w:r>
    </w:p>
    <w:p>
      <w:pPr>
        <w:spacing w:after="0" w:line="28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Anti-dilution provision</w:t>
      </w:r>
    </w:p>
    <w:p>
      <w:pPr>
        <w:spacing w:after="0" w:line="119" w:lineRule="exact"/>
        <w:rPr>
          <w:rFonts w:ascii="Times New Roman" w:cs="Times New Roman" w:eastAsia="Times New Roman" w:hAnsi="Times New Roman"/>
          <w:sz w:val="18"/>
          <w:szCs w:val="18"/>
          <w:b w:val="1"/>
          <w:bCs w:val="1"/>
          <w:color w:val="auto"/>
        </w:rPr>
      </w:pPr>
    </w:p>
    <w:p>
      <w:pPr>
        <w:ind w:left="460" w:right="14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Pursuant to the provisions of Series B Agreement, there is an anti-dilution provision which prevents the original ownership interest of ordinary shares, Series B preferred shares and Series B preferred share warrants (as if converted into Series B preferred shares) owned by Investors B to be diluted.</w:t>
      </w:r>
    </w:p>
    <w:p>
      <w:pPr>
        <w:spacing w:after="0" w:line="30" w:lineRule="exact"/>
        <w:rPr>
          <w:rFonts w:ascii="Times New Roman" w:cs="Times New Roman" w:eastAsia="Times New Roman" w:hAnsi="Times New Roman"/>
          <w:sz w:val="18"/>
          <w:szCs w:val="18"/>
          <w:b w:val="1"/>
          <w:bCs w:val="1"/>
          <w:color w:val="auto"/>
        </w:rPr>
      </w:pPr>
    </w:p>
    <w:p>
      <w:pPr>
        <w:jc w:val="both"/>
        <w:ind w:left="460" w:right="4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May 2011, the Company issued 457,611 ordinary shares of the Company to Mr. Cong and Mr. Liu in exchange for Mr. Cong and Mr. Liu would procure the grant of an exclusive reseller agreement from Baidu Online Network Technology (Beijing) Co. Ltd. (“Baidu”) for Hong Kong, Macau, Taiwan and Singapore for a period up to December 31, 2012. In accordance with the Series B Agreement, the issuance of the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420"/>
          </w:cols>
          <w:pgMar w:left="240" w:top="456" w:right="239" w:bottom="1440" w:gutter="0" w:footer="0" w:header="0"/>
        </w:sectPr>
      </w:pPr>
    </w:p>
    <w:bookmarkStart w:id="269" w:name="page270"/>
    <w:bookmarkEnd w:id="2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right="6840" w:hanging="452"/>
        <w:spacing w:after="0" w:line="385" w:lineRule="auto"/>
        <w:tabs>
          <w:tab w:leader="none" w:pos="449"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Anti-dilution provision (Continued)</w:t>
      </w:r>
    </w:p>
    <w:p>
      <w:pPr>
        <w:spacing w:after="0" w:line="1" w:lineRule="exact"/>
        <w:rPr>
          <w:rFonts w:ascii="Times New Roman" w:cs="Times New Roman" w:eastAsia="Times New Roman" w:hAnsi="Times New Roman"/>
          <w:sz w:val="18"/>
          <w:szCs w:val="18"/>
          <w:b w:val="1"/>
          <w:bCs w:val="1"/>
          <w:color w:val="auto"/>
        </w:rPr>
      </w:pPr>
    </w:p>
    <w:p>
      <w:pPr>
        <w:ind w:left="4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ordinary shares was considered an event which triggered the anti-dilution provision. As a result, the Company was required to issue additional 100,452 ordinary shares and 55,807 Series B preferred shares and to amend the conversion price of Series B preferred share warrants to maintain the original ownership interests of these ordinary shares, preferred shares and preferred shares warrants owned by Investors B. There were no beneficial conversion features for the issuance of additional Series B preferred shares and the value of the additional ordinary shares and Series B preferred shares issued amounted to US$421 and US$320, respectively, was charged to additional paid-in capital as a deemed dividend.</w:t>
      </w:r>
    </w:p>
    <w:p>
      <w:pPr>
        <w:spacing w:after="0" w:line="75" w:lineRule="exact"/>
        <w:rPr>
          <w:rFonts w:ascii="Times New Roman" w:cs="Times New Roman" w:eastAsia="Times New Roman" w:hAnsi="Times New Roman"/>
          <w:sz w:val="18"/>
          <w:szCs w:val="18"/>
          <w:b w:val="1"/>
          <w:bCs w:val="1"/>
          <w:color w:val="auto"/>
        </w:rPr>
      </w:pPr>
    </w:p>
    <w:p>
      <w:pPr>
        <w:ind w:left="4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the anti-dilution provision was triggered in May 2011, the Company only issued the additional ordinary shares and Series B preferred shares in May 2013. Accordingly, the Company recorded such obligation to issue additional ordinary shares and Series B preferred shares as liabilities until the corresponding ordinary shares and preferred shares were issued in May 2013.</w:t>
      </w:r>
    </w:p>
    <w:p>
      <w:pPr>
        <w:spacing w:after="0" w:line="28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Redemption right</w:t>
      </w:r>
    </w:p>
    <w:p>
      <w:pPr>
        <w:spacing w:after="0" w:line="119" w:lineRule="exact"/>
        <w:rPr>
          <w:rFonts w:ascii="Times New Roman" w:cs="Times New Roman" w:eastAsia="Times New Roman" w:hAnsi="Times New Roman"/>
          <w:sz w:val="18"/>
          <w:szCs w:val="18"/>
          <w:b w:val="1"/>
          <w:bCs w:val="1"/>
          <w:color w:val="auto"/>
        </w:rPr>
      </w:pPr>
    </w:p>
    <w:p>
      <w:pPr>
        <w:ind w:left="460"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Series A and B preferred shares are redeemable at any time after the earlier of: (i) the 4th anniversary of the closing of sale and purchase of the Series A Agreement and Series B Agreement, respectively; or (ii) the occurrence of a material breach as defined in the subscription agreements.</w:t>
      </w:r>
    </w:p>
    <w:p>
      <w:pPr>
        <w:spacing w:after="0" w:line="53" w:lineRule="exact"/>
        <w:rPr>
          <w:rFonts w:ascii="Times New Roman" w:cs="Times New Roman" w:eastAsia="Times New Roman" w:hAnsi="Times New Roman"/>
          <w:sz w:val="18"/>
          <w:szCs w:val="18"/>
          <w:b w:val="1"/>
          <w:bCs w:val="1"/>
          <w:color w:val="auto"/>
        </w:rPr>
      </w:pPr>
    </w:p>
    <w:p>
      <w:pPr>
        <w:ind w:left="4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Series C preferred shares can redeem the preferred shares at any time after the earlier of: (i)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anniversary of the closing of sale and purchase of the Series C Agreement; (ii) the occurrence of any liquidating transaction as defined in the subscription agreements; (iii) Mr. Hsieh, Wing Hong Sammy, ceasing to exert day-to-day management and operational control over the Group; or (iv) any holder of the Series B preferred shares or the Series A preferred shares or the Series D preferred shares or the Series E preferred shares electing for redemption.</w:t>
      </w:r>
    </w:p>
    <w:p>
      <w:pPr>
        <w:spacing w:after="0" w:line="71" w:lineRule="exact"/>
        <w:rPr>
          <w:rFonts w:ascii="Times New Roman" w:cs="Times New Roman" w:eastAsia="Times New Roman" w:hAnsi="Times New Roman"/>
          <w:sz w:val="18"/>
          <w:szCs w:val="18"/>
          <w:b w:val="1"/>
          <w:bCs w:val="1"/>
          <w:color w:val="auto"/>
        </w:rPr>
      </w:pPr>
    </w:p>
    <w:p>
      <w:pPr>
        <w:ind w:left="460" w:right="2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Series D preferred shares can redeem the preferred shares at any time after the earlier of: (i)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anniversary of the closing of sale and purchase of the Series D preferred shares; (ii) the occurrence of any liquidating transaction as defined in the subscription agreements;</w:t>
      </w:r>
    </w:p>
    <w:p>
      <w:pPr>
        <w:ind w:left="460" w:right="2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(iii) Mr. Hsieh, Wing Hong Sammy, ceasing to exert day-to-day management and operational control over the Group; (iv) the occurrence of material breach of any warranty and covenants specified in the Series D Agreement; or (v) any holder of the Series A, Series B, or Series C preferred shares electing for redemption.</w:t>
      </w:r>
    </w:p>
    <w:p>
      <w:pPr>
        <w:spacing w:after="0" w:line="78" w:lineRule="exact"/>
        <w:rPr>
          <w:sz w:val="20"/>
          <w:szCs w:val="20"/>
          <w:color w:val="auto"/>
        </w:rPr>
      </w:pPr>
    </w:p>
    <w:p>
      <w:pPr>
        <w:ind w:left="460" w:right="20"/>
        <w:spacing w:after="0" w:line="254" w:lineRule="auto"/>
        <w:rPr>
          <w:sz w:val="20"/>
          <w:szCs w:val="20"/>
          <w:color w:val="auto"/>
        </w:rPr>
      </w:pPr>
      <w:r>
        <w:rPr>
          <w:rFonts w:ascii="Times New Roman" w:cs="Times New Roman" w:eastAsia="Times New Roman" w:hAnsi="Times New Roman"/>
          <w:sz w:val="18"/>
          <w:szCs w:val="18"/>
          <w:color w:val="auto"/>
        </w:rPr>
        <w:t>The holders of Series E preferred shares can redeem the preferred shares at any time after the earlier of: (i) the occurrence of any liquidating transaction as defined in the subscription agreements; (i) the failure of the Group to achieve the following targets: (1) the audited consolidated revenues from the principal business (excluding any non-operating and non-recurring revenue) of the Group as of and for the twelve months ending on December 31, 2017 being no less than US$200,000; and (2) the audited consolidated revenues from the principal business (excluding any non-operating and non-recurring revenue) of the Group as of and for the twelve months ending on December 31, 2018 being no less than US$300,000; (iii) the termination of the employment with the relevant Group Company by Mr. Hsieh, Wing Hong Sammy, Tang Jian or Lee, Yanshu before the consummation of a Qualified IPO as defined in the Company’s Memorandum and Articles of Association (i.e. the first firm commitment underwritten registered public offering by the Company of its ordinary shares for its own account that results in such securities being listed or registered on NASDAQ, New York Stock Exchange, Hong Kong Stock Exchange, the Shenzhen Stock Exchange, Shanghai Stock Exchange or such other international recognized stock exchange approved in writing by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420"/>
          </w:cols>
          <w:pgMar w:left="240" w:top="455" w:right="239" w:bottom="1440" w:gutter="0" w:footer="0" w:header="0"/>
        </w:sectPr>
      </w:pPr>
    </w:p>
    <w:bookmarkStart w:id="270" w:name="page271"/>
    <w:bookmarkEnd w:id="2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right="6840" w:hanging="452"/>
        <w:spacing w:after="0" w:line="385" w:lineRule="auto"/>
        <w:tabs>
          <w:tab w:leader="none" w:pos="449"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Redemption right (Continued)</w:t>
      </w:r>
    </w:p>
    <w:p>
      <w:pPr>
        <w:spacing w:after="0" w:line="2" w:lineRule="exact"/>
        <w:rPr>
          <w:sz w:val="20"/>
          <w:szCs w:val="20"/>
          <w:color w:val="auto"/>
        </w:rPr>
      </w:pPr>
    </w:p>
    <w:p>
      <w:pPr>
        <w:ind w:left="460"/>
        <w:spacing w:after="0" w:line="261" w:lineRule="auto"/>
        <w:rPr>
          <w:sz w:val="20"/>
          <w:szCs w:val="20"/>
          <w:color w:val="auto"/>
        </w:rPr>
      </w:pPr>
      <w:r>
        <w:rPr>
          <w:rFonts w:ascii="Times New Roman" w:cs="Times New Roman" w:eastAsia="Times New Roman" w:hAnsi="Times New Roman"/>
          <w:sz w:val="18"/>
          <w:szCs w:val="18"/>
          <w:color w:val="auto"/>
        </w:rPr>
        <w:t>certain of its preferred shareholders with an implied market capitalization of the Company immediately prior to such offering of not less than US$600 million; and which results in aggregate net proceeds to the Company of not less than US$150 million); (iv) the failure of the Company to consummate a Qualified IPO prior to or on June 30, 2018 (iv) the occurrence of material breach of any warranty and covenants specified in the Series E Agreement; or (v) any holder of the Series A, Series B, Series C or Series D preferred shares electing for redemption.</w:t>
      </w:r>
    </w:p>
    <w:p>
      <w:pPr>
        <w:spacing w:after="0" w:line="72" w:lineRule="exact"/>
        <w:rPr>
          <w:sz w:val="20"/>
          <w:szCs w:val="20"/>
          <w:color w:val="auto"/>
        </w:rPr>
      </w:pPr>
    </w:p>
    <w:p>
      <w:pPr>
        <w:ind w:left="460" w:right="20"/>
        <w:spacing w:after="0" w:line="253" w:lineRule="auto"/>
        <w:rPr>
          <w:sz w:val="20"/>
          <w:szCs w:val="20"/>
          <w:color w:val="auto"/>
        </w:rPr>
      </w:pPr>
      <w:r>
        <w:rPr>
          <w:rFonts w:ascii="Times New Roman" w:cs="Times New Roman" w:eastAsia="Times New Roman" w:hAnsi="Times New Roman"/>
          <w:sz w:val="18"/>
          <w:szCs w:val="18"/>
          <w:color w:val="auto"/>
        </w:rPr>
        <w:t>The redemption price for Series A and B preferred shares is equal to the greater of (1) 200% or 150%, respectively, of the original issue price (plus all declared but unpaid dividends) or (2) the fair market value of the preferred shares subject to redemption as determined by an independent appraiser. With respect to the redemption price for Series C preferred shares, it is equal to 200% of the original issue price (proportionally adjusted for share splits and stack dividends). For the redemption price for Series D preferred shares, it shall be equal to the greater of (1) a price reflecting an implied valuation (on a fully-diluted basis) of the Company at US$500,000, (2) the highest redemption price that would have been received by any other shareholders of the Company if their shares have become redeemable (proportionally adjusted for share splits and stack dividends), or (3) a price reflecting the implied valuation (on a fully-diluted basis) of the Company used in any liquidating transaction as defined in the Company’s Memorandum and Articles of Association. For the redemption price for Series E preferred shares is equal to the greater of (1) 100% of the Series E issue price, plus 9.5% annual compound interest thereon calculated from the Series E original issue date to the date of receipt of the Series E redemption price, plus all declared but unpaid dividends thereon to the date of redemption, proportionally adjusted for stock splits, stock dividends, and the like, or (2) the highest redemption price that would have been received by any other shareholder of the Company if their shares have become redeemable, proportionally adjusted for stock splits, stock dividends, or (3) a price reflecting the implied valuation (on a fully-diluted basis) of the Company used in any Liquidating Transaction as defined in the Company’s Memorandum and Articles of Association.</w:t>
      </w:r>
    </w:p>
    <w:p>
      <w:pPr>
        <w:spacing w:after="0" w:line="81"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8"/>
          <w:szCs w:val="18"/>
          <w:color w:val="auto"/>
        </w:rPr>
        <w:t>Upon the completion of Series D Agreement, the redemption date of Series A, A-1, B, B-1 and C preferred share was changed to December 30, 2016. The redemption date of Series A, A-1, B, C and D preferred share was further changed to December 28, 2018 upon the completion Series E Agreement. Such change was considered as a modification and no gain or loss was recorded. However, considered the modification was occurred in connection with the issuance of Series D preferred shares and Series E preferred shares, there was a transfer of value from the existing preferred shareholders to new preferred shareholders and ordinary shareholders. With respect to the modification relating to the issuance of Series D preferred share, the transfer of value was considered insignificant. For the modification relating to the issuance of Series E preferred share, the transfer of value was recorded from additional paid in capital to retained earnings. Furthermore, due to the change of redemption date of Series C preferred share to December 28, 2018, the corresponding derivatives liabilities relating to the redemption feature were reclassified from current liabilities to non-current liabilities as of December 31, 2016.</w:t>
      </w:r>
    </w:p>
    <w:p>
      <w:pPr>
        <w:spacing w:after="0" w:line="81" w:lineRule="exact"/>
        <w:rPr>
          <w:sz w:val="20"/>
          <w:szCs w:val="20"/>
          <w:color w:val="auto"/>
        </w:rPr>
      </w:pPr>
    </w:p>
    <w:p>
      <w:pPr>
        <w:ind w:left="460" w:right="20"/>
        <w:spacing w:after="0" w:line="258" w:lineRule="auto"/>
        <w:rPr>
          <w:sz w:val="20"/>
          <w:szCs w:val="20"/>
          <w:color w:val="auto"/>
        </w:rPr>
      </w:pPr>
      <w:r>
        <w:rPr>
          <w:rFonts w:ascii="Times New Roman" w:cs="Times New Roman" w:eastAsia="Times New Roman" w:hAnsi="Times New Roman"/>
          <w:sz w:val="18"/>
          <w:szCs w:val="18"/>
          <w:color w:val="auto"/>
        </w:rPr>
        <w:t>The Company has determined that the Series A, A-1, B, B-1, C, D and E preferred shares should be classified as mezzanine equity after considering the features of the preferred shares as described above. The conversion features and redemption features as mentioned below, Series A Warrants, Series A-1 Warrants and Series B Warrants are initially measured at its fair value and the initial carrying value for Series A, A-1, B, B-1, C, D and E preferred shares is allocated on a residual basis as the warrants are liability classified. There were no beneficial conversion features for the Series A, A-1, B, B-1, C, D and E preferred shares.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420"/>
          </w:cols>
          <w:pgMar w:left="240" w:top="456" w:right="239" w:bottom="1440" w:gutter="0" w:footer="0" w:header="0"/>
        </w:sectPr>
      </w:pPr>
    </w:p>
    <w:bookmarkStart w:id="271" w:name="page272"/>
    <w:bookmarkEnd w:id="2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right="6820" w:hanging="452"/>
        <w:spacing w:after="0" w:line="385" w:lineRule="auto"/>
        <w:tabs>
          <w:tab w:leader="none" w:pos="449"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Redemption right (Continued)</w:t>
      </w:r>
    </w:p>
    <w:p>
      <w:pPr>
        <w:spacing w:after="0" w:line="1" w:lineRule="exact"/>
        <w:rPr>
          <w:rFonts w:ascii="Times New Roman" w:cs="Times New Roman" w:eastAsia="Times New Roman" w:hAnsi="Times New Roman"/>
          <w:sz w:val="18"/>
          <w:szCs w:val="18"/>
          <w:b w:val="1"/>
          <w:bCs w:val="1"/>
          <w:color w:val="auto"/>
        </w:rPr>
      </w:pPr>
    </w:p>
    <w:p>
      <w:pPr>
        <w:ind w:left="4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determined that conversion feature embedded in the Series A, A-1, B, B-1, D and E preferred share is required to be bifurcated and accounted for as derivative liabilities as the economic characteristics and risks of the embedded conversion are not clearly and closely related to that of the preferred shares and there is a mechanism in place for net settlement. However, Series C preferred shares does not have a mechanism in place for net settlement and therefore, bifurcation is considered unnecessary.</w:t>
      </w:r>
    </w:p>
    <w:p>
      <w:pPr>
        <w:spacing w:after="0" w:line="71" w:lineRule="exact"/>
        <w:rPr>
          <w:rFonts w:ascii="Times New Roman" w:cs="Times New Roman" w:eastAsia="Times New Roman" w:hAnsi="Times New Roman"/>
          <w:sz w:val="18"/>
          <w:szCs w:val="18"/>
          <w:b w:val="1"/>
          <w:bCs w:val="1"/>
          <w:color w:val="auto"/>
        </w:rPr>
      </w:pPr>
    </w:p>
    <w:p>
      <w:pPr>
        <w:ind w:left="4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also determined the redemption feature embedded in the Series C, D and E preferred shares is required to be bifurcated and accounted for as derivative liabilities as the economic characteristics and risk of the embedded redemption features are not clearly and closely related to that of the preferred shares. For Series A, A-1, B and B-1 preferred shares, the corresponding redemption feature is not required to be bifurcated and accounted for as derivative liabilities as the economic characteristic and risk of the embedded redemption feature are clearly and closely related to that of the preferred shares.</w:t>
      </w:r>
    </w:p>
    <w:p>
      <w:pPr>
        <w:spacing w:after="0" w:line="75" w:lineRule="exact"/>
        <w:rPr>
          <w:rFonts w:ascii="Times New Roman" w:cs="Times New Roman" w:eastAsia="Times New Roman" w:hAnsi="Times New Roman"/>
          <w:sz w:val="18"/>
          <w:szCs w:val="18"/>
          <w:b w:val="1"/>
          <w:bCs w:val="1"/>
          <w:color w:val="auto"/>
        </w:rPr>
      </w:pPr>
    </w:p>
    <w:p>
      <w:pPr>
        <w:ind w:left="460"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2015 and 2016, the fair values of these conversion features and redemption features which required to be bifurcated and accounted for as derivative liabilities are as follows:</w:t>
      </w:r>
    </w:p>
    <w:p>
      <w:pPr>
        <w:spacing w:after="0" w:line="6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1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70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5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derivatives — conversion features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61,049</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Financial derivatives — redemption features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5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63,724</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(63,724)</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(60,525)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right="40"/>
        <w:spacing w:after="0" w:line="258" w:lineRule="auto"/>
        <w:rPr>
          <w:sz w:val="20"/>
          <w:szCs w:val="20"/>
          <w:color w:val="auto"/>
        </w:rPr>
      </w:pPr>
      <w:r>
        <w:rPr>
          <w:rFonts w:ascii="Times New Roman" w:cs="Times New Roman" w:eastAsia="Times New Roman" w:hAnsi="Times New Roman"/>
          <w:sz w:val="18"/>
          <w:szCs w:val="18"/>
          <w:color w:val="auto"/>
        </w:rPr>
        <w:t>Due to the redemption features described above with respect to Series A, A-1, B and B-1 preferred shares, the Company recognizes the changes in the redemption value immediately as they occur by way of accreting 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76" w:lineRule="exact"/>
        <w:rPr>
          <w:sz w:val="20"/>
          <w:szCs w:val="20"/>
          <w:color w:val="auto"/>
        </w:rPr>
      </w:pPr>
    </w:p>
    <w:p>
      <w:pPr>
        <w:ind w:left="460" w:right="100"/>
        <w:spacing w:after="0" w:line="266" w:lineRule="auto"/>
        <w:rPr>
          <w:sz w:val="20"/>
          <w:szCs w:val="20"/>
          <w:color w:val="auto"/>
        </w:rPr>
      </w:pPr>
      <w:r>
        <w:rPr>
          <w:rFonts w:ascii="Times New Roman" w:cs="Times New Roman" w:eastAsia="Times New Roman" w:hAnsi="Times New Roman"/>
          <w:sz w:val="18"/>
          <w:szCs w:val="18"/>
          <w:color w:val="auto"/>
        </w:rPr>
        <w:t>In determining the fair value of these preferred shares for purposes of determining the conversion feature and redemption feature as of December 31, 2015 and 2016, a business valuation of the Company was estimated. Significant factors, assumptions and methodologies used in determining the business valuation include applying the discounted cash flow approach, and such approach involves certain significant estimates which are as follows:</w:t>
      </w:r>
    </w:p>
    <w:p>
      <w:pPr>
        <w:spacing w:after="0" w:line="7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120" w:type="dxa"/>
            <w:vAlign w:val="bottom"/>
            <w:gridSpan w:val="3"/>
          </w:tcPr>
          <w:p>
            <w:pPr>
              <w:ind w:left="740"/>
              <w:spacing w:after="0"/>
              <w:rPr>
                <w:sz w:val="20"/>
                <w:szCs w:val="20"/>
                <w:color w:val="auto"/>
              </w:rPr>
            </w:pPr>
            <w:r>
              <w:rPr>
                <w:rFonts w:ascii="Times New Roman" w:cs="Times New Roman" w:eastAsia="Times New Roman" w:hAnsi="Times New Roman"/>
                <w:sz w:val="14"/>
                <w:szCs w:val="14"/>
                <w:color w:val="auto"/>
              </w:rPr>
              <w:t>Years ended December 31,</w:t>
            </w: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720" w:type="dxa"/>
            <w:vAlign w:val="bottom"/>
            <w:tcBorders>
              <w:top w:val="single" w:sz="8" w:color="auto"/>
            </w:tcBorders>
          </w:tcPr>
          <w:p>
            <w:pPr>
              <w:jc w:val="right"/>
              <w:ind w:right="808"/>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320" w:type="dxa"/>
            <w:vAlign w:val="bottom"/>
            <w:tcBorders>
              <w:top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Terminal growth rate</w:t>
            </w:r>
          </w:p>
        </w:tc>
        <w:tc>
          <w:tcPr>
            <w:tcW w:w="38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3.0%</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38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16.2%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Growth rate on average spending per customer</w:t>
            </w:r>
          </w:p>
        </w:tc>
        <w:tc>
          <w:tcPr>
            <w:tcW w:w="384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2.2% - 22.7%</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- 19.0%</w:t>
            </w:r>
          </w:p>
        </w:tc>
        <w:tc>
          <w:tcPr>
            <w:tcW w:w="8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840" w:type="dxa"/>
            <w:vAlign w:val="bottom"/>
            <w:gridSpan w:val="2"/>
          </w:tcPr>
          <w:p>
            <w:pPr>
              <w:jc w:val="right"/>
              <w:ind w:right="2928"/>
              <w:spacing w:after="0"/>
              <w:rPr>
                <w:sz w:val="20"/>
                <w:szCs w:val="20"/>
                <w:color w:val="auto"/>
              </w:rPr>
            </w:pPr>
            <w:r>
              <w:rPr>
                <w:rFonts w:ascii="Times New Roman" w:cs="Times New Roman" w:eastAsia="Times New Roman" w:hAnsi="Times New Roman"/>
                <w:sz w:val="18"/>
                <w:szCs w:val="18"/>
                <w:color w:val="auto"/>
              </w:rPr>
              <w:t>F-51</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272" w:name="page273"/>
    <w:bookmarkEnd w:id="2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16</w:t>
            </w:r>
          </w:p>
        </w:tc>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Redeemable convertible preferred shares (Continued)</w:t>
            </w: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38"/>
        </w:trPr>
        <w:tc>
          <w:tcPr>
            <w:tcW w:w="320" w:type="dxa"/>
            <w:vAlign w:val="bottom"/>
          </w:tcPr>
          <w:p>
            <w:pPr>
              <w:spacing w:after="0"/>
              <w:rPr>
                <w:sz w:val="24"/>
                <w:szCs w:val="24"/>
                <w:color w:val="auto"/>
              </w:rPr>
            </w:pPr>
          </w:p>
        </w:tc>
        <w:tc>
          <w:tcPr>
            <w:tcW w:w="760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Series A</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14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Years ended December 31,</w:t>
            </w:r>
          </w:p>
        </w:tc>
      </w:tr>
      <w:tr>
        <w:trPr>
          <w:trHeight w:val="142"/>
        </w:trPr>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660" w:type="dxa"/>
            <w:vAlign w:val="bottom"/>
            <w:tcBorders>
              <w:top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42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60" w:type="dxa"/>
            <w:vAlign w:val="bottom"/>
            <w:shd w:val="clear" w:color="auto" w:fill="CCEEFF"/>
          </w:tcPr>
          <w:p>
            <w:pPr>
              <w:spacing w:after="0"/>
              <w:rPr>
                <w:sz w:val="18"/>
                <w:szCs w:val="18"/>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Accretion to redemption value</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7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Pr>
          <w:p>
            <w:pPr>
              <w:spacing w:after="0"/>
              <w:rPr>
                <w:sz w:val="19"/>
                <w:szCs w:val="19"/>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60" w:type="dxa"/>
            <w:vAlign w:val="bottom"/>
            <w:shd w:val="clear" w:color="auto" w:fill="CCEEFF"/>
          </w:tcPr>
          <w:p>
            <w:pPr>
              <w:spacing w:after="0"/>
              <w:rPr>
                <w:sz w:val="18"/>
                <w:szCs w:val="18"/>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B</w:t>
      </w:r>
    </w:p>
    <w:p>
      <w:pPr>
        <w:spacing w:after="0" w:line="25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Years ended December 31,</w:t>
            </w:r>
          </w:p>
        </w:tc>
      </w:tr>
      <w:tr>
        <w:trPr>
          <w:trHeight w:val="142"/>
        </w:trPr>
        <w:tc>
          <w:tcPr>
            <w:tcW w:w="6660" w:type="dxa"/>
            <w:vAlign w:val="bottom"/>
          </w:tcPr>
          <w:p>
            <w:pPr>
              <w:spacing w:after="0"/>
              <w:rPr>
                <w:sz w:val="12"/>
                <w:szCs w:val="12"/>
                <w:color w:val="auto"/>
              </w:rPr>
            </w:pPr>
          </w:p>
        </w:tc>
        <w:tc>
          <w:tcPr>
            <w:tcW w:w="74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6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20,932</w:t>
            </w: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Accretion to redemption value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Buy back of preference shares</w:t>
            </w:r>
          </w:p>
        </w:tc>
        <w:tc>
          <w:tcPr>
            <w:tcW w:w="13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(14,172)</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6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6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C</w:t>
      </w:r>
    </w:p>
    <w:p>
      <w:pPr>
        <w:spacing w:after="0" w:line="25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Years ended December 31,</w:t>
            </w:r>
          </w:p>
        </w:tc>
      </w:tr>
      <w:tr>
        <w:trPr>
          <w:trHeight w:val="142"/>
        </w:trPr>
        <w:tc>
          <w:tcPr>
            <w:tcW w:w="6660" w:type="dxa"/>
            <w:vAlign w:val="bottom"/>
          </w:tcPr>
          <w:p>
            <w:pPr>
              <w:spacing w:after="0"/>
              <w:rPr>
                <w:sz w:val="12"/>
                <w:szCs w:val="12"/>
                <w:color w:val="auto"/>
              </w:rPr>
            </w:pPr>
          </w:p>
        </w:tc>
        <w:tc>
          <w:tcPr>
            <w:tcW w:w="680" w:type="dxa"/>
            <w:vAlign w:val="bottom"/>
            <w:tcBorders>
              <w:top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280" w:type="dxa"/>
            <w:vAlign w:val="bottom"/>
            <w:tcBorders>
              <w:top w:val="single" w:sz="8" w:color="auto"/>
            </w:tcBorders>
            <w:gridSpan w:val="2"/>
          </w:tcPr>
          <w:p>
            <w:pPr>
              <w:ind w:left="78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12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6"/>
              </w:rPr>
              <w:t>10,733</w:t>
            </w:r>
          </w:p>
        </w:tc>
        <w:tc>
          <w:tcPr>
            <w:tcW w:w="60" w:type="dxa"/>
            <w:vAlign w:val="bottom"/>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D</w:t>
      </w:r>
    </w:p>
    <w:p>
      <w:pPr>
        <w:spacing w:after="0" w:line="25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020" w:type="dxa"/>
            <w:vAlign w:val="bottom"/>
            <w:gridSpan w:val="4"/>
          </w:tcPr>
          <w:p>
            <w:pPr>
              <w:ind w:left="200"/>
              <w:spacing w:after="0"/>
              <w:rPr>
                <w:sz w:val="20"/>
                <w:szCs w:val="20"/>
                <w:color w:val="auto"/>
              </w:rPr>
            </w:pPr>
            <w:r>
              <w:rPr>
                <w:rFonts w:ascii="Times New Roman" w:cs="Times New Roman" w:eastAsia="Times New Roman" w:hAnsi="Times New Roman"/>
                <w:sz w:val="14"/>
                <w:szCs w:val="14"/>
                <w:color w:val="auto"/>
              </w:rPr>
              <w:t>Years ended December 31,</w:t>
            </w:r>
          </w:p>
        </w:tc>
      </w:tr>
      <w:tr>
        <w:trPr>
          <w:trHeight w:val="142"/>
        </w:trPr>
        <w:tc>
          <w:tcPr>
            <w:tcW w:w="6660" w:type="dxa"/>
            <w:vAlign w:val="bottom"/>
          </w:tcPr>
          <w:p>
            <w:pPr>
              <w:spacing w:after="0"/>
              <w:rPr>
                <w:sz w:val="12"/>
                <w:szCs w:val="12"/>
                <w:color w:val="auto"/>
              </w:rPr>
            </w:pPr>
          </w:p>
        </w:tc>
        <w:tc>
          <w:tcPr>
            <w:tcW w:w="680" w:type="dxa"/>
            <w:vAlign w:val="bottom"/>
            <w:tcBorders>
              <w:top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280" w:type="dxa"/>
            <w:vAlign w:val="bottom"/>
            <w:tcBorders>
              <w:top w:val="single" w:sz="8" w:color="auto"/>
            </w:tcBorders>
            <w:gridSpan w:val="2"/>
          </w:tcPr>
          <w:p>
            <w:pPr>
              <w:ind w:left="78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43,956</w:t>
            </w:r>
          </w:p>
        </w:tc>
        <w:tc>
          <w:tcPr>
            <w:tcW w:w="12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6"/>
              </w:rPr>
              <w:t>43,956</w:t>
            </w:r>
          </w:p>
        </w:tc>
        <w:tc>
          <w:tcPr>
            <w:tcW w:w="60" w:type="dxa"/>
            <w:vAlign w:val="bottom"/>
            <w:shd w:val="clear" w:color="auto" w:fill="CCEEFF"/>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E</w:t>
      </w:r>
    </w:p>
    <w:p>
      <w:pPr>
        <w:spacing w:after="0" w:line="250"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6350</wp:posOffset>
            </wp:positionV>
            <wp:extent cx="135509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ind w:left="7940"/>
        <w:spacing w:after="0"/>
        <w:tabs>
          <w:tab w:leader="none" w:pos="9400" w:val="left"/>
        </w:tabs>
        <w:rPr>
          <w:sz w:val="20"/>
          <w:szCs w:val="20"/>
          <w:color w:val="auto"/>
        </w:rPr>
      </w:pPr>
      <w:r>
        <w:rPr>
          <w:rFonts w:ascii="Times New Roman" w:cs="Times New Roman" w:eastAsia="Times New Roman" w:hAnsi="Times New Roman"/>
          <w:sz w:val="14"/>
          <w:szCs w:val="14"/>
          <w:color w:val="auto"/>
        </w:rPr>
        <w:t>2015</w:t>
      </w:r>
      <w:r>
        <w:rPr>
          <w:sz w:val="20"/>
          <w:szCs w:val="20"/>
          <w:color w:val="auto"/>
        </w:rPr>
        <w:tab/>
      </w:r>
      <w:r>
        <w:rPr>
          <w:rFonts w:ascii="Times New Roman" w:cs="Times New Roman" w:eastAsia="Times New Roman" w:hAnsi="Times New Roman"/>
          <w:sz w:val="14"/>
          <w:szCs w:val="14"/>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-635</wp:posOffset>
            </wp:positionV>
            <wp:extent cx="5505450" cy="1371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tabs>
          <w:tab w:leader="none" w:pos="8120" w:val="left"/>
          <w:tab w:leader="none" w:pos="9480" w:val="left"/>
        </w:tabs>
        <w:rPr>
          <w:sz w:val="20"/>
          <w:szCs w:val="20"/>
          <w:color w:val="auto"/>
        </w:rPr>
      </w:pPr>
      <w:r>
        <w:rPr>
          <w:rFonts w:ascii="Times New Roman" w:cs="Times New Roman" w:eastAsia="Times New Roman" w:hAnsi="Times New Roman"/>
          <w:sz w:val="18"/>
          <w:szCs w:val="18"/>
          <w:color w:val="auto"/>
        </w:rPr>
        <w:t>Issuance of preferred shares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18,845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4445</wp:posOffset>
            </wp:positionV>
            <wp:extent cx="29146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21590</wp:posOffset>
            </wp:positionV>
            <wp:extent cx="29146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4445</wp:posOffset>
            </wp:positionV>
            <wp:extent cx="55753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5793740</wp:posOffset>
            </wp:positionH>
            <wp:positionV relativeFrom="paragraph">
              <wp:posOffset>21590</wp:posOffset>
            </wp:positionV>
            <wp:extent cx="55753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31" w:lineRule="exact"/>
        <w:rPr>
          <w:sz w:val="20"/>
          <w:szCs w:val="20"/>
          <w:color w:val="auto"/>
        </w:rPr>
      </w:pPr>
    </w:p>
    <w:p>
      <w:pPr>
        <w:ind w:left="460" w:right="220"/>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there was no beneficial conversion feature attributable to the Series A, A-1, B, B-1, C, D and E preferred shares because the accounting conversion of these preferred shares upon issuance were higher than the fair value of the Company’s ordinary shares as determined by the Company with the assistance from an independent valuation.</w:t>
      </w:r>
    </w:p>
    <w:p>
      <w:pPr>
        <w:spacing w:after="0" w:line="321" w:lineRule="exact"/>
        <w:rPr>
          <w:sz w:val="20"/>
          <w:szCs w:val="20"/>
          <w:color w:val="auto"/>
        </w:rPr>
      </w:pPr>
    </w:p>
    <w:p>
      <w:pPr>
        <w:ind w:left="460" w:hanging="452"/>
        <w:spacing w:after="0"/>
        <w:tabs>
          <w:tab w:leader="none" w:pos="460"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ordinary shares</w:t>
      </w:r>
    </w:p>
    <w:p>
      <w:pPr>
        <w:spacing w:after="0" w:line="121" w:lineRule="exact"/>
        <w:rPr>
          <w:rFonts w:ascii="Times New Roman" w:cs="Times New Roman" w:eastAsia="Times New Roman" w:hAnsi="Times New Roman"/>
          <w:sz w:val="18"/>
          <w:szCs w:val="18"/>
          <w:b w:val="1"/>
          <w:bCs w:val="1"/>
          <w:color w:val="auto"/>
        </w:rPr>
      </w:pPr>
    </w:p>
    <w:p>
      <w:pPr>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30, 2014, concurrent with the issuance of Series D preferred shares to Investor D, the Company issued 742,320 ordinary shares to Investor D at US$16.17 per share, of which 99,022 shares were transferred from treasury shares held by the Company and 643,298 shares were newly issued shares. The aggregate consideration was US$12,000.</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260"/>
          </w:cols>
          <w:pgMar w:left="240" w:top="456" w:right="399" w:bottom="1440" w:gutter="0" w:footer="0" w:header="0"/>
        </w:sectPr>
      </w:pPr>
    </w:p>
    <w:bookmarkStart w:id="273" w:name="page274"/>
    <w:bookmarkEnd w:id="2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ordinary shares (Continued)</w:t>
      </w:r>
    </w:p>
    <w:p>
      <w:pPr>
        <w:spacing w:after="0" w:line="134" w:lineRule="exact"/>
        <w:rPr>
          <w:rFonts w:ascii="Times New Roman" w:cs="Times New Roman" w:eastAsia="Times New Roman" w:hAnsi="Times New Roman"/>
          <w:sz w:val="18"/>
          <w:szCs w:val="18"/>
          <w:b w:val="1"/>
          <w:bCs w:val="1"/>
          <w:color w:val="auto"/>
        </w:rPr>
      </w:pPr>
    </w:p>
    <w:p>
      <w:pPr>
        <w:ind w:left="46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Investor D shall have an option to require the Company to repurchase all of the ordinary shares if a qualified IPO is not consummated by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anniversary of the closing of sale and purchase of the Series D preferred shares. The redemption price shall equal to the issue price, plus accrued interest at a non-compound interest rate of 18% per annum for each of 2015 and 2016, and 12% per annum for 2017. The redeemable date of the ordinary shares was further changed to December 28, 2018 upon the completion of Series E Agreement. The change in value of such modification was insignificant.</w:t>
      </w:r>
    </w:p>
    <w:p>
      <w:pPr>
        <w:spacing w:after="0" w:line="75" w:lineRule="exact"/>
        <w:rPr>
          <w:rFonts w:ascii="Times New Roman" w:cs="Times New Roman" w:eastAsia="Times New Roman" w:hAnsi="Times New Roman"/>
          <w:sz w:val="18"/>
          <w:szCs w:val="18"/>
          <w:b w:val="1"/>
          <w:bCs w:val="1"/>
          <w:color w:val="auto"/>
        </w:rPr>
      </w:pPr>
    </w:p>
    <w:p>
      <w:pPr>
        <w:ind w:left="4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these ordinary shares are contingently redeemable, they are classified as mezzanine equity. The Company recognizes the accretion charge using the effective interest method.</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121" w:lineRule="exact"/>
        <w:rPr>
          <w:rFonts w:ascii="Times New Roman" w:cs="Times New Roman" w:eastAsia="Times New Roman" w:hAnsi="Times New Roman"/>
          <w:sz w:val="18"/>
          <w:szCs w:val="18"/>
          <w:b w:val="1"/>
          <w:bCs w:val="1"/>
          <w:color w:val="auto"/>
        </w:rPr>
      </w:pPr>
    </w:p>
    <w:p>
      <w:pPr>
        <w:ind w:left="4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Memorandum and Articles of Association authorizes the Company to issue 38,350,000 and 37,150,000 shares of US$0.001 par value per ordinary share as of December 31, 2015 and 2016, respectively.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Series A, B, C, D and E preferred shares representing a majority of the aggregate voting power of all outstanding shares. As of December 31, 2015 and 2016, there were 14,465,124 and 14,970,029 ordinary shares outstanding, respectively.</w:t>
      </w:r>
    </w:p>
    <w:p>
      <w:pPr>
        <w:spacing w:after="0" w:line="79" w:lineRule="exact"/>
        <w:rPr>
          <w:rFonts w:ascii="Times New Roman" w:cs="Times New Roman" w:eastAsia="Times New Roman" w:hAnsi="Times New Roman"/>
          <w:sz w:val="18"/>
          <w:szCs w:val="18"/>
          <w:b w:val="1"/>
          <w:bCs w:val="1"/>
          <w:color w:val="auto"/>
        </w:rPr>
      </w:pPr>
    </w:p>
    <w:p>
      <w:pPr>
        <w:ind w:left="460" w:right="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time the Company adopted the 2010 Employee Share Option Plan (the “2010 Share Option Plan”), the Company, together with the then shareholders, also decided to allot ordinary shares with par value of US$0.001 to Arda Holdings Limited (“Arda”), a British Virgin Islands company owned by the Group’s chairman and chief executive officer at no consideration. Arda will only hold these ordinary shares on trust for the benefit of the employees who are under the 2010 Share Option Plan and the dealing of these ordinary shares is under the direction of the board of directors of the Company. The Company considered Arda to be a variable interest entity as this entity has no equity at risk. The Company further considered that it is the primary beneficiary because the purchase of Arda is to hold treasury shares on behalf of the Company and the dealings of those transactions are under the direction of the Company’s board of directors. Given the structure of this arrangement, while these ordinary shares have been legally issued, they do not bear the attributes of unrestricted, issued and outstanding shares. Therefore, the ordinary shares issued to Arda are accounted for as treasury shares of the Company until these ordinary shares are earned by the Company’s employees, officers, directors or consultants for service provided to the Group. The Company allotted 627,811 shares during the year the 2010 Share Option Plan was adopted, and 1,293,364 and 788,459 shares during the year ended December 31, 2015 and 2016 to Arda. Arda does not hold any other assets or liabilities as at December 31, 2015 and 2016, nor earn any income nor incur any expenses for the years ended December 31, 2015 and 2016.</w:t>
      </w:r>
    </w:p>
    <w:p>
      <w:pPr>
        <w:spacing w:after="0" w:line="82" w:lineRule="exact"/>
        <w:rPr>
          <w:rFonts w:ascii="Times New Roman" w:cs="Times New Roman" w:eastAsia="Times New Roman" w:hAnsi="Times New Roman"/>
          <w:sz w:val="18"/>
          <w:szCs w:val="18"/>
          <w:b w:val="1"/>
          <w:bCs w:val="1"/>
          <w:color w:val="auto"/>
        </w:rPr>
      </w:pPr>
    </w:p>
    <w:p>
      <w:pPr>
        <w:ind w:left="460" w:right="4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the share allotted to Arda which are accounted for as treasury shares, the Company has also purchased certain ordinary shares from shareholders during the year ended December 31, 2015 and they are summarized as follows:</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4"/>
                <w:szCs w:val="14"/>
                <w:color w:val="auto"/>
              </w:rPr>
              <w:t>Purchase</w:t>
            </w:r>
          </w:p>
        </w:tc>
        <w:tc>
          <w:tcPr>
            <w:tcW w:w="640" w:type="dxa"/>
            <w:vAlign w:val="bottom"/>
          </w:tcPr>
          <w:p>
            <w:pPr>
              <w:spacing w:after="0"/>
              <w:rPr>
                <w:sz w:val="13"/>
                <w:szCs w:val="13"/>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Shares</w:t>
            </w:r>
          </w:p>
        </w:tc>
      </w:tr>
      <w:tr>
        <w:trPr>
          <w:trHeight w:val="185"/>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Purchase date</w:t>
            </w:r>
          </w:p>
        </w:tc>
        <w:tc>
          <w:tcPr>
            <w:tcW w:w="4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consideration</w:t>
            </w:r>
          </w:p>
        </w:tc>
        <w:tc>
          <w:tcPr>
            <w:tcW w:w="640" w:type="dxa"/>
            <w:vAlign w:val="bottom"/>
          </w:tcPr>
          <w:p>
            <w:pPr>
              <w:spacing w:after="0"/>
              <w:rPr>
                <w:sz w:val="16"/>
                <w:szCs w:val="16"/>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purchased</w:t>
            </w:r>
          </w:p>
        </w:tc>
      </w:tr>
      <w:tr>
        <w:trPr>
          <w:trHeight w:val="216"/>
        </w:trPr>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2015</w:t>
            </w:r>
          </w:p>
        </w:tc>
        <w:tc>
          <w:tcPr>
            <w:tcW w:w="40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6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484,286</w:t>
            </w:r>
          </w:p>
        </w:tc>
        <w:tc>
          <w:tcPr>
            <w:tcW w:w="60" w:type="dxa"/>
            <w:vAlign w:val="bottom"/>
            <w:shd w:val="clear" w:color="auto" w:fill="CCEEFF"/>
          </w:tcPr>
          <w:p>
            <w:pPr>
              <w:spacing w:after="0"/>
              <w:rPr>
                <w:sz w:val="18"/>
                <w:szCs w:val="18"/>
                <w:color w:val="auto"/>
              </w:rPr>
            </w:pPr>
          </w:p>
        </w:tc>
      </w:tr>
      <w:tr>
        <w:trPr>
          <w:trHeight w:val="20"/>
        </w:trPr>
        <w:tc>
          <w:tcPr>
            <w:tcW w:w="25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560" w:type="dxa"/>
            <w:vAlign w:val="bottom"/>
          </w:tcPr>
          <w:p>
            <w:pPr>
              <w:spacing w:after="0"/>
              <w:rPr>
                <w:sz w:val="24"/>
                <w:szCs w:val="24"/>
                <w:color w:val="auto"/>
              </w:rPr>
            </w:pPr>
          </w:p>
        </w:tc>
        <w:tc>
          <w:tcPr>
            <w:tcW w:w="4780" w:type="dxa"/>
            <w:vAlign w:val="bottom"/>
            <w:gridSpan w:val="2"/>
          </w:tcPr>
          <w:p>
            <w:pPr>
              <w:jc w:val="right"/>
              <w:ind w:right="2759"/>
              <w:spacing w:after="0"/>
              <w:rPr>
                <w:sz w:val="20"/>
                <w:szCs w:val="20"/>
                <w:color w:val="auto"/>
              </w:rPr>
            </w:pPr>
            <w:r>
              <w:rPr>
                <w:rFonts w:ascii="Times New Roman" w:cs="Times New Roman" w:eastAsia="Times New Roman" w:hAnsi="Times New Roman"/>
                <w:sz w:val="18"/>
                <w:szCs w:val="18"/>
                <w:color w:val="auto"/>
              </w:rPr>
              <w:t>F-53</w:t>
            </w: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456" w:right="259" w:bottom="1440" w:gutter="0" w:footer="0" w:header="0"/>
        </w:sectPr>
      </w:pPr>
    </w:p>
    <w:bookmarkStart w:id="274" w:name="page275"/>
    <w:bookmarkEnd w:id="2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00" w:lineRule="exact"/>
        <w:rPr>
          <w:sz w:val="20"/>
          <w:szCs w:val="20"/>
          <w:color w:val="auto"/>
        </w:rPr>
      </w:pPr>
    </w:p>
    <w:p>
      <w:pPr>
        <w:spacing w:after="0" w:line="30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19</w:t>
        <w:tab/>
        <w:t>Share-based compensation</w:t>
      </w:r>
    </w:p>
    <w:p>
      <w:pPr>
        <w:spacing w:after="0" w:line="135" w:lineRule="exact"/>
        <w:rPr>
          <w:sz w:val="20"/>
          <w:szCs w:val="20"/>
          <w:color w:val="auto"/>
        </w:rPr>
      </w:pPr>
    </w:p>
    <w:p>
      <w:pPr>
        <w:ind w:left="460" w:hanging="452"/>
        <w:spacing w:after="0"/>
        <w:tabs>
          <w:tab w:leader="none" w:pos="46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plan</w:t>
      </w:r>
    </w:p>
    <w:p>
      <w:pPr>
        <w:spacing w:after="0" w:line="117" w:lineRule="exact"/>
        <w:rPr>
          <w:rFonts w:ascii="Times New Roman" w:cs="Times New Roman" w:eastAsia="Times New Roman" w:hAnsi="Times New Roman"/>
          <w:sz w:val="18"/>
          <w:szCs w:val="18"/>
          <w:color w:val="auto"/>
        </w:rPr>
      </w:pPr>
    </w:p>
    <w:p>
      <w:pPr>
        <w:ind w:left="460" w:right="5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2010 Share Option Plan provides for the grant of incentive share options to the Company’s employees, officers, directors or consultants. The Company’s board of directors administers the 2010 Share Option Plan, selects the individuals to whom options will be granted, determines the number of options to be granted, and the term and exercise price of each option.</w:t>
      </w:r>
    </w:p>
    <w:p>
      <w:pPr>
        <w:spacing w:after="0" w:line="68" w:lineRule="exact"/>
        <w:rPr>
          <w:rFonts w:ascii="Times New Roman" w:cs="Times New Roman" w:eastAsia="Times New Roman" w:hAnsi="Times New Roman"/>
          <w:sz w:val="18"/>
          <w:szCs w:val="18"/>
          <w:color w:val="auto"/>
        </w:rPr>
      </w:pPr>
    </w:p>
    <w:p>
      <w:pPr>
        <w:ind w:left="46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2015 and 2016, the Company granted share options to non-employees, employees, officers and directors of the Group. These options were granted with exercise prices denominated in the US$, which is the functional currency of the Company. The table below sets forth information regarding share options granted over the years:</w:t>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color w:val="auto"/>
              </w:rPr>
              <w:t>Vesting</w:t>
            </w:r>
          </w:p>
        </w:tc>
        <w:tc>
          <w:tcPr>
            <w:tcW w:w="880" w:type="dxa"/>
            <w:vAlign w:val="bottom"/>
          </w:tcPr>
          <w:p>
            <w:pPr>
              <w:jc w:val="center"/>
              <w:ind w:left="13"/>
              <w:spacing w:after="0"/>
              <w:rPr>
                <w:sz w:val="20"/>
                <w:szCs w:val="20"/>
                <w:color w:val="auto"/>
              </w:rPr>
            </w:pPr>
            <w:r>
              <w:rPr>
                <w:rFonts w:ascii="Times New Roman" w:cs="Times New Roman" w:eastAsia="Times New Roman" w:hAnsi="Times New Roman"/>
                <w:sz w:val="14"/>
                <w:szCs w:val="14"/>
                <w:color w:val="auto"/>
              </w:rPr>
              <w:t>Exercise</w:t>
            </w:r>
          </w:p>
        </w:tc>
        <w:tc>
          <w:tcPr>
            <w:tcW w:w="0" w:type="dxa"/>
            <w:vAlign w:val="bottom"/>
          </w:tcPr>
          <w:p>
            <w:pPr>
              <w:spacing w:after="0"/>
              <w:rPr>
                <w:sz w:val="1"/>
                <w:szCs w:val="1"/>
                <w:color w:val="auto"/>
              </w:rPr>
            </w:pPr>
          </w:p>
        </w:tc>
      </w:tr>
      <w:tr>
        <w:trPr>
          <w:trHeight w:val="144"/>
        </w:trPr>
        <w:tc>
          <w:tcPr>
            <w:tcW w:w="4540" w:type="dxa"/>
            <w:vAlign w:val="bottom"/>
          </w:tcPr>
          <w:p>
            <w:pPr>
              <w:spacing w:after="0"/>
              <w:rPr>
                <w:sz w:val="12"/>
                <w:szCs w:val="12"/>
                <w:color w:val="auto"/>
              </w:rPr>
            </w:pPr>
          </w:p>
        </w:tc>
        <w:tc>
          <w:tcPr>
            <w:tcW w:w="34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color w:val="auto"/>
              </w:rPr>
              <w:t>Number of</w:t>
            </w:r>
          </w:p>
        </w:tc>
        <w:tc>
          <w:tcPr>
            <w:tcW w:w="80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color w:val="auto"/>
              </w:rPr>
              <w:t>Term</w:t>
            </w:r>
          </w:p>
        </w:tc>
        <w:tc>
          <w:tcPr>
            <w:tcW w:w="820" w:type="dxa"/>
            <w:vAlign w:val="bottom"/>
            <w:vMerge w:val="continue"/>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price at</w:t>
            </w:r>
          </w:p>
        </w:tc>
        <w:tc>
          <w:tcPr>
            <w:tcW w:w="0" w:type="dxa"/>
            <w:vAlign w:val="bottom"/>
          </w:tcPr>
          <w:p>
            <w:pPr>
              <w:spacing w:after="0"/>
              <w:rPr>
                <w:sz w:val="1"/>
                <w:szCs w:val="1"/>
                <w:color w:val="auto"/>
              </w:rPr>
            </w:pPr>
          </w:p>
        </w:tc>
      </w:tr>
      <w:tr>
        <w:trPr>
          <w:trHeight w:val="149"/>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Grant Date</w:t>
            </w:r>
          </w:p>
        </w:tc>
        <w:tc>
          <w:tcPr>
            <w:tcW w:w="346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20" w:type="dxa"/>
            <w:vAlign w:val="bottom"/>
          </w:tcPr>
          <w:p>
            <w:pPr>
              <w:jc w:val="right"/>
              <w:ind w:right="152"/>
              <w:spacing w:after="0" w:line="149" w:lineRule="exact"/>
              <w:rPr>
                <w:sz w:val="20"/>
                <w:szCs w:val="20"/>
                <w:color w:val="auto"/>
              </w:rPr>
            </w:pPr>
            <w:r>
              <w:rPr>
                <w:rFonts w:ascii="Times New Roman" w:cs="Times New Roman" w:eastAsia="Times New Roman" w:hAnsi="Times New Roman"/>
                <w:sz w:val="14"/>
                <w:szCs w:val="14"/>
                <w:color w:val="auto"/>
              </w:rPr>
              <w:t>period</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grant date</w:t>
            </w:r>
          </w:p>
        </w:tc>
        <w:tc>
          <w:tcPr>
            <w:tcW w:w="0" w:type="dxa"/>
            <w:vAlign w:val="bottom"/>
          </w:tcPr>
          <w:p>
            <w:pPr>
              <w:spacing w:after="0"/>
              <w:rPr>
                <w:sz w:val="1"/>
                <w:szCs w:val="1"/>
                <w:color w:val="auto"/>
              </w:rPr>
            </w:pPr>
          </w:p>
        </w:tc>
      </w:tr>
      <w:tr>
        <w:trPr>
          <w:trHeight w:val="176"/>
        </w:trPr>
        <w:tc>
          <w:tcPr>
            <w:tcW w:w="4540" w:type="dxa"/>
            <w:vAlign w:val="bottom"/>
            <w:vMerge w:val="continue"/>
          </w:tcPr>
          <w:p>
            <w:pPr>
              <w:spacing w:after="0"/>
              <w:rPr>
                <w:sz w:val="15"/>
                <w:szCs w:val="15"/>
                <w:color w:val="auto"/>
              </w:rPr>
            </w:pPr>
          </w:p>
        </w:tc>
        <w:tc>
          <w:tcPr>
            <w:tcW w:w="346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shares</w:t>
            </w:r>
          </w:p>
        </w:tc>
        <w:tc>
          <w:tcPr>
            <w:tcW w:w="8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(year)</w:t>
            </w: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(year)</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6,000</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January 1, 2015 (Note ii)</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18,500</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0.16</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2015 (Note ii)</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11,938</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January 1, 2015</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206,845</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2015 (Note i)</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10.17</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June 30, 2015</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36,000</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6, 2015</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25,000</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July 6, 2015</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15,000</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11.25</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 (Note iii)</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58,058</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0.3224</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August 1, 2015 (Note iv)</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25,308</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0.4299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 (Note v)</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7,444</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0.8598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August 1, 2015 (Note vi)</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49,871</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1.0748</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 (Note vii)</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32,750</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August 1, 2015 (Note vii)</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10,421</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0.4299</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 (Note viii)</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82,995</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August 1, 2015 (Note ix)</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11,165</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0.2687</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 (Note x)</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78,156</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August 1, 2015 (Note xi)</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147,007</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4.0304</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 (Note xii)</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21,884</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113,311</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2016</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32,200</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April 1, 2016</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79,116</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10.25</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2016</w:t>
            </w:r>
          </w:p>
        </w:tc>
        <w:tc>
          <w:tcPr>
            <w:tcW w:w="34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10.00</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July 1, 2016</w:t>
            </w:r>
          </w:p>
        </w:tc>
        <w:tc>
          <w:tcPr>
            <w:tcW w:w="34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w:t>
            </w:r>
          </w:p>
        </w:tc>
        <w:tc>
          <w:tcPr>
            <w:tcW w:w="8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10.00</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920" w:hanging="574"/>
        <w:spacing w:after="0" w:line="261" w:lineRule="auto"/>
        <w:tabs>
          <w:tab w:leader="none" w:pos="9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modified certain terms of the options previously granted which these modifications were related to either the vesting period or the exercise price. The incremental costs resulting from such modifications were assessed to be insignificant.</w:t>
      </w:r>
    </w:p>
    <w:p>
      <w:pPr>
        <w:ind w:left="920" w:right="440" w:hanging="574"/>
        <w:spacing w:after="0" w:line="261" w:lineRule="auto"/>
        <w:tabs>
          <w:tab w:leader="none" w:pos="9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 options were granted to employees for their past services and immediately vested on grant date. The holders of the options are entitled to exercise the vested options during January 1, 2015 to February 28, 2015.</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340"/>
          </w:cols>
          <w:pgMar w:left="240" w:top="455" w:right="319" w:bottom="1440" w:gutter="0" w:footer="0" w:header="0"/>
        </w:sectPr>
      </w:pPr>
    </w:p>
    <w:bookmarkStart w:id="275" w:name="page276"/>
    <w:bookmarkEnd w:id="2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plan (Continued)</w:t>
      </w:r>
    </w:p>
    <w:p>
      <w:pPr>
        <w:spacing w:after="0" w:line="130" w:lineRule="exact"/>
        <w:rPr>
          <w:rFonts w:ascii="Times New Roman" w:cs="Times New Roman" w:eastAsia="Times New Roman" w:hAnsi="Times New Roman"/>
          <w:sz w:val="18"/>
          <w:szCs w:val="18"/>
          <w:color w:val="auto"/>
        </w:rPr>
      </w:pPr>
    </w:p>
    <w:p>
      <w:pPr>
        <w:ind w:left="920" w:right="100" w:hanging="574"/>
        <w:spacing w:after="0" w:line="257" w:lineRule="auto"/>
        <w:tabs>
          <w:tab w:leader="none" w:pos="92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58.33% of the options were vested on August 1, 2015 and the remaining 41.67% of the options are vested over a 1.67 years period starting from August 1, 2015 to March 31,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ind w:left="920" w:right="100" w:hanging="574"/>
        <w:spacing w:after="0" w:line="250" w:lineRule="auto"/>
        <w:tabs>
          <w:tab w:leader="none" w:pos="92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56.25% of the options were vested on August 1, 2015 and the remaining 43.75% of the options are vested over a 1.75 years period starting from August 1, 2015 to April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ind w:left="920" w:right="100" w:hanging="574"/>
        <w:spacing w:after="0" w:line="250" w:lineRule="auto"/>
        <w:tabs>
          <w:tab w:leader="none" w:pos="92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43.75% of the options were vested on August 1, 2015 and the remaining 56.25% of the options are vested over a 2.25 years period starting from August 1, 2015 to October 31,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ind w:left="920" w:right="40" w:hanging="574"/>
        <w:spacing w:after="0" w:line="250" w:lineRule="auto"/>
        <w:tabs>
          <w:tab w:leader="none" w:pos="92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41.67% of the options were vested on August 1, 2015 and the remaining 58.3% of the options are vested over a 2.33 years period starting from August 1, 2015 to November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ind w:left="920" w:right="100" w:hanging="574"/>
        <w:spacing w:after="0" w:line="250" w:lineRule="auto"/>
        <w:tabs>
          <w:tab w:leader="none" w:pos="92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33.67% of the options were vested on August 1, 2015 and the remaining 66.33% of the options are vested over a 2.67 years period starting from August 1, 2015 to March 31, 2018.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jc w:val="both"/>
        <w:ind w:left="920" w:right="40" w:hanging="574"/>
        <w:spacing w:after="0" w:line="250" w:lineRule="auto"/>
        <w:tabs>
          <w:tab w:leader="none" w:pos="92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16.67% of the options were vested on August 1, 2015 and the remaining 83.33% of the options are vested over a 3.33 years period starting from August 1, 2015 to November 30, 2018.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jc w:val="both"/>
        <w:ind w:left="920" w:right="60" w:hanging="574"/>
        <w:spacing w:after="0" w:line="250" w:lineRule="auto"/>
        <w:tabs>
          <w:tab w:leader="none" w:pos="92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14.58% of the options were vested on August 1, 2015 and the remaining 85.42% of the options are vested over a 3.42 years period starting from August 1, 2015 to December 31, 2018.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ind w:left="920" w:right="180" w:hanging="574"/>
        <w:spacing w:after="0" w:line="250" w:lineRule="auto"/>
        <w:tabs>
          <w:tab w:leader="none" w:pos="92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8.33% of the options were vested on August 1, 2015 and the remaining 91.67% of the options are vested over a 3.67 years period starting from August 1, 2015 to March 31, 2019.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ind w:left="920" w:right="180" w:hanging="574"/>
        <w:spacing w:after="0" w:line="250" w:lineRule="auto"/>
        <w:tabs>
          <w:tab w:leader="none" w:pos="92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4.17% of the options were vested on August 1, 2015 and the remaining 95.83% of the options are vested over a 3.83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ind w:left="920" w:hanging="574"/>
        <w:spacing w:after="0" w:line="255" w:lineRule="auto"/>
        <w:tabs>
          <w:tab w:leader="none" w:pos="92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are vested over a 4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380"/>
          </w:cols>
          <w:pgMar w:left="240" w:top="456" w:right="279" w:bottom="1440" w:gutter="0" w:footer="0" w:header="0"/>
        </w:sectPr>
      </w:pPr>
    </w:p>
    <w:bookmarkStart w:id="276" w:name="page277"/>
    <w:bookmarkEnd w:id="2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plan (Continued)</w:t>
      </w:r>
    </w:p>
    <w:p>
      <w:pPr>
        <w:spacing w:after="0" w:line="13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share option activity for the years ended December 31, 2015 and 2016:</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Weighted</w:t>
            </w: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color w:val="auto"/>
                <w:w w:val="99"/>
              </w:rPr>
              <w:t>Weighted</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color w:val="auto"/>
                <w:w w:val="99"/>
              </w:rPr>
              <w:t>Weighted</w:t>
            </w: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000" w:type="dxa"/>
            <w:vAlign w:val="bottom"/>
            <w:gridSpan w:val="2"/>
            <w:vMerge w:val="continue"/>
          </w:tcPr>
          <w:p>
            <w:pPr>
              <w:spacing w:after="0"/>
              <w:rPr>
                <w:sz w:val="12"/>
                <w:szCs w:val="12"/>
                <w:color w:val="auto"/>
              </w:rPr>
            </w:pPr>
          </w:p>
        </w:tc>
        <w:tc>
          <w:tcPr>
            <w:tcW w:w="6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Aggregate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w w:val="97"/>
              </w:rPr>
              <w:t>grant</w:t>
            </w:r>
          </w:p>
        </w:tc>
        <w:tc>
          <w:tcPr>
            <w:tcW w:w="100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rPr>
              <w:t>average</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2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Number of</w:t>
            </w:r>
          </w:p>
        </w:tc>
        <w:tc>
          <w:tcPr>
            <w:tcW w:w="9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date fair</w:t>
            </w: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exercise</w:t>
            </w:r>
          </w:p>
        </w:tc>
        <w:tc>
          <w:tcPr>
            <w:tcW w:w="9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value</w:t>
            </w:r>
          </w:p>
        </w:tc>
        <w:tc>
          <w:tcPr>
            <w:tcW w:w="100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w w:val="99"/>
              </w:rPr>
              <w:t>contractual</w:t>
            </w: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price ($)</w:t>
            </w: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(US$)</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life (years)</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2015</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876,052</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5.13</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8.22</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967,653</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4.58</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14.66</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(127,997)</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2.91</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(123,265)</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6.12</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1,592,443</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23,641</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At January 1, 2016</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1,592,443</w:t>
            </w:r>
          </w:p>
        </w:tc>
        <w:tc>
          <w:tcPr>
            <w:tcW w:w="4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122,316</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10.42</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13.81</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(68,135)</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2.51</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(154,439)</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7.14</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2016</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1,492,185</w:t>
            </w:r>
          </w:p>
        </w:tc>
        <w:tc>
          <w:tcPr>
            <w:tcW w:w="4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34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2016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1,083,293</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4.25</w:t>
            </w: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9.64</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7.15</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14,494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Exercisable to vest at December 31, 2016</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928,597</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3.68</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10.77</w:t>
            </w: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7.44</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12,615</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460" w:right="20"/>
        <w:spacing w:after="0" w:line="266" w:lineRule="auto"/>
        <w:rPr>
          <w:sz w:val="20"/>
          <w:szCs w:val="20"/>
          <w:color w:val="auto"/>
        </w:rPr>
      </w:pPr>
      <w:r>
        <w:rPr>
          <w:rFonts w:ascii="Times New Roman" w:cs="Times New Roman" w:eastAsia="Times New Roman" w:hAnsi="Times New Roman"/>
          <w:sz w:val="18"/>
          <w:szCs w:val="18"/>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34% and 9% for employees and 26% and 0% for senior management in 2015 and 2016 respectively.</w:t>
      </w:r>
    </w:p>
    <w:p>
      <w:pPr>
        <w:spacing w:after="0" w:line="68" w:lineRule="exact"/>
        <w:rPr>
          <w:sz w:val="20"/>
          <w:szCs w:val="20"/>
          <w:color w:val="auto"/>
        </w:rPr>
      </w:pPr>
    </w:p>
    <w:p>
      <w:pPr>
        <w:ind w:left="460" w:right="440"/>
        <w:spacing w:after="0" w:line="282"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difference between the estimated fair value of the Company’s ordinary shares as of December 31, 2015 and 2016 and the exercise price.</w:t>
      </w:r>
    </w:p>
    <w:p>
      <w:pPr>
        <w:spacing w:after="0" w:line="54" w:lineRule="exact"/>
        <w:rPr>
          <w:sz w:val="20"/>
          <w:szCs w:val="20"/>
          <w:color w:val="auto"/>
        </w:rPr>
      </w:pPr>
    </w:p>
    <w:p>
      <w:pPr>
        <w:ind w:left="460" w:right="140"/>
        <w:spacing w:after="0" w:line="266" w:lineRule="auto"/>
        <w:rPr>
          <w:sz w:val="20"/>
          <w:szCs w:val="20"/>
          <w:color w:val="auto"/>
        </w:rPr>
      </w:pPr>
      <w:r>
        <w:rPr>
          <w:rFonts w:ascii="Times New Roman" w:cs="Times New Roman" w:eastAsia="Times New Roman" w:hAnsi="Times New Roman"/>
          <w:sz w:val="18"/>
          <w:szCs w:val="18"/>
          <w:color w:val="auto"/>
        </w:rPr>
        <w:t>All share-based payments to employees are measured based on their grant-date fair values. Compensation expense is recognized based on the vesting schedule over the requisite service period. Total fair values of options vested and recognized as expenses as of December 31, 2015 and 2016 were US$6,494 and US$3,688 respectively.</w:t>
      </w:r>
    </w:p>
    <w:p>
      <w:pPr>
        <w:spacing w:after="0" w:line="68"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color w:val="auto"/>
        </w:rPr>
        <w:t>As of December 31, 2015 and 2016, there were 150,000 share options granted to certain employees which the vesting was subject to the earlier occurrence of any of the following events, either: the Company being approved to be listed on a stock exchange with an expected market capitalization of no less than US$500,000; or (ii) a merger or acquisition of the Company or any of its subsidiaries at a valuation of US$500,000 or above in which the shareholders of the Company shall no longer hold a majority of the outstanding shares of the surviving corporation; or (iii) the Company achieves a gross profit of US$50,000, for the financial year ended December 31, 2015.</w:t>
      </w:r>
    </w:p>
    <w:p>
      <w:pPr>
        <w:spacing w:after="0" w:line="76" w:lineRule="exact"/>
        <w:rPr>
          <w:sz w:val="20"/>
          <w:szCs w:val="20"/>
          <w:color w:val="auto"/>
        </w:rPr>
      </w:pPr>
    </w:p>
    <w:p>
      <w:pPr>
        <w:ind w:left="460" w:right="40"/>
        <w:spacing w:after="0" w:line="289" w:lineRule="auto"/>
        <w:rPr>
          <w:sz w:val="20"/>
          <w:szCs w:val="20"/>
          <w:color w:val="auto"/>
        </w:rPr>
      </w:pPr>
      <w:r>
        <w:rPr>
          <w:rFonts w:ascii="Times New Roman" w:cs="Times New Roman" w:eastAsia="Times New Roman" w:hAnsi="Times New Roman"/>
          <w:sz w:val="17"/>
          <w:szCs w:val="17"/>
          <w:color w:val="auto"/>
        </w:rPr>
        <w:t>As of December 31, 2015 and 2016, there were US$5,439 and US$5,647 of unrecognized share-based compensation expenses related to share options, which were expected to be recognized over a weighted-average vesting period of 2.51 and 2.20 years, respectively. To the extent the actual forfeiture rate is different from the Company’s estimate, the actual share-based compensation related to these awards may be different from the expectation.</w:t>
      </w:r>
    </w:p>
    <w:p>
      <w:pPr>
        <w:spacing w:after="0" w:line="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360"/>
          </w:cols>
          <w:pgMar w:left="240" w:top="455" w:right="299" w:bottom="1440" w:gutter="0" w:footer="0" w:header="0"/>
        </w:sectPr>
      </w:pPr>
    </w:p>
    <w:bookmarkStart w:id="277" w:name="page278"/>
    <w:bookmarkEnd w:id="2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plan (Continued)</w:t>
      </w:r>
    </w:p>
    <w:p>
      <w:pPr>
        <w:spacing w:after="0" w:line="130" w:lineRule="exact"/>
        <w:rPr>
          <w:rFonts w:ascii="Times New Roman" w:cs="Times New Roman" w:eastAsia="Times New Roman" w:hAnsi="Times New Roman"/>
          <w:sz w:val="18"/>
          <w:szCs w:val="18"/>
          <w:color w:val="auto"/>
        </w:rPr>
      </w:pPr>
    </w:p>
    <w:p>
      <w:pPr>
        <w:ind w:left="46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binomial option pricing model is used to determine the fair value of the share options granted to employees and non-employees. The fair values of share options granted during the years ended December 31, 2015 and 2016 were estimated using the following assumptions: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4000" w:type="dxa"/>
            <w:vAlign w:val="bottom"/>
            <w:vMerge w:val="restart"/>
          </w:tcPr>
          <w:p>
            <w:pPr>
              <w:jc w:val="center"/>
              <w:ind w:left="2494"/>
              <w:spacing w:after="0"/>
              <w:rPr>
                <w:sz w:val="20"/>
                <w:szCs w:val="20"/>
                <w:color w:val="auto"/>
              </w:rPr>
            </w:pPr>
            <w:r>
              <w:rPr>
                <w:rFonts w:ascii="Times New Roman" w:cs="Times New Roman" w:eastAsia="Times New Roman" w:hAnsi="Times New Roman"/>
                <w:sz w:val="14"/>
                <w:szCs w:val="14"/>
                <w:color w:val="auto"/>
              </w:rPr>
              <w:t>Risk-free</w:t>
            </w:r>
          </w:p>
        </w:tc>
        <w:tc>
          <w:tcPr>
            <w:tcW w:w="112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color w:val="auto"/>
                <w:w w:val="99"/>
              </w:rPr>
              <w:t>Dividend</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Volatility</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Expected</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40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20" w:type="dxa"/>
            <w:vAlign w:val="bottom"/>
          </w:tcPr>
          <w:p>
            <w:pPr>
              <w:jc w:val="right"/>
              <w:ind w:right="115"/>
              <w:spacing w:after="0" w:line="149" w:lineRule="exact"/>
              <w:rPr>
                <w:sz w:val="20"/>
                <w:szCs w:val="20"/>
                <w:color w:val="auto"/>
              </w:rPr>
            </w:pPr>
            <w:r>
              <w:rPr>
                <w:rFonts w:ascii="Times New Roman" w:cs="Times New Roman" w:eastAsia="Times New Roman" w:hAnsi="Times New Roman"/>
                <w:sz w:val="14"/>
                <w:szCs w:val="14"/>
                <w:color w:val="auto"/>
              </w:rPr>
              <w:t>term</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4000" w:type="dxa"/>
            <w:vAlign w:val="bottom"/>
          </w:tcPr>
          <w:p>
            <w:pPr>
              <w:jc w:val="center"/>
              <w:ind w:left="2494"/>
              <w:spacing w:after="0" w:line="149" w:lineRule="exact"/>
              <w:rPr>
                <w:sz w:val="20"/>
                <w:szCs w:val="20"/>
                <w:color w:val="auto"/>
              </w:rPr>
            </w:pPr>
            <w:r>
              <w:rPr>
                <w:rFonts w:ascii="Times New Roman" w:cs="Times New Roman" w:eastAsia="Times New Roman" w:hAnsi="Times New Roman"/>
                <w:sz w:val="14"/>
                <w:szCs w:val="14"/>
                <w:color w:val="auto"/>
              </w:rPr>
              <w:t>interest rate</w:t>
            </w:r>
          </w:p>
        </w:tc>
        <w:tc>
          <w:tcPr>
            <w:tcW w:w="112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color w:val="auto"/>
                <w:w w:val="99"/>
              </w:rPr>
              <w:t>yield</w:t>
            </w:r>
          </w:p>
        </w:tc>
        <w:tc>
          <w:tcPr>
            <w:tcW w:w="112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rPr>
              <w:t>rate</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(in years)</w:t>
            </w:r>
          </w:p>
        </w:tc>
        <w:tc>
          <w:tcPr>
            <w:tcW w:w="0" w:type="dxa"/>
            <w:vAlign w:val="bottom"/>
          </w:tcPr>
          <w:p>
            <w:pPr>
              <w:spacing w:after="0"/>
              <w:rPr>
                <w:sz w:val="1"/>
                <w:szCs w:val="1"/>
                <w:color w:val="auto"/>
              </w:rPr>
            </w:pPr>
          </w:p>
        </w:tc>
      </w:tr>
      <w:tr>
        <w:trPr>
          <w:trHeight w:val="185"/>
        </w:trPr>
        <w:tc>
          <w:tcPr>
            <w:tcW w:w="4360" w:type="dxa"/>
            <w:vAlign w:val="bottom"/>
          </w:tcPr>
          <w:p>
            <w:pPr>
              <w:spacing w:after="0"/>
              <w:rPr>
                <w:sz w:val="20"/>
                <w:szCs w:val="20"/>
                <w:color w:val="auto"/>
              </w:rPr>
            </w:pPr>
            <w:r>
              <w:rPr>
                <w:rFonts w:ascii="Times New Roman" w:cs="Times New Roman" w:eastAsia="Times New Roman" w:hAnsi="Times New Roman"/>
                <w:sz w:val="14"/>
                <w:szCs w:val="14"/>
                <w:color w:val="auto"/>
              </w:rPr>
              <w:t>Grant Date</w:t>
            </w:r>
          </w:p>
        </w:tc>
        <w:tc>
          <w:tcPr>
            <w:tcW w:w="4000" w:type="dxa"/>
            <w:vAlign w:val="bottom"/>
          </w:tcPr>
          <w:p>
            <w:pPr>
              <w:jc w:val="center"/>
              <w:ind w:left="2494"/>
              <w:spacing w:after="0"/>
              <w:rPr>
                <w:sz w:val="20"/>
                <w:szCs w:val="20"/>
                <w:color w:val="auto"/>
              </w:rPr>
            </w:pPr>
            <w:r>
              <w:rPr>
                <w:rFonts w:ascii="Times New Roman" w:cs="Times New Roman" w:eastAsia="Times New Roman" w:hAnsi="Times New Roman"/>
                <w:sz w:val="14"/>
                <w:szCs w:val="14"/>
                <w:color w:val="auto"/>
              </w:rPr>
              <w:t>(Note i)</w:t>
            </w:r>
          </w:p>
        </w:tc>
        <w:tc>
          <w:tcPr>
            <w:tcW w:w="1120" w:type="dxa"/>
            <w:vAlign w:val="bottom"/>
          </w:tcPr>
          <w:p>
            <w:pPr>
              <w:jc w:val="center"/>
              <w:ind w:right="74"/>
              <w:spacing w:after="0"/>
              <w:rPr>
                <w:sz w:val="20"/>
                <w:szCs w:val="20"/>
                <w:color w:val="auto"/>
              </w:rPr>
            </w:pPr>
            <w:r>
              <w:rPr>
                <w:rFonts w:ascii="Times New Roman" w:cs="Times New Roman" w:eastAsia="Times New Roman" w:hAnsi="Times New Roman"/>
                <w:sz w:val="14"/>
                <w:szCs w:val="14"/>
                <w:color w:val="auto"/>
              </w:rPr>
              <w:t>(Note ii)</w:t>
            </w:r>
          </w:p>
        </w:tc>
        <w:tc>
          <w:tcPr>
            <w:tcW w:w="1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(Note iii)</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(Note iv)</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2015</w:t>
            </w:r>
          </w:p>
        </w:tc>
        <w:tc>
          <w:tcPr>
            <w:tcW w:w="4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0.09%</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47.34%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January 1, 2015</w:t>
            </w:r>
          </w:p>
        </w:tc>
        <w:tc>
          <w:tcPr>
            <w:tcW w:w="40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2.37%</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53.47%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2015</w:t>
            </w:r>
          </w:p>
        </w:tc>
        <w:tc>
          <w:tcPr>
            <w:tcW w:w="4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1.88%</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54.55%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June 30, 2015</w:t>
            </w:r>
          </w:p>
        </w:tc>
        <w:tc>
          <w:tcPr>
            <w:tcW w:w="40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2.57%</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52.87%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6, 2015</w:t>
            </w:r>
          </w:p>
        </w:tc>
        <w:tc>
          <w:tcPr>
            <w:tcW w:w="4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2.53%</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52.60%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July 6, 2015</w:t>
            </w:r>
          </w:p>
        </w:tc>
        <w:tc>
          <w:tcPr>
            <w:tcW w:w="40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2.58%</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52.64%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w:t>
            </w:r>
          </w:p>
        </w:tc>
        <w:tc>
          <w:tcPr>
            <w:tcW w:w="4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2.34%</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52.78%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40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2.52%</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55.54%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2016</w:t>
            </w:r>
          </w:p>
        </w:tc>
        <w:tc>
          <w:tcPr>
            <w:tcW w:w="40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2.00%</w:t>
            </w:r>
          </w:p>
        </w:tc>
        <w:tc>
          <w:tcPr>
            <w:tcW w:w="11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49.37%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July 1, 2016</w:t>
            </w:r>
          </w:p>
        </w:tc>
        <w:tc>
          <w:tcPr>
            <w:tcW w:w="40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1.62%</w:t>
            </w: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50.52%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900" w:right="500" w:hanging="446"/>
        <w:spacing w:after="0" w:line="261" w:lineRule="auto"/>
        <w:tabs>
          <w:tab w:leader="none" w:pos="90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of periods within the contractual life of the share option is based on the yield of US Treasury Strips sourced from Bloomberg as of the valuation dates.</w:t>
      </w:r>
    </w:p>
    <w:p>
      <w:pPr>
        <w:ind w:left="900" w:hanging="446"/>
        <w:spacing w:after="0"/>
        <w:tabs>
          <w:tab w:leader="none" w:pos="90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history or expectation of paying dividends on its ordinary shares.</w:t>
      </w:r>
    </w:p>
    <w:p>
      <w:pPr>
        <w:spacing w:after="0" w:line="9" w:lineRule="exact"/>
        <w:rPr>
          <w:rFonts w:ascii="Times New Roman" w:cs="Times New Roman" w:eastAsia="Times New Roman" w:hAnsi="Times New Roman"/>
          <w:sz w:val="18"/>
          <w:szCs w:val="18"/>
          <w:color w:val="auto"/>
        </w:rPr>
      </w:pPr>
    </w:p>
    <w:p>
      <w:pPr>
        <w:ind w:left="900" w:right="700" w:hanging="446"/>
        <w:spacing w:after="0" w:line="250" w:lineRule="auto"/>
        <w:tabs>
          <w:tab w:leader="none" w:pos="90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is estimated based on the average of historical volatilities of the comparable companies in the same industry as at the valuation dates.</w:t>
      </w:r>
    </w:p>
    <w:p>
      <w:pPr>
        <w:ind w:left="900" w:right="100" w:hanging="446"/>
        <w:spacing w:after="0" w:line="255" w:lineRule="auto"/>
        <w:tabs>
          <w:tab w:leader="none" w:pos="90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to expire is assumed to be the option’s contractual term while early exercise multiples, being 2.2x and 2.8x for general staff and management staff, respectively, and post-vesting employment termination behavior have been factored into the model to derive the fair values of the share options.</w:t>
      </w:r>
    </w:p>
    <w:p>
      <w:pPr>
        <w:spacing w:after="0" w:line="334"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of shares from a shareholder</w:t>
      </w:r>
    </w:p>
    <w:p>
      <w:pPr>
        <w:spacing w:after="0" w:line="117" w:lineRule="exact"/>
        <w:rPr>
          <w:rFonts w:ascii="Times New Roman" w:cs="Times New Roman" w:eastAsia="Times New Roman" w:hAnsi="Times New Roman"/>
          <w:sz w:val="18"/>
          <w:szCs w:val="18"/>
          <w:color w:val="auto"/>
        </w:rPr>
      </w:pPr>
    </w:p>
    <w:p>
      <w:pPr>
        <w:ind w:left="46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2015, the Company repurchased 318,931 shares from a shareholder with an amount of US$4,138 who is also an employee of the Company. The excess of the consideration paid over the fair value of the shares amounting to US$179 was recognized as expenses as of December 31, 2015.</w:t>
      </w:r>
    </w:p>
    <w:p>
      <w:pPr>
        <w:spacing w:after="0" w:line="31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shares to certain employees with performance conditions</w:t>
      </w:r>
    </w:p>
    <w:p>
      <w:pPr>
        <w:spacing w:after="0" w:line="117" w:lineRule="exact"/>
        <w:rPr>
          <w:rFonts w:ascii="Times New Roman" w:cs="Times New Roman" w:eastAsia="Times New Roman" w:hAnsi="Times New Roman"/>
          <w:sz w:val="18"/>
          <w:szCs w:val="18"/>
          <w:color w:val="auto"/>
        </w:rPr>
      </w:pPr>
    </w:p>
    <w:p>
      <w:pPr>
        <w:ind w:left="460" w:right="1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28, 2016, the Company authorized and communicated the issuance of restricted ordinary shares of 1,068,114 and 801,086 of the Company to certain employees upon fulfillment of certain performance conditions for the fiscal years of 2017 and 2018, respectively and these employees have to be remained employed by the Company. Considering the likelihood of achieving the performance conditions are not probable as of December 31, 2016, no share-based compensation expense has been recorded. Total fair value of these shares were US$32,869. Significant factors, assumptions and methodologies used in determining the business valuation include applying the discounted cash flow approach, and such approach involves certain significant estimates. They are terminal growth rate of 3.0%, weighted average cost 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420"/>
          </w:cols>
          <w:pgMar w:left="240" w:top="456" w:right="239" w:bottom="1440" w:gutter="0" w:footer="0" w:header="0"/>
        </w:sectPr>
      </w:pPr>
    </w:p>
    <w:bookmarkStart w:id="278" w:name="page279"/>
    <w:bookmarkEnd w:id="2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19</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shares to certain employees with performance conditions (Continued)</w:t>
      </w:r>
    </w:p>
    <w:p>
      <w:pPr>
        <w:spacing w:after="0" w:line="130" w:lineRule="exact"/>
        <w:rPr>
          <w:rFonts w:ascii="Times New Roman" w:cs="Times New Roman" w:eastAsia="Times New Roman" w:hAnsi="Times New Roman"/>
          <w:sz w:val="18"/>
          <w:szCs w:val="18"/>
          <w:color w:val="auto"/>
        </w:rPr>
      </w:pPr>
    </w:p>
    <w:p>
      <w:pPr>
        <w:ind w:left="4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of 18.3% and growth rate on average spending per customer ranges from 3.0% to 19.0%. In addition, none of these restricted ordinary shares were vested, forfeited, and expired during the year ended December 31, 2016.</w:t>
      </w:r>
    </w:p>
    <w:p>
      <w:pPr>
        <w:spacing w:after="0" w:line="31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shares to certain employees</w:t>
      </w:r>
    </w:p>
    <w:p>
      <w:pPr>
        <w:spacing w:after="0" w:line="117" w:lineRule="exact"/>
        <w:rPr>
          <w:rFonts w:ascii="Times New Roman" w:cs="Times New Roman" w:eastAsia="Times New Roman" w:hAnsi="Times New Roman"/>
          <w:sz w:val="18"/>
          <w:szCs w:val="18"/>
          <w:color w:val="auto"/>
        </w:rPr>
      </w:pPr>
    </w:p>
    <w:p>
      <w:pPr>
        <w:ind w:left="4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28, 2016, the Company and three of the Company’s shareholders agreed to transfer a total of 998,338 shares of the Company’s ordinary shares held by them to certain employees of the Company at no cost for services previously provided for. The fair value of the shares transferred and the corresponding share-based compensation expense and additional paid in capital was US$17,555 and included in general and administrative expenses. In determining the fair value of shares of the Company transferred to these employees, a business valuation of the Company was performed by management with the assistance of an external valuer.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ranges from 3.0% to 19.0%.</w:t>
      </w:r>
    </w:p>
    <w:p>
      <w:pPr>
        <w:spacing w:after="0" w:line="8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compensation costs recognized for the years ended December 31, 2015 and 2016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20" w:type="dxa"/>
            <w:vAlign w:val="bottom"/>
            <w:gridSpan w:val="6"/>
          </w:tcPr>
          <w:p>
            <w:pPr>
              <w:ind w:left="14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44"/>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1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160" w:type="dxa"/>
            <w:vAlign w:val="bottom"/>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1160" w:type="dxa"/>
            <w:vAlign w:val="bottom"/>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   Other gains/(losses), net</w:t>
            </w: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7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gridSpan w:val="6"/>
          </w:tcPr>
          <w:p>
            <w:pPr>
              <w:ind w:left="14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tcBorders>
          </w:tcPr>
          <w:p>
            <w:pPr>
              <w:jc w:val="right"/>
              <w:ind w:right="24"/>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380" w:type="dxa"/>
            <w:vAlign w:val="bottom"/>
          </w:tcPr>
          <w:p>
            <w:pPr>
              <w:spacing w:after="0"/>
              <w:rPr>
                <w:sz w:val="17"/>
                <w:szCs w:val="17"/>
                <w:color w:val="auto"/>
              </w:rPr>
            </w:pPr>
          </w:p>
        </w:tc>
        <w:tc>
          <w:tcPr>
            <w:tcW w:w="6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gain on re-measurement of previously held equity interests</w:t>
            </w: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Buzzinate (Note 4(a))</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exchange loss</w:t>
            </w:r>
          </w:p>
        </w:tc>
        <w:tc>
          <w:tcPr>
            <w:tcW w:w="166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auto"/>
              </w:rPr>
              <w:t>(923)</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Management fee income</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320" w:type="dxa"/>
            <w:vAlign w:val="bottom"/>
            <w:vMerge w:val="restart"/>
          </w:tcPr>
          <w:p>
            <w:pPr>
              <w:ind w:left="4160"/>
              <w:spacing w:after="0"/>
              <w:rPr>
                <w:sz w:val="20"/>
                <w:szCs w:val="20"/>
                <w:color w:val="auto"/>
              </w:rPr>
            </w:pPr>
            <w:r>
              <w:rPr>
                <w:rFonts w:ascii="Times New Roman" w:cs="Times New Roman" w:eastAsia="Times New Roman" w:hAnsi="Times New Roman"/>
                <w:sz w:val="18"/>
                <w:szCs w:val="18"/>
                <w:color w:val="auto"/>
              </w:rPr>
              <w:t>F-58</w:t>
            </w: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632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6" w:right="359" w:bottom="1440" w:gutter="0" w:footer="0" w:header="0"/>
        </w:sectPr>
      </w:pPr>
    </w:p>
    <w:bookmarkStart w:id="279" w:name="page280"/>
    <w:bookmarkEnd w:id="2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00" w:lineRule="exact"/>
        <w:rPr>
          <w:sz w:val="20"/>
          <w:szCs w:val="20"/>
          <w:color w:val="auto"/>
        </w:rPr>
      </w:pPr>
    </w:p>
    <w:p>
      <w:pPr>
        <w:spacing w:after="0" w:line="30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21</w:t>
        <w:tab/>
        <w:t>Income tax</w:t>
      </w:r>
    </w:p>
    <w:p>
      <w:pPr>
        <w:spacing w:after="0" w:line="135" w:lineRule="exact"/>
        <w:rPr>
          <w:sz w:val="20"/>
          <w:szCs w:val="20"/>
          <w:color w:val="auto"/>
        </w:rPr>
      </w:pPr>
    </w:p>
    <w:p>
      <w:pPr>
        <w:ind w:left="460" w:hanging="452"/>
        <w:spacing w:after="0"/>
        <w:tabs>
          <w:tab w:leader="none" w:pos="4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117" w:lineRule="exact"/>
        <w:rPr>
          <w:rFonts w:ascii="Times New Roman" w:cs="Times New Roman" w:eastAsia="Times New Roman" w:hAnsi="Times New Roman"/>
          <w:sz w:val="18"/>
          <w:szCs w:val="18"/>
          <w:color w:val="auto"/>
        </w:rPr>
      </w:pPr>
    </w:p>
    <w:p>
      <w:pPr>
        <w:ind w:left="460" w:right="6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31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profits tax</w:t>
      </w:r>
    </w:p>
    <w:p>
      <w:pPr>
        <w:spacing w:after="0" w:line="117" w:lineRule="exact"/>
        <w:rPr>
          <w:rFonts w:ascii="Times New Roman" w:cs="Times New Roman" w:eastAsia="Times New Roman" w:hAnsi="Times New Roman"/>
          <w:sz w:val="18"/>
          <w:szCs w:val="18"/>
          <w:color w:val="auto"/>
        </w:rPr>
      </w:pPr>
    </w:p>
    <w:p>
      <w:pPr>
        <w:ind w:left="460" w:right="5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incorporated in Hong Kong are subject to Hong Kong profits tax at a rate of 16.5% on the estimated assessable profit for the years ended December 31, 2015 and 2016.</w:t>
      </w:r>
    </w:p>
    <w:p>
      <w:pPr>
        <w:spacing w:after="0" w:line="31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Enterprise Income Tax (“EIT”)</w:t>
      </w:r>
    </w:p>
    <w:p>
      <w:pPr>
        <w:spacing w:after="0" w:line="117" w:lineRule="exact"/>
        <w:rPr>
          <w:rFonts w:ascii="Times New Roman" w:cs="Times New Roman" w:eastAsia="Times New Roman" w:hAnsi="Times New Roman"/>
          <w:sz w:val="18"/>
          <w:szCs w:val="18"/>
          <w:color w:val="auto"/>
        </w:rPr>
      </w:pPr>
    </w:p>
    <w:p>
      <w:pPr>
        <w:ind w:left="460" w:right="6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subsidiaries and VIEs in China are governed by the Enterprise Income Tax Law (“EIT Law”). Pursuant to the EIT Law and its implementation rules, enterprises in China are generally subjected to tax at a statutory rate of 25%.</w:t>
      </w:r>
    </w:p>
    <w:p>
      <w:pPr>
        <w:spacing w:after="0" w:line="53" w:lineRule="exact"/>
        <w:rPr>
          <w:rFonts w:ascii="Times New Roman" w:cs="Times New Roman" w:eastAsia="Times New Roman" w:hAnsi="Times New Roman"/>
          <w:sz w:val="18"/>
          <w:szCs w:val="18"/>
          <w:color w:val="auto"/>
        </w:rPr>
      </w:pPr>
    </w:p>
    <w:p>
      <w:pPr>
        <w:ind w:left="460" w:right="3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 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79" w:lineRule="exact"/>
        <w:rPr>
          <w:rFonts w:ascii="Times New Roman" w:cs="Times New Roman" w:eastAsia="Times New Roman" w:hAnsi="Times New Roman"/>
          <w:sz w:val="18"/>
          <w:szCs w:val="18"/>
          <w:color w:val="auto"/>
        </w:rPr>
      </w:pPr>
    </w:p>
    <w:p>
      <w:pPr>
        <w:ind w:left="4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there are undistributed earnings of the Company’s subsidiaries in the PRC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December 31, 2015 and 2016. The undistributed earnings from the Company’s subsidiaries in the PRC as of December 31, 2015 and 2016 amounted US$222 and US$305 would be due if these earnings were remitted as dividends as of December 31, 2015 and 2016. An estimated foreign withholding taxes of US$22 and US$31 would be due if these earnings were remitted as dividends as of December 31, 2015 and 2016, respectively.</w:t>
      </w:r>
    </w:p>
    <w:p>
      <w:pPr>
        <w:spacing w:after="0" w:line="29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Composition of income tax expense</w:t>
      </w:r>
    </w:p>
    <w:p>
      <w:pPr>
        <w:spacing w:after="0" w:line="119"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deferred portions of income tax expense included in the consolidated statements of comprehensive loss are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56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As of December 31,</w:t>
            </w:r>
          </w:p>
        </w:tc>
      </w:tr>
      <w:tr>
        <w:trPr>
          <w:trHeight w:val="142"/>
        </w:trPr>
        <w:tc>
          <w:tcPr>
            <w:tcW w:w="33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540" w:type="dxa"/>
            <w:vAlign w:val="bottom"/>
            <w:tcBorders>
              <w:top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2"/>
                <w:szCs w:val="12"/>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55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737</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1,283</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benefits</w:t>
            </w:r>
          </w:p>
        </w:tc>
        <w:tc>
          <w:tcPr>
            <w:tcW w:w="46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(1,292)</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(1,061)</w:t>
            </w:r>
          </w:p>
        </w:tc>
      </w:tr>
      <w:tr>
        <w:trPr>
          <w:trHeight w:val="27"/>
        </w:trPr>
        <w:tc>
          <w:tcPr>
            <w:tcW w:w="33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4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(555)</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r>
      <w:tr>
        <w:trPr>
          <w:trHeight w:val="20"/>
        </w:trPr>
        <w:tc>
          <w:tcPr>
            <w:tcW w:w="33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360" w:type="dxa"/>
            <w:vAlign w:val="bottom"/>
          </w:tcPr>
          <w:p>
            <w:pPr>
              <w:spacing w:after="0"/>
              <w:rPr>
                <w:sz w:val="24"/>
                <w:szCs w:val="24"/>
                <w:color w:val="auto"/>
              </w:rPr>
            </w:pPr>
          </w:p>
        </w:tc>
        <w:tc>
          <w:tcPr>
            <w:tcW w:w="5580" w:type="dxa"/>
            <w:vAlign w:val="bottom"/>
            <w:gridSpan w:val="3"/>
          </w:tcPr>
          <w:p>
            <w:pPr>
              <w:jc w:val="right"/>
              <w:ind w:right="3980"/>
              <w:spacing w:after="0"/>
              <w:rPr>
                <w:sz w:val="20"/>
                <w:szCs w:val="20"/>
                <w:color w:val="auto"/>
              </w:rPr>
            </w:pPr>
            <w:r>
              <w:rPr>
                <w:rFonts w:ascii="Times New Roman" w:cs="Times New Roman" w:eastAsia="Times New Roman" w:hAnsi="Times New Roman"/>
                <w:sz w:val="18"/>
                <w:szCs w:val="18"/>
                <w:color w:val="auto"/>
              </w:rPr>
              <w:t>F-59</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6" w:right="239" w:bottom="1440" w:gutter="0" w:footer="0" w:header="0"/>
        </w:sectPr>
      </w:pPr>
    </w:p>
    <w:bookmarkStart w:id="280" w:name="page281"/>
    <w:bookmarkEnd w:id="2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21</w:t>
        <w:tab/>
        <w:t>Income tax (Continued)</w:t>
      </w:r>
    </w:p>
    <w:p>
      <w:pPr>
        <w:spacing w:after="0" w:line="135" w:lineRule="exact"/>
        <w:rPr>
          <w:sz w:val="20"/>
          <w:szCs w:val="20"/>
          <w:color w:val="auto"/>
        </w:rPr>
      </w:pPr>
    </w:p>
    <w:p>
      <w:pPr>
        <w:ind w:left="460" w:right="7420" w:hanging="452"/>
        <w:spacing w:after="0" w:line="383" w:lineRule="auto"/>
        <w:tabs>
          <w:tab w:leader="none" w:pos="449"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PRC Enterprise Income Tax (“EIT”) (Continued) </w:t>
      </w:r>
      <w:r>
        <w:rPr>
          <w:rFonts w:ascii="Times New Roman" w:cs="Times New Roman" w:eastAsia="Times New Roman" w:hAnsi="Times New Roman"/>
          <w:sz w:val="18"/>
          <w:szCs w:val="18"/>
          <w:i w:val="1"/>
          <w:iCs w:val="1"/>
          <w:color w:val="auto"/>
        </w:rPr>
        <w:t>Deferred tax assets and liabilities</w:t>
      </w:r>
    </w:p>
    <w:p>
      <w:pPr>
        <w:spacing w:after="0" w:line="1" w:lineRule="exact"/>
        <w:rPr>
          <w:rFonts w:ascii="Times New Roman" w:cs="Times New Roman" w:eastAsia="Times New Roman" w:hAnsi="Times New Roman"/>
          <w:sz w:val="18"/>
          <w:szCs w:val="18"/>
          <w:color w:val="auto"/>
        </w:rPr>
      </w:pPr>
    </w:p>
    <w:p>
      <w:pPr>
        <w:ind w:left="460" w:right="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taxes were measured using the enacted tax rates for the periods in which they are expected to be reversed. The tax effects of temporary differences that give rise to the deferred tax asset balances as of December 31, 2015 and 2016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148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920" w:type="dxa"/>
            <w:vAlign w:val="bottom"/>
          </w:tcPr>
          <w:p>
            <w:pPr>
              <w:spacing w:after="0"/>
              <w:rPr>
                <w:sz w:val="12"/>
                <w:szCs w:val="12"/>
                <w:color w:val="auto"/>
              </w:rPr>
            </w:pPr>
          </w:p>
        </w:tc>
        <w:tc>
          <w:tcPr>
            <w:tcW w:w="52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3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 current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Tax losses carried forward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 non-current</w:t>
            </w:r>
          </w:p>
        </w:tc>
        <w:tc>
          <w:tcPr>
            <w:tcW w:w="5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Tax losses carried forward</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5,804</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646</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(5,804)</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9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646</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3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 current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(1,039)</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(1,061)</w:t>
            </w:r>
          </w:p>
        </w:tc>
        <w:tc>
          <w:tcPr>
            <w:tcW w:w="3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 non-current</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(3,677)</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9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(3,705)</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(4,766)</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6342380</wp:posOffset>
            </wp:positionH>
            <wp:positionV relativeFrom="paragraph">
              <wp:posOffset>-916940</wp:posOffset>
            </wp:positionV>
            <wp:extent cx="30035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-916940</wp:posOffset>
            </wp:positionV>
            <wp:extent cx="30035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6342380</wp:posOffset>
            </wp:positionH>
            <wp:positionV relativeFrom="paragraph">
              <wp:posOffset>-213995</wp:posOffset>
            </wp:positionV>
            <wp:extent cx="30035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00355" cy="8890"/>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-213995</wp:posOffset>
            </wp:positionV>
            <wp:extent cx="30035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00355" cy="8890"/>
                    </a:xfrm>
                    <a:prstGeom prst="rect">
                      <a:avLst/>
                    </a:prstGeom>
                    <a:noFill/>
                  </pic:spPr>
                </pic:pic>
              </a:graphicData>
            </a:graphic>
          </wp:anchor>
        </w:drawing>
      </w:r>
    </w:p>
    <w:p>
      <w:pPr>
        <w:spacing w:after="0" w:line="218" w:lineRule="exact"/>
        <w:rPr>
          <w:sz w:val="20"/>
          <w:szCs w:val="20"/>
          <w:color w:val="auto"/>
        </w:rPr>
      </w:pPr>
    </w:p>
    <w:p>
      <w:pPr>
        <w:ind w:left="900" w:right="160" w:hanging="446"/>
        <w:spacing w:after="0" w:line="256" w:lineRule="auto"/>
        <w:tabs>
          <w:tab w:leader="none" w:pos="9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 forwards. Valuation allowance was provided for net operating loss carry forward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Movement of valuation allowance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24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74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3,462</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6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2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67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67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46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F-60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281" w:name="page282"/>
    <w:bookmarkEnd w:id="2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21</w:t>
        <w:tab/>
        <w:t>Income tax (Continued)</w:t>
      </w:r>
    </w:p>
    <w:p>
      <w:pPr>
        <w:spacing w:after="0" w:line="135" w:lineRule="exact"/>
        <w:rPr>
          <w:sz w:val="20"/>
          <w:szCs w:val="20"/>
          <w:color w:val="auto"/>
        </w:rPr>
      </w:pPr>
    </w:p>
    <w:p>
      <w:pPr>
        <w:ind w:left="460" w:right="7420" w:hanging="452"/>
        <w:spacing w:after="0" w:line="383" w:lineRule="auto"/>
        <w:tabs>
          <w:tab w:leader="none" w:pos="44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PRC Enterprise Income Tax (“EIT”) (Continued) </w:t>
      </w:r>
      <w:r>
        <w:rPr>
          <w:rFonts w:ascii="Times New Roman" w:cs="Times New Roman" w:eastAsia="Times New Roman" w:hAnsi="Times New Roman"/>
          <w:sz w:val="18"/>
          <w:szCs w:val="18"/>
          <w:i w:val="1"/>
          <w:iCs w:val="1"/>
          <w:color w:val="auto"/>
        </w:rPr>
        <w:t>Tax loss carryforwards</w:t>
      </w:r>
    </w:p>
    <w:p>
      <w:pPr>
        <w:spacing w:after="0" w:line="1" w:lineRule="exact"/>
        <w:rPr>
          <w:rFonts w:ascii="Times New Roman" w:cs="Times New Roman" w:eastAsia="Times New Roman" w:hAnsi="Times New Roman"/>
          <w:sz w:val="18"/>
          <w:szCs w:val="18"/>
          <w:color w:val="auto"/>
        </w:rPr>
      </w:pPr>
    </w:p>
    <w:p>
      <w:pPr>
        <w:ind w:left="460" w:righ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2015 and 2016, the Group had tax loss carryforwards of approximately US$24,356 and US$28,201, respectively, which can be carried forward to offset future taxable income. The net operating tax loss carry forwards will begin to expire as follows: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2015</w:t>
            </w: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tcPr>
          <w:p>
            <w:pPr>
              <w:spacing w:after="0"/>
              <w:rPr>
                <w:sz w:val="14"/>
                <w:szCs w:val="14"/>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12,344</w:t>
            </w:r>
          </w:p>
        </w:tc>
        <w:tc>
          <w:tcPr>
            <w:tcW w:w="8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8,025</w:t>
            </w:r>
          </w:p>
        </w:tc>
        <w:tc>
          <w:tcPr>
            <w:tcW w:w="8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loss with no expiry</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8"/>
                <w:szCs w:val="18"/>
                <w:color w:val="auto"/>
              </w:rPr>
            </w:pPr>
          </w:p>
        </w:tc>
      </w:tr>
      <w:tr>
        <w:trPr>
          <w:trHeight w:val="223"/>
        </w:trPr>
        <w:tc>
          <w:tcPr>
            <w:tcW w:w="69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24,356</w:t>
            </w:r>
          </w:p>
        </w:tc>
        <w:tc>
          <w:tcPr>
            <w:tcW w:w="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28,201</w:t>
            </w:r>
          </w:p>
        </w:tc>
        <w:tc>
          <w:tcPr>
            <w:tcW w:w="8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right="60"/>
        <w:spacing w:after="0" w:line="261" w:lineRule="auto"/>
        <w:rPr>
          <w:sz w:val="20"/>
          <w:szCs w:val="20"/>
          <w:color w:val="auto"/>
        </w:rPr>
      </w:pPr>
      <w:r>
        <w:rPr>
          <w:rFonts w:ascii="Times New Roman" w:cs="Times New Roman" w:eastAsia="Times New Roman" w:hAnsi="Times New Roman"/>
          <w:sz w:val="18"/>
          <w:szCs w:val="18"/>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2010 to 2016 remain subject to examination by the tax authorities. There were no ongoing examinations by tax authorities as of December 31, 2015 and 2016.</w:t>
      </w:r>
    </w:p>
    <w:p>
      <w:pPr>
        <w:spacing w:after="0" w:line="72" w:lineRule="exact"/>
        <w:rPr>
          <w:sz w:val="20"/>
          <w:szCs w:val="20"/>
          <w:color w:val="auto"/>
        </w:rPr>
      </w:pPr>
    </w:p>
    <w:p>
      <w:pPr>
        <w:ind w:left="460" w:right="240"/>
        <w:spacing w:after="0" w:line="282" w:lineRule="auto"/>
        <w:rPr>
          <w:sz w:val="20"/>
          <w:szCs w:val="20"/>
          <w:color w:val="auto"/>
        </w:rPr>
      </w:pPr>
      <w:r>
        <w:rPr>
          <w:rFonts w:ascii="Times New Roman" w:cs="Times New Roman" w:eastAsia="Times New Roman" w:hAnsi="Times New Roman"/>
          <w:sz w:val="18"/>
          <w:szCs w:val="18"/>
          <w:color w:val="auto"/>
        </w:rPr>
        <w:t>Reconciliation between the expense of income taxes computed by applying the statutory tax rate to loss before income taxes and the actual provision for income taxes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84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860" w:type="dxa"/>
            <w:vAlign w:val="bottom"/>
            <w:tcBorders>
              <w:top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0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calculated at Hong Kong statutory tax rate (Note i)</w:t>
            </w:r>
          </w:p>
        </w:tc>
        <w:tc>
          <w:tcPr>
            <w:tcW w:w="18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(6,553)</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Effect of differences between Hong Kong statutory tax rate and foreign effective tax rates</w:t>
            </w:r>
          </w:p>
        </w:tc>
        <w:tc>
          <w:tcPr>
            <w:tcW w:w="18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(527)</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other income</w:t>
            </w:r>
          </w:p>
        </w:tc>
        <w:tc>
          <w:tcPr>
            <w:tcW w:w="18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(448)</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8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4,684</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86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2,342</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86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(53)</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8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(555)</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Note:</w:t>
      </w:r>
    </w:p>
    <w:p>
      <w:pPr>
        <w:spacing w:after="0" w:line="131" w:lineRule="exact"/>
        <w:rPr>
          <w:sz w:val="20"/>
          <w:szCs w:val="20"/>
          <w:color w:val="auto"/>
        </w:rPr>
      </w:pPr>
    </w:p>
    <w:p>
      <w:pPr>
        <w:ind w:left="900" w:right="100" w:hanging="446"/>
        <w:spacing w:after="0" w:line="282" w:lineRule="auto"/>
        <w:tabs>
          <w:tab w:leader="none" w:pos="9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major operation, prior to the acquisition of OptAim, was conducted out of Hong Kong. Accordingly, the Group prepared its tax rate reconciliation starting with the Hong Kong statutory tax rate.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420"/>
          </w:cols>
          <w:pgMar w:left="240" w:top="455" w:right="239" w:bottom="1440" w:gutter="0" w:footer="0" w:header="0"/>
        </w:sectPr>
      </w:pPr>
    </w:p>
    <w:bookmarkStart w:id="282" w:name="page283"/>
    <w:bookmarkEnd w:id="2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00" w:lineRule="exact"/>
        <w:rPr>
          <w:sz w:val="20"/>
          <w:szCs w:val="20"/>
          <w:color w:val="auto"/>
        </w:rPr>
      </w:pPr>
    </w:p>
    <w:p>
      <w:pPr>
        <w:spacing w:after="0" w:line="30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22</w:t>
        <w:tab/>
        <w:t>Basic and diluted net loss per share</w:t>
      </w:r>
    </w:p>
    <w:p>
      <w:pPr>
        <w:spacing w:after="0" w:line="135" w:lineRule="exact"/>
        <w:rPr>
          <w:sz w:val="20"/>
          <w:szCs w:val="20"/>
          <w:color w:val="auto"/>
        </w:rPr>
      </w:pPr>
    </w:p>
    <w:p>
      <w:pPr>
        <w:ind w:left="460" w:hanging="452"/>
        <w:spacing w:after="0"/>
        <w:tabs>
          <w:tab w:leader="none" w:pos="4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 to previously issued financial statements</w:t>
      </w:r>
    </w:p>
    <w:p>
      <w:pPr>
        <w:spacing w:after="0" w:line="117" w:lineRule="exact"/>
        <w:rPr>
          <w:rFonts w:ascii="Times New Roman" w:cs="Times New Roman" w:eastAsia="Times New Roman" w:hAnsi="Times New Roman"/>
          <w:sz w:val="18"/>
          <w:szCs w:val="18"/>
          <w:color w:val="auto"/>
        </w:rPr>
      </w:pPr>
    </w:p>
    <w:p>
      <w:pPr>
        <w:ind w:left="460" w:right="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These financial statements as of and for the year ended December 31, 2015 are being revised to correct misstatements related to the accounting of the deemed contribution in calculating the basic and diluted loss per share. As previously reported, the Company accounted for the difference of US$2,591 between the purchase price over the carrying value of Series B-1 preferred shares as deemed contribution from the Series B-1 preferred shareholders during the year ended December 31, 2015 and such deemed contribution was not accounted for in calculating the basic and diluted loss per share. The Company has revised the accounting treatment to account for the deemed contribution in calculating the basic and diluted loss per share.</w:t>
      </w:r>
    </w:p>
    <w:p>
      <w:pPr>
        <w:spacing w:after="0" w:line="168"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revision only has impact to the consolidated statements of comprehensive loss and is reflected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40" w:type="dxa"/>
            <w:vAlign w:val="bottom"/>
          </w:tcPr>
          <w:p>
            <w:pPr>
              <w:spacing w:after="0"/>
              <w:rPr>
                <w:sz w:val="14"/>
                <w:szCs w:val="14"/>
                <w:color w:val="auto"/>
              </w:rPr>
            </w:pPr>
          </w:p>
        </w:tc>
        <w:tc>
          <w:tcPr>
            <w:tcW w:w="27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For the year ended December 31, 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540" w:type="dxa"/>
            <w:vAlign w:val="bottom"/>
          </w:tcPr>
          <w:p>
            <w:pPr>
              <w:spacing w:after="0"/>
              <w:rPr>
                <w:sz w:val="10"/>
                <w:szCs w:val="10"/>
                <w:color w:val="auto"/>
              </w:rPr>
            </w:pPr>
          </w:p>
        </w:tc>
        <w:tc>
          <w:tcPr>
            <w:tcW w:w="1120" w:type="dxa"/>
            <w:vAlign w:val="bottom"/>
            <w:gridSpan w:val="2"/>
          </w:tcPr>
          <w:p>
            <w:pPr>
              <w:jc w:val="center"/>
              <w:ind w:right="440"/>
              <w:spacing w:after="0" w:line="119" w:lineRule="exact"/>
              <w:rPr>
                <w:sz w:val="20"/>
                <w:szCs w:val="20"/>
                <w:color w:val="auto"/>
              </w:rPr>
            </w:pPr>
            <w:r>
              <w:rPr>
                <w:rFonts w:ascii="Times New Roman" w:cs="Times New Roman" w:eastAsia="Times New Roman" w:hAnsi="Times New Roman"/>
                <w:sz w:val="13"/>
                <w:szCs w:val="13"/>
                <w:color w:val="auto"/>
              </w:rPr>
              <w:t>As</w:t>
            </w: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As</w:t>
            </w:r>
          </w:p>
        </w:tc>
        <w:tc>
          <w:tcPr>
            <w:tcW w:w="0" w:type="dxa"/>
            <w:vAlign w:val="bottom"/>
          </w:tcPr>
          <w:p>
            <w:pPr>
              <w:spacing w:after="0"/>
              <w:rPr>
                <w:sz w:val="1"/>
                <w:szCs w:val="1"/>
                <w:color w:val="auto"/>
              </w:rPr>
            </w:pPr>
          </w:p>
        </w:tc>
      </w:tr>
      <w:tr>
        <w:trPr>
          <w:trHeight w:val="149"/>
        </w:trPr>
        <w:tc>
          <w:tcPr>
            <w:tcW w:w="8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Consolidated Statements of Comprehensive Loss</w:t>
            </w:r>
          </w:p>
        </w:tc>
        <w:tc>
          <w:tcPr>
            <w:tcW w:w="11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9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color w:val="auto"/>
              </w:rPr>
              <w:t>Revision</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540" w:type="dxa"/>
            <w:vAlign w:val="bottom"/>
            <w:vMerge w:val="continue"/>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Reported</w:t>
            </w:r>
          </w:p>
        </w:tc>
        <w:tc>
          <w:tcPr>
            <w:tcW w:w="940" w:type="dxa"/>
            <w:vAlign w:val="bottom"/>
            <w:gridSpan w:val="2"/>
            <w:vMerge w:val="continue"/>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Revised</w:t>
            </w:r>
          </w:p>
        </w:tc>
        <w:tc>
          <w:tcPr>
            <w:tcW w:w="0" w:type="dxa"/>
            <w:vAlign w:val="bottom"/>
          </w:tcPr>
          <w:p>
            <w:pPr>
              <w:spacing w:after="0"/>
              <w:rPr>
                <w:sz w:val="1"/>
                <w:szCs w:val="1"/>
                <w:color w:val="auto"/>
              </w:rPr>
            </w:pPr>
          </w:p>
        </w:tc>
      </w:tr>
      <w:tr>
        <w:trPr>
          <w:trHeight w:val="142"/>
        </w:trPr>
        <w:tc>
          <w:tcPr>
            <w:tcW w:w="854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US$’000</w:t>
            </w:r>
          </w:p>
        </w:tc>
        <w:tc>
          <w:tcPr>
            <w:tcW w:w="46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US$’000</w:t>
            </w:r>
          </w:p>
        </w:tc>
        <w:tc>
          <w:tcPr>
            <w:tcW w:w="38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iClick Interactive Asia Group Limited’s ordinary shareholders</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(44,388)</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2,591</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(41,797)</w:t>
            </w:r>
          </w:p>
        </w:tc>
        <w:tc>
          <w:tcPr>
            <w:tcW w:w="0" w:type="dxa"/>
            <w:vAlign w:val="bottom"/>
          </w:tcPr>
          <w:p>
            <w:pPr>
              <w:spacing w:after="0"/>
              <w:rPr>
                <w:sz w:val="1"/>
                <w:szCs w:val="1"/>
                <w:color w:val="auto"/>
              </w:rPr>
            </w:pPr>
          </w:p>
        </w:tc>
      </w:tr>
      <w:tr>
        <w:trPr>
          <w:trHeight w:val="324"/>
        </w:trPr>
        <w:tc>
          <w:tcPr>
            <w:tcW w:w="8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share attributable to iClick Interactive Asia Group Limited</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(3.81)</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0.23</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34"/>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(3.81)</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0.23</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460" w:hanging="452"/>
        <w:spacing w:after="0"/>
        <w:tabs>
          <w:tab w:leader="none" w:pos="46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net loss per share</w:t>
      </w:r>
    </w:p>
    <w:p>
      <w:pPr>
        <w:spacing w:after="0" w:line="11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net loss per share for the years ended December 31, 2015 and 2016 are calculated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26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1000" w:type="dxa"/>
            <w:vAlign w:val="bottom"/>
            <w:tcBorders>
              <w:top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4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 of the Company</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(39,714)</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(27,330)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convertible redeemable preferred shares redemption value</w:t>
            </w:r>
          </w:p>
        </w:tc>
        <w:tc>
          <w:tcPr>
            <w:tcW w:w="1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(2,692)</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Accretion to redeemable ordinary shares redemption value</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(1,982)</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contribution from Series B-1 preferred shareholders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Numerator of basic net loss per share</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(41,797)</w:t>
            </w:r>
          </w:p>
        </w:tc>
        <w:tc>
          <w:tcPr>
            <w:tcW w:w="4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basic and diluted net loss per share</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weighted average shares outstanding</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11,661,049</w:t>
            </w:r>
          </w:p>
        </w:tc>
        <w:tc>
          <w:tcPr>
            <w:tcW w:w="46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13,151,063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net loss per share</w:t>
            </w:r>
          </w:p>
        </w:tc>
        <w:tc>
          <w:tcPr>
            <w:tcW w:w="14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4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(3.58)</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365"/>
        </w:trPr>
        <w:tc>
          <w:tcPr>
            <w:tcW w:w="6060" w:type="dxa"/>
            <w:vAlign w:val="bottom"/>
          </w:tcPr>
          <w:p>
            <w:pPr>
              <w:ind w:left="4160"/>
              <w:spacing w:after="0"/>
              <w:rPr>
                <w:sz w:val="20"/>
                <w:szCs w:val="20"/>
                <w:color w:val="auto"/>
              </w:rPr>
            </w:pPr>
            <w:r>
              <w:rPr>
                <w:rFonts w:ascii="Times New Roman" w:cs="Times New Roman" w:eastAsia="Times New Roman" w:hAnsi="Times New Roman"/>
                <w:sz w:val="18"/>
                <w:szCs w:val="18"/>
                <w:color w:val="auto"/>
              </w:rPr>
              <w:t>F-62</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6" w:right="239" w:bottom="1440" w:gutter="0" w:footer="0" w:header="0"/>
        </w:sectPr>
      </w:pPr>
    </w:p>
    <w:bookmarkStart w:id="283" w:name="page284"/>
    <w:bookmarkEnd w:id="2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22</w:t>
        <w:tab/>
        <w:t>Basic and diluted net loss per share (Continued)</w:t>
      </w:r>
    </w:p>
    <w:p>
      <w:pPr>
        <w:spacing w:after="0" w:line="135" w:lineRule="exact"/>
        <w:rPr>
          <w:sz w:val="20"/>
          <w:szCs w:val="20"/>
          <w:color w:val="auto"/>
        </w:rPr>
      </w:pPr>
    </w:p>
    <w:p>
      <w:pPr>
        <w:ind w:left="460" w:hanging="452"/>
        <w:spacing w:after="0"/>
        <w:tabs>
          <w:tab w:leader="none" w:pos="4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net loss per share (Continued)</w:t>
      </w:r>
    </w:p>
    <w:p>
      <w:pPr>
        <w:spacing w:after="0" w:line="130" w:lineRule="exact"/>
        <w:rPr>
          <w:rFonts w:ascii="Times New Roman" w:cs="Times New Roman" w:eastAsia="Times New Roman" w:hAnsi="Times New Roman"/>
          <w:sz w:val="18"/>
          <w:szCs w:val="18"/>
          <w:color w:val="auto"/>
        </w:rPr>
      </w:pPr>
    </w:p>
    <w:p>
      <w:pPr>
        <w:ind w:left="460" w:right="2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preferred shares are participating securities and as such would be included in the calculation of basic earnings per share under the two-class method. According to the contractual terms of the preferred shares, the preferred shares do not have a contractual obligation to share in the losses of the Company. Therefore no loss was allocated to the preferred shares in the computation of basic loss per share for the years ended December 31, 2015 and 2016.</w:t>
      </w:r>
    </w:p>
    <w:p>
      <w:pPr>
        <w:spacing w:after="0" w:line="71" w:lineRule="exact"/>
        <w:rPr>
          <w:rFonts w:ascii="Times New Roman" w:cs="Times New Roman" w:eastAsia="Times New Roman" w:hAnsi="Times New Roman"/>
          <w:sz w:val="18"/>
          <w:szCs w:val="18"/>
          <w:color w:val="auto"/>
        </w:rPr>
      </w:pPr>
    </w:p>
    <w:p>
      <w:pPr>
        <w:ind w:left="460" w:right="4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preferred shares, share options and preferred share warrants were excluded from the computation of diluted net loss per ordinary share for the periods presented because including them would have had an anti-dilutive effect.</w:t>
      </w:r>
    </w:p>
    <w:p>
      <w:pPr>
        <w:spacing w:after="0" w:line="53" w:lineRule="exact"/>
        <w:rPr>
          <w:rFonts w:ascii="Times New Roman" w:cs="Times New Roman" w:eastAsia="Times New Roman" w:hAnsi="Times New Roman"/>
          <w:sz w:val="18"/>
          <w:szCs w:val="18"/>
          <w:color w:val="auto"/>
        </w:rPr>
      </w:pPr>
    </w:p>
    <w:p>
      <w:pPr>
        <w:ind w:left="4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ordinary shares equivalent were excluded from the computation of diluted net loss per ordinary share for the periods presented because including them would have had an anti-dilutive effect: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820" w:type="dxa"/>
            <w:vAlign w:val="bottom"/>
            <w:gridSpan w:val="5"/>
          </w:tcPr>
          <w:p>
            <w:pPr>
              <w:ind w:left="300"/>
              <w:spacing w:after="0"/>
              <w:rPr>
                <w:sz w:val="20"/>
                <w:szCs w:val="20"/>
                <w:color w:val="auto"/>
              </w:rPr>
            </w:pPr>
            <w:r>
              <w:rPr>
                <w:rFonts w:ascii="Times New Roman" w:cs="Times New Roman" w:eastAsia="Times New Roman" w:hAnsi="Times New Roman"/>
                <w:sz w:val="14"/>
                <w:szCs w:val="14"/>
                <w:color w:val="auto"/>
              </w:rPr>
              <w:t>As of December 31,</w:t>
            </w:r>
          </w:p>
        </w:tc>
      </w:tr>
      <w:tr>
        <w:trPr>
          <w:trHeight w:val="142"/>
        </w:trPr>
        <w:tc>
          <w:tcPr>
            <w:tcW w:w="13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62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 weighted average (thousands)</w:t>
            </w:r>
          </w:p>
        </w:tc>
        <w:tc>
          <w:tcPr>
            <w:tcW w:w="6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8,458</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8,469</w:t>
            </w:r>
          </w:p>
        </w:tc>
        <w:tc>
          <w:tcPr>
            <w:tcW w:w="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Share options — weighted average (thousands)</w:t>
            </w: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1,194</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60" w:type="dxa"/>
            <w:vAlign w:val="bottom"/>
          </w:tcPr>
          <w:p>
            <w:pPr>
              <w:spacing w:after="0"/>
              <w:rPr>
                <w:sz w:val="18"/>
                <w:szCs w:val="18"/>
                <w:color w:val="auto"/>
              </w:rPr>
            </w:pPr>
          </w:p>
        </w:tc>
      </w:tr>
      <w:tr>
        <w:trPr>
          <w:trHeight w:val="230"/>
        </w:trPr>
        <w:tc>
          <w:tcPr>
            <w:tcW w:w="138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ordinary shares — weighted average (thousands)</w:t>
            </w:r>
          </w:p>
        </w:tc>
        <w:tc>
          <w:tcPr>
            <w:tcW w:w="6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742</w:t>
            </w: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60" w:type="dxa"/>
            <w:vAlign w:val="bottom"/>
            <w:shd w:val="clear" w:color="auto" w:fill="CCEEFF"/>
          </w:tcPr>
          <w:p>
            <w:pPr>
              <w:spacing w:after="0"/>
              <w:rPr>
                <w:sz w:val="19"/>
                <w:szCs w:val="19"/>
                <w:color w:val="auto"/>
              </w:rPr>
            </w:pPr>
          </w:p>
        </w:tc>
      </w:tr>
      <w:tr>
        <w:trPr>
          <w:trHeight w:val="581"/>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23   Related party transactions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8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As of December 31, 2015 and 2016, the amount due to a related party was as follows:</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13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gridSpan w:val="4"/>
          </w:tcPr>
          <w:p>
            <w:pPr>
              <w:ind w:left="160"/>
              <w:spacing w:after="0"/>
              <w:rPr>
                <w:sz w:val="20"/>
                <w:szCs w:val="20"/>
                <w:color w:val="auto"/>
              </w:rPr>
            </w:pPr>
            <w:r>
              <w:rPr>
                <w:rFonts w:ascii="Times New Roman" w:cs="Times New Roman" w:eastAsia="Times New Roman" w:hAnsi="Times New Roman"/>
                <w:sz w:val="14"/>
                <w:szCs w:val="14"/>
                <w:color w:val="auto"/>
              </w:rPr>
              <w:t>December 31,</w:t>
            </w:r>
          </w:p>
        </w:tc>
      </w:tr>
      <w:tr>
        <w:trPr>
          <w:trHeight w:val="142"/>
        </w:trPr>
        <w:tc>
          <w:tcPr>
            <w:tcW w:w="138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2"/>
              </w:rPr>
              <w:t>2015</w:t>
            </w:r>
          </w:p>
        </w:tc>
        <w:tc>
          <w:tcPr>
            <w:tcW w:w="8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 due to a related party</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Amount due to a director</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54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3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The amount due to a director represents cash advances from a director which was unsecured, interest-free and is repayable on demand. The amount due to a director has been settled during the year ended December 31, 2016.</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380"/>
          </w:cols>
          <w:pgMar w:left="240" w:top="455" w:right="279" w:bottom="1440" w:gutter="0" w:footer="0" w:header="0"/>
        </w:sectPr>
      </w:pPr>
    </w:p>
    <w:bookmarkStart w:id="284" w:name="page285"/>
    <w:bookmarkEnd w:id="2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00" w:lineRule="exact"/>
        <w:rPr>
          <w:sz w:val="20"/>
          <w:szCs w:val="20"/>
          <w:color w:val="auto"/>
        </w:rPr>
      </w:pPr>
    </w:p>
    <w:p>
      <w:pPr>
        <w:spacing w:after="0" w:line="300" w:lineRule="exact"/>
        <w:rPr>
          <w:sz w:val="20"/>
          <w:szCs w:val="20"/>
          <w:color w:val="auto"/>
        </w:rPr>
      </w:pPr>
    </w:p>
    <w:p>
      <w:pPr>
        <w:ind w:left="460" w:hanging="452"/>
        <w:spacing w:after="0"/>
        <w:tabs>
          <w:tab w:leader="none" w:pos="460" w:val="left"/>
        </w:tabs>
        <w:numPr>
          <w:ilvl w:val="0"/>
          <w:numId w:val="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w:t>
      </w:r>
    </w:p>
    <w:p>
      <w:pPr>
        <w:spacing w:after="0" w:line="121" w:lineRule="exact"/>
        <w:rPr>
          <w:rFonts w:ascii="Times New Roman" w:cs="Times New Roman" w:eastAsia="Times New Roman" w:hAnsi="Times New Roman"/>
          <w:sz w:val="18"/>
          <w:szCs w:val="18"/>
          <w:b w:val="1"/>
          <w:bCs w:val="1"/>
          <w:color w:val="auto"/>
        </w:rPr>
      </w:pPr>
    </w:p>
    <w:p>
      <w:pPr>
        <w:ind w:lef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considers operating segments to be components of the Company in which separate financial information is available that is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for purposes of allocating resources and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operating and reportable segment. Revenue generated for the respective countries are summarized as follows:</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62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00" w:type="dxa"/>
            <w:vAlign w:val="bottom"/>
            <w:tcBorders>
              <w:top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30,505</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34,442</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65,242</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95,357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Group’s long-lived assets are located in the following countries:</w:t>
            </w: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98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color w:val="auto"/>
              </w:rPr>
              <w:t>As of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3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25</w:t>
        <w:tab/>
        <w:t>Commitments and contingencies</w:t>
      </w:r>
    </w:p>
    <w:p>
      <w:pPr>
        <w:spacing w:after="0" w:line="131" w:lineRule="exact"/>
        <w:rPr>
          <w:sz w:val="20"/>
          <w:szCs w:val="20"/>
          <w:color w:val="auto"/>
        </w:rPr>
      </w:pPr>
    </w:p>
    <w:p>
      <w:pPr>
        <w:ind w:left="460" w:hanging="452"/>
        <w:spacing w:after="0"/>
        <w:tabs>
          <w:tab w:leader="none" w:pos="460"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 commitments</w:t>
      </w:r>
    </w:p>
    <w:p>
      <w:pPr>
        <w:spacing w:after="0" w:line="121" w:lineRule="exact"/>
        <w:rPr>
          <w:rFonts w:ascii="Times New Roman" w:cs="Times New Roman" w:eastAsia="Times New Roman" w:hAnsi="Times New Roman"/>
          <w:sz w:val="18"/>
          <w:szCs w:val="18"/>
          <w:b w:val="1"/>
          <w:bCs w:val="1"/>
          <w:color w:val="auto"/>
        </w:rPr>
      </w:pPr>
    </w:p>
    <w:p>
      <w:pPr>
        <w:ind w:left="460"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leases facilities under non-cancellable operating leases expiring on different dates. The terms of substantially all of these leases are two years or less. Payments under operating leases are expensed on a straight-line basis over the periods of the respective leases.</w:t>
      </w:r>
    </w:p>
    <w:p>
      <w:pPr>
        <w:spacing w:after="0" w:line="53" w:lineRule="exact"/>
        <w:rPr>
          <w:rFonts w:ascii="Times New Roman" w:cs="Times New Roman" w:eastAsia="Times New Roman" w:hAnsi="Times New Roman"/>
          <w:sz w:val="18"/>
          <w:szCs w:val="18"/>
          <w:b w:val="1"/>
          <w:bCs w:val="1"/>
          <w:color w:val="auto"/>
        </w:rPr>
      </w:pPr>
    </w:p>
    <w:p>
      <w:pPr>
        <w:ind w:left="460" w:right="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office rental expenses under all operating leases were US$2,636,718 and US$3,024,404 for the years ended December 31, 2015 and 2016, respectively.</w:t>
      </w:r>
    </w:p>
    <w:p>
      <w:pPr>
        <w:spacing w:after="0" w:line="53"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2016, future minimum payments under non-cancellable operating leases for office rental consist of the following:</w:t>
      </w:r>
    </w:p>
    <w:p>
      <w:pPr>
        <w:spacing w:after="0" w:line="27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40" w:type="dxa"/>
            <w:vAlign w:val="bottom"/>
            <w:shd w:val="clear" w:color="auto" w:fill="CCEEFF"/>
          </w:tcPr>
          <w:p>
            <w:pPr>
              <w:jc w:val="right"/>
              <w:ind w:right="1590"/>
              <w:spacing w:after="0"/>
              <w:rPr>
                <w:sz w:val="20"/>
                <w:szCs w:val="20"/>
                <w:color w:val="auto"/>
              </w:rPr>
            </w:pPr>
            <w:r>
              <w:rPr>
                <w:rFonts w:ascii="Times New Roman" w:cs="Times New Roman" w:eastAsia="Times New Roman" w:hAnsi="Times New Roman"/>
                <w:sz w:val="18"/>
                <w:szCs w:val="18"/>
                <w:color w:val="auto"/>
                <w:w w:val="94"/>
              </w:rPr>
              <w:t>2017</w:t>
            </w:r>
          </w:p>
        </w:tc>
        <w:tc>
          <w:tcPr>
            <w:tcW w:w="5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80" w:type="dxa"/>
            <w:vAlign w:val="bottom"/>
            <w:shd w:val="clear" w:color="auto" w:fill="CCEEFF"/>
          </w:tcPr>
          <w:p>
            <w:pPr>
              <w:spacing w:after="0"/>
              <w:rPr>
                <w:sz w:val="18"/>
                <w:szCs w:val="18"/>
                <w:color w:val="auto"/>
              </w:rPr>
            </w:pPr>
          </w:p>
        </w:tc>
      </w:tr>
      <w:tr>
        <w:trPr>
          <w:trHeight w:val="223"/>
        </w:trPr>
        <w:tc>
          <w:tcPr>
            <w:tcW w:w="204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w w:val="94"/>
              </w:rPr>
              <w:t>2018</w:t>
            </w:r>
          </w:p>
        </w:tc>
        <w:tc>
          <w:tcPr>
            <w:tcW w:w="51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80" w:type="dxa"/>
            <w:vAlign w:val="bottom"/>
          </w:tcPr>
          <w:p>
            <w:pPr>
              <w:spacing w:after="0"/>
              <w:rPr>
                <w:sz w:val="19"/>
                <w:szCs w:val="19"/>
                <w:color w:val="auto"/>
              </w:rPr>
            </w:pPr>
          </w:p>
        </w:tc>
      </w:tr>
      <w:tr>
        <w:trPr>
          <w:trHeight w:val="216"/>
        </w:trPr>
        <w:tc>
          <w:tcPr>
            <w:tcW w:w="20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80" w:type="dxa"/>
            <w:vAlign w:val="bottom"/>
            <w:shd w:val="clear" w:color="auto" w:fill="CCEEFF"/>
          </w:tcPr>
          <w:p>
            <w:pPr>
              <w:spacing w:after="0"/>
              <w:rPr>
                <w:sz w:val="18"/>
                <w:szCs w:val="18"/>
                <w:color w:val="auto"/>
              </w:rPr>
            </w:pPr>
          </w:p>
        </w:tc>
      </w:tr>
      <w:tr>
        <w:trPr>
          <w:trHeight w:val="20"/>
        </w:trPr>
        <w:tc>
          <w:tcPr>
            <w:tcW w:w="20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40" w:type="dxa"/>
            <w:vAlign w:val="bottom"/>
          </w:tcPr>
          <w:p>
            <w:pPr>
              <w:spacing w:after="0"/>
              <w:rPr>
                <w:sz w:val="24"/>
                <w:szCs w:val="24"/>
                <w:color w:val="auto"/>
              </w:rPr>
            </w:pPr>
          </w:p>
        </w:tc>
        <w:tc>
          <w:tcPr>
            <w:tcW w:w="572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F-64</w:t>
            </w:r>
          </w:p>
        </w:tc>
      </w:tr>
    </w:tbl>
    <w:p>
      <w:pPr>
        <w:sectPr>
          <w:pgSz w:w="11900" w:h="16838" w:orient="portrait"/>
          <w:cols w:equalWidth="0" w:num="1">
            <w:col w:w="11360"/>
          </w:cols>
          <w:pgMar w:left="240" w:top="456" w:right="299" w:bottom="1440" w:gutter="0" w:footer="0" w:header="0"/>
        </w:sectPr>
      </w:pPr>
    </w:p>
    <w:bookmarkStart w:id="285" w:name="page286"/>
    <w:bookmarkEnd w:id="2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25</w:t>
        <w:tab/>
        <w:t>Commitments and contingencies (Continued)</w:t>
      </w:r>
    </w:p>
    <w:p>
      <w:pPr>
        <w:spacing w:after="0" w:line="131" w:lineRule="exact"/>
        <w:rPr>
          <w:sz w:val="20"/>
          <w:szCs w:val="20"/>
          <w:color w:val="auto"/>
        </w:rPr>
      </w:pPr>
    </w:p>
    <w:p>
      <w:pPr>
        <w:ind w:left="460" w:hanging="452"/>
        <w:spacing w:after="0"/>
        <w:tabs>
          <w:tab w:leader="none" w:pos="460"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commitments</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2015 and 2016, no purchase commitments were related to the purchase of space for its online marketing services.</w:t>
      </w:r>
    </w:p>
    <w:p>
      <w:pPr>
        <w:spacing w:after="0" w:line="369"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Litigation</w:t>
      </w:r>
    </w:p>
    <w:p>
      <w:pPr>
        <w:spacing w:after="0" w:line="121" w:lineRule="exact"/>
        <w:rPr>
          <w:rFonts w:ascii="Times New Roman" w:cs="Times New Roman" w:eastAsia="Times New Roman" w:hAnsi="Times New Roman"/>
          <w:sz w:val="18"/>
          <w:szCs w:val="18"/>
          <w:b w:val="1"/>
          <w:bCs w:val="1"/>
          <w:color w:val="auto"/>
        </w:rPr>
      </w:pPr>
    </w:p>
    <w:p>
      <w:pPr>
        <w:ind w:left="460"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ordinary course of the business, the Group is subject to periodic legal or administrative proceedings. As of December 31, 2015 and 2016, the Group is not a party to any legal or administrative proceedings which will have a material adverse effect on the Group’s business, financial position, results of operations and cash flows.</w:t>
      </w:r>
    </w:p>
    <w:p>
      <w:pPr>
        <w:spacing w:after="0" w:line="321" w:lineRule="exact"/>
        <w:rPr>
          <w:sz w:val="20"/>
          <w:szCs w:val="20"/>
          <w:color w:val="auto"/>
        </w:rPr>
      </w:pPr>
    </w:p>
    <w:p>
      <w:pPr>
        <w:ind w:left="460" w:hanging="452"/>
        <w:spacing w:after="0"/>
        <w:tabs>
          <w:tab w:leader="none" w:pos="460"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Unaudited pro forma balance sheet and net loss per share</w:t>
      </w:r>
    </w:p>
    <w:p>
      <w:pPr>
        <w:spacing w:after="0" w:line="121" w:lineRule="exact"/>
        <w:rPr>
          <w:rFonts w:ascii="Times New Roman" w:cs="Times New Roman" w:eastAsia="Times New Roman" w:hAnsi="Times New Roman"/>
          <w:sz w:val="18"/>
          <w:szCs w:val="18"/>
          <w:b w:val="1"/>
          <w:bCs w:val="1"/>
          <w:color w:val="auto"/>
        </w:rPr>
      </w:pPr>
    </w:p>
    <w:p>
      <w:pPr>
        <w:ind w:left="46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completion of a qualified initial public offering, the Series A, B, C, D and E preferred shares shall automatically be converted into ordinary shares. The unaudited pro-forma balance sheet as of December 31, 2016 assumes a qualified initial public offering has occurred and presents an adjusted financial position as if the conversion of all outstanding Series A, B, C, D and E preferred shares into ordinary shares at the conversion ratio as described in Note 16 to the consolidated financial statements occurred on December 31, 2016.</w:t>
      </w:r>
    </w:p>
    <w:p>
      <w:pPr>
        <w:spacing w:after="0" w:line="71" w:lineRule="exact"/>
        <w:rPr>
          <w:rFonts w:ascii="Times New Roman" w:cs="Times New Roman" w:eastAsia="Times New Roman" w:hAnsi="Times New Roman"/>
          <w:sz w:val="18"/>
          <w:szCs w:val="18"/>
          <w:b w:val="1"/>
          <w:bCs w:val="1"/>
          <w:color w:val="auto"/>
        </w:rPr>
      </w:pPr>
    </w:p>
    <w:p>
      <w:pPr>
        <w:jc w:val="both"/>
        <w:ind w:left="460" w:right="3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unaudited pro-forma basic and diluted net loss per share reflecting the effect to conversion of all outstanding Series A, B, C, D and E preferred shares into ordinary shares into ordinary shares as if the conversion had occurred at the beginning of the year, or the date of issuance, whichever is later:</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7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For the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7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December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44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attributable to iClick Interactive Asia Group Limited</w:t>
            </w:r>
          </w:p>
        </w:tc>
        <w:tc>
          <w:tcPr>
            <w:tcW w:w="6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to convertible redeemable shares redemption value</w:t>
            </w:r>
          </w:p>
        </w:tc>
        <w:tc>
          <w:tcPr>
            <w:tcW w:w="6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to redeemable ordinary shares redemption value</w:t>
            </w:r>
          </w:p>
        </w:tc>
        <w:tc>
          <w:tcPr>
            <w:tcW w:w="6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gain in derivatives liabilities</w:t>
            </w:r>
          </w:p>
        </w:tc>
        <w:tc>
          <w:tcPr>
            <w:tcW w:w="6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(3,995)</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Numerator for pro-forma basic and diluted net loss per share</w:t>
            </w:r>
          </w:p>
        </w:tc>
        <w:tc>
          <w:tcPr>
            <w:tcW w:w="6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(31,325)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20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4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6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13,151,063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Pro-forma effect of the conversion of Series A preferred shares</w:t>
            </w:r>
          </w:p>
        </w:tc>
        <w:tc>
          <w:tcPr>
            <w:tcW w:w="6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Pro-forma effect of the conversion of Series B preferred shares</w:t>
            </w:r>
          </w:p>
        </w:tc>
        <w:tc>
          <w:tcPr>
            <w:tcW w:w="6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1,599,186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Pro-forma effect of the conversion of Series C preferred shares</w:t>
            </w:r>
          </w:p>
        </w:tc>
        <w:tc>
          <w:tcPr>
            <w:tcW w:w="6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1,889,249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Pro-forma effect of the conversion of Series D preferred shares</w:t>
            </w:r>
          </w:p>
        </w:tc>
        <w:tc>
          <w:tcPr>
            <w:tcW w:w="6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2,476,190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Pro-forma effect of the conversion of Series E preferred shares</w:t>
            </w:r>
          </w:p>
        </w:tc>
        <w:tc>
          <w:tcPr>
            <w:tcW w:w="6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1,068,114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Pro-forma effect of redeemable ordinary shares</w:t>
            </w:r>
          </w:p>
        </w:tc>
        <w:tc>
          <w:tcPr>
            <w:tcW w:w="62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742,320</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200" w:type="dxa"/>
            <w:vAlign w:val="bottom"/>
          </w:tcPr>
          <w:p>
            <w:pPr>
              <w:spacing w:after="0"/>
              <w:rPr>
                <w:sz w:val="7"/>
                <w:szCs w:val="7"/>
                <w:color w:val="auto"/>
              </w:rPr>
            </w:pPr>
          </w:p>
        </w:tc>
        <w:tc>
          <w:tcPr>
            <w:tcW w:w="44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Denominator for pro-forma basic and diluted net loss per share</w:t>
            </w:r>
          </w:p>
        </w:tc>
        <w:tc>
          <w:tcPr>
            <w:tcW w:w="62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23,419,140</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Pro-forma net loss per share:</w:t>
            </w:r>
          </w:p>
        </w:tc>
        <w:tc>
          <w:tcPr>
            <w:tcW w:w="4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6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6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6200" w:type="dxa"/>
            <w:vAlign w:val="bottom"/>
            <w:gridSpan w:val="3"/>
          </w:tcPr>
          <w:p>
            <w:pPr>
              <w:jc w:val="right"/>
              <w:ind w:right="5540"/>
              <w:spacing w:after="0"/>
              <w:rPr>
                <w:sz w:val="20"/>
                <w:szCs w:val="20"/>
                <w:color w:val="auto"/>
              </w:rPr>
            </w:pPr>
            <w:r>
              <w:rPr>
                <w:rFonts w:ascii="Times New Roman" w:cs="Times New Roman" w:eastAsia="Times New Roman" w:hAnsi="Times New Roman"/>
                <w:sz w:val="18"/>
                <w:szCs w:val="18"/>
                <w:color w:val="auto"/>
              </w:rPr>
              <w:t>F-65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86" w:name="page287"/>
    <w:bookmarkEnd w:id="2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Unaudited pro forma balance sheet and net loss per share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potentially dilutive securities that were not included in the calculation of above pro-forma dilutive net loss per share in the period presented where their inclusion would be anti-dilutive include options to purchase ordinary shares of 1,091,088, for the year ended December 31, 2016 on a weighted average basis.</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evaluated subsequent events through May 18, 2017, the date on which these financial statements were issued.</w:t>
      </w:r>
    </w:p>
    <w:p>
      <w:pPr>
        <w:spacing w:after="0" w:line="369"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net assets</w:t>
      </w:r>
    </w:p>
    <w:p>
      <w:pPr>
        <w:spacing w:after="0" w:line="121" w:lineRule="exact"/>
        <w:rPr>
          <w:rFonts w:ascii="Times New Roman" w:cs="Times New Roman" w:eastAsia="Times New Roman" w:hAnsi="Times New Roman"/>
          <w:sz w:val="18"/>
          <w:szCs w:val="18"/>
          <w:b w:val="1"/>
          <w:bCs w:val="1"/>
          <w:color w:val="auto"/>
        </w:rPr>
      </w:pPr>
    </w:p>
    <w:p>
      <w:pPr>
        <w:ind w:left="4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Relevant PRC laws and regulations permit payments of dividends by the Group’s subsidiary and the VIE incorporated in the PRC only out of their retained earnings, if any, as determined in accordance with PRC accounting standards and regulations. In addition, the Group’s subsidiary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subsidiary and the VIE subsidiary incorporated in the PRC are restricted in their ability to transfer a portion of their net assets to the Company either in the form of dividends, loans or advances. There are no significant differences between US GAAP and PRC accounting standards in connection with the reported net assets of the legally owned subsidiary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subsidiary and the VIE to satisfy any obligations of the Company.</w:t>
      </w:r>
    </w:p>
    <w:p>
      <w:pPr>
        <w:spacing w:after="0" w:line="84" w:lineRule="exact"/>
        <w:rPr>
          <w:rFonts w:ascii="Times New Roman" w:cs="Times New Roman" w:eastAsia="Times New Roman" w:hAnsi="Times New Roman"/>
          <w:sz w:val="18"/>
          <w:szCs w:val="18"/>
          <w:b w:val="1"/>
          <w:bCs w:val="1"/>
          <w:color w:val="auto"/>
        </w:rPr>
      </w:pPr>
    </w:p>
    <w:p>
      <w:pPr>
        <w:ind w:lef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2015 and 2016, the total restricted net assets of the Company’s subsidiaries, OptAim VIE and its subsidiary incorporated in PRC and subjected to restriction amounted to approximately US$3,714 and US$4,297, respectively.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its shareholders. Except for the above and the amounts classified as restricted cash of US$1,000 and US$5,234 as of December 31, 2015 and 2016, respectively, there is no other restriction on the use of proceeds generated by the Company’s subsidiaries, VIEs and VIE subsidiaries to satisfy any obligations of the Company.</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320"/>
          </w:cols>
          <w:pgMar w:left="240" w:top="456" w:right="339" w:bottom="1440" w:gutter="0" w:footer="0" w:header="0"/>
        </w:sectPr>
      </w:pPr>
    </w:p>
    <w:bookmarkStart w:id="287" w:name="page288"/>
    <w:bookmarkEnd w:id="2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CONDENSED FINANCIAL STATEMENTS OF PARENT COMPANY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Rules 12-04(a) and 4-08(e)(3) of Regulation S-X require condensed financial information as to the financial position, cash flows and results of operations of a parent company as of and for the same periods for which the audited consolidated financial statements have been presented when the restricted net assets of the consolidated and unconsolidated subsidiaries together exceed 25% of consolidated net assets as of the end of the most recently completed fiscal year.</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following condensed financial statements of the Company have been prepared using the same accounting policies as set out in the Company’s consolidated financial statements except that the Company used the equity method to account for its investment in its subsidiaries and VIEs. Such investment is presented on the separate condensed balance sheets of the Company as “Investment in subsidiaries and VIEs” and “Accumulated losses in excess of investment in subsidiaries and VIEs.” The Company, its subsidiaries and VIEs were included in the consolidated financial statements whereby the inter-company balances and transactions were eliminated upon consolidation. The Company’s share of income from its subsidiaries and VIEs is reported as share of income from subsidiaries and VIEs in the condensed financial statements.</w:t>
      </w:r>
    </w:p>
    <w:p>
      <w:pPr>
        <w:spacing w:after="0" w:line="80" w:lineRule="exact"/>
        <w:rPr>
          <w:sz w:val="20"/>
          <w:szCs w:val="20"/>
          <w:color w:val="auto"/>
        </w:rPr>
      </w:pPr>
    </w:p>
    <w:p>
      <w:pPr>
        <w:jc w:val="both"/>
        <w:ind w:right="620"/>
        <w:spacing w:after="0" w:line="261" w:lineRule="auto"/>
        <w:rPr>
          <w:sz w:val="20"/>
          <w:szCs w:val="20"/>
          <w:color w:val="auto"/>
        </w:rPr>
      </w:pPr>
      <w:r>
        <w:rPr>
          <w:rFonts w:ascii="Times New Roman" w:cs="Times New Roman" w:eastAsia="Times New Roman" w:hAnsi="Times New Roman"/>
          <w:sz w:val="18"/>
          <w:szCs w:val="18"/>
          <w:color w:val="auto"/>
        </w:rPr>
        <w:t>The Company is a Cayman Islands company and, therefore, is not subjected to income taxes for all years presented. The footnote disclosures contain supplemental information relating to the operations of the Company and, as such, these statements should be read in conjunction with the notes to the consolidated financial statements of the Company. Certain information and footnote disclosures normally included in financial statements prepared in accordance with U.S. GAAP have been condensed or omitted.</w:t>
      </w:r>
    </w:p>
    <w:p>
      <w:pPr>
        <w:spacing w:after="0" w:line="7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2015 and 2016, there were no material commitments or contingencies, significant provisions for long-term obligations or guarantees of the Company, except for those which have been separately disclosed in the consolidated financial statements, if any.</w:t>
      </w:r>
    </w:p>
    <w:p>
      <w:pPr>
        <w:spacing w:after="0" w:line="54"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Inter-company charges, share-based compensation and other miscellaneous expenses for the years ended December 31, 2015 and 2016, which were previously recognized at the parent company level, had been pushed down to the WFOE/VIE level given the majority of services were provided to the WFOE/VIE entities.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400"/>
          </w:cols>
          <w:pgMar w:left="240" w:top="455" w:right="259" w:bottom="1440" w:gutter="0" w:footer="0" w:header="0"/>
        </w:sectPr>
      </w:pPr>
    </w:p>
    <w:bookmarkStart w:id="288" w:name="page289"/>
    <w:bookmarkEnd w:id="2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600" w:type="dxa"/>
            <w:vAlign w:val="bottom"/>
            <w:gridSpan w:val="4"/>
          </w:tcPr>
          <w:p>
            <w:pPr>
              <w:ind w:left="180"/>
              <w:spacing w:after="0"/>
              <w:rPr>
                <w:sz w:val="20"/>
                <w:szCs w:val="20"/>
                <w:color w:val="auto"/>
              </w:rPr>
            </w:pPr>
            <w:r>
              <w:rPr>
                <w:rFonts w:ascii="Times New Roman" w:cs="Times New Roman" w:eastAsia="Times New Roman" w:hAnsi="Times New Roman"/>
                <w:sz w:val="14"/>
                <w:szCs w:val="14"/>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62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subsidiaries and VIEs</w:t>
            </w:r>
          </w:p>
        </w:tc>
        <w:tc>
          <w:tcPr>
            <w:tcW w:w="5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39,284</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9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39,353</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w:t>
            </w:r>
          </w:p>
        </w:tc>
        <w:tc>
          <w:tcPr>
            <w:tcW w:w="4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subsidiaries and VIEs</w:t>
            </w:r>
          </w:p>
        </w:tc>
        <w:tc>
          <w:tcPr>
            <w:tcW w:w="5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55,011</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94,364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deficit</w:t>
            </w:r>
          </w:p>
        </w:tc>
        <w:tc>
          <w:tcPr>
            <w:tcW w:w="49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4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820" w:type="dxa"/>
            <w:vAlign w:val="bottom"/>
          </w:tcPr>
          <w:p>
            <w:pPr>
              <w:spacing w:after="0"/>
              <w:rPr>
                <w:sz w:val="9"/>
                <w:szCs w:val="9"/>
                <w:color w:val="auto"/>
              </w:rPr>
            </w:pPr>
          </w:p>
        </w:tc>
        <w:tc>
          <w:tcPr>
            <w:tcW w:w="4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4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5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1,124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5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63,724</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60,525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subsidiaries and VIEs</w:t>
            </w:r>
          </w:p>
        </w:tc>
        <w:tc>
          <w:tcPr>
            <w:tcW w:w="49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5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67,083</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63,646</w:t>
            </w:r>
          </w:p>
        </w:tc>
        <w:tc>
          <w:tcPr>
            <w:tcW w:w="0" w:type="dxa"/>
            <w:vAlign w:val="bottom"/>
          </w:tcPr>
          <w:p>
            <w:pPr>
              <w:spacing w:after="0"/>
              <w:rPr>
                <w:sz w:val="1"/>
                <w:szCs w:val="1"/>
                <w:color w:val="auto"/>
              </w:rPr>
            </w:pPr>
          </w:p>
        </w:tc>
      </w:tr>
      <w:tr>
        <w:trPr>
          <w:trHeight w:val="223"/>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49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4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49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67,083</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64,005</w:t>
            </w:r>
          </w:p>
        </w:tc>
        <w:tc>
          <w:tcPr>
            <w:tcW w:w="0" w:type="dxa"/>
            <w:vAlign w:val="bottom"/>
          </w:tcPr>
          <w:p>
            <w:pPr>
              <w:spacing w:after="0"/>
              <w:rPr>
                <w:sz w:val="1"/>
                <w:szCs w:val="1"/>
                <w:color w:val="auto"/>
              </w:rPr>
            </w:pPr>
          </w:p>
        </w:tc>
      </w:tr>
      <w:tr>
        <w:trPr>
          <w:trHeight w:val="228"/>
        </w:trPr>
        <w:tc>
          <w:tcPr>
            <w:tcW w:w="4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49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7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F-68</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89" w:name="page290"/>
    <w:bookmarkEnd w:id="2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BALANCE SHEETS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2015 AND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2015</w:t>
            </w:r>
          </w:p>
        </w:tc>
        <w:tc>
          <w:tcPr>
            <w:tcW w:w="200" w:type="dxa"/>
            <w:vAlign w:val="bottom"/>
          </w:tcPr>
          <w:p>
            <w:pPr>
              <w:spacing w:after="0"/>
              <w:rPr>
                <w:sz w:val="14"/>
                <w:szCs w:val="14"/>
                <w:color w:val="auto"/>
              </w:rPr>
            </w:pP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Series A convertible redeemable preferred shares (US$0.001 par value; 2,500,000 shares authorized as of December 31, 2015</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2016, respectively; 2,476,190 shares issued and outstanding as of December 31, 2015 and 2016, respectively;</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redemption amount of US$7,393 and US$6,737 as of December 31, 2015 and 2016, respectively)</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5,487</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5,597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Series B convertible redeemable preferred shares (US$0.001 par value; 3,000,000 shares authorized as of December 31, 2015</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and 2016, respectively; 1,889,249 shares issued and outstanding as of December 31, 2015 and 2016, respectively;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redemption amount of US$14,441 and US$14,625 as of December 31, 2015 and 2016, respectively)</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9,145</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9,807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Series C convertible redeemable preferred shares (US$0.001 par value; 1,650,000 shares authorized as of December 31, 2015</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and 2016, respectively; 1,599,186 shares issued and outstanding as of December 31, 2015 and 2016, respectively;</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redemption amount of US$20,636 and US$22,288 as of December 31, 2015 and 2016, respectively)</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10,733</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Series D convertible redeemable preferred shares (US$0.001 par value; 4,500,000 shares authorized as of December 31, 2015</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and 2016, respectively; 2,493,018 shares issued and outstanding as of December 31, 2015 and 2016, respectively;</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redemption amount of US$55,944 and US$58,874 as of December 31, 2015 and 2016, respectively)</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43,956</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43,956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6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Series E convertible redeemable preferred shares (US$0.001 par value; 1,200,000 shares authorized as of December 31, 2016;</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1,068,114 shares issued and outstanding as of December 31, 2016; redemption amount of US$20,000 as of December 31,</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7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2016)</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18,845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968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Redeemable ordinary shares (US$0.001 par value; 742,320 shares issued and outstanding as of December 31, 2015 and 2016,</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respectively)</w:t>
            </w: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13,889</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15,445</w:t>
            </w:r>
          </w:p>
        </w:tc>
        <w:tc>
          <w:tcPr>
            <w:tcW w:w="0" w:type="dxa"/>
            <w:vAlign w:val="bottom"/>
          </w:tcPr>
          <w:p>
            <w:pPr>
              <w:spacing w:after="0"/>
              <w:rPr>
                <w:sz w:val="1"/>
                <w:szCs w:val="1"/>
                <w:color w:val="auto"/>
              </w:rPr>
            </w:pPr>
          </w:p>
        </w:tc>
      </w:tr>
      <w:tr>
        <w:trPr>
          <w:trHeight w:val="230"/>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83,210</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104,383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Ordinary shares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Treasury shares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(9,783)</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shareholders’ deficit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(46,159)</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(61,858)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(55,929)</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(64,312)</w:t>
            </w: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deficit</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700" w:type="dxa"/>
            <w:vAlign w:val="bottom"/>
            <w:gridSpan w:val="2"/>
            <w:vMerge w:val="continue"/>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94,364</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vMerge w:val="restart"/>
          </w:tcPr>
          <w:p>
            <w:pPr>
              <w:ind w:left="5520"/>
              <w:spacing w:after="0"/>
              <w:rPr>
                <w:sz w:val="20"/>
                <w:szCs w:val="20"/>
                <w:color w:val="auto"/>
              </w:rPr>
            </w:pPr>
            <w:r>
              <w:rPr>
                <w:rFonts w:ascii="Times New Roman" w:cs="Times New Roman" w:eastAsia="Times New Roman" w:hAnsi="Times New Roman"/>
                <w:sz w:val="18"/>
                <w:szCs w:val="18"/>
                <w:color w:val="auto"/>
              </w:rPr>
              <w:t>F-69</w:t>
            </w: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6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90" w:name="page291"/>
    <w:bookmarkEnd w:id="2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2015 AND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58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Borders>
              <w:top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7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3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(7,455)</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(21,655)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5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(7,455)</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(21,655)</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86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gains, net</w:t>
            </w:r>
          </w:p>
        </w:tc>
        <w:tc>
          <w:tcPr>
            <w:tcW w:w="15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101</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(loss)/gain on derivative liabilities</w:t>
            </w: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(19,390)</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subsidiaries and VIEs</w:t>
            </w:r>
          </w:p>
        </w:tc>
        <w:tc>
          <w:tcPr>
            <w:tcW w:w="15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(12,970)</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(9,815)</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(39,714)</w:t>
            </w:r>
          </w:p>
        </w:tc>
        <w:tc>
          <w:tcPr>
            <w:tcW w:w="70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(39,714)</w:t>
            </w:r>
          </w:p>
        </w:tc>
        <w:tc>
          <w:tcPr>
            <w:tcW w:w="70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to convertible redeemable preferred shares redemption value</w:t>
            </w:r>
          </w:p>
        </w:tc>
        <w:tc>
          <w:tcPr>
            <w:tcW w:w="15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(2,692)</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Accretion to redeemable ordinary shares redemption value</w:t>
            </w: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(1,982)</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iClick Interactive Asia Group Limited’s ordinary shareholders</w:t>
            </w:r>
          </w:p>
        </w:tc>
        <w:tc>
          <w:tcPr>
            <w:tcW w:w="15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(44,388)</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(29,659)</w:t>
            </w:r>
          </w:p>
        </w:tc>
        <w:tc>
          <w:tcPr>
            <w:tcW w:w="0" w:type="dxa"/>
            <w:vAlign w:val="bottom"/>
          </w:tcPr>
          <w:p>
            <w:pPr>
              <w:spacing w:after="0"/>
              <w:rPr>
                <w:sz w:val="1"/>
                <w:szCs w:val="1"/>
                <w:color w:val="auto"/>
              </w:rPr>
            </w:pPr>
          </w:p>
        </w:tc>
      </w:tr>
      <w:tr>
        <w:trPr>
          <w:trHeight w:val="223"/>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(39,714)</w:t>
            </w:r>
          </w:p>
        </w:tc>
        <w:tc>
          <w:tcPr>
            <w:tcW w:w="70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(129)</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iClick Interactive Asia Group Limited</w:t>
            </w:r>
          </w:p>
        </w:tc>
        <w:tc>
          <w:tcPr>
            <w:tcW w:w="15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(39,843)</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(27,469)</w:t>
            </w:r>
          </w:p>
        </w:tc>
        <w:tc>
          <w:tcPr>
            <w:tcW w:w="0" w:type="dxa"/>
            <w:vAlign w:val="bottom"/>
          </w:tcPr>
          <w:p>
            <w:pPr>
              <w:spacing w:after="0"/>
              <w:rPr>
                <w:sz w:val="1"/>
                <w:szCs w:val="1"/>
                <w:color w:val="auto"/>
              </w:rPr>
            </w:pPr>
          </w:p>
        </w:tc>
      </w:tr>
      <w:tr>
        <w:trPr>
          <w:trHeight w:val="20"/>
        </w:trPr>
        <w:tc>
          <w:tcPr>
            <w:tcW w:w="8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884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 2015 AND 2016</w:t>
            </w:r>
          </w:p>
        </w:tc>
        <w:tc>
          <w:tcPr>
            <w:tcW w:w="2580" w:type="dxa"/>
            <w:vAlign w:val="bottom"/>
            <w:gridSpan w:val="5"/>
            <w:vMerge w:val="restart"/>
          </w:tcPr>
          <w:p>
            <w:pPr>
              <w:ind w:left="260"/>
              <w:spacing w:after="0"/>
              <w:rPr>
                <w:sz w:val="20"/>
                <w:szCs w:val="20"/>
                <w:color w:val="auto"/>
              </w:rPr>
            </w:pPr>
            <w:r>
              <w:rPr>
                <w:rFonts w:ascii="Times New Roman" w:cs="Times New Roman" w:eastAsia="Times New Roman" w:hAnsi="Times New Roman"/>
                <w:sz w:val="14"/>
                <w:szCs w:val="14"/>
                <w:color w:val="auto"/>
              </w:rPr>
              <w:t>For the year ended 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5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7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5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(86,738)</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(84,244)</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0" w:type="dxa"/>
            <w:vAlign w:val="bottom"/>
          </w:tcPr>
          <w:p>
            <w:pPr>
              <w:spacing w:after="0"/>
              <w:rPr>
                <w:sz w:val="24"/>
                <w:szCs w:val="24"/>
                <w:color w:val="auto"/>
              </w:rPr>
            </w:pPr>
          </w:p>
        </w:tc>
        <w:tc>
          <w:tcPr>
            <w:tcW w:w="8820" w:type="dxa"/>
            <w:vAlign w:val="bottom"/>
            <w:gridSpan w:val="2"/>
          </w:tcPr>
          <w:p>
            <w:pPr>
              <w:ind w:left="5520"/>
              <w:spacing w:after="0"/>
              <w:rPr>
                <w:sz w:val="20"/>
                <w:szCs w:val="20"/>
                <w:color w:val="auto"/>
              </w:rPr>
            </w:pPr>
            <w:r>
              <w:rPr>
                <w:rFonts w:ascii="Times New Roman" w:cs="Times New Roman" w:eastAsia="Times New Roman" w:hAnsi="Times New Roman"/>
                <w:sz w:val="18"/>
                <w:szCs w:val="18"/>
                <w:color w:val="auto"/>
              </w:rPr>
              <w:t>F-70</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291" w:name="page292"/>
    <w:bookmarkEnd w:id="2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2016, AND JUNE 30,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w w:val="99"/>
              </w:rPr>
              <w:t>December 31,</w:t>
            </w: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June 30,</w:t>
            </w: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Pro-forma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color w:val="auto"/>
              </w:rPr>
              <w:t>Note</w:t>
            </w:r>
          </w:p>
        </w:tc>
        <w:tc>
          <w:tcPr>
            <w:tcW w:w="10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(Note 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2016</w:t>
            </w:r>
          </w:p>
        </w:tc>
        <w:tc>
          <w:tcPr>
            <w:tcW w:w="280" w:type="dxa"/>
            <w:vAlign w:val="bottom"/>
          </w:tcPr>
          <w:p>
            <w:pPr>
              <w:spacing w:after="0"/>
              <w:rPr>
                <w:sz w:val="14"/>
                <w:szCs w:val="14"/>
                <w:color w:val="auto"/>
              </w:rPr>
            </w:pPr>
          </w:p>
        </w:tc>
        <w:tc>
          <w:tcPr>
            <w:tcW w:w="64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2017</w:t>
            </w:r>
          </w:p>
        </w:tc>
        <w:tc>
          <w:tcPr>
            <w:tcW w:w="28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27,280</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28,223</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5,234</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6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6</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1,155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receivables of US$1,693 and US$678 as of December 31,</w:t>
            </w: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2016 and June 30, 2017, respectively</w:t>
            </w: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7</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30,694</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28,197</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Rebates receivable</w:t>
            </w:r>
          </w:p>
        </w:tc>
        <w:tc>
          <w:tcPr>
            <w:tcW w:w="6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2,250</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Prepaid media costs</w:t>
            </w:r>
          </w:p>
        </w:tc>
        <w:tc>
          <w:tcPr>
            <w:tcW w:w="6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34,409</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20,939</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6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8</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3,055</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3,581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6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6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102,969</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85,321</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85,321</w:t>
            </w:r>
          </w:p>
        </w:tc>
        <w:tc>
          <w:tcPr>
            <w:tcW w:w="0" w:type="dxa"/>
            <w:vAlign w:val="bottom"/>
          </w:tcPr>
          <w:p>
            <w:pPr>
              <w:spacing w:after="0"/>
              <w:rPr>
                <w:sz w:val="1"/>
                <w:szCs w:val="1"/>
                <w:color w:val="auto"/>
              </w:rPr>
            </w:pPr>
          </w:p>
        </w:tc>
      </w:tr>
      <w:tr>
        <w:trPr>
          <w:trHeight w:val="223"/>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6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6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20</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682</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863</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9</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2,318</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1,739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6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14,804</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12,689</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48,496</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48,496</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8</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371</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287</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23"/>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6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66,671</w:t>
            </w: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64,074</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169,640</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149,395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420"/>
          </w:cols>
          <w:pgMar w:left="240" w:top="456" w:right="239" w:bottom="1440" w:gutter="0" w:footer="0" w:header="0"/>
        </w:sectPr>
      </w:pPr>
    </w:p>
    <w:bookmarkStart w:id="292" w:name="page293"/>
    <w:bookmarkEnd w:id="2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BALANCE SHEETS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2016, AND JUNE 30,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w w:val="99"/>
              </w:rPr>
              <w:t>December 31,</w:t>
            </w: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June 30,</w:t>
            </w: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Pro-forma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color w:val="auto"/>
              </w:rPr>
              <w:t>Note</w:t>
            </w:r>
          </w:p>
        </w:tc>
        <w:tc>
          <w:tcPr>
            <w:tcW w:w="10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(Note 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0" w:type="dxa"/>
            <w:vAlign w:val="bottom"/>
          </w:tcPr>
          <w:p>
            <w:pPr>
              <w:jc w:val="right"/>
              <w:ind w:right="173"/>
              <w:spacing w:after="0"/>
              <w:rPr>
                <w:sz w:val="20"/>
                <w:szCs w:val="20"/>
                <w:color w:val="auto"/>
              </w:rPr>
            </w:pPr>
            <w:r>
              <w:rPr>
                <w:rFonts w:ascii="Times New Roman" w:cs="Times New Roman" w:eastAsia="Times New Roman" w:hAnsi="Times New Roman"/>
                <w:sz w:val="14"/>
                <w:szCs w:val="14"/>
                <w:color w:val="auto"/>
              </w:rPr>
              <w:t>2016</w:t>
            </w:r>
          </w:p>
        </w:tc>
        <w:tc>
          <w:tcPr>
            <w:tcW w:w="280" w:type="dxa"/>
            <w:vAlign w:val="bottom"/>
          </w:tcPr>
          <w:p>
            <w:pPr>
              <w:spacing w:after="0"/>
              <w:rPr>
                <w:sz w:val="14"/>
                <w:szCs w:val="14"/>
                <w:color w:val="auto"/>
              </w:rPr>
            </w:pPr>
          </w:p>
        </w:tc>
        <w:tc>
          <w:tcPr>
            <w:tcW w:w="64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2017</w:t>
            </w:r>
          </w:p>
        </w:tc>
        <w:tc>
          <w:tcPr>
            <w:tcW w:w="28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deficit</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Accounts payable (including accounts payable of the consolidated variable interest entity (“VIE”) and its</w:t>
            </w: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subsidiary without recourse to the Company of US$28 and US$28 as of December 31, 2016 and June 30,</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2017, respectively)</w:t>
            </w:r>
          </w:p>
        </w:tc>
        <w:tc>
          <w:tcPr>
            <w:tcW w:w="6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9,189</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3,581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Deferred revenue (including deferred revenue of the consolidated VIE and its subsidiary without recourse to</w:t>
            </w: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 of US$11,878 and US$9,230 as December 31, 2016 and June 30, 2017, respectively)</w:t>
            </w: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25,697</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23,323</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Accrued liabilities and other current liabilities (including accrued liabilities and other current liabilities of the</w:t>
            </w: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consolidated VIE and its subsidiary without recourse to the Company of US$404 and US$483 as of</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December 31, 2016 and June 30, 2017, respectively)</w:t>
            </w:r>
          </w:p>
        </w:tc>
        <w:tc>
          <w:tcPr>
            <w:tcW w:w="6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13</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15,091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11,216</w:t>
            </w: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15</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60,525</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75,342</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6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14</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12,982</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9,595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6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2,768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6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125,505</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125,825</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50,483</w:t>
            </w:r>
          </w:p>
        </w:tc>
        <w:tc>
          <w:tcPr>
            <w:tcW w:w="0" w:type="dxa"/>
            <w:vAlign w:val="bottom"/>
          </w:tcPr>
          <w:p>
            <w:pPr>
              <w:spacing w:after="0"/>
              <w:rPr>
                <w:sz w:val="1"/>
                <w:szCs w:val="1"/>
                <w:color w:val="auto"/>
              </w:rPr>
            </w:pPr>
          </w:p>
        </w:tc>
      </w:tr>
      <w:tr>
        <w:trPr>
          <w:trHeight w:val="223"/>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6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6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20</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3,705</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3,676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6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15</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359</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269</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6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4,064</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3,945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129,569</w:t>
            </w:r>
          </w:p>
        </w:tc>
        <w:tc>
          <w:tcPr>
            <w:tcW w:w="2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129,770</w:t>
            </w:r>
          </w:p>
        </w:tc>
        <w:tc>
          <w:tcPr>
            <w:tcW w:w="2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6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22</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420"/>
          </w:cols>
          <w:pgMar w:left="240" w:top="455" w:right="239" w:bottom="1440" w:gutter="0" w:footer="0" w:header="0"/>
        </w:sectPr>
      </w:pPr>
    </w:p>
    <w:bookmarkStart w:id="293" w:name="page294"/>
    <w:bookmarkEnd w:id="2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BALANCE SHEETS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2016, AND JUNE 30,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June 30,</w:t>
            </w:r>
          </w:p>
        </w:tc>
        <w:tc>
          <w:tcPr>
            <w:tcW w:w="0" w:type="dxa"/>
            <w:vAlign w:val="bottom"/>
          </w:tcPr>
          <w:p>
            <w:pPr>
              <w:spacing w:after="0"/>
              <w:rPr>
                <w:sz w:val="1"/>
                <w:szCs w:val="1"/>
                <w:color w:val="auto"/>
              </w:rPr>
            </w:pPr>
          </w:p>
        </w:tc>
      </w:tr>
      <w:tr>
        <w:trPr>
          <w:trHeight w:val="149"/>
        </w:trPr>
        <w:tc>
          <w:tcPr>
            <w:tcW w:w="7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December 31,</w:t>
            </w: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June 30,</w:t>
            </w: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Pro-forma</w:t>
            </w:r>
          </w:p>
        </w:tc>
        <w:tc>
          <w:tcPr>
            <w:tcW w:w="0" w:type="dxa"/>
            <w:vAlign w:val="bottom"/>
          </w:tcPr>
          <w:p>
            <w:pPr>
              <w:spacing w:after="0"/>
              <w:rPr>
                <w:sz w:val="1"/>
                <w:szCs w:val="1"/>
                <w:color w:val="auto"/>
              </w:rPr>
            </w:pPr>
          </w:p>
        </w:tc>
      </w:tr>
      <w:tr>
        <w:trPr>
          <w:trHeight w:val="149"/>
        </w:trPr>
        <w:tc>
          <w:tcPr>
            <w:tcW w:w="7960" w:type="dxa"/>
            <w:vAlign w:val="bottom"/>
          </w:tcPr>
          <w:p>
            <w:pPr>
              <w:spacing w:after="0"/>
              <w:rPr>
                <w:sz w:val="12"/>
                <w:szCs w:val="12"/>
                <w:color w:val="auto"/>
              </w:rPr>
            </w:pPr>
          </w:p>
        </w:tc>
        <w:tc>
          <w:tcPr>
            <w:tcW w:w="7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color w:val="auto"/>
              </w:rPr>
              <w:t>Note</w:t>
            </w:r>
          </w:p>
        </w:tc>
        <w:tc>
          <w:tcPr>
            <w:tcW w:w="1080" w:type="dxa"/>
            <w:vAlign w:val="bottom"/>
            <w:gridSpan w:val="3"/>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(Note 23)</w:t>
            </w:r>
          </w:p>
        </w:tc>
        <w:tc>
          <w:tcPr>
            <w:tcW w:w="0" w:type="dxa"/>
            <w:vAlign w:val="bottom"/>
          </w:tcPr>
          <w:p>
            <w:pPr>
              <w:spacing w:after="0"/>
              <w:rPr>
                <w:sz w:val="1"/>
                <w:szCs w:val="1"/>
                <w:color w:val="auto"/>
              </w:rPr>
            </w:pPr>
          </w:p>
        </w:tc>
      </w:tr>
      <w:tr>
        <w:trPr>
          <w:trHeight w:val="171"/>
        </w:trPr>
        <w:tc>
          <w:tcPr>
            <w:tcW w:w="79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jc w:val="right"/>
              <w:ind w:right="174"/>
              <w:spacing w:after="0"/>
              <w:rPr>
                <w:sz w:val="20"/>
                <w:szCs w:val="20"/>
                <w:color w:val="auto"/>
              </w:rPr>
            </w:pPr>
            <w:r>
              <w:rPr>
                <w:rFonts w:ascii="Times New Roman" w:cs="Times New Roman" w:eastAsia="Times New Roman" w:hAnsi="Times New Roman"/>
                <w:sz w:val="14"/>
                <w:szCs w:val="14"/>
                <w:color w:val="auto"/>
              </w:rPr>
              <w:t>2016</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Times New Roman" w:cs="Times New Roman" w:eastAsia="Times New Roman" w:hAnsi="Times New Roman"/>
                <w:sz w:val="14"/>
                <w:szCs w:val="14"/>
                <w:color w:val="auto"/>
              </w:rPr>
              <w:t>2017</w:t>
            </w:r>
          </w:p>
        </w:tc>
        <w:tc>
          <w:tcPr>
            <w:tcW w:w="2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7"/>
              </w:rPr>
              <w:t>(Unaudited)</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convertible redeemable preferred shares (US$0.001 par value; 2,500,000 shares authorized as of</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2016 and June 30, 2017; 2,476,190 shares issued and outstanding as of December 31, 2016</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June 30, 2017; redemption amount of US$6,737 and US$7,290 as of December 31, 2016 and June 30,</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2017, respectively)</w:t>
            </w: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5,597</w:t>
            </w:r>
          </w:p>
        </w:tc>
        <w:tc>
          <w:tcPr>
            <w:tcW w:w="26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5,654</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B convertible redeemable preferred shares (US$0.001 par value; 3,000,000 shares authorized as of</w:t>
            </w: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2016 and June 30, 2017; 1,889,249 shares issued and outstanding as of December 31, 2016</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June 30, 2017; redemption amount of US$14,625 and US$14,962 as of December 31, 2016 and</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June 30, 2017, respectively)</w:t>
            </w:r>
          </w:p>
        </w:tc>
        <w:tc>
          <w:tcPr>
            <w:tcW w:w="7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9,807</w:t>
            </w: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10,151</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C convertible redeemable preferred shares (US$0.001 par value; 1,650,000 shares authorized as of</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2016 and June 30, 2017; 1,599,186 shares issued and outstanding as of December 31, 2016</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June 30, 2017; redemption amount of US$22,288 and US$23,163 as of December 31, 2016 and</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30, 2017, respectively)</w:t>
            </w: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10,733</w:t>
            </w:r>
          </w:p>
        </w:tc>
        <w:tc>
          <w:tcPr>
            <w:tcW w:w="26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10,733</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D convertible redeemable preferred shares (US$0.001 par value; 4,500,000 shares authorized as of</w:t>
            </w: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2016 and June 30, 2017; 2,493,018 shares issued and outstanding as of December 31, 2016</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June 30, 2017; redemption amount of US$58,874 and US$63,466 as of December 31, 2016 and</w:t>
            </w: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June 30, 2017, respectively)</w:t>
            </w:r>
          </w:p>
        </w:tc>
        <w:tc>
          <w:tcPr>
            <w:tcW w:w="7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43,956</w:t>
            </w: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43,956</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E convertible redeemable preferred shares (US$0.001 par value; 1,200,000 shares authorized as of</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2016 and June 30, 2017; 1,068,114 shares issued and outstanding as of December 31, 2016</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June 30, 2017; redemption amount of US$20,000 and US$27,547 as of December 31, 2016 and</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30, 2017, respectively)</w:t>
            </w: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18,845</w:t>
            </w:r>
          </w:p>
        </w:tc>
        <w:tc>
          <w:tcPr>
            <w:tcW w:w="26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18,845</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Redeemable ordinary shares (US$0.001 par value; 742,320 shares issued and outstanding as of</w:t>
            </w: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2016 and June 30, 2017)</w:t>
            </w:r>
          </w:p>
        </w:tc>
        <w:tc>
          <w:tcPr>
            <w:tcW w:w="7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16</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15,445</w:t>
            </w:r>
          </w:p>
        </w:tc>
        <w:tc>
          <w:tcPr>
            <w:tcW w:w="2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16,287</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7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104,383</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105,626</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420"/>
          </w:cols>
          <w:pgMar w:left="240" w:top="456" w:right="239" w:bottom="1440" w:gutter="0" w:footer="0" w:header="0"/>
        </w:sectPr>
      </w:pPr>
    </w:p>
    <w:bookmarkStart w:id="294" w:name="page295"/>
    <w:bookmarkEnd w:id="2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BALANCE SHEETS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DECEMBER 31, 2016, AND JUNE 30,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December 31,</w:t>
            </w:r>
          </w:p>
        </w:tc>
        <w:tc>
          <w:tcPr>
            <w:tcW w:w="10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June 30,</w:t>
            </w: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Pro-forma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78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color w:val="auto"/>
              </w:rPr>
              <w:t>Note</w:t>
            </w:r>
          </w:p>
        </w:tc>
        <w:tc>
          <w:tcPr>
            <w:tcW w:w="11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(Note 23)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60" w:type="dxa"/>
            <w:vAlign w:val="bottom"/>
          </w:tcPr>
          <w:p>
            <w:pPr>
              <w:jc w:val="right"/>
              <w:ind w:right="214"/>
              <w:spacing w:after="0"/>
              <w:rPr>
                <w:sz w:val="20"/>
                <w:szCs w:val="20"/>
                <w:color w:val="auto"/>
              </w:rPr>
            </w:pPr>
            <w:r>
              <w:rPr>
                <w:rFonts w:ascii="Times New Roman" w:cs="Times New Roman" w:eastAsia="Times New Roman" w:hAnsi="Times New Roman"/>
                <w:sz w:val="14"/>
                <w:szCs w:val="14"/>
                <w:color w:val="auto"/>
              </w:rPr>
              <w:t>2016</w:t>
            </w:r>
          </w:p>
        </w:tc>
        <w:tc>
          <w:tcPr>
            <w:tcW w:w="320" w:type="dxa"/>
            <w:vAlign w:val="bottom"/>
          </w:tcPr>
          <w:p>
            <w:pPr>
              <w:spacing w:after="0"/>
              <w:rPr>
                <w:sz w:val="14"/>
                <w:szCs w:val="14"/>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2017</w:t>
            </w:r>
          </w:p>
        </w:tc>
        <w:tc>
          <w:tcPr>
            <w:tcW w:w="32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(deficit)/equity</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Ordinary shares (US$0.001 par value; 37,150,000 shares as of December 31 2016 and June 30, 2017;</w:t>
            </w: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13,609,208 and 13,629,344 shares issued and outstanding as of December 31, 2016 and June 30,</w:t>
            </w: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2017, respectively)</w:t>
            </w:r>
          </w:p>
        </w:tc>
        <w:tc>
          <w:tcPr>
            <w:tcW w:w="78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17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Treasury shares (2,149,280 and 2,129,144 shares as of December 31, 2016 and June 30, 2017,</w:t>
            </w:r>
          </w:p>
        </w:tc>
        <w:tc>
          <w:tcPr>
            <w:tcW w:w="7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7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17</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(2,468)</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(2,176)</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65,687</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66,122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reserves</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losses</w:t>
            </w:r>
          </w:p>
        </w:tc>
        <w:tc>
          <w:tcPr>
            <w:tcW w:w="7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(3,241)</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(3,412)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7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(124,385)</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(146,630)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(146,630)</w:t>
            </w:r>
          </w:p>
        </w:tc>
        <w:tc>
          <w:tcPr>
            <w:tcW w:w="0" w:type="dxa"/>
            <w:vAlign w:val="bottom"/>
          </w:tcPr>
          <w:p>
            <w:pPr>
              <w:spacing w:after="0"/>
              <w:rPr>
                <w:sz w:val="1"/>
                <w:szCs w:val="1"/>
                <w:color w:val="auto"/>
              </w:rPr>
            </w:pPr>
          </w:p>
        </w:tc>
      </w:tr>
      <w:tr>
        <w:trPr>
          <w:trHeight w:val="230"/>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(deficit)/equity</w:t>
            </w:r>
          </w:p>
        </w:tc>
        <w:tc>
          <w:tcPr>
            <w:tcW w:w="7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(64,312)</w:t>
            </w:r>
          </w:p>
        </w:tc>
        <w:tc>
          <w:tcPr>
            <w:tcW w:w="3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(86,001)</w:t>
            </w: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(deficit)/equity</w:t>
            </w:r>
          </w:p>
        </w:tc>
        <w:tc>
          <w:tcPr>
            <w:tcW w:w="7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169,640</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149,395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420"/>
          </w:cols>
          <w:pgMar w:left="240" w:top="455" w:right="239" w:bottom="1440" w:gutter="0" w:footer="0" w:header="0"/>
        </w:sectPr>
      </w:pPr>
    </w:p>
    <w:bookmarkStart w:id="295" w:name="page296"/>
    <w:bookmarkEnd w:id="2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right="380"/>
        <w:spacing w:after="0" w:line="263" w:lineRule="auto"/>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COMPREHENSIVE LOSS FOR THE SIX MONTHS ENDED JUNE 30, 2016 AND JUNE 30, 2017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00" w:type="dxa"/>
            <w:vAlign w:val="bottom"/>
          </w:tcPr>
          <w:p>
            <w:pPr>
              <w:spacing w:after="0"/>
              <w:rPr>
                <w:sz w:val="13"/>
                <w:szCs w:val="13"/>
                <w:color w:val="auto"/>
              </w:rPr>
            </w:pPr>
          </w:p>
        </w:tc>
        <w:tc>
          <w:tcPr>
            <w:tcW w:w="170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color w:val="auto"/>
              </w:rPr>
              <w:t>Note</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June 30,</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96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2016</w:t>
            </w:r>
          </w:p>
        </w:tc>
        <w:tc>
          <w:tcPr>
            <w:tcW w:w="240" w:type="dxa"/>
            <w:vAlign w:val="bottom"/>
          </w:tcPr>
          <w:p>
            <w:pPr>
              <w:spacing w:after="0"/>
              <w:rPr>
                <w:sz w:val="14"/>
                <w:szCs w:val="14"/>
                <w:color w:val="auto"/>
              </w:rPr>
            </w:pPr>
          </w:p>
        </w:tc>
        <w:tc>
          <w:tcPr>
            <w:tcW w:w="960" w:type="dxa"/>
            <w:vAlign w:val="bottom"/>
          </w:tcPr>
          <w:p>
            <w:pPr>
              <w:jc w:val="right"/>
              <w:ind w:right="251"/>
              <w:spacing w:after="0"/>
              <w:rPr>
                <w:sz w:val="20"/>
                <w:szCs w:val="20"/>
                <w:color w:val="auto"/>
              </w:rPr>
            </w:pPr>
            <w:r>
              <w:rPr>
                <w:rFonts w:ascii="Times New Roman" w:cs="Times New Roman" w:eastAsia="Times New Roman" w:hAnsi="Times New Roman"/>
                <w:sz w:val="14"/>
                <w:szCs w:val="14"/>
                <w:color w:val="auto"/>
              </w:rPr>
              <w:t>2017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45,269</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(28,003)</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(42,431)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17,266</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(4,426)</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7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(14,083)</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(4,936)</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(4,509)</w:t>
            </w:r>
          </w:p>
        </w:tc>
        <w:tc>
          <w:tcPr>
            <w:tcW w:w="0" w:type="dxa"/>
            <w:vAlign w:val="bottom"/>
          </w:tcPr>
          <w:p>
            <w:pPr>
              <w:spacing w:after="0"/>
              <w:rPr>
                <w:sz w:val="1"/>
                <w:szCs w:val="1"/>
                <w:color w:val="auto"/>
              </w:rPr>
            </w:pPr>
          </w:p>
        </w:tc>
      </w:tr>
      <w:tr>
        <w:trPr>
          <w:trHeight w:val="223"/>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(23,445)</w:t>
            </w:r>
          </w:p>
        </w:tc>
        <w:tc>
          <w:tcPr>
            <w:tcW w:w="2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(6,179)</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7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(290)</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(losses)/gains, net</w:t>
            </w:r>
          </w:p>
        </w:tc>
        <w:tc>
          <w:tcPr>
            <w:tcW w:w="1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19</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Fair value loss on derivative liabilities</w:t>
            </w:r>
          </w:p>
        </w:tc>
        <w:tc>
          <w:tcPr>
            <w:tcW w:w="17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(6,715)</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17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20</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(6,586)</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(22,245)</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Accretion to convertible redeemable preferred shares redemption value</w:t>
            </w:r>
          </w:p>
        </w:tc>
        <w:tc>
          <w:tcPr>
            <w:tcW w:w="1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gridSpan w:val="2"/>
            <w:vMerge w:val="continue"/>
          </w:tcPr>
          <w:p>
            <w:pPr>
              <w:spacing w:after="0"/>
              <w:rPr>
                <w:sz w:val="18"/>
                <w:szCs w:val="18"/>
                <w:color w:val="auto"/>
              </w:rPr>
            </w:pPr>
          </w:p>
        </w:tc>
        <w:tc>
          <w:tcPr>
            <w:tcW w:w="17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to redeemable ordinary shares redemption value</w:t>
            </w:r>
          </w:p>
        </w:tc>
        <w:tc>
          <w:tcPr>
            <w:tcW w:w="1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(757)</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23"/>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iClick Interactive Asia Group Limited’s ordinary shareholders</w:t>
            </w:r>
          </w:p>
        </w:tc>
        <w:tc>
          <w:tcPr>
            <w:tcW w:w="17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(6,586)</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US$nil tax</w:t>
            </w:r>
          </w:p>
        </w:tc>
        <w:tc>
          <w:tcPr>
            <w:tcW w:w="17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3"/>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 attributable to iClick Interactive Asia Group Limited</w:t>
            </w:r>
          </w:p>
        </w:tc>
        <w:tc>
          <w:tcPr>
            <w:tcW w:w="17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(6,664)</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iClick Interactive Asia Group Limited</w:t>
            </w:r>
          </w:p>
        </w:tc>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Basic</w:t>
            </w:r>
          </w:p>
        </w:tc>
        <w:tc>
          <w:tcPr>
            <w:tcW w:w="17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21</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(0.59)</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Diluted</w:t>
            </w:r>
          </w:p>
        </w:tc>
        <w:tc>
          <w:tcPr>
            <w:tcW w:w="1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21</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(0.59)</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used in per share calculation:</w:t>
            </w: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Basic</w:t>
            </w:r>
          </w:p>
        </w:tc>
        <w:tc>
          <w:tcPr>
            <w:tcW w:w="1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21</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13,130,027</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13,618,905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Diluted</w:t>
            </w:r>
          </w:p>
        </w:tc>
        <w:tc>
          <w:tcPr>
            <w:tcW w:w="17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21</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13,130,027</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13,618,905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420"/>
          </w:cols>
          <w:pgMar w:left="240" w:top="455" w:right="239" w:bottom="1440" w:gutter="0" w:footer="0" w:header="0"/>
        </w:sectPr>
      </w:pPr>
    </w:p>
    <w:bookmarkStart w:id="296" w:name="page297"/>
    <w:bookmarkEnd w:id="2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right="600"/>
        <w:spacing w:after="0" w:line="263" w:lineRule="auto"/>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CHANGES IN SHAREHOLDERS’ DEFICIT FOR THE SIX MONTHS ENDED JUNE 30, 2016 AND JUNE 30, 2017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78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color w:val="auto"/>
              </w:rPr>
              <w:t>Ordinary shares</w:t>
            </w:r>
          </w:p>
        </w:tc>
        <w:tc>
          <w:tcPr>
            <w:tcW w:w="180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color w:val="auto"/>
              </w:rPr>
              <w:t>Treasury shares</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Accumulated</w:t>
            </w:r>
          </w:p>
        </w:tc>
        <w:tc>
          <w:tcPr>
            <w:tcW w:w="0" w:type="dxa"/>
            <w:vAlign w:val="bottom"/>
          </w:tcPr>
          <w:p>
            <w:pPr>
              <w:spacing w:after="0"/>
              <w:rPr>
                <w:sz w:val="1"/>
                <w:szCs w:val="1"/>
                <w:color w:val="auto"/>
              </w:rPr>
            </w:pPr>
          </w:p>
        </w:tc>
      </w:tr>
      <w:tr>
        <w:trPr>
          <w:trHeight w:val="106"/>
        </w:trPr>
        <w:tc>
          <w:tcPr>
            <w:tcW w:w="320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Additional</w:t>
            </w: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9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color w:val="auto"/>
              </w:rPr>
              <w:t>Number of</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Number of</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w w:val="99"/>
              </w:rPr>
              <w:t>Accumulated</w:t>
            </w:r>
          </w:p>
        </w:tc>
        <w:tc>
          <w:tcPr>
            <w:tcW w:w="7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97"/>
              </w:rPr>
              <w:t>Statutory</w:t>
            </w:r>
          </w:p>
        </w:tc>
        <w:tc>
          <w:tcPr>
            <w:tcW w:w="940" w:type="dxa"/>
            <w:vAlign w:val="bottom"/>
            <w:gridSpan w:val="2"/>
          </w:tcPr>
          <w:p>
            <w:pPr>
              <w:jc w:val="center"/>
              <w:ind w:right="40"/>
              <w:spacing w:after="0" w:line="145" w:lineRule="exact"/>
              <w:rPr>
                <w:sz w:val="20"/>
                <w:szCs w:val="20"/>
                <w:color w:val="auto"/>
              </w:rPr>
            </w:pPr>
            <w:r>
              <w:rPr>
                <w:rFonts w:ascii="Times New Roman" w:cs="Times New Roman" w:eastAsia="Times New Roman" w:hAnsi="Times New Roman"/>
                <w:sz w:val="14"/>
                <w:szCs w:val="14"/>
                <w:color w:val="auto"/>
              </w:rPr>
              <w:t>other</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Amount</w:t>
            </w:r>
          </w:p>
        </w:tc>
        <w:tc>
          <w:tcPr>
            <w:tcW w:w="1020" w:type="dxa"/>
            <w:vAlign w:val="bottom"/>
            <w:gridSpan w:val="2"/>
            <w:vMerge w:val="continue"/>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Amount</w:t>
            </w: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102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9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0" w:type="dxa"/>
            <w:vAlign w:val="bottom"/>
          </w:tcPr>
          <w:p>
            <w:pPr>
              <w:spacing w:after="0"/>
              <w:rPr>
                <w:sz w:val="1"/>
                <w:szCs w:val="1"/>
                <w:color w:val="auto"/>
              </w:rPr>
            </w:pPr>
          </w:p>
        </w:tc>
      </w:tr>
      <w:tr>
        <w:trPr>
          <w:trHeight w:val="157"/>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2016</w:t>
            </w:r>
          </w:p>
        </w:tc>
        <w:tc>
          <w:tcPr>
            <w:tcW w:w="900" w:type="dxa"/>
            <w:vAlign w:val="bottom"/>
            <w:gridSpan w:val="2"/>
          </w:tcPr>
          <w:p>
            <w:pPr>
              <w:jc w:val="center"/>
              <w:ind w:right="20"/>
              <w:spacing w:after="0" w:line="157" w:lineRule="exact"/>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20" w:type="dxa"/>
            <w:vAlign w:val="bottom"/>
            <w:gridSpan w:val="2"/>
          </w:tcPr>
          <w:p>
            <w:pPr>
              <w:jc w:val="right"/>
              <w:ind w:right="460"/>
              <w:spacing w:after="0" w:line="157" w:lineRule="exact"/>
              <w:rPr>
                <w:sz w:val="20"/>
                <w:szCs w:val="20"/>
                <w:color w:val="auto"/>
              </w:rPr>
            </w:pPr>
            <w:r>
              <w:rPr>
                <w:rFonts w:ascii="Times New Roman" w:cs="Times New Roman" w:eastAsia="Times New Roman" w:hAnsi="Times New Roman"/>
                <w:sz w:val="14"/>
                <w:szCs w:val="14"/>
                <w:color w:val="auto"/>
              </w:rPr>
              <w:t>shares</w:t>
            </w:r>
          </w:p>
        </w:tc>
        <w:tc>
          <w:tcPr>
            <w:tcW w:w="780" w:type="dxa"/>
            <w:vAlign w:val="bottom"/>
            <w:gridSpan w:val="2"/>
            <w:vMerge w:val="continue"/>
          </w:tcPr>
          <w:p>
            <w:pPr>
              <w:spacing w:after="0"/>
              <w:rPr>
                <w:sz w:val="13"/>
                <w:szCs w:val="13"/>
                <w:color w:val="auto"/>
              </w:rPr>
            </w:pPr>
          </w:p>
        </w:tc>
        <w:tc>
          <w:tcPr>
            <w:tcW w:w="86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color w:val="auto"/>
              </w:rPr>
              <w:t>capital</w:t>
            </w:r>
          </w:p>
        </w:tc>
        <w:tc>
          <w:tcPr>
            <w:tcW w:w="1020" w:type="dxa"/>
            <w:vAlign w:val="bottom"/>
            <w:gridSpan w:val="2"/>
          </w:tcPr>
          <w:p>
            <w:pPr>
              <w:jc w:val="right"/>
              <w:ind w:right="460"/>
              <w:spacing w:after="0" w:line="157" w:lineRule="exact"/>
              <w:rPr>
                <w:sz w:val="20"/>
                <w:szCs w:val="20"/>
                <w:color w:val="auto"/>
              </w:rPr>
            </w:pPr>
            <w:r>
              <w:rPr>
                <w:rFonts w:ascii="Times New Roman" w:cs="Times New Roman" w:eastAsia="Times New Roman" w:hAnsi="Times New Roman"/>
                <w:sz w:val="14"/>
                <w:szCs w:val="14"/>
                <w:color w:val="auto"/>
              </w:rPr>
              <w:t>deficit</w:t>
            </w:r>
          </w:p>
        </w:tc>
        <w:tc>
          <w:tcPr>
            <w:tcW w:w="74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4"/>
                <w:szCs w:val="14"/>
                <w:color w:val="auto"/>
              </w:rPr>
              <w:t>reserves</w:t>
            </w:r>
          </w:p>
        </w:tc>
        <w:tc>
          <w:tcPr>
            <w:tcW w:w="940" w:type="dxa"/>
            <w:vAlign w:val="bottom"/>
            <w:gridSpan w:val="2"/>
          </w:tcPr>
          <w:p>
            <w:pPr>
              <w:jc w:val="center"/>
              <w:ind w:right="40"/>
              <w:spacing w:after="0" w:line="157" w:lineRule="exact"/>
              <w:rPr>
                <w:sz w:val="20"/>
                <w:szCs w:val="20"/>
                <w:color w:val="auto"/>
              </w:rPr>
            </w:pPr>
            <w:r>
              <w:rPr>
                <w:rFonts w:ascii="Times New Roman" w:cs="Times New Roman" w:eastAsia="Times New Roman" w:hAnsi="Times New Roman"/>
                <w:sz w:val="14"/>
                <w:szCs w:val="14"/>
                <w:color w:val="auto"/>
              </w:rPr>
              <w:t>losses</w:t>
            </w:r>
          </w:p>
        </w:tc>
        <w:tc>
          <w:tcPr>
            <w:tcW w:w="0" w:type="dxa"/>
            <w:vAlign w:val="bottom"/>
          </w:tcPr>
          <w:p>
            <w:pPr>
              <w:spacing w:after="0"/>
              <w:rPr>
                <w:sz w:val="1"/>
                <w:szCs w:val="1"/>
                <w:color w:val="auto"/>
              </w:rPr>
            </w:pPr>
          </w:p>
        </w:tc>
      </w:tr>
      <w:tr>
        <w:trPr>
          <w:trHeight w:val="216"/>
        </w:trPr>
        <w:tc>
          <w:tcPr>
            <w:tcW w:w="3200" w:type="dxa"/>
            <w:vAlign w:val="bottom"/>
            <w:vMerge w:val="continue"/>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13,104,300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2,654,188</w:t>
            </w: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(9,783)</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53,917</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(97,055)</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Reissuance of treasury shares upon</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employee share options</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53,388</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(53,388)</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774</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(663)</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accretion</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(381)</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Redeemable ordinary shares accretion</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(757)</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(6,586)</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2016</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13,157,688</w:t>
            </w:r>
          </w:p>
        </w:tc>
        <w:tc>
          <w:tcPr>
            <w:tcW w:w="1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2,600,800</w:t>
            </w:r>
          </w:p>
        </w:tc>
        <w:tc>
          <w:tcPr>
            <w:tcW w:w="2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53,979</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(103,641)</w:t>
            </w: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2017</w:t>
            </w:r>
          </w:p>
        </w:tc>
        <w:tc>
          <w:tcPr>
            <w:tcW w:w="9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00" w:type="dxa"/>
            <w:vAlign w:val="bottom"/>
            <w:vMerge w:val="continue"/>
          </w:tcPr>
          <w:p>
            <w:pPr>
              <w:spacing w:after="0"/>
              <w:rPr>
                <w:sz w:val="16"/>
                <w:szCs w:val="16"/>
                <w:color w:val="auto"/>
              </w:rPr>
            </w:pPr>
          </w:p>
        </w:tc>
        <w:tc>
          <w:tcPr>
            <w:tcW w:w="88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13,609,208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6"/>
                <w:szCs w:val="16"/>
                <w:color w:val="auto"/>
              </w:rPr>
            </w:pPr>
          </w:p>
        </w:tc>
        <w:tc>
          <w:tcPr>
            <w:tcW w:w="78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2,149,280</w:t>
            </w:r>
          </w:p>
        </w:tc>
        <w:tc>
          <w:tcPr>
            <w:tcW w:w="240" w:type="dxa"/>
            <w:vAlign w:val="bottom"/>
          </w:tcPr>
          <w:p>
            <w:pPr>
              <w:spacing w:after="0"/>
              <w:rPr>
                <w:sz w:val="16"/>
                <w:szCs w:val="16"/>
                <w:color w:val="auto"/>
              </w:rPr>
            </w:pPr>
          </w:p>
        </w:tc>
        <w:tc>
          <w:tcPr>
            <w:tcW w:w="54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98"/>
              </w:rPr>
              <w:t>(2,468)</w:t>
            </w:r>
          </w:p>
        </w:tc>
        <w:tc>
          <w:tcPr>
            <w:tcW w:w="240" w:type="dxa"/>
            <w:vAlign w:val="bottom"/>
          </w:tcPr>
          <w:p>
            <w:pPr>
              <w:spacing w:after="0"/>
              <w:rPr>
                <w:sz w:val="16"/>
                <w:szCs w:val="16"/>
                <w:color w:val="auto"/>
              </w:rPr>
            </w:pPr>
          </w:p>
        </w:tc>
        <w:tc>
          <w:tcPr>
            <w:tcW w:w="62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65,687</w:t>
            </w:r>
          </w:p>
        </w:tc>
        <w:tc>
          <w:tcPr>
            <w:tcW w:w="240" w:type="dxa"/>
            <w:vAlign w:val="bottom"/>
          </w:tcPr>
          <w:p>
            <w:pPr>
              <w:spacing w:after="0"/>
              <w:rPr>
                <w:sz w:val="16"/>
                <w:szCs w:val="16"/>
                <w:color w:val="auto"/>
              </w:rPr>
            </w:pPr>
          </w:p>
        </w:tc>
        <w:tc>
          <w:tcPr>
            <w:tcW w:w="76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(124,385)</w:t>
            </w:r>
          </w:p>
        </w:tc>
        <w:tc>
          <w:tcPr>
            <w:tcW w:w="260" w:type="dxa"/>
            <w:vAlign w:val="bottom"/>
          </w:tcPr>
          <w:p>
            <w:pPr>
              <w:spacing w:after="0"/>
              <w:rPr>
                <w:sz w:val="16"/>
                <w:szCs w:val="16"/>
                <w:color w:val="auto"/>
              </w:rPr>
            </w:pPr>
          </w:p>
        </w:tc>
        <w:tc>
          <w:tcPr>
            <w:tcW w:w="54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6"/>
                <w:szCs w:val="16"/>
                <w:color w:val="auto"/>
              </w:rPr>
            </w:pPr>
          </w:p>
        </w:tc>
        <w:tc>
          <w:tcPr>
            <w:tcW w:w="88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(3,241)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Reissuance of treasury shares upon</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employee share options</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20,136</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(20,136)</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(245)</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2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accretion</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(401)</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Redeemable ordinary shares accretion</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(842)</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(22,245)</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June 30, 2017</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13,629,344</w:t>
            </w:r>
          </w:p>
        </w:tc>
        <w:tc>
          <w:tcPr>
            <w:tcW w:w="1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2,129,144</w:t>
            </w:r>
          </w:p>
        </w:tc>
        <w:tc>
          <w:tcPr>
            <w:tcW w:w="2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66,122</w:t>
            </w: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(146,630)</w:t>
            </w:r>
          </w:p>
        </w:tc>
        <w:tc>
          <w:tcPr>
            <w:tcW w:w="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-2563495</wp:posOffset>
            </wp:positionV>
            <wp:extent cx="7246620" cy="1371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-2152015</wp:posOffset>
            </wp:positionV>
            <wp:extent cx="7246620" cy="13716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-1877695</wp:posOffset>
            </wp:positionV>
            <wp:extent cx="7246620" cy="13716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-1602740</wp:posOffset>
            </wp:positionV>
            <wp:extent cx="7246620" cy="13716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-1276985</wp:posOffset>
            </wp:positionV>
            <wp:extent cx="7246620" cy="13716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7246620" cy="13716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246620" cy="1371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-316865</wp:posOffset>
            </wp:positionV>
            <wp:extent cx="7246620" cy="1371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Total</w:t>
      </w:r>
    </w:p>
    <w:p>
      <w:pPr>
        <w:jc w:val="center"/>
        <w:ind w:right="80"/>
        <w:spacing w:after="0" w:line="226" w:lineRule="auto"/>
        <w:rPr>
          <w:sz w:val="20"/>
          <w:szCs w:val="20"/>
          <w:color w:val="auto"/>
        </w:rPr>
      </w:pPr>
      <w:r>
        <w:rPr>
          <w:rFonts w:ascii="Times New Roman" w:cs="Times New Roman" w:eastAsia="Times New Roman" w:hAnsi="Times New Roman"/>
          <w:sz w:val="14"/>
          <w:szCs w:val="14"/>
          <w:color w:val="auto"/>
        </w:rPr>
        <w:t>shareholders’</w:t>
      </w:r>
    </w:p>
    <w:p>
      <w:pPr>
        <w:jc w:val="center"/>
        <w:ind w:right="80"/>
        <w:spacing w:after="0" w:line="234" w:lineRule="auto"/>
        <w:rPr>
          <w:sz w:val="20"/>
          <w:szCs w:val="20"/>
          <w:color w:val="auto"/>
        </w:rPr>
      </w:pPr>
      <w:r>
        <w:rPr>
          <w:rFonts w:ascii="Times New Roman" w:cs="Times New Roman" w:eastAsia="Times New Roman" w:hAnsi="Times New Roman"/>
          <w:sz w:val="14"/>
          <w:szCs w:val="14"/>
          <w:color w:val="auto"/>
        </w:rPr>
        <w:t>deficit</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(55,929)</w:t>
      </w:r>
    </w:p>
    <w:p>
      <w:pPr>
        <w:spacing w:after="0" w:line="20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111</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1,863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(757)</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(6,586)</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9720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(61,757)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49720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34290</wp:posOffset>
            </wp:positionV>
            <wp:extent cx="49720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(64,312)</w:t>
      </w:r>
    </w:p>
    <w:p>
      <w:pPr>
        <w:spacing w:after="0" w:line="22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47</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1,923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(842)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(22,245)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9720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(86,001)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49720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34290</wp:posOffset>
            </wp:positionV>
            <wp:extent cx="49720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ectPr>
          <w:pgSz w:w="11900" w:h="16838" w:orient="portrait"/>
          <w:cols w:equalWidth="0" w:num="2">
            <w:col w:w="10340" w:space="200"/>
            <w:col w:w="840"/>
          </w:cols>
          <w:pgMar w:left="240" w:top="456" w:right="279" w:bottom="1440" w:gutter="0" w:footer="0" w:header="0"/>
        </w:sectPr>
      </w:pPr>
    </w:p>
    <w:bookmarkStart w:id="297" w:name="page298"/>
    <w:bookmarkEnd w:id="2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2016 AND JUNE 30,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88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color w:val="auto"/>
              </w:rPr>
              <w:t>For the 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90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8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(6,586)</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in)/provided by operating activities</w:t>
            </w: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7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758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7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2,144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7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7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1,863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Fair value loss on derivative liabilities</w:t>
            </w:r>
          </w:p>
        </w:tc>
        <w:tc>
          <w:tcPr>
            <w:tcW w:w="17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177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tax</w:t>
            </w:r>
          </w:p>
        </w:tc>
        <w:tc>
          <w:tcPr>
            <w:tcW w:w="17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(525)</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w:t>
            </w: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7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(3,011)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(1,167)</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17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(1,760)</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7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4,965</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Rebates receivables</w:t>
            </w:r>
          </w:p>
        </w:tc>
        <w:tc>
          <w:tcPr>
            <w:tcW w:w="17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287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media costs</w:t>
            </w: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(1,207)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7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1,490</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receivable/payable</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8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7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(2,219)</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2,514</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78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(372)</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Decrease/(increase) in short-term investments</w:t>
            </w:r>
          </w:p>
        </w:tc>
        <w:tc>
          <w:tcPr>
            <w:tcW w:w="17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1,552</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(Increase)/decrease in restricted cash</w:t>
            </w:r>
          </w:p>
        </w:tc>
        <w:tc>
          <w:tcPr>
            <w:tcW w:w="17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(601)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80" w:type="dxa"/>
            <w:vAlign w:val="bottom"/>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420"/>
          </w:cols>
          <w:pgMar w:left="240" w:top="455" w:right="239" w:bottom="1440" w:gutter="0" w:footer="0" w:header="0"/>
        </w:sectPr>
      </w:pPr>
    </w:p>
    <w:bookmarkStart w:id="298" w:name="page299"/>
    <w:bookmarkEnd w:id="2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STATEMENTS OF CASH FLOWS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2016 AND JUNE 30,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290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color w:val="auto"/>
              </w:rPr>
              <w:t>For the six months ended June 30,</w:t>
            </w:r>
          </w:p>
        </w:tc>
      </w:tr>
      <w:tr>
        <w:trPr>
          <w:trHeight w:val="142"/>
        </w:trPr>
        <w:tc>
          <w:tcPr>
            <w:tcW w:w="20" w:type="dxa"/>
            <w:vAlign w:val="bottom"/>
          </w:tcPr>
          <w:p>
            <w:pPr>
              <w:spacing w:after="0"/>
              <w:rPr>
                <w:sz w:val="12"/>
                <w:szCs w:val="12"/>
                <w:color w:val="auto"/>
              </w:rPr>
            </w:pPr>
          </w:p>
        </w:tc>
        <w:tc>
          <w:tcPr>
            <w:tcW w:w="8500" w:type="dxa"/>
            <w:vAlign w:val="bottom"/>
          </w:tcPr>
          <w:p>
            <w:pPr>
              <w:spacing w:after="0"/>
              <w:rPr>
                <w:sz w:val="12"/>
                <w:szCs w:val="12"/>
                <w:color w:val="auto"/>
              </w:rPr>
            </w:pPr>
          </w:p>
        </w:tc>
        <w:tc>
          <w:tcPr>
            <w:tcW w:w="920" w:type="dxa"/>
            <w:vAlign w:val="bottom"/>
            <w:tcBorders>
              <w:top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9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bank borrowings</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3,521</w:t>
            </w:r>
          </w:p>
        </w:tc>
        <w:tc>
          <w:tcPr>
            <w:tcW w:w="9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bank borrowings</w:t>
            </w:r>
          </w:p>
        </w:tc>
        <w:tc>
          <w:tcPr>
            <w:tcW w:w="18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(1,447)</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(3,387)</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amounts due to related parties</w:t>
            </w:r>
          </w:p>
        </w:tc>
        <w:tc>
          <w:tcPr>
            <w:tcW w:w="184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(46)</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498</w:t>
            </w:r>
          </w:p>
        </w:tc>
        <w:tc>
          <w:tcPr>
            <w:tcW w:w="9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1,115</w:t>
            </w: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10,395</w:t>
            </w:r>
          </w:p>
        </w:tc>
        <w:tc>
          <w:tcPr>
            <w:tcW w:w="9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27,280</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exchange rate changes on cash and cash equivalents</w:t>
            </w:r>
          </w:p>
        </w:tc>
        <w:tc>
          <w:tcPr>
            <w:tcW w:w="184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(64)</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r>
      <w:tr>
        <w:trPr>
          <w:trHeight w:val="223"/>
        </w:trPr>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the end of period</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Interests paid</w:t>
            </w:r>
          </w:p>
        </w:tc>
        <w:tc>
          <w:tcPr>
            <w:tcW w:w="18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color w:val="auto"/>
              </w:rPr>
              <w:t>(290)</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840" w:type="dxa"/>
            <w:vAlign w:val="bottom"/>
            <w:gridSpan w:val="3"/>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(23)</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Accretion to Series A preferred shares redemption value</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9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to Series B preferred shares redemption value</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327</w:t>
            </w:r>
          </w:p>
        </w:tc>
        <w:tc>
          <w:tcPr>
            <w:tcW w:w="9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Times New Roman" w:cs="Times New Roman" w:eastAsia="Times New Roman" w:hAnsi="Times New Roman"/>
                <w:sz w:val="18"/>
                <w:szCs w:val="18"/>
                <w:color w:val="auto"/>
              </w:rPr>
              <w:t>Accretion to redeemable ordinary shares redemption value</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757</w:t>
            </w:r>
          </w:p>
        </w:tc>
        <w:tc>
          <w:tcPr>
            <w:tcW w:w="9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w:t>
            </w: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interim condensed consolidated financial statements.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420"/>
          </w:cols>
          <w:pgMar w:left="240" w:top="456" w:right="239" w:bottom="1440" w:gutter="0" w:footer="0" w:header="0"/>
        </w:sectPr>
      </w:pPr>
    </w:p>
    <w:bookmarkStart w:id="299" w:name="page300"/>
    <w:bookmarkEnd w:id="2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303" w:lineRule="exact"/>
        <w:rPr>
          <w:sz w:val="20"/>
          <w:szCs w:val="20"/>
          <w:color w:val="auto"/>
        </w:rPr>
      </w:pPr>
    </w:p>
    <w:p>
      <w:pPr>
        <w:ind w:left="460" w:hanging="452"/>
        <w:spacing w:after="0"/>
        <w:tabs>
          <w:tab w:leader="none" w:pos="460"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131" w:lineRule="exact"/>
        <w:rPr>
          <w:sz w:val="20"/>
          <w:szCs w:val="20"/>
          <w:color w:val="auto"/>
        </w:rPr>
      </w:pPr>
    </w:p>
    <w:p>
      <w:pPr>
        <w:ind w:left="460" w:hanging="452"/>
        <w:spacing w:after="0"/>
        <w:tabs>
          <w:tab w:leader="none" w:pos="460" w:val="left"/>
        </w:tabs>
        <w:numPr>
          <w:ilvl w:val="0"/>
          <w:numId w:val="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w:t>
      </w:r>
    </w:p>
    <w:p>
      <w:pPr>
        <w:spacing w:after="0" w:line="121" w:lineRule="exact"/>
        <w:rPr>
          <w:rFonts w:ascii="Times New Roman" w:cs="Times New Roman" w:eastAsia="Times New Roman" w:hAnsi="Times New Roman"/>
          <w:sz w:val="18"/>
          <w:szCs w:val="18"/>
          <w:b w:val="1"/>
          <w:bCs w:val="1"/>
          <w:color w:val="auto"/>
        </w:rPr>
      </w:pPr>
    </w:p>
    <w:p>
      <w:pPr>
        <w:ind w:left="460" w:right="2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iClick Interactive Asia Group Limited (the “Company”) and its subsidiaries are collectively referred to as the Group. The Company was incorporated under the law of Cayman Islands as a limited company on February 3, 2010. The Group is principally engaged in the provision of online marketing services. The Group’s principal operations and geographic market are in Greater China and have offices in Hong Kong and the People’s Republic of China (the “PRC”). There are also sales teams in Singapore and the United Kingdom.</w:t>
      </w:r>
    </w:p>
    <w:p>
      <w:pPr>
        <w:spacing w:after="0" w:line="71" w:lineRule="exact"/>
        <w:rPr>
          <w:rFonts w:ascii="Times New Roman" w:cs="Times New Roman" w:eastAsia="Times New Roman" w:hAnsi="Times New Roman"/>
          <w:sz w:val="18"/>
          <w:szCs w:val="18"/>
          <w:b w:val="1"/>
          <w:bCs w:val="1"/>
          <w:color w:val="auto"/>
        </w:rPr>
      </w:pPr>
    </w:p>
    <w:p>
      <w:pPr>
        <w:ind w:left="460" w:right="1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2009, the business of the Group was established in Hong Kong with a primary focus on search engine marketing and optimization. The Group formed the research and development team in Hong Kong to design and build the Group’s proprietary platform for online marketing. The Group’s platform is a cross-channel, cross-device and cross-geography programmatic digital marketing platform that addresses comprehensively the needs of advertisers who want to acquire and retain online customers in Greater China. The platform also enables marketers to combine performance-based marketing and brand awareness building through its dynamic retargeting technology. Key functions include aggregating the right media source for maximizing inventory reach; audience builder for producing effective targeting solutions through data crunching and machine learning; programmatic optimization to dynamically enhance campaign performance; and data analysis and reporting for cross-channel budget allocation optimization.</w:t>
      </w:r>
    </w:p>
    <w:p>
      <w:pPr>
        <w:spacing w:after="0" w:line="77" w:lineRule="exact"/>
        <w:rPr>
          <w:rFonts w:ascii="Times New Roman" w:cs="Times New Roman" w:eastAsia="Times New Roman" w:hAnsi="Times New Roman"/>
          <w:sz w:val="18"/>
          <w:szCs w:val="18"/>
          <w:b w:val="1"/>
          <w:bCs w:val="1"/>
          <w:color w:val="auto"/>
        </w:rPr>
      </w:pPr>
    </w:p>
    <w:p>
      <w:pPr>
        <w:ind w:left="4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established an office in Beijing and Shanghai, respectively, in 2010 and in the same year the Group opened a research and development center in Beijing for the development of optimization algorithms to step up the Group’s efforts in cross-platform optimization. This facility was further expanded in 2011. The Group added an office in Shenzhen in early 2011 and further expanded into Southeast Asia when the Group set up operations in Singapore and Taiwan in that year. The Group also has sales representatives in the United Kingdom.</w:t>
      </w:r>
    </w:p>
    <w:p>
      <w:pPr>
        <w:spacing w:after="0" w:line="71" w:lineRule="exact"/>
        <w:rPr>
          <w:rFonts w:ascii="Times New Roman" w:cs="Times New Roman" w:eastAsia="Times New Roman" w:hAnsi="Times New Roman"/>
          <w:sz w:val="18"/>
          <w:szCs w:val="18"/>
          <w:b w:val="1"/>
          <w:bCs w:val="1"/>
          <w:color w:val="auto"/>
        </w:rPr>
      </w:pPr>
    </w:p>
    <w:p>
      <w:pPr>
        <w:ind w:left="46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2014, the Company entered into a sale and purchase agreement (“SPA”) with Buzzinate Company Limited (“Buzzinate”) and its shareholders and acquired 33.3% equity interest in Buzzinate as the first tranche, at a cash consideration of US$750. In the SPA, the Company has also agreed to purchase up to 57.1% equity interests in Buzzinate in stages from April 2015 to April 2016, with an option exercisable by the Company to accelerate the purchase of up to 57.1% equity interests in Buzzinate. In February 2015, the Company exercised such option and purchased up to 57.1% equity interest, and at the same time purchased the remaining 42.9% equity interest in Buzzinate by issuing 142,151 shares of the Company. As a result, Buzzinate became a wholly owned subsidiary of the Company since February 2015.</w:t>
      </w:r>
    </w:p>
    <w:p>
      <w:pPr>
        <w:spacing w:after="0" w:line="79" w:lineRule="exact"/>
        <w:rPr>
          <w:rFonts w:ascii="Times New Roman" w:cs="Times New Roman" w:eastAsia="Times New Roman" w:hAnsi="Times New Roman"/>
          <w:sz w:val="18"/>
          <w:szCs w:val="18"/>
          <w:b w:val="1"/>
          <w:bCs w:val="1"/>
          <w:color w:val="auto"/>
        </w:rPr>
      </w:pPr>
    </w:p>
    <w:p>
      <w:pPr>
        <w:ind w:left="4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2015, the Company, entered into a SPA with OptAim Limited (“OptAim”) and its shareholders where the Company agreed to subscribe for the entire equity interests in OptAim, with certain operations of OptAim conducted through VIE arrangements. Upon completion of this transaction, OptAim and its subsidiaries become wholly-owned subsidiaries of the Company.</w:t>
      </w:r>
    </w:p>
    <w:p>
      <w:pPr>
        <w:spacing w:after="0" w:line="6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2016 and June 30, 2017, the Group had net current liabilities of US$22,536, and US$40,504, total shareholders’ deficit of</w:t>
      </w:r>
    </w:p>
    <w:p>
      <w:pPr>
        <w:spacing w:after="0" w:line="27" w:lineRule="exact"/>
        <w:rPr>
          <w:rFonts w:ascii="Times New Roman" w:cs="Times New Roman" w:eastAsia="Times New Roman" w:hAnsi="Times New Roman"/>
          <w:sz w:val="18"/>
          <w:szCs w:val="18"/>
          <w:b w:val="1"/>
          <w:bCs w:val="1"/>
          <w:color w:val="auto"/>
        </w:rPr>
      </w:pPr>
    </w:p>
    <w:p>
      <w:pPr>
        <w:ind w:left="4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US$64,312 and US$86,001 and accumulated deficit of US$124,385 and US$146,630. During the six months ended June 30, 2016 and June 30, 2017, the Group incurred a net loss of US$6,586 and US$22,245 and a net operating cash (outflow)/inflow of US$(2,219) and US$2,514. In December 2016, the Company entered into an agreement to issue Series E preferred shares for a total cash consideration of US$20,000 and management considered such additional funding to</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420"/>
          </w:cols>
          <w:pgMar w:left="240" w:top="455" w:right="239" w:bottom="1440" w:gutter="0" w:footer="0" w:header="0"/>
        </w:sectPr>
      </w:pPr>
    </w:p>
    <w:bookmarkStart w:id="300" w:name="page301"/>
    <w:bookmarkEnd w:id="3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 (Continued)</w:t>
      </w:r>
    </w:p>
    <w:p>
      <w:pPr>
        <w:spacing w:after="0" w:line="134" w:lineRule="exact"/>
        <w:rPr>
          <w:rFonts w:ascii="Times New Roman" w:cs="Times New Roman" w:eastAsia="Times New Roman" w:hAnsi="Times New Roman"/>
          <w:sz w:val="18"/>
          <w:szCs w:val="18"/>
          <w:b w:val="1"/>
          <w:bCs w:val="1"/>
          <w:color w:val="auto"/>
        </w:rPr>
      </w:pPr>
    </w:p>
    <w:p>
      <w:pPr>
        <w:ind w:left="4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enable the Company to operate without significant curtailment of its operation and to meet its financial obligations as and when they fall due. As of December 31, 2016 and June 30, 2017, the Group had violated certain financial covenants with respect to its bank borrowings extended by a bank as of December 31, 2016, however, the Group had obtained the necessary waiver letters subsequently such that the bank would not demand immediate repayment. The covenants are subjected to annual review. Accordingly, the management is of the opinion that the financial statements have been prepared on a going concern basis.</w:t>
      </w:r>
    </w:p>
    <w:p>
      <w:pPr>
        <w:spacing w:after="0" w:line="75" w:lineRule="exact"/>
        <w:rPr>
          <w:rFonts w:ascii="Times New Roman" w:cs="Times New Roman" w:eastAsia="Times New Roman" w:hAnsi="Times New Roman"/>
          <w:sz w:val="18"/>
          <w:szCs w:val="18"/>
          <w:b w:val="1"/>
          <w:bCs w:val="1"/>
          <w:color w:val="auto"/>
        </w:rPr>
      </w:pPr>
    </w:p>
    <w:p>
      <w:pPr>
        <w:ind w:left="4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interim condensed consolidated financial statements include the financial statements of the Company, its subsidiaries and consolidated VIEs and the VIE’s subsidiary (defined in Note 1(b))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 of direct or</w:t>
            </w:r>
          </w:p>
        </w:tc>
        <w:tc>
          <w:tcPr>
            <w:tcW w:w="1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color w:val="auto"/>
              </w:rPr>
              <w:t>Place of</w:t>
            </w:r>
          </w:p>
        </w:tc>
        <w:tc>
          <w:tcPr>
            <w:tcW w:w="2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indirect</w:t>
            </w:r>
          </w:p>
        </w:tc>
        <w:tc>
          <w:tcPr>
            <w:tcW w:w="132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Date of</w:t>
            </w:r>
          </w:p>
        </w:tc>
        <w:tc>
          <w:tcPr>
            <w:tcW w:w="4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Relationship</w:t>
            </w:r>
          </w:p>
        </w:tc>
        <w:tc>
          <w:tcPr>
            <w:tcW w:w="13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economic</w:t>
            </w:r>
          </w:p>
        </w:tc>
        <w:tc>
          <w:tcPr>
            <w:tcW w:w="132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color w:val="auto"/>
              </w:rPr>
              <w:t>incorporation/</w:t>
            </w:r>
          </w:p>
        </w:tc>
        <w:tc>
          <w:tcPr>
            <w:tcW w:w="2960" w:type="dxa"/>
            <w:vAlign w:val="bottom"/>
            <w:vMerge w:val="restart"/>
          </w:tcPr>
          <w:p>
            <w:pPr>
              <w:ind w:left="940"/>
              <w:spacing w:after="0"/>
              <w:rPr>
                <w:sz w:val="20"/>
                <w:szCs w:val="20"/>
                <w:color w:val="auto"/>
              </w:rPr>
            </w:pPr>
            <w:r>
              <w:rPr>
                <w:rFonts w:ascii="Times New Roman" w:cs="Times New Roman" w:eastAsia="Times New Roman" w:hAnsi="Times New Roman"/>
                <w:sz w:val="14"/>
                <w:szCs w:val="14"/>
                <w:color w:val="auto"/>
              </w:rPr>
              <w:t>Principal activities</w:t>
            </w:r>
          </w:p>
        </w:tc>
        <w:tc>
          <w:tcPr>
            <w:tcW w:w="0" w:type="dxa"/>
            <w:vAlign w:val="bottom"/>
          </w:tcPr>
          <w:p>
            <w:pPr>
              <w:spacing w:after="0"/>
              <w:rPr>
                <w:sz w:val="1"/>
                <w:szCs w:val="1"/>
                <w:color w:val="auto"/>
              </w:rPr>
            </w:pPr>
          </w:p>
        </w:tc>
      </w:tr>
      <w:tr>
        <w:trPr>
          <w:trHeight w:val="171"/>
        </w:trPr>
        <w:tc>
          <w:tcPr>
            <w:tcW w:w="2620" w:type="dxa"/>
            <w:vAlign w:val="bottom"/>
            <w:gridSpan w:val="3"/>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ownership</w:t>
            </w:r>
          </w:p>
        </w:tc>
        <w:tc>
          <w:tcPr>
            <w:tcW w:w="1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incorporation</w:t>
            </w:r>
          </w:p>
        </w:tc>
        <w:tc>
          <w:tcPr>
            <w:tcW w:w="44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establishment</w:t>
            </w:r>
          </w:p>
        </w:tc>
        <w:tc>
          <w:tcPr>
            <w:tcW w:w="2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26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Digital Marketing Group</w:t>
            </w:r>
          </w:p>
        </w:tc>
        <w:tc>
          <w:tcPr>
            <w:tcW w:w="8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Subsidiary</w:t>
            </w:r>
          </w:p>
        </w:tc>
        <w:tc>
          <w:tcPr>
            <w:tcW w:w="440" w:type="dxa"/>
            <w:vAlign w:val="bottom"/>
            <w:vMerge w:val="continue"/>
            <w:shd w:val="clear" w:color="auto" w:fill="CCEEFF"/>
          </w:tcPr>
          <w:p>
            <w:pPr>
              <w:spacing w:after="0"/>
              <w:rPr>
                <w:sz w:val="13"/>
                <w:szCs w:val="13"/>
                <w:color w:val="auto"/>
              </w:rPr>
            </w:pPr>
          </w:p>
        </w:tc>
        <w:tc>
          <w:tcPr>
            <w:tcW w:w="920" w:type="dxa"/>
            <w:vAlign w:val="bottom"/>
            <w:shd w:val="clear" w:color="auto" w:fill="CCEEFF"/>
          </w:tcPr>
          <w:p>
            <w:pPr>
              <w:jc w:val="right"/>
              <w:ind w:right="438"/>
              <w:spacing w:after="0" w:line="161" w:lineRule="exact"/>
              <w:rPr>
                <w:sz w:val="20"/>
                <w:szCs w:val="20"/>
                <w:color w:val="auto"/>
              </w:rPr>
            </w:pPr>
            <w:r>
              <w:rPr>
                <w:rFonts w:ascii="Times New Roman" w:cs="Times New Roman" w:eastAsia="Times New Roman" w:hAnsi="Times New Roman"/>
                <w:sz w:val="17"/>
                <w:szCs w:val="17"/>
                <w:color w:val="auto"/>
                <w:w w:val="95"/>
              </w:rPr>
              <w:t>100%</w:t>
            </w:r>
          </w:p>
        </w:tc>
        <w:tc>
          <w:tcPr>
            <w:tcW w:w="440" w:type="dxa"/>
            <w:vAlign w:val="bottom"/>
            <w:vMerge w:val="continue"/>
            <w:shd w:val="clear" w:color="auto" w:fill="CCEEFF"/>
          </w:tcPr>
          <w:p>
            <w:pPr>
              <w:spacing w:after="0"/>
              <w:rPr>
                <w:sz w:val="13"/>
                <w:szCs w:val="13"/>
                <w:color w:val="auto"/>
              </w:rPr>
            </w:pPr>
          </w:p>
        </w:tc>
        <w:tc>
          <w:tcPr>
            <w:tcW w:w="13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October 2006</w:t>
            </w:r>
          </w:p>
        </w:tc>
        <w:tc>
          <w:tcPr>
            <w:tcW w:w="440" w:type="dxa"/>
            <w:vAlign w:val="bottom"/>
            <w:vMerge w:val="continue"/>
            <w:shd w:val="clear" w:color="auto" w:fill="CCEEFF"/>
          </w:tcPr>
          <w:p>
            <w:pPr>
              <w:spacing w:after="0"/>
              <w:rPr>
                <w:sz w:val="13"/>
                <w:szCs w:val="13"/>
                <w:color w:val="auto"/>
              </w:rPr>
            </w:pPr>
          </w:p>
        </w:tc>
        <w:tc>
          <w:tcPr>
            <w:tcW w:w="98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Hong Kong</w:t>
            </w:r>
          </w:p>
        </w:tc>
        <w:tc>
          <w:tcPr>
            <w:tcW w:w="440" w:type="dxa"/>
            <w:vAlign w:val="bottom"/>
            <w:vMerge w:val="continue"/>
            <w:shd w:val="clear" w:color="auto" w:fill="CCEEFF"/>
          </w:tcPr>
          <w:p>
            <w:pPr>
              <w:spacing w:after="0"/>
              <w:rPr>
                <w:sz w:val="13"/>
                <w:szCs w:val="13"/>
                <w:color w:val="auto"/>
              </w:rPr>
            </w:pPr>
          </w:p>
        </w:tc>
        <w:tc>
          <w:tcPr>
            <w:tcW w:w="296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Dormant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Limited</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2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Tetris Media Limited</w:t>
            </w: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Subsidiary</w:t>
            </w:r>
          </w:p>
        </w:tc>
        <w:tc>
          <w:tcPr>
            <w:tcW w:w="920" w:type="dxa"/>
            <w:vAlign w:val="bottom"/>
          </w:tcPr>
          <w:p>
            <w:pPr>
              <w:jc w:val="right"/>
              <w:ind w:right="438"/>
              <w:spacing w:after="0"/>
              <w:rPr>
                <w:sz w:val="20"/>
                <w:szCs w:val="20"/>
                <w:color w:val="auto"/>
              </w:rPr>
            </w:pPr>
            <w:r>
              <w:rPr>
                <w:rFonts w:ascii="Times New Roman" w:cs="Times New Roman" w:eastAsia="Times New Roman" w:hAnsi="Times New Roman"/>
                <w:sz w:val="17"/>
                <w:szCs w:val="17"/>
                <w:color w:val="auto"/>
                <w:w w:val="95"/>
              </w:rPr>
              <w:t>100%</w:t>
            </w:r>
          </w:p>
        </w:tc>
        <w:tc>
          <w:tcPr>
            <w:tcW w:w="4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July 2007</w:t>
            </w:r>
          </w:p>
        </w:tc>
        <w:tc>
          <w:tcPr>
            <w:tcW w:w="186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Hong Kong</w:t>
            </w: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Internet marketing services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and solutions</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6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iClick Interactive Asia Limited</w:t>
            </w:r>
          </w:p>
        </w:tc>
        <w:tc>
          <w:tcPr>
            <w:tcW w:w="13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Subsidiary</w:t>
            </w:r>
          </w:p>
        </w:tc>
        <w:tc>
          <w:tcPr>
            <w:tcW w:w="920" w:type="dxa"/>
            <w:vAlign w:val="bottom"/>
            <w:shd w:val="clear" w:color="auto" w:fill="CCEEFF"/>
          </w:tcPr>
          <w:p>
            <w:pPr>
              <w:jc w:val="right"/>
              <w:ind w:right="438"/>
              <w:spacing w:after="0" w:line="181" w:lineRule="exact"/>
              <w:rPr>
                <w:sz w:val="20"/>
                <w:szCs w:val="20"/>
                <w:color w:val="auto"/>
              </w:rPr>
            </w:pPr>
            <w:r>
              <w:rPr>
                <w:rFonts w:ascii="Times New Roman" w:cs="Times New Roman" w:eastAsia="Times New Roman" w:hAnsi="Times New Roman"/>
                <w:sz w:val="17"/>
                <w:szCs w:val="17"/>
                <w:color w:val="auto"/>
                <w:w w:val="95"/>
              </w:rPr>
              <w:t>100%</w:t>
            </w:r>
          </w:p>
        </w:tc>
        <w:tc>
          <w:tcPr>
            <w:tcW w:w="4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December 2008</w:t>
            </w:r>
          </w:p>
        </w:tc>
        <w:tc>
          <w:tcPr>
            <w:tcW w:w="1860" w:type="dxa"/>
            <w:vAlign w:val="bottom"/>
            <w:gridSpan w:val="3"/>
            <w:shd w:val="clear" w:color="auto" w:fill="CCEEFF"/>
          </w:tcPr>
          <w:p>
            <w:pPr>
              <w:ind w:left="440"/>
              <w:spacing w:after="0" w:line="181" w:lineRule="exact"/>
              <w:rPr>
                <w:sz w:val="20"/>
                <w:szCs w:val="20"/>
                <w:color w:val="auto"/>
              </w:rPr>
            </w:pPr>
            <w:r>
              <w:rPr>
                <w:rFonts w:ascii="Times New Roman" w:cs="Times New Roman" w:eastAsia="Times New Roman" w:hAnsi="Times New Roman"/>
                <w:sz w:val="17"/>
                <w:szCs w:val="17"/>
                <w:color w:val="auto"/>
              </w:rPr>
              <w:t>Hong Kong</w:t>
            </w:r>
          </w:p>
        </w:tc>
        <w:tc>
          <w:tcPr>
            <w:tcW w:w="29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Internet marketing services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and solutions</w:t>
            </w:r>
          </w:p>
        </w:tc>
        <w:tc>
          <w:tcPr>
            <w:tcW w:w="0" w:type="dxa"/>
            <w:vAlign w:val="bottom"/>
          </w:tcPr>
          <w:p>
            <w:pPr>
              <w:spacing w:after="0"/>
              <w:rPr>
                <w:sz w:val="1"/>
                <w:szCs w:val="1"/>
                <w:color w:val="auto"/>
              </w:rPr>
            </w:pPr>
          </w:p>
        </w:tc>
      </w:tr>
      <w:tr>
        <w:trPr>
          <w:trHeight w:val="309"/>
        </w:trPr>
        <w:tc>
          <w:tcPr>
            <w:tcW w:w="2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Optimix Media Asia Limited</w:t>
            </w: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Subsidiary</w:t>
            </w:r>
          </w:p>
        </w:tc>
        <w:tc>
          <w:tcPr>
            <w:tcW w:w="920" w:type="dxa"/>
            <w:vAlign w:val="bottom"/>
          </w:tcPr>
          <w:p>
            <w:pPr>
              <w:jc w:val="right"/>
              <w:ind w:right="438"/>
              <w:spacing w:after="0"/>
              <w:rPr>
                <w:sz w:val="20"/>
                <w:szCs w:val="20"/>
                <w:color w:val="auto"/>
              </w:rPr>
            </w:pPr>
            <w:r>
              <w:rPr>
                <w:rFonts w:ascii="Times New Roman" w:cs="Times New Roman" w:eastAsia="Times New Roman" w:hAnsi="Times New Roman"/>
                <w:sz w:val="17"/>
                <w:szCs w:val="17"/>
                <w:color w:val="auto"/>
                <w:w w:val="95"/>
              </w:rPr>
              <w:t>100%</w:t>
            </w:r>
          </w:p>
        </w:tc>
        <w:tc>
          <w:tcPr>
            <w:tcW w:w="4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March 2009</w:t>
            </w:r>
          </w:p>
        </w:tc>
        <w:tc>
          <w:tcPr>
            <w:tcW w:w="186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Hong Kong</w:t>
            </w: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Investment holding</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6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China Search (Asia) Limited</w:t>
            </w:r>
          </w:p>
        </w:tc>
        <w:tc>
          <w:tcPr>
            <w:tcW w:w="13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Subsidiary</w:t>
            </w:r>
          </w:p>
        </w:tc>
        <w:tc>
          <w:tcPr>
            <w:tcW w:w="920" w:type="dxa"/>
            <w:vAlign w:val="bottom"/>
            <w:shd w:val="clear" w:color="auto" w:fill="CCEEFF"/>
          </w:tcPr>
          <w:p>
            <w:pPr>
              <w:jc w:val="right"/>
              <w:ind w:right="438"/>
              <w:spacing w:after="0" w:line="181" w:lineRule="exact"/>
              <w:rPr>
                <w:sz w:val="20"/>
                <w:szCs w:val="20"/>
                <w:color w:val="auto"/>
              </w:rPr>
            </w:pPr>
            <w:r>
              <w:rPr>
                <w:rFonts w:ascii="Times New Roman" w:cs="Times New Roman" w:eastAsia="Times New Roman" w:hAnsi="Times New Roman"/>
                <w:sz w:val="17"/>
                <w:szCs w:val="17"/>
                <w:color w:val="auto"/>
                <w:w w:val="95"/>
              </w:rPr>
              <w:t>100%</w:t>
            </w:r>
          </w:p>
        </w:tc>
        <w:tc>
          <w:tcPr>
            <w:tcW w:w="4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September 2010</w:t>
            </w:r>
          </w:p>
        </w:tc>
        <w:tc>
          <w:tcPr>
            <w:tcW w:w="1860" w:type="dxa"/>
            <w:vAlign w:val="bottom"/>
            <w:gridSpan w:val="3"/>
            <w:shd w:val="clear" w:color="auto" w:fill="CCEEFF"/>
          </w:tcPr>
          <w:p>
            <w:pPr>
              <w:ind w:left="440"/>
              <w:spacing w:after="0" w:line="181" w:lineRule="exact"/>
              <w:rPr>
                <w:sz w:val="20"/>
                <w:szCs w:val="20"/>
                <w:color w:val="auto"/>
              </w:rPr>
            </w:pPr>
            <w:r>
              <w:rPr>
                <w:rFonts w:ascii="Times New Roman" w:cs="Times New Roman" w:eastAsia="Times New Roman" w:hAnsi="Times New Roman"/>
                <w:sz w:val="17"/>
                <w:szCs w:val="17"/>
                <w:color w:val="auto"/>
              </w:rPr>
              <w:t>Hong Kong</w:t>
            </w:r>
          </w:p>
        </w:tc>
        <w:tc>
          <w:tcPr>
            <w:tcW w:w="29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Internet marketing services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and solutions</w:t>
            </w:r>
          </w:p>
        </w:tc>
        <w:tc>
          <w:tcPr>
            <w:tcW w:w="0" w:type="dxa"/>
            <w:vAlign w:val="bottom"/>
          </w:tcPr>
          <w:p>
            <w:pPr>
              <w:spacing w:after="0"/>
              <w:rPr>
                <w:sz w:val="1"/>
                <w:szCs w:val="1"/>
                <w:color w:val="auto"/>
              </w:rPr>
            </w:pPr>
          </w:p>
        </w:tc>
      </w:tr>
      <w:tr>
        <w:trPr>
          <w:trHeight w:val="289"/>
        </w:trPr>
        <w:tc>
          <w:tcPr>
            <w:tcW w:w="2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Diablo Holdings Corporation</w:t>
            </w: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Subsidiary</w:t>
            </w:r>
          </w:p>
        </w:tc>
        <w:tc>
          <w:tcPr>
            <w:tcW w:w="920" w:type="dxa"/>
            <w:vAlign w:val="bottom"/>
          </w:tcPr>
          <w:p>
            <w:pPr>
              <w:jc w:val="right"/>
              <w:ind w:right="438"/>
              <w:spacing w:after="0"/>
              <w:rPr>
                <w:sz w:val="20"/>
                <w:szCs w:val="20"/>
                <w:color w:val="auto"/>
              </w:rPr>
            </w:pPr>
            <w:r>
              <w:rPr>
                <w:rFonts w:ascii="Times New Roman" w:cs="Times New Roman" w:eastAsia="Times New Roman" w:hAnsi="Times New Roman"/>
                <w:sz w:val="17"/>
                <w:szCs w:val="17"/>
                <w:color w:val="auto"/>
                <w:w w:val="95"/>
              </w:rPr>
              <w:t>100%</w:t>
            </w:r>
          </w:p>
        </w:tc>
        <w:tc>
          <w:tcPr>
            <w:tcW w:w="4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August 2010</w:t>
            </w:r>
          </w:p>
        </w:tc>
        <w:tc>
          <w:tcPr>
            <w:tcW w:w="186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British</w:t>
            </w: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Investment holding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6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Virgin</w:t>
            </w: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6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Islands</w:t>
            </w: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6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(“BVI”)</w:t>
            </w: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6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Harmattan Capital Holdings</w:t>
            </w:r>
          </w:p>
        </w:tc>
        <w:tc>
          <w:tcPr>
            <w:tcW w:w="13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Subsidiary</w:t>
            </w:r>
          </w:p>
        </w:tc>
        <w:tc>
          <w:tcPr>
            <w:tcW w:w="920" w:type="dxa"/>
            <w:vAlign w:val="bottom"/>
            <w:shd w:val="clear" w:color="auto" w:fill="CCEEFF"/>
          </w:tcPr>
          <w:p>
            <w:pPr>
              <w:jc w:val="right"/>
              <w:ind w:right="438"/>
              <w:spacing w:after="0" w:line="181" w:lineRule="exact"/>
              <w:rPr>
                <w:sz w:val="20"/>
                <w:szCs w:val="20"/>
                <w:color w:val="auto"/>
              </w:rPr>
            </w:pPr>
            <w:r>
              <w:rPr>
                <w:rFonts w:ascii="Times New Roman" w:cs="Times New Roman" w:eastAsia="Times New Roman" w:hAnsi="Times New Roman"/>
                <w:sz w:val="17"/>
                <w:szCs w:val="17"/>
                <w:color w:val="auto"/>
                <w:w w:val="95"/>
              </w:rPr>
              <w:t>100%</w:t>
            </w:r>
          </w:p>
        </w:tc>
        <w:tc>
          <w:tcPr>
            <w:tcW w:w="4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August 2010</w:t>
            </w:r>
          </w:p>
        </w:tc>
        <w:tc>
          <w:tcPr>
            <w:tcW w:w="1860" w:type="dxa"/>
            <w:vAlign w:val="bottom"/>
            <w:gridSpan w:val="3"/>
            <w:shd w:val="clear" w:color="auto" w:fill="CCEEFF"/>
          </w:tcPr>
          <w:p>
            <w:pPr>
              <w:ind w:left="440"/>
              <w:spacing w:after="0" w:line="181" w:lineRule="exact"/>
              <w:rPr>
                <w:sz w:val="20"/>
                <w:szCs w:val="20"/>
                <w:color w:val="auto"/>
              </w:rPr>
            </w:pPr>
            <w:r>
              <w:rPr>
                <w:rFonts w:ascii="Times New Roman" w:cs="Times New Roman" w:eastAsia="Times New Roman" w:hAnsi="Times New Roman"/>
                <w:sz w:val="17"/>
                <w:szCs w:val="17"/>
                <w:color w:val="auto"/>
              </w:rPr>
              <w:t>BVI</w:t>
            </w:r>
          </w:p>
        </w:tc>
        <w:tc>
          <w:tcPr>
            <w:tcW w:w="29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Investment holding</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Corporation</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2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iClick Interactive (Singapore)</w:t>
            </w: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Subsidiary</w:t>
            </w:r>
          </w:p>
        </w:tc>
        <w:tc>
          <w:tcPr>
            <w:tcW w:w="920" w:type="dxa"/>
            <w:vAlign w:val="bottom"/>
          </w:tcPr>
          <w:p>
            <w:pPr>
              <w:jc w:val="right"/>
              <w:ind w:right="438"/>
              <w:spacing w:after="0"/>
              <w:rPr>
                <w:sz w:val="20"/>
                <w:szCs w:val="20"/>
                <w:color w:val="auto"/>
              </w:rPr>
            </w:pPr>
            <w:r>
              <w:rPr>
                <w:rFonts w:ascii="Times New Roman" w:cs="Times New Roman" w:eastAsia="Times New Roman" w:hAnsi="Times New Roman"/>
                <w:sz w:val="17"/>
                <w:szCs w:val="17"/>
                <w:color w:val="auto"/>
                <w:w w:val="95"/>
              </w:rPr>
              <w:t>100%</w:t>
            </w:r>
          </w:p>
        </w:tc>
        <w:tc>
          <w:tcPr>
            <w:tcW w:w="4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January 2011</w:t>
            </w:r>
          </w:p>
        </w:tc>
        <w:tc>
          <w:tcPr>
            <w:tcW w:w="186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Singapore</w:t>
            </w: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Internet marketing services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Pte.</w:t>
            </w: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and solutions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Ltd.</w:t>
            </w: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6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iClick Interactive (Beijing)</w:t>
            </w:r>
          </w:p>
        </w:tc>
        <w:tc>
          <w:tcPr>
            <w:tcW w:w="130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Subsidiary</w:t>
            </w:r>
          </w:p>
        </w:tc>
        <w:tc>
          <w:tcPr>
            <w:tcW w:w="920" w:type="dxa"/>
            <w:vAlign w:val="bottom"/>
            <w:shd w:val="clear" w:color="auto" w:fill="CCEEFF"/>
          </w:tcPr>
          <w:p>
            <w:pPr>
              <w:jc w:val="right"/>
              <w:ind w:right="438"/>
              <w:spacing w:after="0" w:line="181" w:lineRule="exact"/>
              <w:rPr>
                <w:sz w:val="20"/>
                <w:szCs w:val="20"/>
                <w:color w:val="auto"/>
              </w:rPr>
            </w:pPr>
            <w:r>
              <w:rPr>
                <w:rFonts w:ascii="Times New Roman" w:cs="Times New Roman" w:eastAsia="Times New Roman" w:hAnsi="Times New Roman"/>
                <w:sz w:val="17"/>
                <w:szCs w:val="17"/>
                <w:color w:val="auto"/>
                <w:w w:val="95"/>
              </w:rPr>
              <w:t>100%</w:t>
            </w:r>
          </w:p>
        </w:tc>
        <w:tc>
          <w:tcPr>
            <w:tcW w:w="4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January 2011</w:t>
            </w:r>
          </w:p>
        </w:tc>
        <w:tc>
          <w:tcPr>
            <w:tcW w:w="1860" w:type="dxa"/>
            <w:vAlign w:val="bottom"/>
            <w:gridSpan w:val="3"/>
            <w:shd w:val="clear" w:color="auto" w:fill="CCEEFF"/>
          </w:tcPr>
          <w:p>
            <w:pPr>
              <w:ind w:left="440"/>
              <w:spacing w:after="0" w:line="181" w:lineRule="exact"/>
              <w:rPr>
                <w:sz w:val="20"/>
                <w:szCs w:val="20"/>
                <w:color w:val="auto"/>
              </w:rPr>
            </w:pPr>
            <w:r>
              <w:rPr>
                <w:rFonts w:ascii="Times New Roman" w:cs="Times New Roman" w:eastAsia="Times New Roman" w:hAnsi="Times New Roman"/>
                <w:sz w:val="17"/>
                <w:szCs w:val="17"/>
                <w:color w:val="auto"/>
              </w:rPr>
              <w:t>The PRC</w:t>
            </w:r>
          </w:p>
        </w:tc>
        <w:tc>
          <w:tcPr>
            <w:tcW w:w="29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Internet marketing services and solutions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Advertisement Co.,</w:t>
            </w: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Ltd.</w:t>
            </w: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9"/>
        </w:trPr>
        <w:tc>
          <w:tcPr>
            <w:tcW w:w="2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Search Asia Technology</w:t>
            </w:r>
          </w:p>
        </w:tc>
        <w:tc>
          <w:tcPr>
            <w:tcW w:w="1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Subsidiary</w:t>
            </w:r>
          </w:p>
        </w:tc>
        <w:tc>
          <w:tcPr>
            <w:tcW w:w="920" w:type="dxa"/>
            <w:vAlign w:val="bottom"/>
          </w:tcPr>
          <w:p>
            <w:pPr>
              <w:jc w:val="right"/>
              <w:ind w:right="438"/>
              <w:spacing w:after="0"/>
              <w:rPr>
                <w:sz w:val="20"/>
                <w:szCs w:val="20"/>
                <w:color w:val="auto"/>
              </w:rPr>
            </w:pPr>
            <w:r>
              <w:rPr>
                <w:rFonts w:ascii="Times New Roman" w:cs="Times New Roman" w:eastAsia="Times New Roman" w:hAnsi="Times New Roman"/>
                <w:sz w:val="17"/>
                <w:szCs w:val="17"/>
                <w:color w:val="auto"/>
                <w:w w:val="95"/>
              </w:rPr>
              <w:t>100%</w:t>
            </w:r>
          </w:p>
        </w:tc>
        <w:tc>
          <w:tcPr>
            <w:tcW w:w="4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January 2011</w:t>
            </w:r>
          </w:p>
        </w:tc>
        <w:tc>
          <w:tcPr>
            <w:tcW w:w="186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The PRC</w:t>
            </w: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Internet marketing services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(Shenzhen) Co.,</w:t>
            </w: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and solutions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Ltd.</w:t>
            </w: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420"/>
          </w:cols>
          <w:pgMar w:left="240" w:top="456" w:right="239" w:bottom="1440" w:gutter="0" w:footer="0" w:header="0"/>
        </w:sectPr>
      </w:pPr>
    </w:p>
    <w:bookmarkStart w:id="301" w:name="page302"/>
    <w:bookmarkEnd w:id="3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 (Continued)</w:t>
      </w:r>
    </w:p>
    <w:p>
      <w:pPr>
        <w:spacing w:after="0" w:line="130" w:lineRule="exact"/>
        <w:rPr>
          <w:rFonts w:ascii="Times New Roman" w:cs="Times New Roman" w:eastAsia="Times New Roman" w:hAnsi="Times New Roman"/>
          <w:sz w:val="18"/>
          <w:szCs w:val="18"/>
          <w:b w:val="1"/>
          <w:bCs w:val="1"/>
          <w:color w:val="auto"/>
        </w:rPr>
      </w:pPr>
    </w:p>
    <w:p>
      <w:pPr>
        <w:ind w:left="4180" w:hanging="147"/>
        <w:spacing w:after="0"/>
        <w:tabs>
          <w:tab w:leader="none" w:pos="4180" w:val="left"/>
        </w:tabs>
        <w:numPr>
          <w:ilvl w:val="1"/>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direct or</w:t>
      </w: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color w:val="auto"/>
              </w:rPr>
              <w:t>indirect</w:t>
            </w:r>
          </w:p>
        </w:tc>
        <w:tc>
          <w:tcPr>
            <w:tcW w:w="340" w:type="dxa"/>
            <w:vAlign w:val="bottom"/>
          </w:tcPr>
          <w:p>
            <w:pPr>
              <w:spacing w:after="0"/>
              <w:rPr>
                <w:sz w:val="11"/>
                <w:szCs w:val="11"/>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Date of</w:t>
            </w:r>
          </w:p>
        </w:tc>
        <w:tc>
          <w:tcPr>
            <w:tcW w:w="340" w:type="dxa"/>
            <w:vAlign w:val="bottom"/>
          </w:tcPr>
          <w:p>
            <w:pPr>
              <w:spacing w:after="0"/>
              <w:rPr>
                <w:sz w:val="11"/>
                <w:szCs w:val="11"/>
                <w:color w:val="auto"/>
              </w:rPr>
            </w:pPr>
          </w:p>
        </w:tc>
        <w:tc>
          <w:tcPr>
            <w:tcW w:w="1460" w:type="dxa"/>
            <w:vAlign w:val="bottom"/>
            <w:gridSpan w:val="2"/>
          </w:tcPr>
          <w:p>
            <w:pPr>
              <w:jc w:val="center"/>
              <w:ind w:right="340"/>
              <w:spacing w:after="0" w:line="136" w:lineRule="exact"/>
              <w:rPr>
                <w:sz w:val="20"/>
                <w:szCs w:val="20"/>
                <w:color w:val="auto"/>
              </w:rPr>
            </w:pPr>
            <w:r>
              <w:rPr>
                <w:rFonts w:ascii="Times New Roman" w:cs="Times New Roman" w:eastAsia="Times New Roman" w:hAnsi="Times New Roman"/>
                <w:sz w:val="14"/>
                <w:szCs w:val="14"/>
                <w:color w:val="auto"/>
              </w:rPr>
              <w:t>Place of</w:t>
            </w: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14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Relationship</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economic</w:t>
            </w:r>
          </w:p>
        </w:tc>
        <w:tc>
          <w:tcPr>
            <w:tcW w:w="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incorporation/</w:t>
            </w:r>
          </w:p>
        </w:tc>
        <w:tc>
          <w:tcPr>
            <w:tcW w:w="2840" w:type="dxa"/>
            <w:vAlign w:val="bottom"/>
            <w:vMerge w:val="restart"/>
          </w:tcPr>
          <w:p>
            <w:pPr>
              <w:ind w:left="880"/>
              <w:spacing w:after="0"/>
              <w:rPr>
                <w:sz w:val="20"/>
                <w:szCs w:val="20"/>
                <w:color w:val="auto"/>
              </w:rPr>
            </w:pPr>
            <w:r>
              <w:rPr>
                <w:rFonts w:ascii="Times New Roman" w:cs="Times New Roman" w:eastAsia="Times New Roman" w:hAnsi="Times New Roman"/>
                <w:sz w:val="14"/>
                <w:szCs w:val="14"/>
                <w:color w:val="auto"/>
              </w:rPr>
              <w:t>Principal activities</w:t>
            </w:r>
          </w:p>
        </w:tc>
        <w:tc>
          <w:tcPr>
            <w:tcW w:w="0" w:type="dxa"/>
            <w:vAlign w:val="bottom"/>
          </w:tcPr>
          <w:p>
            <w:pPr>
              <w:spacing w:after="0"/>
              <w:rPr>
                <w:sz w:val="1"/>
                <w:szCs w:val="1"/>
                <w:color w:val="auto"/>
              </w:rPr>
            </w:pPr>
          </w:p>
        </w:tc>
      </w:tr>
      <w:tr>
        <w:trPr>
          <w:trHeight w:val="171"/>
        </w:trPr>
        <w:tc>
          <w:tcPr>
            <w:tcW w:w="2500" w:type="dxa"/>
            <w:vAlign w:val="bottom"/>
            <w:gridSpan w:val="3"/>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ownership</w:t>
            </w:r>
          </w:p>
        </w:tc>
        <w:tc>
          <w:tcPr>
            <w:tcW w:w="3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incorporation</w:t>
            </w:r>
          </w:p>
        </w:tc>
        <w:tc>
          <w:tcPr>
            <w:tcW w:w="3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establishment</w:t>
            </w:r>
          </w:p>
        </w:tc>
        <w:tc>
          <w:tcPr>
            <w:tcW w:w="2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248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i-Click Interactive Taiwan</w:t>
            </w:r>
          </w:p>
        </w:tc>
        <w:tc>
          <w:tcPr>
            <w:tcW w:w="108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Subsidiary’s</w:t>
            </w:r>
          </w:p>
        </w:tc>
        <w:tc>
          <w:tcPr>
            <w:tcW w:w="340" w:type="dxa"/>
            <w:vAlign w:val="bottom"/>
            <w:vMerge w:val="continue"/>
            <w:shd w:val="clear" w:color="auto" w:fill="CCEEFF"/>
          </w:tcPr>
          <w:p>
            <w:pPr>
              <w:spacing w:after="0"/>
              <w:rPr>
                <w:sz w:val="13"/>
                <w:szCs w:val="13"/>
                <w:color w:val="auto"/>
              </w:rPr>
            </w:pPr>
          </w:p>
        </w:tc>
        <w:tc>
          <w:tcPr>
            <w:tcW w:w="10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100%</w:t>
            </w:r>
          </w:p>
        </w:tc>
        <w:tc>
          <w:tcPr>
            <w:tcW w:w="340" w:type="dxa"/>
            <w:vAlign w:val="bottom"/>
            <w:vMerge w:val="continue"/>
            <w:shd w:val="clear" w:color="auto" w:fill="CCEEFF"/>
          </w:tcPr>
          <w:p>
            <w:pPr>
              <w:spacing w:after="0"/>
              <w:rPr>
                <w:sz w:val="13"/>
                <w:szCs w:val="13"/>
                <w:color w:val="auto"/>
              </w:rPr>
            </w:pPr>
          </w:p>
        </w:tc>
        <w:tc>
          <w:tcPr>
            <w:tcW w:w="15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September 2011</w:t>
            </w:r>
          </w:p>
        </w:tc>
        <w:tc>
          <w:tcPr>
            <w:tcW w:w="340" w:type="dxa"/>
            <w:vAlign w:val="bottom"/>
            <w:vMerge w:val="continue"/>
            <w:shd w:val="clear" w:color="auto" w:fill="CCEEFF"/>
          </w:tcPr>
          <w:p>
            <w:pPr>
              <w:spacing w:after="0"/>
              <w:rPr>
                <w:sz w:val="13"/>
                <w:szCs w:val="13"/>
                <w:color w:val="auto"/>
              </w:rPr>
            </w:pPr>
          </w:p>
        </w:tc>
        <w:tc>
          <w:tcPr>
            <w:tcW w:w="11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Taiwan</w:t>
            </w:r>
          </w:p>
        </w:tc>
        <w:tc>
          <w:tcPr>
            <w:tcW w:w="340" w:type="dxa"/>
            <w:vAlign w:val="bottom"/>
            <w:vMerge w:val="continue"/>
            <w:shd w:val="clear" w:color="auto" w:fill="CCEEFF"/>
          </w:tcPr>
          <w:p>
            <w:pPr>
              <w:spacing w:after="0"/>
              <w:rPr>
                <w:sz w:val="13"/>
                <w:szCs w:val="13"/>
                <w:color w:val="auto"/>
              </w:rPr>
            </w:pPr>
          </w:p>
        </w:tc>
        <w:tc>
          <w:tcPr>
            <w:tcW w:w="28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7"/>
                <w:szCs w:val="17"/>
                <w:color w:val="auto"/>
              </w:rPr>
              <w:t>Internet marketing services</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Limited Taiwan Branch</w:t>
            </w: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branch</w:t>
            </w:r>
          </w:p>
        </w:tc>
        <w:tc>
          <w:tcPr>
            <w:tcW w:w="10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and solutions</w:t>
            </w:r>
          </w:p>
        </w:tc>
        <w:tc>
          <w:tcPr>
            <w:tcW w:w="0" w:type="dxa"/>
            <w:vAlign w:val="bottom"/>
          </w:tcPr>
          <w:p>
            <w:pPr>
              <w:spacing w:after="0"/>
              <w:rPr>
                <w:sz w:val="1"/>
                <w:szCs w:val="1"/>
                <w:color w:val="auto"/>
              </w:rPr>
            </w:pPr>
          </w:p>
        </w:tc>
      </w:tr>
      <w:tr>
        <w:trPr>
          <w:trHeight w:val="289"/>
        </w:trPr>
        <w:tc>
          <w:tcPr>
            <w:tcW w:w="2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Performance Media Group</w:t>
            </w:r>
          </w:p>
        </w:tc>
        <w:tc>
          <w:tcPr>
            <w:tcW w:w="1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Subsidiary</w:t>
            </w: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100%</w:t>
            </w:r>
          </w:p>
        </w:tc>
        <w:tc>
          <w:tcPr>
            <w:tcW w:w="18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January 2013</w:t>
            </w:r>
          </w:p>
        </w:tc>
        <w:tc>
          <w:tcPr>
            <w:tcW w:w="18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Hong Kong</w:t>
            </w:r>
          </w:p>
        </w:tc>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Internet marketing services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Limited</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and solutions</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3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4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Tetris Media (Shanghai) Co.,</w:t>
            </w:r>
          </w:p>
        </w:tc>
        <w:tc>
          <w:tcPr>
            <w:tcW w:w="142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Subsidiary</w:t>
            </w:r>
          </w:p>
        </w:tc>
        <w:tc>
          <w:tcPr>
            <w:tcW w:w="10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100%</w:t>
            </w:r>
          </w:p>
        </w:tc>
        <w:tc>
          <w:tcPr>
            <w:tcW w:w="1840" w:type="dxa"/>
            <w:vAlign w:val="bottom"/>
            <w:gridSpan w:val="2"/>
            <w:shd w:val="clear" w:color="auto" w:fill="CCEEFF"/>
          </w:tcPr>
          <w:p>
            <w:pPr>
              <w:ind w:left="340"/>
              <w:spacing w:after="0" w:line="181" w:lineRule="exact"/>
              <w:rPr>
                <w:sz w:val="20"/>
                <w:szCs w:val="20"/>
                <w:color w:val="auto"/>
              </w:rPr>
            </w:pPr>
            <w:r>
              <w:rPr>
                <w:rFonts w:ascii="Times New Roman" w:cs="Times New Roman" w:eastAsia="Times New Roman" w:hAnsi="Times New Roman"/>
                <w:sz w:val="17"/>
                <w:szCs w:val="17"/>
                <w:color w:val="auto"/>
              </w:rPr>
              <w:t>July 2013</w:t>
            </w:r>
          </w:p>
        </w:tc>
        <w:tc>
          <w:tcPr>
            <w:tcW w:w="1800" w:type="dxa"/>
            <w:vAlign w:val="bottom"/>
            <w:gridSpan w:val="3"/>
            <w:shd w:val="clear" w:color="auto" w:fill="CCEEFF"/>
          </w:tcPr>
          <w:p>
            <w:pPr>
              <w:ind w:left="340"/>
              <w:spacing w:after="0" w:line="181" w:lineRule="exact"/>
              <w:rPr>
                <w:sz w:val="20"/>
                <w:szCs w:val="20"/>
                <w:color w:val="auto"/>
              </w:rPr>
            </w:pPr>
            <w:r>
              <w:rPr>
                <w:rFonts w:ascii="Times New Roman" w:cs="Times New Roman" w:eastAsia="Times New Roman" w:hAnsi="Times New Roman"/>
                <w:sz w:val="17"/>
                <w:szCs w:val="17"/>
                <w:color w:val="auto"/>
              </w:rPr>
              <w:t>The PRC</w:t>
            </w:r>
          </w:p>
        </w:tc>
        <w:tc>
          <w:tcPr>
            <w:tcW w:w="28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Internet marketing services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Ltd.</w:t>
            </w:r>
          </w:p>
        </w:tc>
        <w:tc>
          <w:tcPr>
            <w:tcW w:w="10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and solutions</w:t>
            </w:r>
          </w:p>
        </w:tc>
        <w:tc>
          <w:tcPr>
            <w:tcW w:w="0" w:type="dxa"/>
            <w:vAlign w:val="bottom"/>
          </w:tcPr>
          <w:p>
            <w:pPr>
              <w:spacing w:after="0"/>
              <w:rPr>
                <w:sz w:val="1"/>
                <w:szCs w:val="1"/>
                <w:color w:val="auto"/>
              </w:rPr>
            </w:pPr>
          </w:p>
        </w:tc>
      </w:tr>
      <w:tr>
        <w:trPr>
          <w:trHeight w:val="309"/>
        </w:trPr>
        <w:tc>
          <w:tcPr>
            <w:tcW w:w="2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Buzzinate Company Limited</w:t>
            </w:r>
          </w:p>
        </w:tc>
        <w:tc>
          <w:tcPr>
            <w:tcW w:w="14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Subsidiary</w:t>
            </w: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100%</w:t>
            </w:r>
          </w:p>
        </w:tc>
        <w:tc>
          <w:tcPr>
            <w:tcW w:w="18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March 2009</w:t>
            </w:r>
          </w:p>
        </w:tc>
        <w:tc>
          <w:tcPr>
            <w:tcW w:w="1800" w:type="dxa"/>
            <w:vAlign w:val="bottom"/>
            <w:gridSpan w:val="3"/>
          </w:tcPr>
          <w:p>
            <w:pPr>
              <w:ind w:left="340"/>
              <w:spacing w:after="0"/>
              <w:rPr>
                <w:sz w:val="20"/>
                <w:szCs w:val="20"/>
                <w:color w:val="auto"/>
              </w:rPr>
            </w:pPr>
            <w:r>
              <w:rPr>
                <w:rFonts w:ascii="Times New Roman" w:cs="Times New Roman" w:eastAsia="Times New Roman" w:hAnsi="Times New Roman"/>
                <w:sz w:val="17"/>
                <w:szCs w:val="17"/>
                <w:color w:val="auto"/>
              </w:rPr>
              <w:t>Hong Kong</w:t>
            </w:r>
          </w:p>
        </w:tc>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Technology development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4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Buzzinate (Shanghai)</w:t>
            </w:r>
          </w:p>
        </w:tc>
        <w:tc>
          <w:tcPr>
            <w:tcW w:w="142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Subsidiary</w:t>
            </w:r>
          </w:p>
        </w:tc>
        <w:tc>
          <w:tcPr>
            <w:tcW w:w="10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100%</w:t>
            </w:r>
          </w:p>
        </w:tc>
        <w:tc>
          <w:tcPr>
            <w:tcW w:w="1840" w:type="dxa"/>
            <w:vAlign w:val="bottom"/>
            <w:gridSpan w:val="2"/>
            <w:shd w:val="clear" w:color="auto" w:fill="CCEEFF"/>
          </w:tcPr>
          <w:p>
            <w:pPr>
              <w:ind w:left="340"/>
              <w:spacing w:after="0" w:line="181" w:lineRule="exact"/>
              <w:rPr>
                <w:sz w:val="20"/>
                <w:szCs w:val="20"/>
                <w:color w:val="auto"/>
              </w:rPr>
            </w:pPr>
            <w:r>
              <w:rPr>
                <w:rFonts w:ascii="Times New Roman" w:cs="Times New Roman" w:eastAsia="Times New Roman" w:hAnsi="Times New Roman"/>
                <w:sz w:val="17"/>
                <w:szCs w:val="17"/>
                <w:color w:val="auto"/>
              </w:rPr>
              <w:t>July 2009</w:t>
            </w:r>
          </w:p>
        </w:tc>
        <w:tc>
          <w:tcPr>
            <w:tcW w:w="1800" w:type="dxa"/>
            <w:vAlign w:val="bottom"/>
            <w:gridSpan w:val="3"/>
            <w:shd w:val="clear" w:color="auto" w:fill="CCEEFF"/>
          </w:tcPr>
          <w:p>
            <w:pPr>
              <w:ind w:left="340"/>
              <w:spacing w:after="0" w:line="181" w:lineRule="exact"/>
              <w:rPr>
                <w:sz w:val="20"/>
                <w:szCs w:val="20"/>
                <w:color w:val="auto"/>
              </w:rPr>
            </w:pPr>
            <w:r>
              <w:rPr>
                <w:rFonts w:ascii="Times New Roman" w:cs="Times New Roman" w:eastAsia="Times New Roman" w:hAnsi="Times New Roman"/>
                <w:sz w:val="17"/>
                <w:szCs w:val="17"/>
                <w:color w:val="auto"/>
              </w:rPr>
              <w:t>The PRC</w:t>
            </w:r>
          </w:p>
        </w:tc>
        <w:tc>
          <w:tcPr>
            <w:tcW w:w="284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Technology development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Information Technology</w:t>
            </w: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service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 Ltd.</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OptAim Limited</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w:t>
            </w: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1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July 2014</w:t>
            </w:r>
          </w:p>
        </w:tc>
        <w:tc>
          <w:tcPr>
            <w:tcW w:w="18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Cayman</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Islands</w:t>
            </w: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OptAim (HK) Limited</w:t>
            </w: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Subsidiary</w:t>
            </w: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c>
          <w:tcPr>
            <w:tcW w:w="1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July 2014</w:t>
            </w:r>
          </w:p>
        </w:tc>
        <w:tc>
          <w:tcPr>
            <w:tcW w:w="18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Hong Kong</w:t>
            </w: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holding</w:t>
            </w:r>
          </w:p>
        </w:tc>
        <w:tc>
          <w:tcPr>
            <w:tcW w:w="0" w:type="dxa"/>
            <w:vAlign w:val="bottom"/>
          </w:tcPr>
          <w:p>
            <w:pPr>
              <w:spacing w:after="0"/>
              <w:rPr>
                <w:sz w:val="1"/>
                <w:szCs w:val="1"/>
                <w:color w:val="auto"/>
              </w:rPr>
            </w:pPr>
          </w:p>
        </w:tc>
      </w:tr>
      <w:tr>
        <w:trPr>
          <w:trHeight w:val="306"/>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OptAim (Beijing)</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w:t>
            </w: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1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November 2014</w:t>
            </w:r>
          </w:p>
        </w:tc>
        <w:tc>
          <w:tcPr>
            <w:tcW w:w="18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PRC</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Internet marketing services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Information Technology</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solutions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 Ltd.</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Beijing OptAim Network</w:t>
            </w:r>
          </w:p>
        </w:tc>
        <w:tc>
          <w:tcPr>
            <w:tcW w:w="1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VIE</w:t>
            </w:r>
          </w:p>
        </w:tc>
        <w:tc>
          <w:tcPr>
            <w:tcW w:w="1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100%</w:t>
            </w:r>
          </w:p>
        </w:tc>
        <w:tc>
          <w:tcPr>
            <w:tcW w:w="184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September 2012</w:t>
            </w:r>
          </w:p>
        </w:tc>
        <w:tc>
          <w:tcPr>
            <w:tcW w:w="180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The PRC</w:t>
            </w:r>
          </w:p>
        </w:tc>
        <w:tc>
          <w:tcPr>
            <w:tcW w:w="2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Internet marketing services and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Technology Co., Ltd.</w:t>
            </w:r>
          </w:p>
        </w:tc>
        <w:tc>
          <w:tcPr>
            <w:tcW w:w="10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solutions</w:t>
            </w:r>
          </w:p>
        </w:tc>
        <w:tc>
          <w:tcPr>
            <w:tcW w:w="0" w:type="dxa"/>
            <w:vAlign w:val="bottom"/>
          </w:tcPr>
          <w:p>
            <w:pPr>
              <w:spacing w:after="0"/>
              <w:rPr>
                <w:sz w:val="1"/>
                <w:szCs w:val="1"/>
                <w:color w:val="auto"/>
              </w:rPr>
            </w:pPr>
          </w:p>
        </w:tc>
      </w:tr>
      <w:tr>
        <w:trPr>
          <w:trHeight w:val="306"/>
        </w:trPr>
        <w:tc>
          <w:tcPr>
            <w:tcW w:w="2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Zhiyunzhong (Shanghai)</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VIE’s</w:t>
            </w: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100%</w:t>
            </w:r>
          </w:p>
        </w:tc>
        <w:tc>
          <w:tcPr>
            <w:tcW w:w="18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September 2014</w:t>
            </w:r>
          </w:p>
        </w:tc>
        <w:tc>
          <w:tcPr>
            <w:tcW w:w="18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PRC</w:t>
            </w: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Internet marketing services and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Technology Co., Ltd.</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solutions</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Arda Holdings Limited</w:t>
            </w: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VIE</w:t>
            </w:r>
          </w:p>
        </w:tc>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c>
          <w:tcPr>
            <w:tcW w:w="18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May 2010</w:t>
            </w:r>
          </w:p>
        </w:tc>
        <w:tc>
          <w:tcPr>
            <w:tcW w:w="18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BVI</w:t>
            </w:r>
          </w:p>
        </w:tc>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hold treasury shares</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460" w:hanging="452"/>
        <w:spacing w:after="0"/>
        <w:tabs>
          <w:tab w:leader="none" w:pos="460"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VIE and VIE’s subsidiary</w:t>
      </w:r>
    </w:p>
    <w:p>
      <w:pPr>
        <w:spacing w:after="0" w:line="121" w:lineRule="exact"/>
        <w:rPr>
          <w:rFonts w:ascii="Times New Roman" w:cs="Times New Roman" w:eastAsia="Times New Roman" w:hAnsi="Times New Roman"/>
          <w:sz w:val="18"/>
          <w:szCs w:val="18"/>
          <w:b w:val="1"/>
          <w:bCs w:val="1"/>
          <w:color w:val="auto"/>
        </w:rPr>
      </w:pPr>
    </w:p>
    <w:p>
      <w:pPr>
        <w:ind w:left="46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the Company acquired OptAim WFOE in July 2015, OptAim WFOE is considered as a foreign invested enterprise and any foreign ownership in advertising business was subject to certain restrictions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420"/>
          </w:cols>
          <w:pgMar w:left="240" w:top="456" w:right="239" w:bottom="1440" w:gutter="0" w:footer="0" w:header="0"/>
        </w:sectPr>
      </w:pPr>
    </w:p>
    <w:bookmarkStart w:id="302" w:name="page303"/>
    <w:bookmarkEnd w:id="3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VIE and VIE’s subsidiary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PRC laws and regulations at that time. To comply with the then-effective PRC laws and regulations, certain of the Group’s operations are conducted through Beijing OptAim Network Technology Co., Ltd. (“Beijing OptAim”) and Zhiyun Zhong (Shanghai) Technology Co., Ltd. (“Shanghai OptAim”) (or “OptAim VIE”). OptAim (Beijing) Information Technology Co., Ltd, (“OptAim WFOE”), a wholly-owned subsidiary of the Company, or a wholly foreign owned enterprise (“WFOE”) of the Company entered into a series of contractual agreements among Beijing OptAim and Beijing OptAim’s legal shareholders.</w:t>
      </w:r>
    </w:p>
    <w:p>
      <w:pPr>
        <w:spacing w:after="0" w:line="29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OptAim VIE</w:t>
      </w:r>
    </w:p>
    <w:p>
      <w:pPr>
        <w:spacing w:after="0" w:line="117"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relationships with Beijing OptAim and its shareholders are governed by the following contractual arrangements:</w:t>
      </w:r>
    </w:p>
    <w:p>
      <w:pPr>
        <w:spacing w:after="0" w:line="374" w:lineRule="exact"/>
        <w:rPr>
          <w:sz w:val="20"/>
          <w:szCs w:val="20"/>
          <w:color w:val="auto"/>
        </w:rPr>
      </w:pPr>
    </w:p>
    <w:p>
      <w:pPr>
        <w:ind w:left="900" w:hanging="446"/>
        <w:spacing w:after="0"/>
        <w:tabs>
          <w:tab w:leader="none" w:pos="9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 Agreement</w:t>
      </w:r>
    </w:p>
    <w:p>
      <w:pPr>
        <w:spacing w:after="0" w:line="117" w:lineRule="exact"/>
        <w:rPr>
          <w:sz w:val="20"/>
          <w:szCs w:val="20"/>
          <w:color w:val="auto"/>
        </w:rPr>
      </w:pPr>
    </w:p>
    <w:p>
      <w:pPr>
        <w:ind w:left="920" w:right="100"/>
        <w:spacing w:after="0" w:line="256" w:lineRule="auto"/>
        <w:rPr>
          <w:sz w:val="20"/>
          <w:szCs w:val="20"/>
          <w:color w:val="auto"/>
        </w:rPr>
      </w:pPr>
      <w:r>
        <w:rPr>
          <w:rFonts w:ascii="Times New Roman" w:cs="Times New Roman" w:eastAsia="Times New Roman" w:hAnsi="Times New Roman"/>
          <w:sz w:val="18"/>
          <w:szCs w:val="18"/>
          <w:color w:val="auto"/>
        </w:rPr>
        <w:t>Under the cooperative agreement between OptAim WFOE, Beijing OptAim and Shanghai OptAim, OptAim WFOE has the exclusive right to provide to Beijing OptAim and Shanghai OptAim, among others, technical consulting, technical support, business consulting, and appointment and dismissal of employees. OptAim WFOE will collect a fee from Beijing OptAim and Shanghai OptAim to be determined at the sole discretion of OptAim WFOE. The term of this agreement will not expire unless OptAim WFOE provides prior written notice to Beijing OptAim and Shanghai OptAim. There was no service fee paid and payable from Beijing OptAim and Shanghai OptAim to OptAim WFOE for the years ended December 31, 2015 and 2016 as Beijing OptAim and Shanghai OptAim, in aggregated, have been incurring losses.</w:t>
      </w:r>
    </w:p>
    <w:p>
      <w:pPr>
        <w:spacing w:after="0" w:line="336" w:lineRule="exact"/>
        <w:rPr>
          <w:sz w:val="20"/>
          <w:szCs w:val="20"/>
          <w:color w:val="auto"/>
        </w:rPr>
      </w:pPr>
    </w:p>
    <w:p>
      <w:pPr>
        <w:ind w:left="900" w:hanging="446"/>
        <w:spacing w:after="0"/>
        <w:tabs>
          <w:tab w:leader="none" w:pos="9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Option Agreement</w:t>
      </w:r>
    </w:p>
    <w:p>
      <w:pPr>
        <w:spacing w:after="0" w:line="117" w:lineRule="exact"/>
        <w:rPr>
          <w:sz w:val="20"/>
          <w:szCs w:val="20"/>
          <w:color w:val="auto"/>
        </w:rPr>
      </w:pPr>
    </w:p>
    <w:p>
      <w:pPr>
        <w:ind w:left="920" w:right="60"/>
        <w:spacing w:after="0" w:line="256" w:lineRule="auto"/>
        <w:rPr>
          <w:sz w:val="20"/>
          <w:szCs w:val="20"/>
          <w:color w:val="auto"/>
        </w:rPr>
      </w:pPr>
      <w:r>
        <w:rPr>
          <w:rFonts w:ascii="Times New Roman" w:cs="Times New Roman" w:eastAsia="Times New Roman" w:hAnsi="Times New Roman"/>
          <w:sz w:val="18"/>
          <w:szCs w:val="18"/>
          <w:color w:val="auto"/>
        </w:rPr>
        <w:t>The parties to the purchase option agreement are OptAim WFOE, Beijing OptAim and each of the shareholders of Beijing OptAim. Under the purchase option agreement, each of the shareholder of Beijing OptAim irrevocably granted OptAim WFOE or its designated representative(s) an exclusive option to purchase, to the extent permitted under PRC law, all or part of its equity interests in Beijing OptAim. OptAim WFOE or its designated representative(s) have sole discretion as to when to exercise such options, either in part or in full. Without OptAim WFOE’s prior written consent, Beijing OptAim’s shareholders shall not sell, transfer, mortgage or otherwise dispose their equity interests in Beijing OptAim. The agreement will not expire until all shares of Beijing OptAim are transferred to OptAim WFOE or its designated representative(s).</w:t>
      </w:r>
    </w:p>
    <w:p>
      <w:pPr>
        <w:spacing w:after="0" w:line="336" w:lineRule="exact"/>
        <w:rPr>
          <w:sz w:val="20"/>
          <w:szCs w:val="20"/>
          <w:color w:val="auto"/>
        </w:rPr>
      </w:pPr>
    </w:p>
    <w:p>
      <w:pPr>
        <w:ind w:left="900" w:hanging="446"/>
        <w:spacing w:after="0"/>
        <w:tabs>
          <w:tab w:leader="none" w:pos="9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w:t>
      </w:r>
    </w:p>
    <w:p>
      <w:pPr>
        <w:spacing w:after="0" w:line="117" w:lineRule="exact"/>
        <w:rPr>
          <w:sz w:val="20"/>
          <w:szCs w:val="20"/>
          <w:color w:val="auto"/>
        </w:rPr>
      </w:pPr>
    </w:p>
    <w:p>
      <w:pPr>
        <w:ind w:left="920"/>
        <w:spacing w:after="0" w:line="261" w:lineRule="auto"/>
        <w:rPr>
          <w:sz w:val="20"/>
          <w:szCs w:val="20"/>
          <w:color w:val="auto"/>
        </w:rPr>
      </w:pPr>
      <w:r>
        <w:rPr>
          <w:rFonts w:ascii="Times New Roman" w:cs="Times New Roman" w:eastAsia="Times New Roman" w:hAnsi="Times New Roman"/>
          <w:sz w:val="18"/>
          <w:szCs w:val="18"/>
          <w:color w:val="auto"/>
        </w:rPr>
        <w:t>Pursuant to the irrevocable power of attorney executed by the shareholders of Beijing OptAim, Beijing OptAim appointed OptAim WFOE as its attorney-in-fact to exercise all shareholders’ rights in Beijing OptAim, including, without limitation, the power to vote on all matters of Beijing OptAim requiring shareholder approval under PRC laws and regulations and the articles of association of Beijing OptAim. The power of attorney will remain in force until OptAim WFOE provides prior written notice to Beijing OptAim.</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420"/>
          </w:cols>
          <w:pgMar w:left="240" w:top="455" w:right="239" w:bottom="1440" w:gutter="0" w:footer="0" w:header="0"/>
        </w:sectPr>
      </w:pPr>
    </w:p>
    <w:bookmarkStart w:id="303" w:name="page304"/>
    <w:bookmarkEnd w:id="3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VIE and VIE’s subsidiary (Continued)</w:t>
      </w:r>
    </w:p>
    <w:p>
      <w:pPr>
        <w:spacing w:after="0" w:line="256" w:lineRule="exact"/>
        <w:rPr>
          <w:sz w:val="20"/>
          <w:szCs w:val="20"/>
          <w:color w:val="auto"/>
        </w:rPr>
      </w:pPr>
    </w:p>
    <w:p>
      <w:pPr>
        <w:ind w:left="900" w:hanging="446"/>
        <w:spacing w:after="0"/>
        <w:tabs>
          <w:tab w:leader="none" w:pos="90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Agreement</w:t>
      </w:r>
    </w:p>
    <w:p>
      <w:pPr>
        <w:spacing w:after="0" w:line="117" w:lineRule="exact"/>
        <w:rPr>
          <w:sz w:val="20"/>
          <w:szCs w:val="20"/>
          <w:color w:val="auto"/>
        </w:rPr>
      </w:pPr>
    </w:p>
    <w:p>
      <w:pPr>
        <w:ind w:left="920"/>
        <w:spacing w:after="0" w:line="255" w:lineRule="auto"/>
        <w:rPr>
          <w:sz w:val="20"/>
          <w:szCs w:val="20"/>
          <w:color w:val="auto"/>
        </w:rPr>
      </w:pPr>
      <w:r>
        <w:rPr>
          <w:rFonts w:ascii="Times New Roman" w:cs="Times New Roman" w:eastAsia="Times New Roman" w:hAnsi="Times New Roman"/>
          <w:sz w:val="18"/>
          <w:szCs w:val="18"/>
          <w:color w:val="auto"/>
        </w:rPr>
        <w:t>Pursuant to the pledge agreement between OptAim WFOE and the shareholders of Beijing OptAim, the shareholders of Beijing OptAim have pledged all of their equity interests in Beijing OptAim to OptAim WFOE to guarantee the performance by Beijing OptAim under the cooperative agreement, purchase option agreement, and powers of attorney. If Beijing OptAim and/or its shareholders breach their contractual obligations under those agreements, OptAim WFOE, as pledgee, will be entitled to certain rights, including the right to sell the pledged equity interests. Under the pledge agreement, the shareholders of Beijing OptAim are not able to provide any other guarantee by pledging the shares of Beijing OptAim, transfer or sell their pledged shares to other individual, change share capital of Beijing OptAim or transfer or sell the assets out of Beijing OptAim.</w:t>
      </w:r>
    </w:p>
    <w:p>
      <w:pPr>
        <w:spacing w:after="0" w:line="81"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18"/>
          <w:szCs w:val="18"/>
          <w:color w:val="auto"/>
        </w:rPr>
        <w:t>The shareholders of Beijing OptAim are in the process of registering the equity pledge with the relevant office of the Administration for Industry and Commerce in accordance with the PRC Property Rights Law and expect to complete by June 2017.</w:t>
      </w:r>
    </w:p>
    <w:p>
      <w:pPr>
        <w:spacing w:after="0" w:line="54" w:lineRule="exact"/>
        <w:rPr>
          <w:sz w:val="20"/>
          <w:szCs w:val="20"/>
          <w:color w:val="auto"/>
        </w:rPr>
      </w:pPr>
    </w:p>
    <w:p>
      <w:pPr>
        <w:ind w:left="920" w:right="460"/>
        <w:spacing w:after="0" w:line="282" w:lineRule="auto"/>
        <w:rPr>
          <w:sz w:val="20"/>
          <w:szCs w:val="20"/>
          <w:color w:val="auto"/>
        </w:rPr>
      </w:pPr>
      <w:r>
        <w:rPr>
          <w:rFonts w:ascii="Times New Roman" w:cs="Times New Roman" w:eastAsia="Times New Roman" w:hAnsi="Times New Roman"/>
          <w:sz w:val="18"/>
          <w:szCs w:val="18"/>
          <w:color w:val="auto"/>
        </w:rPr>
        <w:t>Through the aforementioned contractual agreements, OptAim VIE are considered VIE in accordance with Generally Accepted Accounting Principles in the United States (“US GAAP”) because the Company, through OptAim WFOE, has the ability to:</w:t>
      </w:r>
    </w:p>
    <w:p>
      <w:pPr>
        <w:spacing w:after="0" w:line="67" w:lineRule="exact"/>
        <w:rPr>
          <w:sz w:val="20"/>
          <w:szCs w:val="20"/>
          <w:color w:val="auto"/>
        </w:rPr>
      </w:pPr>
    </w:p>
    <w:p>
      <w:pPr>
        <w:ind w:left="1460" w:right="20" w:hanging="547"/>
        <w:spacing w:after="0" w:line="282" w:lineRule="auto"/>
        <w:tabs>
          <w:tab w:leader="none" w:pos="14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effective control over OptAim VIE whereby having the power to direct OptAim VIE’s activities that most significantly drive the economic results of OptAim VIE;</w:t>
      </w:r>
    </w:p>
    <w:p>
      <w:pPr>
        <w:spacing w:after="0" w:line="67" w:lineRule="exact"/>
        <w:rPr>
          <w:rFonts w:ascii="Times New Roman" w:cs="Times New Roman" w:eastAsia="Times New Roman" w:hAnsi="Times New Roman"/>
          <w:sz w:val="18"/>
          <w:szCs w:val="18"/>
          <w:color w:val="auto"/>
        </w:rPr>
      </w:pPr>
    </w:p>
    <w:p>
      <w:pPr>
        <w:ind w:left="1460" w:right="100" w:hanging="547"/>
        <w:spacing w:after="0" w:line="282" w:lineRule="auto"/>
        <w:tabs>
          <w:tab w:leader="none" w:pos="14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and residual returns, and absorb substantially all the risks and expected losses from the OptAim VIE as if it was their sole shareholder; and</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exclusive option to purchase all of the equity interests in OptAim VIE.</w:t>
      </w:r>
    </w:p>
    <w:p>
      <w:pPr>
        <w:spacing w:after="0" w:line="117" w:lineRule="exact"/>
        <w:rPr>
          <w:sz w:val="20"/>
          <w:szCs w:val="20"/>
          <w:color w:val="auto"/>
        </w:rPr>
      </w:pPr>
    </w:p>
    <w:p>
      <w:pPr>
        <w:ind w:left="920" w:right="440"/>
        <w:spacing w:after="0" w:line="266" w:lineRule="auto"/>
        <w:rPr>
          <w:sz w:val="20"/>
          <w:szCs w:val="20"/>
          <w:color w:val="auto"/>
        </w:rPr>
      </w:pPr>
      <w:r>
        <w:rPr>
          <w:rFonts w:ascii="Times New Roman" w:cs="Times New Roman" w:eastAsia="Times New Roman" w:hAnsi="Times New Roman"/>
          <w:sz w:val="18"/>
          <w:szCs w:val="18"/>
          <w:color w:val="auto"/>
        </w:rPr>
        <w:t>Management evaluated the relationships among the Company, OptAim WFOE and OptAim VIE, and concluded that OptAim WFOE is the primary beneficiary of the VIEs. As a result, OptAim VIE’s results of operations, assets and liabilities have been included in the Group’s unaudited interim condensed consolidated financial statements.</w:t>
      </w:r>
    </w:p>
    <w:p>
      <w:pPr>
        <w:spacing w:after="0" w:line="68" w:lineRule="exact"/>
        <w:rPr>
          <w:sz w:val="20"/>
          <w:szCs w:val="20"/>
          <w:color w:val="auto"/>
        </w:rPr>
      </w:pPr>
    </w:p>
    <w:p>
      <w:pPr>
        <w:ind w:left="920" w:right="260"/>
        <w:spacing w:after="0" w:line="261" w:lineRule="auto"/>
        <w:rPr>
          <w:sz w:val="20"/>
          <w:szCs w:val="20"/>
          <w:color w:val="auto"/>
        </w:rPr>
      </w:pPr>
      <w:r>
        <w:rPr>
          <w:rFonts w:ascii="Times New Roman" w:cs="Times New Roman" w:eastAsia="Times New Roman" w:hAnsi="Times New Roman"/>
          <w:sz w:val="18"/>
          <w:szCs w:val="18"/>
          <w:color w:val="auto"/>
        </w:rPr>
        <w:t>As of December 31, 2016 and June 30, 2017, the total assets of OptAim VIE and its subsidiary were US$27,135 and US$ 5,926, respectively, mainly comprising cash and cash equivalents, accounts receivable, prepayments and other current assets, property and equipment. As of December 31, 2016 and June 30, 2017, the total liabilities of the OptAim VIE and its subsidiary were US$12,310 and US$9,741 respectively, mainly comprising deferred revenue, accrued liabilities and other current liabilities.</w:t>
      </w:r>
    </w:p>
    <w:p>
      <w:pPr>
        <w:spacing w:after="0" w:line="72" w:lineRule="exact"/>
        <w:rPr>
          <w:sz w:val="20"/>
          <w:szCs w:val="20"/>
          <w:color w:val="auto"/>
        </w:rPr>
      </w:pPr>
    </w:p>
    <w:p>
      <w:pPr>
        <w:ind w:left="920"/>
        <w:spacing w:after="0" w:line="256" w:lineRule="auto"/>
        <w:rPr>
          <w:sz w:val="20"/>
          <w:szCs w:val="20"/>
          <w:color w:val="auto"/>
        </w:rPr>
      </w:pPr>
      <w:r>
        <w:rPr>
          <w:rFonts w:ascii="Times New Roman" w:cs="Times New Roman" w:eastAsia="Times New Roman" w:hAnsi="Times New Roman"/>
          <w:sz w:val="18"/>
          <w:szCs w:val="18"/>
          <w:color w:val="auto"/>
        </w:rPr>
        <w:t>In accordance with the aforementioned agreements, the Company has power to direct activities of the OptAim VIE, and can have assets transferred out of OptAim VIE. Therefore the Company considers that there is no asset in OptAim VIE that can be used only to settle obligations of the OptAim VIE, except for registered capital and PRC statutory reserves of the OptAim VIE amounting to US$ 2,081, respectively, as of December 31, 2016 and June 30, 2017. As the OptAim VIE and its subsidiary were incorporated as limited liability company under the PRC Company Law, the creditors do not have recourse to the general credit of the Company for all the liabilities of the OptAim VIE. Currently there is no contractual arrangement that could require the Company to provide additional financial support to OptAim VIE.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380"/>
          </w:cols>
          <w:pgMar w:left="240" w:top="456" w:right="279" w:bottom="1440" w:gutter="0" w:footer="0" w:header="0"/>
        </w:sectPr>
      </w:pPr>
    </w:p>
    <w:bookmarkStart w:id="304" w:name="page305"/>
    <w:bookmarkEnd w:id="3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2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VIE and VIE’s subsidiary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Pledge Agreement (Continued)</w:t>
      </w:r>
    </w:p>
    <w:p>
      <w:pPr>
        <w:spacing w:after="0" w:line="131" w:lineRule="exact"/>
        <w:rPr>
          <w:sz w:val="20"/>
          <w:szCs w:val="20"/>
          <w:color w:val="auto"/>
        </w:rPr>
      </w:pPr>
    </w:p>
    <w:p>
      <w:pPr>
        <w:ind w:left="920" w:right="400"/>
        <w:spacing w:after="0" w:line="282" w:lineRule="auto"/>
        <w:rPr>
          <w:sz w:val="20"/>
          <w:szCs w:val="20"/>
          <w:color w:val="auto"/>
        </w:rPr>
      </w:pPr>
      <w:r>
        <w:rPr>
          <w:rFonts w:ascii="Times New Roman" w:cs="Times New Roman" w:eastAsia="Times New Roman" w:hAnsi="Times New Roman"/>
          <w:sz w:val="18"/>
          <w:szCs w:val="18"/>
          <w:color w:val="auto"/>
        </w:rPr>
        <w:t>As the Company is conducting its PRC online marketing services business through OptAim VIE, the Company will, if needed, provide such support on a discretion basis in the future, which could expose the Company to a loss.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is no VIE where the Company has variable interest but is not the primary beneficiary.</w:t>
      </w:r>
    </w:p>
    <w:p>
      <w:pPr>
        <w:spacing w:after="0" w:line="117" w:lineRule="exact"/>
        <w:rPr>
          <w:sz w:val="20"/>
          <w:szCs w:val="20"/>
          <w:color w:val="auto"/>
        </w:rPr>
      </w:pPr>
    </w:p>
    <w:p>
      <w:pPr>
        <w:ind w:left="460" w:right="360"/>
        <w:spacing w:after="0" w:line="261" w:lineRule="auto"/>
        <w:rPr>
          <w:sz w:val="20"/>
          <w:szCs w:val="20"/>
          <w:color w:val="auto"/>
        </w:rPr>
      </w:pPr>
      <w:r>
        <w:rPr>
          <w:rFonts w:ascii="Times New Roman" w:cs="Times New Roman" w:eastAsia="Times New Roman" w:hAnsi="Times New Roman"/>
          <w:sz w:val="18"/>
          <w:szCs w:val="18"/>
          <w:color w:val="auto"/>
        </w:rPr>
        <w:t>The Group believes that the contractual arrangements among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72" w:lineRule="exact"/>
        <w:rPr>
          <w:sz w:val="20"/>
          <w:szCs w:val="20"/>
          <w:color w:val="auto"/>
        </w:rPr>
      </w:pPr>
    </w:p>
    <w:p>
      <w:pPr>
        <w:ind w:left="460" w:right="20"/>
        <w:spacing w:after="0" w:line="266" w:lineRule="auto"/>
        <w:rPr>
          <w:sz w:val="20"/>
          <w:szCs w:val="20"/>
          <w:color w:val="auto"/>
        </w:rPr>
      </w:pPr>
      <w:r>
        <w:rPr>
          <w:rFonts w:ascii="Times New Roman" w:cs="Times New Roman" w:eastAsia="Times New Roman" w:hAnsi="Times New Roman"/>
          <w:sz w:val="18"/>
          <w:szCs w:val="18"/>
          <w:color w:val="auto"/>
        </w:rPr>
        <w:t>The Company’s ability to control the OptAim VIE also depends on the power of attorney and the effect of the share pledge under the Pledge Agreement and OptAim WFOE has to vote on all matters requiring shareholder approval in OptAim VIE. As noted above, the Company believes this power of attorney is legally enforceable but may not be as effective as direct equity ownership.</w:t>
      </w:r>
    </w:p>
    <w:p>
      <w:pPr>
        <w:spacing w:after="0" w:line="321" w:lineRule="exact"/>
        <w:rPr>
          <w:sz w:val="20"/>
          <w:szCs w:val="20"/>
          <w:color w:val="auto"/>
        </w:rPr>
      </w:pPr>
    </w:p>
    <w:p>
      <w:pPr>
        <w:ind w:left="460" w:hanging="452"/>
        <w:spacing w:after="0"/>
        <w:tabs>
          <w:tab w:leader="none" w:pos="460"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w:t>
      </w:r>
    </w:p>
    <w:p>
      <w:pPr>
        <w:spacing w:after="0" w:line="131" w:lineRule="exact"/>
        <w:rPr>
          <w:sz w:val="20"/>
          <w:szCs w:val="20"/>
          <w:color w:val="auto"/>
        </w:rPr>
      </w:pPr>
    </w:p>
    <w:p>
      <w:pPr>
        <w:ind w:left="460" w:hanging="452"/>
        <w:spacing w:after="0"/>
        <w:tabs>
          <w:tab w:leader="none" w:pos="460"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use of estimates</w:t>
      </w:r>
    </w:p>
    <w:p>
      <w:pPr>
        <w:spacing w:after="0" w:line="121" w:lineRule="exact"/>
        <w:rPr>
          <w:rFonts w:ascii="Times New Roman" w:cs="Times New Roman" w:eastAsia="Times New Roman" w:hAnsi="Times New Roman"/>
          <w:sz w:val="18"/>
          <w:szCs w:val="18"/>
          <w:b w:val="1"/>
          <w:bCs w:val="1"/>
          <w:color w:val="auto"/>
        </w:rPr>
      </w:pPr>
    </w:p>
    <w:p>
      <w:pPr>
        <w:ind w:left="460" w:righ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unaudited interim condensed consolidated financial statements have been prepared in accordance with the US GAAP. Significant accounting policies followed by the Company in the preparation of the accompanying unaudited interim condensed consolidated financial statements are summarized below.</w:t>
      </w:r>
    </w:p>
    <w:p>
      <w:pPr>
        <w:spacing w:after="0" w:line="68" w:lineRule="exact"/>
        <w:rPr>
          <w:rFonts w:ascii="Times New Roman" w:cs="Times New Roman" w:eastAsia="Times New Roman" w:hAnsi="Times New Roman"/>
          <w:sz w:val="18"/>
          <w:szCs w:val="18"/>
          <w:b w:val="1"/>
          <w:bCs w:val="1"/>
          <w:color w:val="auto"/>
        </w:rPr>
      </w:pPr>
    </w:p>
    <w:p>
      <w:pPr>
        <w:ind w:left="4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the Group’s unaudited interim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71" w:lineRule="exact"/>
        <w:rPr>
          <w:rFonts w:ascii="Times New Roman" w:cs="Times New Roman" w:eastAsia="Times New Roman" w:hAnsi="Times New Roman"/>
          <w:sz w:val="18"/>
          <w:szCs w:val="18"/>
          <w:b w:val="1"/>
          <w:bCs w:val="1"/>
          <w:color w:val="auto"/>
        </w:rPr>
      </w:pPr>
    </w:p>
    <w:p>
      <w:pPr>
        <w:ind w:left="4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believes that revenue recognition, consolidation of VIE, determination of share-based compensation, measurement of redemption value of redeemable preferred shares and impairment assessment of long-lived assets and intangible assets that reflect more significant judgments and estimates used in the preparation of its unaudited interim condensed consolidated financial statements.</w:t>
      </w:r>
    </w:p>
    <w:p>
      <w:pPr>
        <w:spacing w:after="0" w:line="68" w:lineRule="exact"/>
        <w:rPr>
          <w:rFonts w:ascii="Times New Roman" w:cs="Times New Roman" w:eastAsia="Times New Roman" w:hAnsi="Times New Roman"/>
          <w:sz w:val="18"/>
          <w:szCs w:val="18"/>
          <w:b w:val="1"/>
          <w:bCs w:val="1"/>
          <w:color w:val="auto"/>
        </w:rPr>
      </w:pPr>
    </w:p>
    <w:p>
      <w:pPr>
        <w:jc w:val="both"/>
        <w:ind w:left="46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bases the estimates on historical experience and on various other assumptions as discussed elsewhere to the unaudited interim condensed consolidated financial statements that are believed to be reasonable, the results of which form the basis for making judgments about the carrying values of assets and liabilities. Actual results could materially differ from these estimates.</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rFonts w:ascii="Times New Roman" w:cs="Times New Roman" w:eastAsia="Times New Roman" w:hAnsi="Times New Roman"/>
          <w:sz w:val="18"/>
          <w:szCs w:val="18"/>
          <w:b w:val="1"/>
          <w:bCs w:val="1"/>
          <w:color w:val="auto"/>
        </w:rPr>
      </w:pPr>
    </w:p>
    <w:p>
      <w:pPr>
        <w:ind w:left="46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May 2014, the Financial Accounting Standards Board (“FASB”) issued Accounting Standards Update (“ASU”) No. 2014-09, “Revenue from Contracts with Customers (Topic 606)” (“ASU 2014-09”). ASU 2014-09 will eliminate transaction-specific and industry-specific revenue recognition guidance under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420"/>
          </w:cols>
          <w:pgMar w:left="240" w:top="455" w:right="239" w:bottom="1440" w:gutter="0" w:footer="0" w:header="0"/>
        </w:sectPr>
      </w:pPr>
    </w:p>
    <w:bookmarkStart w:id="305" w:name="page306"/>
    <w:bookmarkEnd w:id="3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 (Continued)</w:t>
      </w:r>
    </w:p>
    <w:p>
      <w:pPr>
        <w:spacing w:after="0" w:line="134" w:lineRule="exact"/>
        <w:rPr>
          <w:rFonts w:ascii="Times New Roman" w:cs="Times New Roman" w:eastAsia="Times New Roman" w:hAnsi="Times New Roman"/>
          <w:sz w:val="18"/>
          <w:szCs w:val="18"/>
          <w:b w:val="1"/>
          <w:bCs w:val="1"/>
          <w:color w:val="auto"/>
        </w:rPr>
      </w:pPr>
    </w:p>
    <w:p>
      <w:pPr>
        <w:ind w:left="460" w:right="2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81" w:lineRule="exact"/>
        <w:rPr>
          <w:rFonts w:ascii="Times New Roman" w:cs="Times New Roman" w:eastAsia="Times New Roman" w:hAnsi="Times New Roman"/>
          <w:sz w:val="18"/>
          <w:szCs w:val="18"/>
          <w:b w:val="1"/>
          <w:bCs w:val="1"/>
          <w:color w:val="auto"/>
        </w:rPr>
      </w:pPr>
    </w:p>
    <w:p>
      <w:pPr>
        <w:ind w:left="4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75" w:lineRule="exact"/>
        <w:rPr>
          <w:rFonts w:ascii="Times New Roman" w:cs="Times New Roman" w:eastAsia="Times New Roman" w:hAnsi="Times New Roman"/>
          <w:sz w:val="18"/>
          <w:szCs w:val="18"/>
          <w:b w:val="1"/>
          <w:bCs w:val="1"/>
          <w:color w:val="auto"/>
        </w:rPr>
      </w:pPr>
    </w:p>
    <w:p>
      <w:pPr>
        <w:jc w:val="both"/>
        <w:ind w:left="460" w:right="280"/>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Company will apply the new revenue standard beginning January 1, 2018 and will not early adopt. The Company will set up an implementation team to analyze each of the Group’s revenue stream in accordance with the new revenue standard to determine the impact on the Company’s interim condensed consolidated financial statements. The Company plans to continue the evaluation, analysis and documentation of its adoption of ASU</w:t>
      </w:r>
    </w:p>
    <w:p>
      <w:pPr>
        <w:spacing w:after="0" w:line="1" w:lineRule="exact"/>
        <w:rPr>
          <w:rFonts w:ascii="Times New Roman" w:cs="Times New Roman" w:eastAsia="Times New Roman" w:hAnsi="Times New Roman"/>
          <w:sz w:val="18"/>
          <w:szCs w:val="18"/>
          <w:b w:val="1"/>
          <w:bCs w:val="1"/>
          <w:color w:val="auto"/>
        </w:rPr>
      </w:pPr>
    </w:p>
    <w:p>
      <w:pPr>
        <w:ind w:left="460" w:right="2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2014-9 (including those subsequently issued updates that clarify its provisions) throughout 2017 as the Company works towards the implementation and finalizes its determination of the impact that the adoption will have on its interim condensed consolidated financial statements.</w:t>
      </w:r>
    </w:p>
    <w:p>
      <w:pPr>
        <w:spacing w:after="0" w:line="71" w:lineRule="exact"/>
        <w:rPr>
          <w:rFonts w:ascii="Times New Roman" w:cs="Times New Roman" w:eastAsia="Times New Roman" w:hAnsi="Times New Roman"/>
          <w:sz w:val="18"/>
          <w:szCs w:val="18"/>
          <w:b w:val="1"/>
          <w:bCs w:val="1"/>
          <w:color w:val="auto"/>
        </w:rPr>
      </w:pPr>
    </w:p>
    <w:p>
      <w:pPr>
        <w:ind w:lef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2015, the FASB issued ASU No. 2015-02, “Consolidation (Topic 810): Amendments to the Consolidation Analysis” (“ASU 2015-02”). ASU 2015-02 focuses on the consolidation evaluation for 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 (ii) 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81" w:lineRule="exact"/>
        <w:rPr>
          <w:rFonts w:ascii="Times New Roman" w:cs="Times New Roman" w:eastAsia="Times New Roman" w:hAnsi="Times New Roman"/>
          <w:sz w:val="18"/>
          <w:szCs w:val="18"/>
          <w:b w:val="1"/>
          <w:bCs w:val="1"/>
          <w:color w:val="auto"/>
        </w:rPr>
      </w:pPr>
    </w:p>
    <w:p>
      <w:pPr>
        <w:ind w:left="460" w:right="1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ASU will be effective for periods beginning after December 15, 2016, for public companies. For public business entities, the amendments in this Update are effective for fiscal years beginning after December 15, 2017, including interim periods within those fiscal years. The Company adopted ASU 2015-02 on January 1, 2017, and the adoption did not have a material impact on the interim condensed consolidated financial statements and the related disclosures</w:t>
      </w:r>
    </w:p>
    <w:p>
      <w:pPr>
        <w:spacing w:after="0" w:line="71" w:lineRule="exact"/>
        <w:rPr>
          <w:rFonts w:ascii="Times New Roman" w:cs="Times New Roman" w:eastAsia="Times New Roman" w:hAnsi="Times New Roman"/>
          <w:sz w:val="18"/>
          <w:szCs w:val="18"/>
          <w:b w:val="1"/>
          <w:bCs w:val="1"/>
          <w:color w:val="auto"/>
        </w:rPr>
      </w:pPr>
    </w:p>
    <w:p>
      <w:pPr>
        <w:ind w:left="460" w:right="3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420"/>
          </w:cols>
          <w:pgMar w:left="240" w:top="455" w:right="239" w:bottom="1440" w:gutter="0" w:footer="0" w:header="0"/>
        </w:sectPr>
      </w:pPr>
    </w:p>
    <w:bookmarkStart w:id="306" w:name="page307"/>
    <w:bookmarkEnd w:id="3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 (Continued)</w:t>
      </w:r>
    </w:p>
    <w:p>
      <w:pPr>
        <w:spacing w:after="0" w:line="134" w:lineRule="exact"/>
        <w:rPr>
          <w:rFonts w:ascii="Times New Roman" w:cs="Times New Roman" w:eastAsia="Times New Roman" w:hAnsi="Times New Roman"/>
          <w:sz w:val="18"/>
          <w:szCs w:val="18"/>
          <w:b w:val="1"/>
          <w:bCs w:val="1"/>
          <w:color w:val="auto"/>
        </w:rPr>
      </w:pPr>
    </w:p>
    <w:p>
      <w:pPr>
        <w:ind w:left="46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(early adoption is permitted). The Company adopted ASU 2015-17 on January 1, 2017, and the impact of the adoption did not have a material impact on the interim condensed consolidated financial statements and related disclosures.</w:t>
      </w:r>
    </w:p>
    <w:p>
      <w:pPr>
        <w:spacing w:after="0" w:line="53" w:lineRule="exact"/>
        <w:rPr>
          <w:rFonts w:ascii="Times New Roman" w:cs="Times New Roman" w:eastAsia="Times New Roman" w:hAnsi="Times New Roman"/>
          <w:sz w:val="18"/>
          <w:szCs w:val="18"/>
          <w:b w:val="1"/>
          <w:bCs w:val="1"/>
          <w:color w:val="auto"/>
        </w:rPr>
      </w:pPr>
    </w:p>
    <w:p>
      <w:pPr>
        <w:ind w:left="4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GAAP, which did not require lease assets and lease liabilities to be recognized for most leases.</w:t>
      </w:r>
    </w:p>
    <w:p>
      <w:pPr>
        <w:spacing w:after="0" w:line="71" w:lineRule="exact"/>
        <w:rPr>
          <w:rFonts w:ascii="Times New Roman" w:cs="Times New Roman" w:eastAsia="Times New Roman" w:hAnsi="Times New Roman"/>
          <w:sz w:val="18"/>
          <w:szCs w:val="18"/>
          <w:b w:val="1"/>
          <w:bCs w:val="1"/>
          <w:color w:val="auto"/>
        </w:rPr>
      </w:pPr>
    </w:p>
    <w:p>
      <w:pPr>
        <w:ind w:left="4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public business entities, the amendments in this update are effective for fiscal years beginning after December 15, 2018, including interim periods within those fiscal years. The Company is in the process of evaluating the impact of the standard on its interim condensed consolidated financial statements.</w:t>
      </w:r>
    </w:p>
    <w:p>
      <w:pPr>
        <w:spacing w:after="0" w:line="68" w:lineRule="exact"/>
        <w:rPr>
          <w:rFonts w:ascii="Times New Roman" w:cs="Times New Roman" w:eastAsia="Times New Roman" w:hAnsi="Times New Roman"/>
          <w:sz w:val="18"/>
          <w:szCs w:val="18"/>
          <w:b w:val="1"/>
          <w:bCs w:val="1"/>
          <w:color w:val="auto"/>
        </w:rPr>
      </w:pPr>
    </w:p>
    <w:p>
      <w:pPr>
        <w:ind w:left="4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The Company is currently evaluating the impact of this standard will have on its interim condensed consolidated financial statements.</w:t>
      </w:r>
    </w:p>
    <w:p>
      <w:pPr>
        <w:spacing w:after="0" w:line="75" w:lineRule="exact"/>
        <w:rPr>
          <w:rFonts w:ascii="Times New Roman" w:cs="Times New Roman" w:eastAsia="Times New Roman" w:hAnsi="Times New Roman"/>
          <w:sz w:val="18"/>
          <w:szCs w:val="18"/>
          <w:b w:val="1"/>
          <w:bCs w:val="1"/>
          <w:color w:val="auto"/>
        </w:rPr>
      </w:pPr>
    </w:p>
    <w:p>
      <w:pPr>
        <w:ind w:left="4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The Company does not expect ASU 2016-16 to have a material impact to the Company’s interim condensed consolidated financial statements.</w:t>
      </w:r>
    </w:p>
    <w:p>
      <w:pPr>
        <w:spacing w:after="0" w:line="75" w:lineRule="exact"/>
        <w:rPr>
          <w:rFonts w:ascii="Times New Roman" w:cs="Times New Roman" w:eastAsia="Times New Roman" w:hAnsi="Times New Roman"/>
          <w:sz w:val="18"/>
          <w:szCs w:val="18"/>
          <w:b w:val="1"/>
          <w:bCs w:val="1"/>
          <w:color w:val="auto"/>
        </w:rPr>
      </w:pPr>
    </w:p>
    <w:p>
      <w:pPr>
        <w:ind w:left="460" w:right="20"/>
        <w:spacing w:after="0" w:line="27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The Company currently does not expect ASU</w:t>
      </w:r>
    </w:p>
    <w:p>
      <w:pPr>
        <w:spacing w:after="0" w:line="2" w:lineRule="exact"/>
        <w:rPr>
          <w:rFonts w:ascii="Times New Roman" w:cs="Times New Roman" w:eastAsia="Times New Roman" w:hAnsi="Times New Roman"/>
          <w:sz w:val="18"/>
          <w:szCs w:val="18"/>
          <w:b w:val="1"/>
          <w:bCs w:val="1"/>
          <w:color w:val="auto"/>
        </w:rPr>
      </w:pPr>
    </w:p>
    <w:p>
      <w:pPr>
        <w:ind w:left="4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2017-01 to have a material impact to the Company’s interim condensed consolidated financial statements, but will evaluate the impact of adopting this standard prospectively upon any transactions of acquisitions or disposals of assets of businesses.</w:t>
      </w:r>
    </w:p>
    <w:p>
      <w:pPr>
        <w:spacing w:after="0" w:line="71" w:lineRule="exact"/>
        <w:rPr>
          <w:rFonts w:ascii="Times New Roman" w:cs="Times New Roman" w:eastAsia="Times New Roman" w:hAnsi="Times New Roman"/>
          <w:sz w:val="18"/>
          <w:szCs w:val="18"/>
          <w:b w:val="1"/>
          <w:bCs w:val="1"/>
          <w:color w:val="auto"/>
        </w:rPr>
      </w:pPr>
    </w:p>
    <w:p>
      <w:pPr>
        <w:ind w:left="460" w:right="14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w:t>
      </w:r>
    </w:p>
    <w:p>
      <w:pPr>
        <w:spacing w:after="0" w:line="1" w:lineRule="exact"/>
        <w:rPr>
          <w:rFonts w:ascii="Times New Roman" w:cs="Times New Roman" w:eastAsia="Times New Roman" w:hAnsi="Times New Roman"/>
          <w:sz w:val="18"/>
          <w:szCs w:val="18"/>
          <w:b w:val="1"/>
          <w:bCs w:val="1"/>
          <w:color w:val="auto"/>
        </w:rPr>
      </w:pPr>
    </w:p>
    <w:p>
      <w:pPr>
        <w:ind w:left="460" w:right="3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 classification on the statement of cash flows; (d) accounting for forfeitures of share-based payments. The ASU will be effective for fiscal years beginning after December 15, 2016,</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380"/>
          </w:cols>
          <w:pgMar w:left="240" w:top="456" w:right="279" w:bottom="1440" w:gutter="0" w:footer="0" w:header="0"/>
        </w:sectPr>
      </w:pPr>
    </w:p>
    <w:bookmarkStart w:id="307" w:name="page308"/>
    <w:bookmarkEnd w:id="3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2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 (Continued)</w:t>
      </w:r>
    </w:p>
    <w:p>
      <w:pPr>
        <w:spacing w:after="0" w:line="134" w:lineRule="exact"/>
        <w:rPr>
          <w:rFonts w:ascii="Times New Roman" w:cs="Times New Roman" w:eastAsia="Times New Roman" w:hAnsi="Times New Roman"/>
          <w:sz w:val="18"/>
          <w:szCs w:val="18"/>
          <w:b w:val="1"/>
          <w:bCs w:val="1"/>
          <w:color w:val="auto"/>
        </w:rPr>
      </w:pPr>
    </w:p>
    <w:p>
      <w:pPr>
        <w:ind w:left="460"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including interim periods within those fiscal years. The Company adopted ASU 2016-09 on January 1, 2017 and the adoption did not have a material impact on the interim condensed consolidated financial statements and the related disclosures.</w:t>
      </w:r>
    </w:p>
    <w:p>
      <w:pPr>
        <w:spacing w:after="0" w:line="53" w:lineRule="exact"/>
        <w:rPr>
          <w:rFonts w:ascii="Times New Roman" w:cs="Times New Roman" w:eastAsia="Times New Roman" w:hAnsi="Times New Roman"/>
          <w:sz w:val="18"/>
          <w:szCs w:val="18"/>
          <w:b w:val="1"/>
          <w:bCs w:val="1"/>
          <w:color w:val="auto"/>
        </w:rPr>
      </w:pPr>
    </w:p>
    <w:p>
      <w:pPr>
        <w:ind w:left="460" w:right="2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The Group is currently evaluating the impact of the adoption on its interim condensed consolidated financial statements.</w:t>
      </w:r>
    </w:p>
    <w:p>
      <w:pPr>
        <w:spacing w:after="0" w:line="71" w:lineRule="exact"/>
        <w:rPr>
          <w:rFonts w:ascii="Times New Roman" w:cs="Times New Roman" w:eastAsia="Times New Roman" w:hAnsi="Times New Roman"/>
          <w:sz w:val="18"/>
          <w:szCs w:val="18"/>
          <w:b w:val="1"/>
          <w:bCs w:val="1"/>
          <w:color w:val="auto"/>
        </w:rPr>
      </w:pPr>
    </w:p>
    <w:p>
      <w:pPr>
        <w:ind w:left="460" w:right="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 January 1, 2017. The Group is currently evaluating the impact of adopting this standard on its interim condensed consolidated financial statements.</w:t>
      </w:r>
    </w:p>
    <w:p>
      <w:pPr>
        <w:spacing w:after="0" w:line="332" w:lineRule="exact"/>
        <w:rPr>
          <w:sz w:val="20"/>
          <w:szCs w:val="20"/>
          <w:color w:val="auto"/>
        </w:rPr>
      </w:pPr>
    </w:p>
    <w:p>
      <w:pPr>
        <w:ind w:left="460" w:hanging="452"/>
        <w:spacing w:after="0"/>
        <w:tabs>
          <w:tab w:leader="none" w:pos="460"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w:t>
      </w:r>
    </w:p>
    <w:p>
      <w:pPr>
        <w:spacing w:after="0" w:line="131" w:lineRule="exact"/>
        <w:rPr>
          <w:sz w:val="20"/>
          <w:szCs w:val="20"/>
          <w:color w:val="auto"/>
        </w:rPr>
      </w:pPr>
    </w:p>
    <w:p>
      <w:pPr>
        <w:ind w:left="460" w:hanging="452"/>
        <w:spacing w:after="0"/>
        <w:tabs>
          <w:tab w:leader="none" w:pos="460"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regulations</w:t>
      </w:r>
    </w:p>
    <w:p>
      <w:pPr>
        <w:spacing w:after="0" w:line="121" w:lineRule="exact"/>
        <w:rPr>
          <w:rFonts w:ascii="Times New Roman" w:cs="Times New Roman" w:eastAsia="Times New Roman" w:hAnsi="Times New Roman"/>
          <w:sz w:val="18"/>
          <w:szCs w:val="18"/>
          <w:b w:val="1"/>
          <w:bCs w:val="1"/>
          <w:color w:val="auto"/>
        </w:rPr>
      </w:pPr>
    </w:p>
    <w:p>
      <w:pPr>
        <w:ind w:left="4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Chinese market in which the Company operates poses certain macro-economic and regulatory risks and uncertainties. These uncertainties extend to the ability of the Company to engage in online marketing businesses through contractual arrangements in the PRC since the internet and marketing services industries remain regulated. The Company conducts certain of its operations in China through its variable interest entity,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China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420"/>
          </w:cols>
          <w:pgMar w:left="240" w:top="455" w:right="239" w:bottom="1440" w:gutter="0" w:footer="0" w:header="0"/>
        </w:sectPr>
      </w:pPr>
    </w:p>
    <w:bookmarkStart w:id="308" w:name="page309"/>
    <w:bookmarkEnd w:id="3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regulations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online marketing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85"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the business licenses of such entities;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restricting the conduct of any transactions between the Company’s PRC subsidiaries and the OptAim VIE;</w:t>
      </w:r>
    </w:p>
    <w:p>
      <w:pPr>
        <w:spacing w:after="0" w:line="130" w:lineRule="exact"/>
        <w:rPr>
          <w:rFonts w:ascii="Times New Roman" w:cs="Times New Roman" w:eastAsia="Times New Roman" w:hAnsi="Times New Roman"/>
          <w:sz w:val="18"/>
          <w:szCs w:val="18"/>
          <w:color w:val="auto"/>
        </w:rPr>
      </w:pPr>
    </w:p>
    <w:p>
      <w:pPr>
        <w:ind w:left="900" w:right="140" w:hanging="446"/>
        <w:spacing w:after="0" w:line="282" w:lineRule="auto"/>
        <w:tabs>
          <w:tab w:leader="none" w:pos="90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confiscating the income of the OptAim VIE or the Company’s PRC subsidiaries, or imposing other requirements with which the Company or its PRC subsidiaries and consolidated VIEs may not be able to comply;</w:t>
      </w:r>
    </w:p>
    <w:p>
      <w:pPr>
        <w:spacing w:after="0" w:line="67" w:lineRule="exact"/>
        <w:rPr>
          <w:rFonts w:ascii="Times New Roman" w:cs="Times New Roman" w:eastAsia="Times New Roman" w:hAnsi="Times New Roman"/>
          <w:sz w:val="18"/>
          <w:szCs w:val="18"/>
          <w:color w:val="auto"/>
        </w:rPr>
      </w:pPr>
    </w:p>
    <w:p>
      <w:pPr>
        <w:jc w:val="both"/>
        <w:ind w:left="900" w:right="20" w:hanging="446"/>
        <w:spacing w:after="0" w:line="266" w:lineRule="auto"/>
        <w:tabs>
          <w:tab w:leader="none" w:pos="90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prohibiting its use of the proceeds of any offering to finance its business and operations in China.</w:t>
      </w:r>
    </w:p>
    <w:p>
      <w:pPr>
        <w:spacing w:after="0" w:line="117"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If the imposition of any of these penalties precludes the Company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 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 Nevertheless, the laws and regulations that imposed restrictions on foreign ownership in advertising companies, including the Administrative Provisions on Foreign-Invested Advertising Enterprises were abolished in June 2015. To the extent any current or future business of OptAim VIE can be directly operated by the Company’s wholly owned subsidiaries under PRC law, the Company is in the process of transferring such business to the Company’s wholly owned subsidiaries. The Company expects that by the end of 2018, OptAim WFOE will replace OptAim VIE and its subsidiary as contracting party for their businesses that are operated by OptAim VIE and its subsidiary.</w:t>
      </w:r>
    </w:p>
    <w:p>
      <w:pPr>
        <w:spacing w:after="0" w:line="85" w:lineRule="exact"/>
        <w:rPr>
          <w:sz w:val="20"/>
          <w:szCs w:val="20"/>
          <w:color w:val="auto"/>
        </w:rPr>
      </w:pPr>
    </w:p>
    <w:p>
      <w:pPr>
        <w:ind w:left="460" w:right="100"/>
        <w:spacing w:after="0" w:line="256" w:lineRule="auto"/>
        <w:rPr>
          <w:sz w:val="20"/>
          <w:szCs w:val="20"/>
          <w:color w:val="auto"/>
        </w:rPr>
      </w:pPr>
      <w:r>
        <w:rPr>
          <w:rFonts w:ascii="Times New Roman" w:cs="Times New Roman" w:eastAsia="Times New Roman" w:hAnsi="Times New Roman"/>
          <w:sz w:val="18"/>
          <w:szCs w:val="18"/>
          <w:color w:val="auto"/>
        </w:rPr>
        <w:t>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420"/>
          </w:cols>
          <w:pgMar w:left="240" w:top="455" w:right="239" w:bottom="1440" w:gutter="0" w:footer="0" w:header="0"/>
        </w:sectPr>
      </w:pPr>
    </w:p>
    <w:bookmarkStart w:id="309" w:name="page310"/>
    <w:bookmarkEnd w:id="3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regulations (Continued)</w:t>
      </w:r>
    </w:p>
    <w:p>
      <w:pPr>
        <w:spacing w:after="0" w:line="134" w:lineRule="exact"/>
        <w:rPr>
          <w:rFonts w:ascii="Times New Roman" w:cs="Times New Roman" w:eastAsia="Times New Roman" w:hAnsi="Times New Roman"/>
          <w:sz w:val="18"/>
          <w:szCs w:val="18"/>
          <w:b w:val="1"/>
          <w:bCs w:val="1"/>
          <w:color w:val="auto"/>
        </w:rPr>
      </w:pPr>
    </w:p>
    <w:p>
      <w:pPr>
        <w:ind w:left="4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provisions regarding control through contractual arrangements could be construed to reach the Group’s VIE arrangement, and as a result the Group’s VIE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w:t>
      </w:r>
    </w:p>
    <w:p>
      <w:pPr>
        <w:spacing w:after="0" w:line="71" w:lineRule="exact"/>
        <w:rPr>
          <w:rFonts w:ascii="Times New Roman" w:cs="Times New Roman" w:eastAsia="Times New Roman" w:hAnsi="Times New Roman"/>
          <w:sz w:val="18"/>
          <w:szCs w:val="18"/>
          <w:b w:val="1"/>
          <w:bCs w:val="1"/>
          <w:color w:val="auto"/>
        </w:rPr>
      </w:pPr>
    </w:p>
    <w:p>
      <w:pPr>
        <w:ind w:left="4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the Draft FIE Law if it becomes effective, that the Company’s operation of certain of its operations and businesses through VIE violates the Draft FIE Law, regulatory authorities with jurisdiction over the licensing and operation of such operations and businesses may require the Company to take various actions as discussed in the paragraph above. The Group’s management considers the possibility of such a finding by PRC regulatory authorities under the Draft VIE law, if it becomes effective, to be remote.</w:t>
      </w:r>
    </w:p>
    <w:p>
      <w:pPr>
        <w:spacing w:after="0" w:line="79" w:lineRule="exact"/>
        <w:rPr>
          <w:rFonts w:ascii="Times New Roman" w:cs="Times New Roman" w:eastAsia="Times New Roman" w:hAnsi="Times New Roman"/>
          <w:sz w:val="18"/>
          <w:szCs w:val="18"/>
          <w:b w:val="1"/>
          <w:bCs w:val="1"/>
          <w:color w:val="auto"/>
        </w:rPr>
      </w:pPr>
    </w:p>
    <w:p>
      <w:pPr>
        <w:ind w:left="46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OptAim VIE holds assets that are important to the operation of the Group’s business, including patents for proprietary technology and trademarks. If OptAim VIE falls into bankruptcy and all or part of its assets become subject to liens or rights of third-party creditors, the Group may be unable to conduct major part of its business activities in China, which could have a material adverse effect on the Group’s future financial position, results of operations or cash flows. However, the Group believes this is a normal business risk many companies face. The Group will continue to closely monitor the financial conditions of OptAim VIE.</w:t>
      </w:r>
    </w:p>
    <w:p>
      <w:pPr>
        <w:spacing w:after="0" w:line="75" w:lineRule="exact"/>
        <w:rPr>
          <w:rFonts w:ascii="Times New Roman" w:cs="Times New Roman" w:eastAsia="Times New Roman" w:hAnsi="Times New Roman"/>
          <w:sz w:val="18"/>
          <w:szCs w:val="18"/>
          <w:b w:val="1"/>
          <w:bCs w:val="1"/>
          <w:color w:val="auto"/>
        </w:rPr>
      </w:pPr>
    </w:p>
    <w:p>
      <w:pPr>
        <w:ind w:left="460" w:right="12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OptAim VIE’s assets comprise both recognized and unrecognized revenue-producing assets. The recognized revenue-producing assets include leasehold improvements, computers and network equipment and self-developed computer software which are recognized in the Company’s unaudited interim condensed consolidated balance sheet. The unrecognized revenue-producing assets mainly consist of patents, trademarks and assembled workforce which are not recorded in the financial statements of OptAim VIE as it did not meet the recognition criteria set in ASC 350-30-25.</w:t>
      </w:r>
    </w:p>
    <w:p>
      <w:pPr>
        <w:spacing w:after="0" w:line="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F-89</w:t>
      </w:r>
    </w:p>
    <w:p>
      <w:pPr>
        <w:sectPr>
          <w:pgSz w:w="11900" w:h="16838" w:orient="portrait"/>
          <w:cols w:equalWidth="0" w:num="1">
            <w:col w:w="11380"/>
          </w:cols>
          <w:pgMar w:left="240" w:top="455" w:right="279" w:bottom="1440" w:gutter="0" w:footer="0" w:header="0"/>
        </w:sectPr>
      </w:pPr>
    </w:p>
    <w:bookmarkStart w:id="310" w:name="page311"/>
    <w:bookmarkEnd w:id="3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4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regulations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financial information of the OptAim VIE and its subsidiary excluding the intercompany items with the Company’s subsidiaries was included in the accompanying financial statements as of December 31, 2016 and June 30, 2017 and for the six months ended June 30, 2016 and 2017:</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840" w:type="dxa"/>
            <w:vAlign w:val="bottom"/>
            <w:gridSpan w:val="6"/>
          </w:tcPr>
          <w:p>
            <w:pPr>
              <w:jc w:val="right"/>
              <w:ind w:right="888"/>
              <w:spacing w:after="0"/>
              <w:rPr>
                <w:sz w:val="20"/>
                <w:szCs w:val="20"/>
                <w:color w:val="auto"/>
              </w:rPr>
            </w:pPr>
            <w:r>
              <w:rPr>
                <w:rFonts w:ascii="Times New Roman" w:cs="Times New Roman" w:eastAsia="Times New Roman" w:hAnsi="Times New Roman"/>
                <w:sz w:val="14"/>
                <w:szCs w:val="14"/>
                <w:color w:val="auto"/>
              </w:rPr>
              <w:t>December 31, 2016</w:t>
            </w:r>
          </w:p>
        </w:tc>
        <w:tc>
          <w:tcPr>
            <w:tcW w:w="8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June 30,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7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5,739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7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7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11,878</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a related party</w:t>
            </w:r>
          </w:p>
        </w:tc>
        <w:tc>
          <w:tcPr>
            <w:tcW w:w="1740" w:type="dxa"/>
            <w:vAlign w:val="bottom"/>
            <w:shd w:val="clear" w:color="auto" w:fill="CCEEFF"/>
          </w:tcPr>
          <w:p>
            <w:pPr>
              <w:spacing w:after="0"/>
              <w:rPr>
                <w:sz w:val="18"/>
                <w:szCs w:val="18"/>
                <w:color w:val="auto"/>
              </w:rPr>
            </w:pPr>
          </w:p>
        </w:tc>
        <w:tc>
          <w:tcPr>
            <w:tcW w:w="2100" w:type="dxa"/>
            <w:vAlign w:val="bottom"/>
            <w:gridSpan w:val="5"/>
            <w:shd w:val="clear" w:color="auto" w:fill="CCEEFF"/>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7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9,741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74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color w:val="auto"/>
              </w:rPr>
              <w:t>For the six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8"/>
          </w:tcPr>
          <w:p>
            <w:pPr>
              <w:jc w:val="center"/>
              <w:ind w:right="160"/>
              <w:spacing w:after="0"/>
              <w:rPr>
                <w:sz w:val="20"/>
                <w:szCs w:val="20"/>
                <w:color w:val="auto"/>
              </w:rPr>
            </w:pPr>
            <w:r>
              <w:rPr>
                <w:rFonts w:ascii="Times New Roman" w:cs="Times New Roman" w:eastAsia="Times New Roman" w:hAnsi="Times New Roman"/>
                <w:sz w:val="14"/>
                <w:szCs w:val="14"/>
                <w:color w:val="auto"/>
              </w:rPr>
              <w:t>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140" w:type="dxa"/>
            <w:vAlign w:val="bottom"/>
            <w:gridSpan w:val="3"/>
          </w:tcPr>
          <w:p>
            <w:pPr>
              <w:spacing w:after="0"/>
              <w:rPr>
                <w:sz w:val="12"/>
                <w:szCs w:val="12"/>
                <w:color w:val="auto"/>
              </w:rPr>
            </w:pPr>
          </w:p>
        </w:tc>
        <w:tc>
          <w:tcPr>
            <w:tcW w:w="640" w:type="dxa"/>
            <w:vAlign w:val="bottom"/>
            <w:tcBorders>
              <w:top w:val="single" w:sz="8" w:color="auto"/>
            </w:tcBorders>
            <w:gridSpan w:val="2"/>
          </w:tcPr>
          <w:p>
            <w:pPr>
              <w:jc w:val="right"/>
              <w:ind w:right="161"/>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ind w:right="70"/>
              <w:spacing w:after="0" w:line="142" w:lineRule="exact"/>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3780" w:type="dxa"/>
            <w:vAlign w:val="bottom"/>
            <w:gridSpan w:val="5"/>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9,649</w:t>
            </w: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profit/(loss)</w:t>
            </w:r>
          </w:p>
        </w:tc>
        <w:tc>
          <w:tcPr>
            <w:tcW w:w="3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60" w:type="dxa"/>
            <w:vAlign w:val="bottom"/>
          </w:tcPr>
          <w:p>
            <w:pPr>
              <w:spacing w:after="0"/>
              <w:rPr>
                <w:sz w:val="20"/>
                <w:szCs w:val="20"/>
                <w:color w:val="auto"/>
              </w:rPr>
            </w:pPr>
          </w:p>
        </w:tc>
        <w:tc>
          <w:tcPr>
            <w:tcW w:w="82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w w:val="97"/>
              </w:rPr>
              <w:t>(274)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color w:val="auto"/>
              </w:rPr>
              <w:t>For the 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7"/>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440" w:type="dxa"/>
            <w:vAlign w:val="bottom"/>
            <w:gridSpan w:val="4"/>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2016</w:t>
            </w: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ind w:left="420"/>
              <w:spacing w:after="0" w:line="142" w:lineRule="exact"/>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3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40" w:type="dxa"/>
            <w:vAlign w:val="bottom"/>
            <w:gridSpan w:val="4"/>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3440" w:type="dxa"/>
            <w:vAlign w:val="bottom"/>
            <w:gridSpan w:val="4"/>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840" w:type="dxa"/>
            <w:vAlign w:val="bottom"/>
            <w:gridSpan w:val="6"/>
          </w:tcPr>
          <w:p>
            <w:pPr>
              <w:jc w:val="right"/>
              <w:ind w:right="3228"/>
              <w:spacing w:after="0"/>
              <w:rPr>
                <w:sz w:val="20"/>
                <w:szCs w:val="20"/>
                <w:color w:val="auto"/>
              </w:rPr>
            </w:pPr>
            <w:r>
              <w:rPr>
                <w:rFonts w:ascii="Times New Roman" w:cs="Times New Roman" w:eastAsia="Times New Roman" w:hAnsi="Times New Roman"/>
                <w:sz w:val="18"/>
                <w:szCs w:val="18"/>
                <w:color w:val="auto"/>
              </w:rPr>
              <w:t>F-90</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5" w:right="399" w:bottom="1440" w:gutter="0" w:footer="0" w:header="0"/>
        </w:sectPr>
      </w:pPr>
    </w:p>
    <w:bookmarkStart w:id="311" w:name="page312"/>
    <w:bookmarkEnd w:id="3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regulations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Assets and liabilities of non-US$ functional currency entities are translated into US$ using the applicable exchange rates at the balance sheet date. Items in the statements of comprehensive loss are translated into US$ using the average exchange rate during the period. Equity accounts were translated at their historical exchange rates. The resulting translation adjustments are accumulated as a component of accumulated other comprehensive income on the unaudited interim condensed consolidated statements of shareholders’ deficit.</w:t>
      </w:r>
    </w:p>
    <w:p>
      <w:pPr>
        <w:spacing w:after="0" w:line="71" w:lineRule="exact"/>
        <w:rPr>
          <w:rFonts w:ascii="Times New Roman" w:cs="Times New Roman" w:eastAsia="Times New Roman" w:hAnsi="Times New Roman"/>
          <w:sz w:val="18"/>
          <w:szCs w:val="18"/>
          <w:b w:val="1"/>
          <w:bCs w:val="1"/>
          <w:color w:val="auto"/>
        </w:rPr>
      </w:pPr>
    </w:p>
    <w:p>
      <w:pPr>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of the Group’s operating activities are transacted in Renminbi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68" w:lineRule="exact"/>
        <w:rPr>
          <w:rFonts w:ascii="Times New Roman" w:cs="Times New Roman" w:eastAsia="Times New Roman" w:hAnsi="Times New Roman"/>
          <w:sz w:val="18"/>
          <w:szCs w:val="18"/>
          <w:b w:val="1"/>
          <w:bCs w:val="1"/>
          <w:color w:val="auto"/>
        </w:rPr>
      </w:pPr>
    </w:p>
    <w:p>
      <w:pPr>
        <w:ind w:left="460" w:right="1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revenues and expenses of the Group’s subsidiaries and the VIE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81" w:lineRule="exact"/>
        <w:rPr>
          <w:rFonts w:ascii="Times New Roman" w:cs="Times New Roman" w:eastAsia="Times New Roman" w:hAnsi="Times New Roman"/>
          <w:sz w:val="18"/>
          <w:szCs w:val="18"/>
          <w:b w:val="1"/>
          <w:bCs w:val="1"/>
          <w:color w:val="auto"/>
        </w:rPr>
      </w:pPr>
    </w:p>
    <w:p>
      <w:pPr>
        <w:ind w:left="460"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of the Group’s operating activities are transacted in Hong Kong dollars (“HK$”). Foreign exchange risk arises from future commercial transactions, recognized assets and liabilities and net investments in foreign operations. The Group considers the foreign exchange risk in relation to transactions denominated in HK$ with respect to US$ is not significant as HK$ is pegged to US$.</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2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rFonts w:ascii="Times New Roman" w:cs="Times New Roman" w:eastAsia="Times New Roman" w:hAnsi="Times New Roman"/>
          <w:sz w:val="18"/>
          <w:szCs w:val="18"/>
          <w:b w:val="1"/>
          <w:bCs w:val="1"/>
          <w:color w:val="auto"/>
        </w:rPr>
      </w:pPr>
    </w:p>
    <w:p>
      <w:pPr>
        <w:ind w:left="460" w:right="2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considers assumptions that market participants would use when pricing the asset or liability.</w:t>
      </w:r>
    </w:p>
    <w:p>
      <w:pPr>
        <w:spacing w:after="0" w:line="71" w:lineRule="exact"/>
        <w:rPr>
          <w:rFonts w:ascii="Times New Roman" w:cs="Times New Roman" w:eastAsia="Times New Roman" w:hAnsi="Times New Roman"/>
          <w:sz w:val="18"/>
          <w:szCs w:val="18"/>
          <w:b w:val="1"/>
          <w:bCs w:val="1"/>
          <w:color w:val="auto"/>
        </w:rPr>
      </w:pPr>
    </w:p>
    <w:p>
      <w:pPr>
        <w:ind w:left="4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There are three levels of inputs that may be used to measure fair value:</w:t>
      </w:r>
    </w:p>
    <w:p>
      <w:pPr>
        <w:spacing w:after="0" w:line="6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w:t>
      </w:r>
    </w:p>
    <w:p>
      <w:pPr>
        <w:spacing w:after="0" w:line="117" w:lineRule="exact"/>
        <w:rPr>
          <w:rFonts w:ascii="Times New Roman" w:cs="Times New Roman" w:eastAsia="Times New Roman" w:hAnsi="Times New Roman"/>
          <w:sz w:val="18"/>
          <w:szCs w:val="18"/>
          <w:b w:val="1"/>
          <w:bCs w:val="1"/>
          <w:color w:val="auto"/>
        </w:rPr>
      </w:pPr>
    </w:p>
    <w:p>
      <w:pPr>
        <w:ind w:left="460"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380"/>
          </w:cols>
          <w:pgMar w:left="240" w:top="456" w:right="279" w:bottom="1440" w:gutter="0" w:footer="0" w:header="0"/>
        </w:sectPr>
      </w:pPr>
    </w:p>
    <w:bookmarkStart w:id="312" w:name="page313"/>
    <w:bookmarkEnd w:id="3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 (Continued)</w:t>
      </w:r>
    </w:p>
    <w:p>
      <w:pPr>
        <w:spacing w:after="0" w:line="134" w:lineRule="exact"/>
        <w:rPr>
          <w:rFonts w:ascii="Times New Roman" w:cs="Times New Roman" w:eastAsia="Times New Roman" w:hAnsi="Times New Roman"/>
          <w:sz w:val="18"/>
          <w:szCs w:val="18"/>
          <w:b w:val="1"/>
          <w:bCs w:val="1"/>
          <w:color w:val="auto"/>
        </w:rPr>
      </w:pPr>
    </w:p>
    <w:p>
      <w:pPr>
        <w:ind w:left="460" w:right="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infrequent transactions (less active markets); or model-derived valuations in which significant inputs are observable or can be derived principally from, or corroborated by, observable market data.</w:t>
      </w:r>
    </w:p>
    <w:p>
      <w:pPr>
        <w:spacing w:after="0" w:line="53" w:lineRule="exact"/>
        <w:rPr>
          <w:rFonts w:ascii="Times New Roman" w:cs="Times New Roman" w:eastAsia="Times New Roman" w:hAnsi="Times New Roman"/>
          <w:sz w:val="18"/>
          <w:szCs w:val="18"/>
          <w:b w:val="1"/>
          <w:bCs w:val="1"/>
          <w:color w:val="auto"/>
        </w:rPr>
      </w:pPr>
    </w:p>
    <w:p>
      <w:pPr>
        <w:ind w:left="46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53" w:lineRule="exact"/>
        <w:rPr>
          <w:rFonts w:ascii="Times New Roman" w:cs="Times New Roman" w:eastAsia="Times New Roman" w:hAnsi="Times New Roman"/>
          <w:sz w:val="18"/>
          <w:szCs w:val="18"/>
          <w:b w:val="1"/>
          <w:bCs w:val="1"/>
          <w:color w:val="auto"/>
        </w:rPr>
      </w:pPr>
    </w:p>
    <w:p>
      <w:pPr>
        <w:ind w:left="4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estimated fair values of the Company’s financial assets and liabilities classified under the appropriate level of the fair value hierarchy as described above was as follows: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2"/>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0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60" w:type="dxa"/>
            <w:vAlign w:val="bottom"/>
          </w:tcPr>
          <w:p>
            <w:pPr>
              <w:jc w:val="center"/>
              <w:spacing w:after="0" w:line="119" w:lineRule="exact"/>
              <w:rPr>
                <w:sz w:val="20"/>
                <w:szCs w:val="20"/>
                <w:color w:val="auto"/>
              </w:rPr>
            </w:pPr>
            <w:r>
              <w:rPr>
                <w:rFonts w:ascii="Times New Roman" w:cs="Times New Roman" w:eastAsia="Times New Roman" w:hAnsi="Times New Roman"/>
                <w:sz w:val="13"/>
                <w:szCs w:val="13"/>
                <w:color w:val="auto"/>
              </w:rPr>
              <w:t>Quoted prices</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Significant</w:t>
            </w: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 active</w:t>
            </w:r>
          </w:p>
        </w:tc>
        <w:tc>
          <w:tcPr>
            <w:tcW w:w="1220" w:type="dxa"/>
            <w:vAlign w:val="bottom"/>
            <w:vMerge w:val="continue"/>
          </w:tcPr>
          <w:p>
            <w:pPr>
              <w:spacing w:after="0"/>
              <w:rPr>
                <w:sz w:val="12"/>
                <w:szCs w:val="12"/>
                <w:color w:val="auto"/>
              </w:rPr>
            </w:pPr>
          </w:p>
        </w:tc>
        <w:tc>
          <w:tcPr>
            <w:tcW w:w="1060" w:type="dxa"/>
            <w:vAlign w:val="bottom"/>
            <w:gridSpan w:val="2"/>
            <w:vMerge w:val="restart"/>
          </w:tcPr>
          <w:p>
            <w:pPr>
              <w:jc w:val="center"/>
              <w:ind w:left="96"/>
              <w:spacing w:after="0"/>
              <w:rPr>
                <w:sz w:val="20"/>
                <w:szCs w:val="20"/>
                <w:color w:val="auto"/>
              </w:rPr>
            </w:pPr>
            <w:r>
              <w:rPr>
                <w:rFonts w:ascii="Times New Roman" w:cs="Times New Roman" w:eastAsia="Times New Roman" w:hAnsi="Times New Roman"/>
                <w:sz w:val="14"/>
                <w:szCs w:val="14"/>
                <w:color w:val="auto"/>
              </w:rPr>
              <w:t>Significant</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market for</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8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color w:val="auto"/>
                <w:w w:val="98"/>
              </w:rPr>
              <w:t>Total fair</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identical</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observable</w:t>
            </w:r>
          </w:p>
        </w:tc>
        <w:tc>
          <w:tcPr>
            <w:tcW w:w="1060" w:type="dxa"/>
            <w:vAlign w:val="bottom"/>
            <w:gridSpan w:val="2"/>
          </w:tcPr>
          <w:p>
            <w:pPr>
              <w:jc w:val="center"/>
              <w:ind w:left="96"/>
              <w:spacing w:after="0" w:line="149"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1060" w:type="dxa"/>
            <w:vAlign w:val="bottom"/>
            <w:gridSpan w:val="2"/>
          </w:tcPr>
          <w:p>
            <w:pPr>
              <w:jc w:val="center"/>
              <w:ind w:left="96"/>
              <w:spacing w:after="0" w:line="149" w:lineRule="exact"/>
              <w:rPr>
                <w:sz w:val="20"/>
                <w:szCs w:val="20"/>
                <w:color w:val="auto"/>
              </w:rPr>
            </w:pPr>
            <w:r>
              <w:rPr>
                <w:rFonts w:ascii="Times New Roman" w:cs="Times New Roman" w:eastAsia="Times New Roman" w:hAnsi="Times New Roman"/>
                <w:sz w:val="14"/>
                <w:szCs w:val="14"/>
                <w:color w:val="auto"/>
              </w:rPr>
              <w:t>inputs</w:t>
            </w: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820" w:type="dxa"/>
            <w:vAlign w:val="bottom"/>
          </w:tcPr>
          <w:p>
            <w:pPr>
              <w:jc w:val="right"/>
              <w:ind w:right="294"/>
              <w:spacing w:after="0"/>
              <w:rPr>
                <w:sz w:val="20"/>
                <w:szCs w:val="20"/>
                <w:color w:val="auto"/>
              </w:rPr>
            </w:pPr>
            <w:r>
              <w:rPr>
                <w:rFonts w:ascii="Times New Roman" w:cs="Times New Roman" w:eastAsia="Times New Roman" w:hAnsi="Times New Roman"/>
                <w:sz w:val="14"/>
                <w:szCs w:val="14"/>
                <w:color w:val="auto"/>
              </w:rPr>
              <w:t>value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(Level 1)</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(Level 2)</w:t>
            </w:r>
          </w:p>
        </w:tc>
        <w:tc>
          <w:tcPr>
            <w:tcW w:w="1060" w:type="dxa"/>
            <w:vAlign w:val="bottom"/>
            <w:gridSpan w:val="2"/>
          </w:tcPr>
          <w:p>
            <w:pPr>
              <w:jc w:val="center"/>
              <w:ind w:left="96"/>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2016</w:t>
            </w:r>
          </w:p>
        </w:tc>
        <w:tc>
          <w:tcPr>
            <w:tcW w:w="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27,280</w:t>
            </w:r>
          </w:p>
        </w:tc>
        <w:tc>
          <w:tcPr>
            <w:tcW w:w="136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27,280</w:t>
            </w: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5,234</w:t>
            </w:r>
          </w:p>
        </w:tc>
        <w:tc>
          <w:tcPr>
            <w:tcW w:w="1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5,234</w:t>
            </w:r>
          </w:p>
        </w:tc>
        <w:tc>
          <w:tcPr>
            <w:tcW w:w="122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12,982</w:t>
            </w:r>
          </w:p>
        </w:tc>
        <w:tc>
          <w:tcPr>
            <w:tcW w:w="136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12,982</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8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60,525</w:t>
            </w:r>
          </w:p>
        </w:tc>
        <w:tc>
          <w:tcPr>
            <w:tcW w:w="1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60,525</w:t>
            </w:r>
          </w:p>
        </w:tc>
        <w:tc>
          <w:tcPr>
            <w:tcW w:w="0" w:type="dxa"/>
            <w:vAlign w:val="bottom"/>
          </w:tcPr>
          <w:p>
            <w:pPr>
              <w:spacing w:after="0"/>
              <w:rPr>
                <w:sz w:val="1"/>
                <w:szCs w:val="1"/>
                <w:color w:val="auto"/>
              </w:rPr>
            </w:pPr>
          </w:p>
        </w:tc>
      </w:tr>
      <w:tr>
        <w:trPr>
          <w:trHeight w:val="324"/>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June 30, 2017</w:t>
            </w: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28,223</w:t>
            </w:r>
          </w:p>
        </w:tc>
        <w:tc>
          <w:tcPr>
            <w:tcW w:w="1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28,223</w:t>
            </w:r>
          </w:p>
        </w:tc>
        <w:tc>
          <w:tcPr>
            <w:tcW w:w="122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2,000</w:t>
            </w:r>
          </w:p>
        </w:tc>
        <w:tc>
          <w:tcPr>
            <w:tcW w:w="136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2,000</w:t>
            </w: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borrowings</w:t>
            </w:r>
          </w:p>
        </w:tc>
        <w:tc>
          <w:tcPr>
            <w:tcW w:w="8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9,595</w:t>
            </w:r>
          </w:p>
        </w:tc>
        <w:tc>
          <w:tcPr>
            <w:tcW w:w="1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9,595</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75,342</w:t>
            </w:r>
          </w:p>
        </w:tc>
        <w:tc>
          <w:tcPr>
            <w:tcW w:w="136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75,342</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460" w:hanging="452"/>
        <w:spacing w:after="0"/>
        <w:tabs>
          <w:tab w:leader="none" w:pos="460" w:val="left"/>
        </w:tabs>
        <w:numPr>
          <w:ilvl w:val="0"/>
          <w:numId w:val="2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risk</w:t>
      </w:r>
    </w:p>
    <w:p>
      <w:pPr>
        <w:spacing w:after="0" w:line="131" w:lineRule="exact"/>
        <w:rPr>
          <w:sz w:val="20"/>
          <w:szCs w:val="20"/>
          <w:color w:val="auto"/>
        </w:rPr>
      </w:pPr>
    </w:p>
    <w:p>
      <w:pPr>
        <w:ind w:left="900" w:hanging="446"/>
        <w:spacing w:after="0"/>
        <w:tabs>
          <w:tab w:leader="none" w:pos="900"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revenues</w:t>
      </w:r>
    </w:p>
    <w:p>
      <w:pPr>
        <w:spacing w:after="0" w:line="121" w:lineRule="exact"/>
        <w:rPr>
          <w:sz w:val="20"/>
          <w:szCs w:val="20"/>
          <w:color w:val="auto"/>
        </w:rPr>
      </w:pPr>
    </w:p>
    <w:p>
      <w:pPr>
        <w:ind w:left="920" w:right="14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2017 an individual customer accounted for 14% of the net revenues. For the six months ended June 30, 2016 two individual customers accounted for 14% and 10% of the net revenues, respectively.</w:t>
      </w:r>
    </w:p>
    <w:p>
      <w:pPr>
        <w:spacing w:after="0" w:line="306" w:lineRule="exact"/>
        <w:rPr>
          <w:sz w:val="20"/>
          <w:szCs w:val="20"/>
          <w:color w:val="auto"/>
        </w:rPr>
      </w:pPr>
    </w:p>
    <w:p>
      <w:pPr>
        <w:ind w:left="900" w:hanging="446"/>
        <w:spacing w:after="0"/>
        <w:tabs>
          <w:tab w:leader="none" w:pos="900" w:val="left"/>
        </w:tabs>
        <w:numPr>
          <w:ilvl w:val="0"/>
          <w:numId w:val="2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accounts receivable</w:t>
      </w:r>
    </w:p>
    <w:p>
      <w:pPr>
        <w:spacing w:after="0" w:line="121" w:lineRule="exact"/>
        <w:rPr>
          <w:sz w:val="20"/>
          <w:szCs w:val="20"/>
          <w:color w:val="auto"/>
        </w:rPr>
      </w:pPr>
    </w:p>
    <w:p>
      <w:pPr>
        <w:ind w:left="920"/>
        <w:spacing w:after="0" w:line="261" w:lineRule="auto"/>
        <w:rPr>
          <w:sz w:val="20"/>
          <w:szCs w:val="20"/>
          <w:color w:val="auto"/>
        </w:rPr>
      </w:pPr>
      <w:r>
        <w:rPr>
          <w:rFonts w:ascii="Times New Roman" w:cs="Times New Roman" w:eastAsia="Times New Roman" w:hAnsi="Times New Roman"/>
          <w:sz w:val="18"/>
          <w:szCs w:val="18"/>
          <w:color w:val="auto"/>
        </w:rPr>
        <w:t>The Group has not experienced any significant recoverability issue with respect to its accounts receivable. The Group conducts credit evaluations on its customers and generally does not require collateral or other security from such customers. The Group periodically evaluates the creditworthiness of the existing customers in determining an allowance for doubtful accounts primarily based upon the age of the receivables and factors surrounding the credit risk of specific customers.</w:t>
      </w:r>
    </w:p>
    <w:p>
      <w:pPr>
        <w:spacing w:after="0" w:line="72" w:lineRule="exact"/>
        <w:rPr>
          <w:sz w:val="20"/>
          <w:szCs w:val="20"/>
          <w:color w:val="auto"/>
        </w:rPr>
      </w:pPr>
    </w:p>
    <w:p>
      <w:pPr>
        <w:ind w:left="920" w:right="160"/>
        <w:spacing w:after="0" w:line="266" w:lineRule="auto"/>
        <w:rPr>
          <w:sz w:val="20"/>
          <w:szCs w:val="20"/>
          <w:color w:val="auto"/>
        </w:rPr>
      </w:pPr>
      <w:r>
        <w:rPr>
          <w:rFonts w:ascii="Times New Roman" w:cs="Times New Roman" w:eastAsia="Times New Roman" w:hAnsi="Times New Roman"/>
          <w:sz w:val="18"/>
          <w:szCs w:val="18"/>
          <w:color w:val="auto"/>
        </w:rPr>
        <w:t>As of June 30, 2017 one customer accounted for 10% of the consolidated accounts receivable. No individual customer accounted for more than 10% of the consolidated accounts receivable as of December 31, 2016. The top 10 accounts receivable accounted for 38% and 46% of the consolidated accounts receivable as of December 31, 2016 and June 30, 2017, respectively.</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400"/>
          </w:cols>
          <w:pgMar w:left="240" w:top="455" w:right="259" w:bottom="1440" w:gutter="0" w:footer="0" w:header="0"/>
        </w:sectPr>
      </w:pPr>
    </w:p>
    <w:bookmarkStart w:id="313" w:name="page314"/>
    <w:bookmarkEnd w:id="3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risk (Continued)</w:t>
      </w:r>
    </w:p>
    <w:p>
      <w:pPr>
        <w:spacing w:after="0" w:line="131"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(iii)</w:t>
      </w:r>
      <w:r>
        <w:rPr>
          <w:sz w:val="20"/>
          <w:szCs w:val="20"/>
          <w:color w:val="auto"/>
        </w:rPr>
        <w:tab/>
      </w:r>
      <w:r>
        <w:rPr>
          <w:rFonts w:ascii="Times New Roman" w:cs="Times New Roman" w:eastAsia="Times New Roman" w:hAnsi="Times New Roman"/>
          <w:sz w:val="17"/>
          <w:szCs w:val="17"/>
          <w:b w:val="1"/>
          <w:bCs w:val="1"/>
          <w:color w:val="auto"/>
        </w:rPr>
        <w:t>Credit risk</w:t>
      </w:r>
    </w:p>
    <w:p>
      <w:pPr>
        <w:spacing w:after="0" w:line="121" w:lineRule="exact"/>
        <w:rPr>
          <w:sz w:val="20"/>
          <w:szCs w:val="20"/>
          <w:color w:val="auto"/>
        </w:rPr>
      </w:pPr>
    </w:p>
    <w:p>
      <w:pPr>
        <w:ind w:left="920" w:right="40"/>
        <w:spacing w:after="0" w:line="253" w:lineRule="auto"/>
        <w:rPr>
          <w:sz w:val="20"/>
          <w:szCs w:val="20"/>
          <w:color w:val="auto"/>
        </w:rPr>
      </w:pPr>
      <w:r>
        <w:rPr>
          <w:rFonts w:ascii="Times New Roman" w:cs="Times New Roman" w:eastAsia="Times New Roman" w:hAnsi="Times New Roman"/>
          <w:sz w:val="18"/>
          <w:szCs w:val="18"/>
          <w:color w:val="auto"/>
        </w:rPr>
        <w:t>As of December 31, 2016 and June 30, 2017,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deposits of cash and cash equivalents during the six months ended June 30, 2016 and June 30, 2017 and believes that its credit risk to be minimal.</w:t>
      </w:r>
    </w:p>
    <w:p>
      <w:pPr>
        <w:spacing w:after="0" w:line="337" w:lineRule="exact"/>
        <w:rPr>
          <w:sz w:val="20"/>
          <w:szCs w:val="20"/>
          <w:color w:val="auto"/>
        </w:rPr>
      </w:pPr>
    </w:p>
    <w:p>
      <w:pPr>
        <w:ind w:left="460" w:hanging="452"/>
        <w:spacing w:after="0"/>
        <w:tabs>
          <w:tab w:leader="none" w:pos="460" w:val="left"/>
        </w:tabs>
        <w:numPr>
          <w:ilvl w:val="0"/>
          <w:numId w:val="2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rFonts w:ascii="Times New Roman" w:cs="Times New Roman" w:eastAsia="Times New Roman" w:hAnsi="Times New Roman"/>
          <w:sz w:val="18"/>
          <w:szCs w:val="18"/>
          <w:b w:val="1"/>
          <w:bCs w:val="1"/>
          <w:color w:val="auto"/>
        </w:rPr>
      </w:pPr>
    </w:p>
    <w:p>
      <w:pPr>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represent cash on hand, cash held at bank, and time deposits placed with banks or other financial institutions, which have original maturities of three months or less. Cash on hand and cash held at bank balance as of December 31, 2016 and June 30, 2017 primarily consist of the following currencies: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6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December 31, 2016</w:t>
            </w:r>
          </w:p>
        </w:tc>
        <w:tc>
          <w:tcPr>
            <w:tcW w:w="460" w:type="dxa"/>
            <w:vAlign w:val="bottom"/>
          </w:tcPr>
          <w:p>
            <w:pPr>
              <w:spacing w:after="0"/>
              <w:rPr>
                <w:sz w:val="14"/>
                <w:szCs w:val="14"/>
                <w:color w:val="auto"/>
              </w:rPr>
            </w:pPr>
          </w:p>
        </w:tc>
        <w:tc>
          <w:tcPr>
            <w:tcW w:w="16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color w:val="auto"/>
              </w:rPr>
              <w:t>June 30, 2017</w:t>
            </w:r>
          </w:p>
        </w:tc>
      </w:tr>
      <w:tr>
        <w:trPr>
          <w:trHeight w:val="119"/>
        </w:trPr>
        <w:tc>
          <w:tcPr>
            <w:tcW w:w="670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US$’000</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US$’000</w:t>
            </w:r>
          </w:p>
        </w:tc>
        <w:tc>
          <w:tcPr>
            <w:tcW w:w="60" w:type="dxa"/>
            <w:vAlign w:val="bottom"/>
          </w:tcPr>
          <w:p>
            <w:pPr>
              <w:spacing w:after="0"/>
              <w:rPr>
                <w:sz w:val="10"/>
                <w:szCs w:val="10"/>
                <w:color w:val="auto"/>
              </w:rPr>
            </w:pPr>
          </w:p>
        </w:tc>
      </w:tr>
      <w:tr>
        <w:trPr>
          <w:trHeight w:val="185"/>
        </w:trPr>
        <w:tc>
          <w:tcPr>
            <w:tcW w:w="6700" w:type="dxa"/>
            <w:vAlign w:val="bottom"/>
          </w:tcPr>
          <w:p>
            <w:pPr>
              <w:spacing w:after="0"/>
              <w:rPr>
                <w:sz w:val="16"/>
                <w:szCs w:val="16"/>
                <w:color w:val="auto"/>
              </w:rPr>
            </w:pPr>
          </w:p>
        </w:tc>
        <w:tc>
          <w:tcPr>
            <w:tcW w:w="1040" w:type="dxa"/>
            <w:vAlign w:val="bottom"/>
          </w:tcPr>
          <w:p>
            <w:pPr>
              <w:jc w:val="right"/>
              <w:ind w:right="434"/>
              <w:spacing w:after="0"/>
              <w:rPr>
                <w:sz w:val="20"/>
                <w:szCs w:val="20"/>
                <w:color w:val="auto"/>
              </w:rPr>
            </w:pPr>
            <w:r>
              <w:rPr>
                <w:rFonts w:ascii="Times New Roman" w:cs="Times New Roman" w:eastAsia="Times New Roman" w:hAnsi="Times New Roman"/>
                <w:sz w:val="14"/>
                <w:szCs w:val="14"/>
                <w:color w:val="auto"/>
              </w:rPr>
              <w:t>Amount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9"/>
              </w:rPr>
              <w:t>equivalent</w:t>
            </w:r>
          </w:p>
        </w:tc>
        <w:tc>
          <w:tcPr>
            <w:tcW w:w="460" w:type="dxa"/>
            <w:vAlign w:val="bottom"/>
          </w:tcPr>
          <w:p>
            <w:pPr>
              <w:spacing w:after="0"/>
              <w:rPr>
                <w:sz w:val="16"/>
                <w:szCs w:val="16"/>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Amount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equivalent</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RMB</w:t>
            </w:r>
          </w:p>
        </w:tc>
        <w:tc>
          <w:tcPr>
            <w:tcW w:w="104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67,697</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9,771</w:t>
            </w:r>
          </w:p>
        </w:tc>
        <w:tc>
          <w:tcPr>
            <w:tcW w:w="14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49,762</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7,182</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HK$</w:t>
            </w:r>
          </w:p>
        </w:tc>
        <w:tc>
          <w:tcPr>
            <w:tcW w:w="104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15,666</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2,019</w:t>
            </w:r>
          </w:p>
        </w:tc>
        <w:tc>
          <w:tcPr>
            <w:tcW w:w="148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54,627</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7,040</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04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15,064</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15,064</w:t>
            </w:r>
          </w:p>
        </w:tc>
        <w:tc>
          <w:tcPr>
            <w:tcW w:w="14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13,456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13,456</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SGD</w:t>
            </w:r>
          </w:p>
        </w:tc>
        <w:tc>
          <w:tcPr>
            <w:tcW w:w="104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235</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148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284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TWD</w:t>
            </w:r>
          </w:p>
        </w:tc>
        <w:tc>
          <w:tcPr>
            <w:tcW w:w="104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2,855</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14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4,101</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Euro (“EUR”)</w:t>
            </w:r>
          </w:p>
        </w:tc>
        <w:tc>
          <w:tcPr>
            <w:tcW w:w="104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125</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148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76</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04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8"/>
                <w:szCs w:val="18"/>
                <w:color w:val="auto"/>
              </w:rPr>
              <w:t>292</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148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6,338</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r>
      <w:tr>
        <w:trPr>
          <w:trHeight w:val="223"/>
        </w:trPr>
        <w:tc>
          <w:tcPr>
            <w:tcW w:w="6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28,223</w:t>
            </w:r>
          </w:p>
        </w:tc>
        <w:tc>
          <w:tcPr>
            <w:tcW w:w="6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ind w:left="460" w:hanging="452"/>
        <w:spacing w:after="0"/>
        <w:tabs>
          <w:tab w:leader="none" w:pos="460" w:val="left"/>
        </w:tabs>
        <w:numPr>
          <w:ilvl w:val="0"/>
          <w:numId w:val="2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cash</w:t>
      </w:r>
    </w:p>
    <w:p>
      <w:pPr>
        <w:spacing w:after="0" w:line="121" w:lineRule="exact"/>
        <w:rPr>
          <w:rFonts w:ascii="Times New Roman" w:cs="Times New Roman" w:eastAsia="Times New Roman" w:hAnsi="Times New Roman"/>
          <w:sz w:val="18"/>
          <w:szCs w:val="18"/>
          <w:b w:val="1"/>
          <w:bCs w:val="1"/>
          <w:color w:val="auto"/>
        </w:rPr>
      </w:pPr>
    </w:p>
    <w:p>
      <w:pPr>
        <w:jc w:val="both"/>
        <w:ind w:left="4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restricted cash amounting to US$5,234 and US$2,000 as of December 31, 2016 and June 30, 2017, respectively, represented balance held in a restricted bank account pursuant to certain short term loan agreements (see Note 14 for details). The restricted cash is held in US$ and carries fixed interest at the rate of 0.55% per annum as of December 31, 2016 and 0.05% per annum as of June 30, 2017, respectively.</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F-93</w:t>
      </w:r>
    </w:p>
    <w:p>
      <w:pPr>
        <w:sectPr>
          <w:pgSz w:w="11900" w:h="16838" w:orient="portrait"/>
          <w:cols w:equalWidth="0" w:num="1">
            <w:col w:w="11400"/>
          </w:cols>
          <w:pgMar w:left="240" w:top="455" w:right="259" w:bottom="1440" w:gutter="0" w:footer="0" w:header="0"/>
        </w:sectPr>
      </w:pPr>
    </w:p>
    <w:bookmarkStart w:id="314" w:name="page315"/>
    <w:bookmarkEnd w:id="3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investments</w:t>
      </w: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2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14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June 30,</w:t>
            </w:r>
          </w:p>
        </w:tc>
      </w:tr>
      <w:tr>
        <w:trPr>
          <w:trHeight w:val="185"/>
        </w:trPr>
        <w:tc>
          <w:tcPr>
            <w:tcW w:w="4480" w:type="dxa"/>
            <w:vAlign w:val="bottom"/>
          </w:tcPr>
          <w:p>
            <w:pPr>
              <w:spacing w:after="0"/>
              <w:rPr>
                <w:sz w:val="16"/>
                <w:szCs w:val="16"/>
                <w:color w:val="auto"/>
              </w:rPr>
            </w:pPr>
          </w:p>
        </w:tc>
        <w:tc>
          <w:tcPr>
            <w:tcW w:w="28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2016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6"/>
                <w:szCs w:val="16"/>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treasury instruments</w:t>
            </w:r>
          </w:p>
        </w:tc>
        <w:tc>
          <w:tcPr>
            <w:tcW w:w="20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60" w:type="dxa"/>
            <w:vAlign w:val="bottom"/>
            <w:shd w:val="clear" w:color="auto" w:fill="CCEEFF"/>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right="300"/>
        <w:spacing w:after="0" w:line="282" w:lineRule="auto"/>
        <w:rPr>
          <w:sz w:val="20"/>
          <w:szCs w:val="20"/>
          <w:color w:val="auto"/>
        </w:rPr>
      </w:pPr>
      <w:r>
        <w:rPr>
          <w:rFonts w:ascii="Times New Roman" w:cs="Times New Roman" w:eastAsia="Times New Roman" w:hAnsi="Times New Roman"/>
          <w:sz w:val="18"/>
          <w:szCs w:val="18"/>
          <w:color w:val="auto"/>
        </w:rPr>
        <w:t>The investments were issued by commercial banks in PRC with a variable interest rate. Since these investments’ maturity dates are within one year, they are classified as short-term investments.</w:t>
      </w:r>
    </w:p>
    <w:p>
      <w:pPr>
        <w:spacing w:after="0" w:line="54"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Interest income generated from short-term investments are recorded using the effective interest method. It was recorded in “other (losses)/gains, net” on the unaudited interim condensed consolidated statement of comprehensive loss.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18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color w:val="auto"/>
              </w:rPr>
              <w:t>December 31,</w:t>
            </w:r>
          </w:p>
        </w:tc>
        <w:tc>
          <w:tcPr>
            <w:tcW w:w="30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June 30,</w:t>
            </w: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color w:val="auto"/>
              </w:rPr>
              <w:t>2016</w:t>
            </w:r>
          </w:p>
        </w:tc>
        <w:tc>
          <w:tcPr>
            <w:tcW w:w="320" w:type="dxa"/>
            <w:vAlign w:val="bottom"/>
          </w:tcPr>
          <w:p>
            <w:pPr>
              <w:spacing w:after="0"/>
              <w:rPr>
                <w:sz w:val="16"/>
                <w:szCs w:val="16"/>
                <w:color w:val="auto"/>
              </w:rPr>
            </w:pPr>
          </w:p>
        </w:tc>
        <w:tc>
          <w:tcPr>
            <w:tcW w:w="84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32,387</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700" w:type="dxa"/>
            <w:vAlign w:val="bottom"/>
          </w:tcPr>
          <w:p>
            <w:pPr>
              <w:spacing w:after="0"/>
              <w:rPr>
                <w:sz w:val="19"/>
                <w:szCs w:val="19"/>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(1,693)</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70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30,694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The following table presents the movement in the allowance for doubtful accounts:</w:t>
            </w: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80" w:type="dxa"/>
            <w:vAlign w:val="bottom"/>
          </w:tcPr>
          <w:p>
            <w:pPr>
              <w:spacing w:after="0"/>
              <w:rPr>
                <w:sz w:val="24"/>
                <w:szCs w:val="24"/>
                <w:color w:val="auto"/>
              </w:rPr>
            </w:pPr>
          </w:p>
        </w:tc>
        <w:tc>
          <w:tcPr>
            <w:tcW w:w="698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80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color w:val="auto"/>
              </w:rPr>
              <w:t>For the six months ended June 30,</w:t>
            </w: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700" w:type="dxa"/>
            <w:vAlign w:val="bottom"/>
            <w:tcBorders>
              <w:top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196"/>
              <w:spacing w:after="0" w:line="142" w:lineRule="exact"/>
              <w:rPr>
                <w:sz w:val="20"/>
                <w:szCs w:val="20"/>
                <w:color w:val="auto"/>
              </w:rPr>
            </w:pPr>
            <w:r>
              <w:rPr>
                <w:rFonts w:ascii="Times New Roman" w:cs="Times New Roman" w:eastAsia="Times New Roman" w:hAnsi="Times New Roman"/>
                <w:sz w:val="14"/>
                <w:szCs w:val="14"/>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period</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the period</w:t>
            </w:r>
          </w:p>
        </w:tc>
        <w:tc>
          <w:tcPr>
            <w:tcW w:w="1840" w:type="dxa"/>
            <w:vAlign w:val="bottom"/>
            <w:gridSpan w:val="4"/>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written off</w:t>
            </w:r>
          </w:p>
        </w:tc>
        <w:tc>
          <w:tcPr>
            <w:tcW w:w="1840" w:type="dxa"/>
            <w:vAlign w:val="bottom"/>
            <w:gridSpan w:val="4"/>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5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period</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0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6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other assets consist of the following:</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1260" w:type="dxa"/>
            <w:vAlign w:val="bottom"/>
            <w:gridSpan w:val="3"/>
          </w:tcPr>
          <w:p>
            <w:pPr>
              <w:ind w:left="720"/>
              <w:spacing w:after="0"/>
              <w:rPr>
                <w:sz w:val="20"/>
                <w:szCs w:val="20"/>
                <w:color w:val="auto"/>
              </w:rPr>
            </w:pPr>
            <w:r>
              <w:rPr>
                <w:rFonts w:ascii="Times New Roman" w:cs="Times New Roman" w:eastAsia="Times New Roman" w:hAnsi="Times New Roman"/>
                <w:sz w:val="14"/>
                <w:szCs w:val="14"/>
                <w:color w:val="auto"/>
              </w:rPr>
              <w:t>June 30,</w:t>
            </w:r>
          </w:p>
        </w:tc>
        <w:tc>
          <w:tcPr>
            <w:tcW w:w="0" w:type="dxa"/>
            <w:vAlign w:val="bottom"/>
          </w:tcPr>
          <w:p>
            <w:pPr>
              <w:spacing w:after="0"/>
              <w:rPr>
                <w:sz w:val="1"/>
                <w:szCs w:val="1"/>
                <w:color w:val="auto"/>
              </w:rPr>
            </w:pPr>
          </w:p>
        </w:tc>
      </w:tr>
      <w:tr>
        <w:trPr>
          <w:trHeight w:val="185"/>
        </w:trPr>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18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2016</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0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VAT receivable</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7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0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7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68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 w:type="dxa"/>
            <w:vAlign w:val="bottom"/>
          </w:tcPr>
          <w:p>
            <w:pPr>
              <w:spacing w:after="0"/>
              <w:rPr>
                <w:sz w:val="18"/>
                <w:szCs w:val="18"/>
                <w:color w:val="auto"/>
              </w:rPr>
            </w:pPr>
          </w:p>
        </w:tc>
        <w:tc>
          <w:tcPr>
            <w:tcW w:w="668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for acquisition of fixed assets and intangible assets</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Rental deposits</w:t>
            </w:r>
          </w:p>
        </w:tc>
        <w:tc>
          <w:tcPr>
            <w:tcW w:w="10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7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580" w:type="dxa"/>
            <w:vAlign w:val="bottom"/>
            <w:vMerge w:val="restart"/>
          </w:tcPr>
          <w:p>
            <w:pPr>
              <w:ind w:left="4160"/>
              <w:spacing w:after="0"/>
              <w:rPr>
                <w:sz w:val="20"/>
                <w:szCs w:val="20"/>
                <w:color w:val="auto"/>
              </w:rPr>
            </w:pPr>
            <w:r>
              <w:rPr>
                <w:rFonts w:ascii="Times New Roman" w:cs="Times New Roman" w:eastAsia="Times New Roman" w:hAnsi="Times New Roman"/>
                <w:sz w:val="18"/>
                <w:szCs w:val="18"/>
                <w:color w:val="auto"/>
              </w:rPr>
              <w:t>F-94</w:t>
            </w:r>
          </w:p>
        </w:tc>
        <w:tc>
          <w:tcPr>
            <w:tcW w:w="1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5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315" w:name="page316"/>
    <w:bookmarkEnd w:id="3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143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200" w:lineRule="exact"/>
        <w:rPr>
          <w:sz w:val="20"/>
          <w:szCs w:val="20"/>
          <w:color w:val="auto"/>
        </w:rPr>
      </w:pPr>
    </w:p>
    <w:p>
      <w:pPr>
        <w:spacing w:after="0" w:line="252" w:lineRule="exact"/>
        <w:rPr>
          <w:sz w:val="20"/>
          <w:szCs w:val="20"/>
          <w:color w:val="auto"/>
        </w:rPr>
      </w:pPr>
    </w:p>
    <w:p>
      <w:pPr>
        <w:ind w:left="460" w:hanging="452"/>
        <w:spacing w:after="0"/>
        <w:tabs>
          <w:tab w:leader="none" w:pos="460" w:val="left"/>
        </w:tabs>
        <w:numPr>
          <w:ilvl w:val="0"/>
          <w:numId w:val="2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200" w:type="dxa"/>
            <w:vAlign w:val="bottom"/>
            <w:gridSpan w:val="8"/>
          </w:tcPr>
          <w:p>
            <w:pPr>
              <w:ind w:left="720"/>
              <w:spacing w:after="0"/>
              <w:rPr>
                <w:sz w:val="20"/>
                <w:szCs w:val="20"/>
                <w:color w:val="auto"/>
              </w:rPr>
            </w:pPr>
            <w:r>
              <w:rPr>
                <w:rFonts w:ascii="Times New Roman" w:cs="Times New Roman" w:eastAsia="Times New Roman" w:hAnsi="Times New Roman"/>
                <w:sz w:val="14"/>
                <w:szCs w:val="14"/>
                <w:color w:val="auto"/>
              </w:rPr>
              <w:t>December 31,</w:t>
            </w:r>
          </w:p>
        </w:tc>
        <w:tc>
          <w:tcPr>
            <w:tcW w:w="6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June 30,</w:t>
            </w:r>
          </w:p>
        </w:tc>
        <w:tc>
          <w:tcPr>
            <w:tcW w:w="0" w:type="dxa"/>
            <w:vAlign w:val="bottom"/>
          </w:tcPr>
          <w:p>
            <w:pPr>
              <w:spacing w:after="0"/>
              <w:rPr>
                <w:sz w:val="1"/>
                <w:szCs w:val="1"/>
                <w:color w:val="auto"/>
              </w:rPr>
            </w:pPr>
          </w:p>
        </w:tc>
      </w:tr>
      <w:tr>
        <w:trPr>
          <w:trHeight w:val="185"/>
        </w:trPr>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52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color w:val="auto"/>
              </w:rPr>
              <w:t>2016</w:t>
            </w: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Office equipment</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Leasehold improvements</w:t>
            </w:r>
          </w:p>
        </w:tc>
        <w:tc>
          <w:tcPr>
            <w:tcW w:w="1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Furniture and fixtures</w:t>
            </w:r>
          </w:p>
        </w:tc>
        <w:tc>
          <w:tcPr>
            <w:tcW w:w="720" w:type="dxa"/>
            <w:vAlign w:val="bottom"/>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1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96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color w:val="auto"/>
              </w:rPr>
              <w:t>(4,519)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1960" w:type="dxa"/>
            <w:vAlign w:val="bottom"/>
            <w:gridSpan w:val="6"/>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69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2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62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20" w:type="dxa"/>
            <w:vAlign w:val="bottom"/>
          </w:tcPr>
          <w:p>
            <w:pPr>
              <w:spacing w:after="0"/>
              <w:rPr>
                <w:sz w:val="24"/>
                <w:szCs w:val="24"/>
                <w:color w:val="auto"/>
              </w:rPr>
            </w:pPr>
          </w:p>
        </w:tc>
        <w:tc>
          <w:tcPr>
            <w:tcW w:w="9100" w:type="dxa"/>
            <w:vAlign w:val="bottom"/>
            <w:gridSpan w:val="10"/>
          </w:tcPr>
          <w:p>
            <w:pPr>
              <w:ind w:left="140"/>
              <w:spacing w:after="0"/>
              <w:rPr>
                <w:sz w:val="20"/>
                <w:szCs w:val="20"/>
                <w:color w:val="auto"/>
              </w:rPr>
            </w:pPr>
            <w:r>
              <w:rPr>
                <w:rFonts w:ascii="Times New Roman" w:cs="Times New Roman" w:eastAsia="Times New Roman" w:hAnsi="Times New Roman"/>
                <w:sz w:val="18"/>
                <w:szCs w:val="18"/>
                <w:color w:val="auto"/>
              </w:rPr>
              <w:t>Depreciation expense recognized for the six months ended June 30, 2016 and June 30, 2017 are summarized as follows:</w:t>
            </w: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840" w:type="dxa"/>
            <w:vAlign w:val="bottom"/>
            <w:gridSpan w:val="11"/>
          </w:tcPr>
          <w:p>
            <w:pPr>
              <w:ind w:left="400"/>
              <w:spacing w:after="0"/>
              <w:rPr>
                <w:sz w:val="20"/>
                <w:szCs w:val="20"/>
                <w:color w:val="auto"/>
              </w:rPr>
            </w:pPr>
            <w:r>
              <w:rPr>
                <w:rFonts w:ascii="Times New Roman" w:cs="Times New Roman" w:eastAsia="Times New Roman" w:hAnsi="Times New Roman"/>
                <w:sz w:val="14"/>
                <w:szCs w:val="14"/>
                <w:color w:val="auto"/>
              </w:rPr>
              <w:t>For the six months ended June 30,</w:t>
            </w:r>
          </w:p>
        </w:tc>
        <w:tc>
          <w:tcPr>
            <w:tcW w:w="0" w:type="dxa"/>
            <w:vAlign w:val="bottom"/>
          </w:tcPr>
          <w:p>
            <w:pPr>
              <w:spacing w:after="0"/>
              <w:rPr>
                <w:sz w:val="1"/>
                <w:szCs w:val="1"/>
                <w:color w:val="auto"/>
              </w:rPr>
            </w:pPr>
          </w:p>
        </w:tc>
      </w:tr>
      <w:tr>
        <w:trPr>
          <w:trHeight w:val="182"/>
        </w:trPr>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7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color w:val="auto"/>
              </w:rPr>
              <w:t>2016</w:t>
            </w: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color w:val="auto"/>
                <w:w w:val="99"/>
              </w:rPr>
              <w:t>2017</w:t>
            </w:r>
          </w:p>
        </w:tc>
        <w:tc>
          <w:tcPr>
            <w:tcW w:w="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20" w:type="dxa"/>
            <w:vAlign w:val="bottom"/>
          </w:tcPr>
          <w:p>
            <w:pPr>
              <w:spacing w:after="0"/>
              <w:rPr>
                <w:sz w:val="5"/>
                <w:szCs w:val="5"/>
                <w:color w:val="auto"/>
              </w:rPr>
            </w:pPr>
          </w:p>
        </w:tc>
        <w:tc>
          <w:tcPr>
            <w:tcW w:w="1060" w:type="dxa"/>
            <w:vAlign w:val="bottom"/>
            <w:vMerge w:val="restart"/>
          </w:tcPr>
          <w:p>
            <w:pPr>
              <w:spacing w:after="0"/>
              <w:rPr>
                <w:sz w:val="5"/>
                <w:szCs w:val="5"/>
                <w:color w:val="auto"/>
              </w:rPr>
            </w:pPr>
          </w:p>
        </w:tc>
        <w:tc>
          <w:tcPr>
            <w:tcW w:w="5840" w:type="dxa"/>
            <w:vAlign w:val="bottom"/>
          </w:tcPr>
          <w:p>
            <w:pPr>
              <w:spacing w:after="0"/>
              <w:rPr>
                <w:sz w:val="5"/>
                <w:szCs w:val="5"/>
                <w:color w:val="auto"/>
              </w:rPr>
            </w:pPr>
          </w:p>
        </w:tc>
        <w:tc>
          <w:tcPr>
            <w:tcW w:w="74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gridSpan w:val="2"/>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10</w:t>
            </w:r>
          </w:p>
        </w:tc>
        <w:tc>
          <w:tcPr>
            <w:tcW w:w="6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20" w:type="dxa"/>
            <w:vAlign w:val="bottom"/>
            <w:vMerge w:val="continue"/>
          </w:tcPr>
          <w:p>
            <w:pPr>
              <w:spacing w:after="0"/>
              <w:rPr>
                <w:sz w:val="24"/>
                <w:szCs w:val="24"/>
                <w:color w:val="auto"/>
              </w:rPr>
            </w:pPr>
          </w:p>
        </w:tc>
        <w:tc>
          <w:tcPr>
            <w:tcW w:w="690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0" w:type="dxa"/>
            <w:vAlign w:val="bottom"/>
          </w:tcPr>
          <w:p>
            <w:pPr>
              <w:spacing w:after="0"/>
              <w:rPr>
                <w:sz w:val="24"/>
                <w:szCs w:val="24"/>
                <w:color w:val="auto"/>
              </w:rPr>
            </w:pPr>
          </w:p>
        </w:tc>
        <w:tc>
          <w:tcPr>
            <w:tcW w:w="6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Intangible assets consist of the following:</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8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December 31,</w:t>
            </w:r>
          </w:p>
        </w:tc>
        <w:tc>
          <w:tcPr>
            <w:tcW w:w="6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color w:val="auto"/>
              </w:rPr>
              <w:t>June 30,</w:t>
            </w:r>
          </w:p>
        </w:tc>
        <w:tc>
          <w:tcPr>
            <w:tcW w:w="0" w:type="dxa"/>
            <w:vAlign w:val="bottom"/>
          </w:tcPr>
          <w:p>
            <w:pPr>
              <w:spacing w:after="0"/>
              <w:rPr>
                <w:sz w:val="1"/>
                <w:szCs w:val="1"/>
                <w:color w:val="auto"/>
              </w:rPr>
            </w:pPr>
          </w:p>
        </w:tc>
      </w:tr>
      <w:tr>
        <w:trPr>
          <w:trHeight w:val="185"/>
        </w:trPr>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15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2016</w:t>
            </w: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2017</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Computer software</w:t>
            </w:r>
          </w:p>
        </w:tc>
        <w:tc>
          <w:tcPr>
            <w:tcW w:w="1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21,576</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960" w:type="dxa"/>
            <w:vAlign w:val="bottom"/>
            <w:gridSpan w:val="6"/>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(6,773)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Exchange differences</w:t>
            </w:r>
          </w:p>
        </w:tc>
        <w:tc>
          <w:tcPr>
            <w:tcW w:w="740" w:type="dxa"/>
            <w:vAlign w:val="bottom"/>
            <w:gridSpan w:val="2"/>
          </w:tcPr>
          <w:p>
            <w:pPr>
              <w:spacing w:after="0"/>
              <w:rPr>
                <w:sz w:val="19"/>
                <w:szCs w:val="19"/>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5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14,804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Amortization expense recognized for the six months ended June 30, 2016 and June 30, 2017 are summarized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78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For the six months ended June 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84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color w:val="auto"/>
              </w:rPr>
              <w:t>2016</w:t>
            </w:r>
          </w:p>
        </w:tc>
        <w:tc>
          <w:tcPr>
            <w:tcW w:w="1880" w:type="dxa"/>
            <w:vAlign w:val="bottom"/>
            <w:tcBorders>
              <w:top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3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5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10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340" w:type="dxa"/>
            <w:vAlign w:val="bottom"/>
            <w:gridSpan w:val="2"/>
          </w:tcPr>
          <w:p>
            <w:pPr>
              <w:jc w:val="right"/>
              <w:ind w:right="2159"/>
              <w:spacing w:after="0"/>
              <w:rPr>
                <w:sz w:val="20"/>
                <w:szCs w:val="20"/>
                <w:color w:val="auto"/>
              </w:rPr>
            </w:pPr>
            <w:r>
              <w:rPr>
                <w:rFonts w:ascii="Times New Roman" w:cs="Times New Roman" w:eastAsia="Times New Roman" w:hAnsi="Times New Roman"/>
                <w:sz w:val="18"/>
                <w:szCs w:val="18"/>
                <w:color w:val="auto"/>
              </w:rPr>
              <w:t>F-95</w:t>
            </w: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5" w:right="1440" w:bottom="1440" w:gutter="0" w:footer="0" w:header="0"/>
        </w:sectPr>
      </w:pPr>
    </w:p>
    <w:bookmarkStart w:id="316" w:name="page317"/>
    <w:bookmarkEnd w:id="3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10</w:t>
        <w:tab/>
        <w:t>Intangible assets, net (Continued)</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estimated aggregate amortization expense for each of the next five years as of June 30, 2017 is: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96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Computer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9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software</w:t>
            </w: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79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jc w:val="right"/>
              <w:ind w:right="7530"/>
              <w:spacing w:after="0"/>
              <w:rPr>
                <w:sz w:val="20"/>
                <w:szCs w:val="20"/>
                <w:color w:val="auto"/>
              </w:rPr>
            </w:pPr>
            <w:r>
              <w:rPr>
                <w:rFonts w:ascii="Times New Roman" w:cs="Times New Roman" w:eastAsia="Times New Roman" w:hAnsi="Times New Roman"/>
                <w:sz w:val="18"/>
                <w:szCs w:val="18"/>
                <w:color w:val="auto"/>
                <w:w w:val="88"/>
              </w:rPr>
              <w:t>2017</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jc w:val="right"/>
              <w:ind w:right="7530"/>
              <w:spacing w:after="0"/>
              <w:rPr>
                <w:sz w:val="20"/>
                <w:szCs w:val="20"/>
                <w:color w:val="auto"/>
              </w:rPr>
            </w:pPr>
            <w:r>
              <w:rPr>
                <w:rFonts w:ascii="Times New Roman" w:cs="Times New Roman" w:eastAsia="Times New Roman" w:hAnsi="Times New Roman"/>
                <w:sz w:val="18"/>
                <w:szCs w:val="18"/>
                <w:color w:val="auto"/>
                <w:w w:val="88"/>
              </w:rPr>
              <w:t>2018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jc w:val="right"/>
              <w:ind w:right="7530"/>
              <w:spacing w:after="0"/>
              <w:rPr>
                <w:sz w:val="20"/>
                <w:szCs w:val="20"/>
                <w:color w:val="auto"/>
              </w:rPr>
            </w:pPr>
            <w:r>
              <w:rPr>
                <w:rFonts w:ascii="Times New Roman" w:cs="Times New Roman" w:eastAsia="Times New Roman" w:hAnsi="Times New Roman"/>
                <w:sz w:val="18"/>
                <w:szCs w:val="18"/>
                <w:color w:val="auto"/>
                <w:w w:val="88"/>
              </w:rPr>
              <w:t>2019</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jc w:val="right"/>
              <w:ind w:right="7530"/>
              <w:spacing w:after="0"/>
              <w:rPr>
                <w:sz w:val="20"/>
                <w:szCs w:val="20"/>
                <w:color w:val="auto"/>
              </w:rPr>
            </w:pPr>
            <w:r>
              <w:rPr>
                <w:rFonts w:ascii="Times New Roman" w:cs="Times New Roman" w:eastAsia="Times New Roman" w:hAnsi="Times New Roman"/>
                <w:sz w:val="18"/>
                <w:szCs w:val="18"/>
                <w:color w:val="auto"/>
                <w:w w:val="88"/>
              </w:rPr>
              <w:t>2020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jc w:val="right"/>
              <w:ind w:right="7530"/>
              <w:spacing w:after="0"/>
              <w:rPr>
                <w:sz w:val="20"/>
                <w:szCs w:val="20"/>
                <w:color w:val="auto"/>
              </w:rPr>
            </w:pPr>
            <w:r>
              <w:rPr>
                <w:rFonts w:ascii="Times New Roman" w:cs="Times New Roman" w:eastAsia="Times New Roman" w:hAnsi="Times New Roman"/>
                <w:sz w:val="18"/>
                <w:szCs w:val="18"/>
                <w:color w:val="auto"/>
                <w:w w:val="88"/>
              </w:rPr>
              <w:t>2021</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460" w:hanging="452"/>
        <w:spacing w:after="0"/>
        <w:tabs>
          <w:tab w:leader="none" w:pos="460" w:val="left"/>
        </w:tabs>
        <w:numPr>
          <w:ilvl w:val="0"/>
          <w:numId w:val="2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21" w:lineRule="exact"/>
        <w:rPr>
          <w:rFonts w:ascii="Times New Roman" w:cs="Times New Roman" w:eastAsia="Times New Roman" w:hAnsi="Times New Roman"/>
          <w:sz w:val="18"/>
          <w:szCs w:val="18"/>
          <w:b w:val="1"/>
          <w:bCs w:val="1"/>
          <w:color w:val="auto"/>
        </w:rPr>
      </w:pPr>
    </w:p>
    <w:p>
      <w:pPr>
        <w:ind w:left="4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2014, the Company entered into a SPA with Buzzinate and its shareholders and acquired 33.3% equity interest in Buzzinate as the first tranche, at a cash consideration of US$750. In the SPA, the Company has also agreed to purchase up to 57.1% equity interests in Buzzinate in stages from April 2015 to April 2016, and there was an agreement to purchase the remaining 42.9% equity interests in Buzzinate when the purchase of equity interests up to 57.1% was completed.</w:t>
      </w:r>
    </w:p>
    <w:p>
      <w:pPr>
        <w:spacing w:after="0" w:line="71" w:lineRule="exact"/>
        <w:rPr>
          <w:rFonts w:ascii="Times New Roman" w:cs="Times New Roman" w:eastAsia="Times New Roman" w:hAnsi="Times New Roman"/>
          <w:sz w:val="18"/>
          <w:szCs w:val="18"/>
          <w:b w:val="1"/>
          <w:bCs w:val="1"/>
          <w:color w:val="auto"/>
        </w:rPr>
      </w:pPr>
    </w:p>
    <w:p>
      <w:pPr>
        <w:ind w:left="460" w:right="1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SPA, the Company had an option to accelerate the completion dates of the remaining tranches by paying the cash consideration upon exercising the option. On February 13, 2015, the Company acquired in one go the equity interests in Buzzinate of the remaining five tranches at cash considerations of US$250 for each tranche purchased, and exercised the option to acquire the remaining equity interests in Buzzinate by issuing 142,151 shares of the Company which amounted to US$2,027. Buzzinate then became a wholly owned subsidiary of the Company.</w:t>
      </w:r>
    </w:p>
    <w:p>
      <w:pPr>
        <w:spacing w:after="0" w:line="71" w:lineRule="exact"/>
        <w:rPr>
          <w:rFonts w:ascii="Times New Roman" w:cs="Times New Roman" w:eastAsia="Times New Roman" w:hAnsi="Times New Roman"/>
          <w:sz w:val="18"/>
          <w:szCs w:val="18"/>
          <w:b w:val="1"/>
          <w:bCs w:val="1"/>
          <w:color w:val="auto"/>
        </w:rPr>
      </w:pPr>
    </w:p>
    <w:p>
      <w:pPr>
        <w:ind w:left="460"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2015, the Company acquired 100% equity interest of OptAim from several independent third parties. OptAim, through its VIE and its underlying subsidiary, is engaged in the provision of online and mobile marketing services in the PRC. The Company expects to increase its market shares in the PRC online marketing segment, particularly in relation to mobile platforms.</w:t>
      </w:r>
    </w:p>
    <w:p>
      <w:pPr>
        <w:spacing w:after="0" w:line="68" w:lineRule="exact"/>
        <w:rPr>
          <w:rFonts w:ascii="Times New Roman" w:cs="Times New Roman" w:eastAsia="Times New Roman" w:hAnsi="Times New Roman"/>
          <w:sz w:val="18"/>
          <w:szCs w:val="18"/>
          <w:b w:val="1"/>
          <w:bCs w:val="1"/>
          <w:color w:val="auto"/>
        </w:rPr>
      </w:pPr>
    </w:p>
    <w:p>
      <w:pPr>
        <w:ind w:left="460"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total purchase consideration for all the equity interest of OptAim amounted to US$67,620. This comprised cash consideration of US$15,976, 2,535,091 shares of the Company amounted to US$50,843 and fair value of replacement awards attributable to pre-acquisition services amounted to US$801.</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Buzzinate</w:t>
            </w:r>
          </w:p>
        </w:tc>
        <w:tc>
          <w:tcPr>
            <w:tcW w:w="42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OptAim</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Total</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2016 and June 30, 2017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14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45,538</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48,496</w:t>
            </w:r>
          </w:p>
        </w:tc>
      </w:tr>
      <w:tr>
        <w:trPr>
          <w:trHeight w:val="20"/>
        </w:trPr>
        <w:tc>
          <w:tcPr>
            <w:tcW w:w="69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right="180"/>
        <w:spacing w:after="0" w:line="313" w:lineRule="auto"/>
        <w:rPr>
          <w:sz w:val="20"/>
          <w:szCs w:val="20"/>
          <w:color w:val="auto"/>
        </w:rPr>
      </w:pPr>
      <w:r>
        <w:rPr>
          <w:rFonts w:ascii="Times New Roman" w:cs="Times New Roman" w:eastAsia="Times New Roman" w:hAnsi="Times New Roman"/>
          <w:sz w:val="17"/>
          <w:szCs w:val="17"/>
          <w:color w:val="auto"/>
        </w:rPr>
        <w:t>Goodwill is not deductible for tax purposes. The Group performs the annual impairment test on December 31 of each year. Based on the impairment tests performed and no other impairment indicators have been identified, no impairment of goodwill was recorded for all periods presented.</w:t>
      </w:r>
    </w:p>
    <w:p>
      <w:pPr>
        <w:spacing w:after="0" w:line="28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12</w:t>
        <w:tab/>
        <w:t>Customer deposits</w:t>
      </w:r>
    </w:p>
    <w:p>
      <w:pPr>
        <w:spacing w:after="0" w:line="2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4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December 31,</w:t>
            </w:r>
          </w:p>
        </w:tc>
        <w:tc>
          <w:tcPr>
            <w:tcW w:w="560" w:type="dxa"/>
            <w:vAlign w:val="bottom"/>
          </w:tcPr>
          <w:p>
            <w:pPr>
              <w:spacing w:after="0"/>
              <w:rPr>
                <w:sz w:val="13"/>
                <w:szCs w:val="13"/>
                <w:color w:val="auto"/>
              </w:rPr>
            </w:pP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June 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4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2016</w:t>
            </w:r>
          </w:p>
        </w:tc>
        <w:tc>
          <w:tcPr>
            <w:tcW w:w="112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 current</w:t>
            </w:r>
          </w:p>
        </w:tc>
        <w:tc>
          <w:tcPr>
            <w:tcW w:w="36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25,697</w:t>
            </w:r>
          </w:p>
        </w:tc>
        <w:tc>
          <w:tcPr>
            <w:tcW w:w="5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460" w:type="dxa"/>
            <w:vAlign w:val="bottom"/>
            <w:gridSpan w:val="2"/>
          </w:tcPr>
          <w:p>
            <w:pPr>
              <w:jc w:val="right"/>
              <w:ind w:right="2910"/>
              <w:spacing w:after="0"/>
              <w:rPr>
                <w:sz w:val="20"/>
                <w:szCs w:val="20"/>
                <w:color w:val="auto"/>
              </w:rPr>
            </w:pPr>
            <w:r>
              <w:rPr>
                <w:rFonts w:ascii="Times New Roman" w:cs="Times New Roman" w:eastAsia="Times New Roman" w:hAnsi="Times New Roman"/>
                <w:sz w:val="18"/>
                <w:szCs w:val="18"/>
                <w:color w:val="auto"/>
              </w:rPr>
              <w:t>F-96</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6" w:right="319" w:bottom="1440" w:gutter="0" w:footer="0" w:header="0"/>
        </w:sectPr>
      </w:pPr>
    </w:p>
    <w:bookmarkStart w:id="317" w:name="page318"/>
    <w:bookmarkEnd w:id="3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200" w:lineRule="exact"/>
        <w:rPr>
          <w:sz w:val="20"/>
          <w:szCs w:val="20"/>
          <w:color w:val="auto"/>
        </w:rPr>
      </w:pPr>
    </w:p>
    <w:p>
      <w:pPr>
        <w:spacing w:after="0" w:line="25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tab/>
        <w:t>Accrued liabilities and other current liabilities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December 31,</w:t>
            </w:r>
          </w:p>
        </w:tc>
        <w:tc>
          <w:tcPr>
            <w:tcW w:w="560" w:type="dxa"/>
            <w:vAlign w:val="bottom"/>
          </w:tcPr>
          <w:p>
            <w:pPr>
              <w:spacing w:after="0"/>
              <w:rPr>
                <w:sz w:val="13"/>
                <w:szCs w:val="13"/>
                <w:color w:val="auto"/>
              </w:rPr>
            </w:pP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June 30,</w:t>
            </w: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660" w:type="dxa"/>
            <w:vAlign w:val="bottom"/>
            <w:gridSpan w:val="3"/>
          </w:tcPr>
          <w:p>
            <w:pPr>
              <w:jc w:val="center"/>
              <w:ind w:left="793"/>
              <w:spacing w:after="0"/>
              <w:rPr>
                <w:sz w:val="20"/>
                <w:szCs w:val="20"/>
                <w:color w:val="auto"/>
              </w:rPr>
            </w:pPr>
            <w:r>
              <w:rPr>
                <w:rFonts w:ascii="Times New Roman" w:cs="Times New Roman" w:eastAsia="Times New Roman" w:hAnsi="Times New Roman"/>
                <w:sz w:val="14"/>
                <w:szCs w:val="14"/>
                <w:color w:val="auto"/>
              </w:rPr>
              <w:t>2016</w:t>
            </w:r>
          </w:p>
        </w:tc>
        <w:tc>
          <w:tcPr>
            <w:tcW w:w="20" w:type="dxa"/>
            <w:vAlign w:val="bottom"/>
          </w:tcPr>
          <w:p>
            <w:pPr>
              <w:spacing w:after="0"/>
              <w:rPr>
                <w:sz w:val="16"/>
                <w:szCs w:val="16"/>
                <w:color w:val="auto"/>
              </w:rPr>
            </w:pPr>
          </w:p>
        </w:tc>
        <w:tc>
          <w:tcPr>
            <w:tcW w:w="11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320" w:type="dxa"/>
            <w:vAlign w:val="bottom"/>
          </w:tcPr>
          <w:p>
            <w:pPr>
              <w:spacing w:after="0"/>
              <w:rPr>
                <w:sz w:val="9"/>
                <w:szCs w:val="9"/>
                <w:color w:val="auto"/>
              </w:rPr>
            </w:pPr>
          </w:p>
        </w:tc>
        <w:tc>
          <w:tcPr>
            <w:tcW w:w="1060" w:type="dxa"/>
            <w:vAlign w:val="bottom"/>
            <w:vMerge w:val="restart"/>
          </w:tcPr>
          <w:p>
            <w:pPr>
              <w:spacing w:after="0"/>
              <w:rPr>
                <w:sz w:val="9"/>
                <w:szCs w:val="9"/>
                <w:color w:val="auto"/>
              </w:rPr>
            </w:pPr>
          </w:p>
        </w:tc>
        <w:tc>
          <w:tcPr>
            <w:tcW w:w="5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Rebates payable to customers</w:t>
            </w:r>
          </w:p>
        </w:tc>
        <w:tc>
          <w:tcPr>
            <w:tcW w:w="1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VAT and other taxes payable</w:t>
            </w: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 received from customers</w:t>
            </w:r>
          </w:p>
        </w:tc>
        <w:tc>
          <w:tcPr>
            <w:tcW w:w="1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benefits</w:t>
            </w: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Accrued marketing and hosting expense</w:t>
            </w: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1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15,091</w:t>
            </w:r>
          </w:p>
        </w:tc>
        <w:tc>
          <w:tcPr>
            <w:tcW w:w="56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11,216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14</w:t>
            </w:r>
          </w:p>
        </w:tc>
        <w:tc>
          <w:tcPr>
            <w:tcW w:w="6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Bank borrowings</w:t>
            </w: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20" w:type="dxa"/>
            <w:vAlign w:val="bottom"/>
            <w:vMerge w:val="continue"/>
          </w:tcPr>
          <w:p>
            <w:pPr>
              <w:spacing w:after="0"/>
              <w:rPr>
                <w:sz w:val="24"/>
                <w:szCs w:val="24"/>
                <w:color w:val="auto"/>
              </w:rPr>
            </w:pPr>
          </w:p>
        </w:tc>
        <w:tc>
          <w:tcPr>
            <w:tcW w:w="688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680" w:type="dxa"/>
            <w:vAlign w:val="bottom"/>
            <w:gridSpan w:val="4"/>
          </w:tcPr>
          <w:p>
            <w:pPr>
              <w:jc w:val="center"/>
              <w:ind w:left="753"/>
              <w:spacing w:after="0"/>
              <w:rPr>
                <w:sz w:val="20"/>
                <w:szCs w:val="20"/>
                <w:color w:val="auto"/>
              </w:rPr>
            </w:pPr>
            <w:r>
              <w:rPr>
                <w:rFonts w:ascii="Times New Roman" w:cs="Times New Roman" w:eastAsia="Times New Roman" w:hAnsi="Times New Roman"/>
                <w:sz w:val="14"/>
                <w:szCs w:val="14"/>
                <w:color w:val="auto"/>
              </w:rPr>
              <w:t>December 31,</w:t>
            </w:r>
          </w:p>
        </w:tc>
        <w:tc>
          <w:tcPr>
            <w:tcW w:w="560" w:type="dxa"/>
            <w:vAlign w:val="bottom"/>
          </w:tcPr>
          <w:p>
            <w:pPr>
              <w:spacing w:after="0"/>
              <w:rPr>
                <w:sz w:val="24"/>
                <w:szCs w:val="24"/>
                <w:color w:val="auto"/>
              </w:rPr>
            </w:pP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June 30,</w:t>
            </w:r>
          </w:p>
        </w:tc>
        <w:tc>
          <w:tcPr>
            <w:tcW w:w="0" w:type="dxa"/>
            <w:vAlign w:val="bottom"/>
          </w:tcPr>
          <w:p>
            <w:pPr>
              <w:spacing w:after="0"/>
              <w:rPr>
                <w:sz w:val="1"/>
                <w:szCs w:val="1"/>
                <w:color w:val="auto"/>
              </w:rPr>
            </w:pPr>
          </w:p>
        </w:tc>
      </w:tr>
      <w:tr>
        <w:trPr>
          <w:trHeight w:val="185"/>
        </w:trPr>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660" w:type="dxa"/>
            <w:vAlign w:val="bottom"/>
            <w:gridSpan w:val="3"/>
          </w:tcPr>
          <w:p>
            <w:pPr>
              <w:jc w:val="center"/>
              <w:ind w:left="773"/>
              <w:spacing w:after="0"/>
              <w:rPr>
                <w:sz w:val="20"/>
                <w:szCs w:val="20"/>
                <w:color w:val="auto"/>
              </w:rPr>
            </w:pPr>
            <w:r>
              <w:rPr>
                <w:rFonts w:ascii="Times New Roman" w:cs="Times New Roman" w:eastAsia="Times New Roman" w:hAnsi="Times New Roman"/>
                <w:sz w:val="14"/>
                <w:szCs w:val="14"/>
                <w:color w:val="auto"/>
                <w:w w:val="99"/>
              </w:rPr>
              <w:t>2016</w:t>
            </w:r>
          </w:p>
        </w:tc>
        <w:tc>
          <w:tcPr>
            <w:tcW w:w="20" w:type="dxa"/>
            <w:vAlign w:val="bottom"/>
          </w:tcPr>
          <w:p>
            <w:pPr>
              <w:spacing w:after="0"/>
              <w:rPr>
                <w:sz w:val="16"/>
                <w:szCs w:val="16"/>
                <w:color w:val="auto"/>
              </w:rPr>
            </w:pPr>
          </w:p>
        </w:tc>
        <w:tc>
          <w:tcPr>
            <w:tcW w:w="11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1-year revolving loan denominated in RMB (Note (i), (vii))</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1-year revolving loan denominated in US$ (Note (ii), (vii))</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2-year demand loan agreement denominated in US$ (Note (iii), (vii))</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6-month revolving loan denominated in RMB (Note (iv))</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1-year revolving loan denominated in RMB (Note (v), (vii))</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3-month loan denominated in RMB (Note (vi), (vii))</w:t>
            </w:r>
          </w:p>
        </w:tc>
        <w:tc>
          <w:tcPr>
            <w:tcW w:w="860" w:type="dxa"/>
            <w:vAlign w:val="bottom"/>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12,982</w:t>
            </w:r>
          </w:p>
        </w:tc>
        <w:tc>
          <w:tcPr>
            <w:tcW w:w="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133" w:lineRule="exact"/>
        <w:rPr>
          <w:sz w:val="20"/>
          <w:szCs w:val="20"/>
          <w:color w:val="auto"/>
        </w:rPr>
      </w:pPr>
    </w:p>
    <w:p>
      <w:pPr>
        <w:jc w:val="both"/>
        <w:ind w:left="900" w:hanging="446"/>
        <w:spacing w:after="0" w:line="258" w:lineRule="auto"/>
        <w:tabs>
          <w:tab w:leader="none" w:pos="9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21, 2015, the Company, through its PRC subsidiaries, entered into a one-year revolving loan agreement with a bank amounting to RMB30 million (equivalent to US$4,330). The interest rate of this loan facility was the benchmark interest rate determined by the People’s Bank of China for loans over one year granted by financial institutions plus 1.65% per annum. The Company, through its PRC subsidiary, renewed the one-year revolving loan agreement with the bank on December 19, 2016. The interest rate remained as the benchmark interest rate determined by the People’s Bank of China for loans over one year granted by financial institutions plus 1.65% per annum.</w:t>
      </w:r>
    </w:p>
    <w:p>
      <w:pPr>
        <w:spacing w:after="0" w:line="8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21, 2015, the Company, through its Hong Kong subsidiaries, entered into a one-year loan agreement with a bank amounting to</w:t>
      </w:r>
    </w:p>
    <w:p>
      <w:pPr>
        <w:spacing w:after="0" w:line="27" w:lineRule="exact"/>
        <w:rPr>
          <w:rFonts w:ascii="Times New Roman" w:cs="Times New Roman" w:eastAsia="Times New Roman" w:hAnsi="Times New Roman"/>
          <w:sz w:val="18"/>
          <w:szCs w:val="18"/>
          <w:color w:val="auto"/>
        </w:rPr>
      </w:pPr>
    </w:p>
    <w:p>
      <w:pPr>
        <w:jc w:val="both"/>
        <w:ind w:left="9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US$3,000. Out of this loan facility, the Hong Kong subsidiary had utilized US$2,950 as of December 31, 2016 and June 30, 2017. The Company, through its Hong Kong subsidiary, renewed the one-year revolving loan agreement with the bank on December 19, 2016. The interest rate of this short-term loan facility was determined by three-month LIBOR plus 5.75% per annum.</w:t>
      </w:r>
    </w:p>
    <w:p>
      <w:pPr>
        <w:spacing w:after="0" w:line="9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20, 2016, the Company, through its Hong Kong subsidiaries, entered into a two-year loan agreement with a bank amounting to</w:t>
      </w:r>
    </w:p>
    <w:p>
      <w:pPr>
        <w:spacing w:after="0" w:line="27" w:lineRule="exact"/>
        <w:rPr>
          <w:rFonts w:ascii="Times New Roman" w:cs="Times New Roman" w:eastAsia="Times New Roman" w:hAnsi="Times New Roman"/>
          <w:sz w:val="18"/>
          <w:szCs w:val="18"/>
          <w:color w:val="auto"/>
        </w:rPr>
      </w:pPr>
    </w:p>
    <w:p>
      <w:pPr>
        <w:ind w:left="900"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US$2,000. Out of this loan facility, the Hong Kong subsidiaries had utilized US$1,083 and US$583 as of December 31, 2016 and June 30, 2017 respectively. The interest rate of this loan was the benchmark interest rate determined by three-month LIBOR plus 7.00%</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F-97</w:t>
      </w:r>
    </w:p>
    <w:p>
      <w:pPr>
        <w:sectPr>
          <w:pgSz w:w="11900" w:h="16838" w:orient="portrait"/>
          <w:cols w:equalWidth="0" w:num="1">
            <w:col w:w="11380"/>
          </w:cols>
          <w:pgMar w:left="240" w:top="455" w:right="279" w:bottom="1440" w:gutter="0" w:footer="0" w:header="0"/>
        </w:sectPr>
      </w:pPr>
    </w:p>
    <w:bookmarkStart w:id="318" w:name="page319"/>
    <w:bookmarkEnd w:id="3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14</w:t>
        <w:tab/>
        <w:t>Bank borrowings (Continued)</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Notes (Continued):</w:t>
      </w:r>
    </w:p>
    <w:p>
      <w:pPr>
        <w:spacing w:after="0" w:line="133"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18"/>
          <w:szCs w:val="18"/>
          <w:color w:val="auto"/>
        </w:rPr>
        <w:t>per annum. The bank facility agreement includes repayable on demand clauses such that the bank borrowing are classified as current liabilities as of December 31, 2016 and June 30, 2017.</w:t>
      </w:r>
    </w:p>
    <w:p>
      <w:pPr>
        <w:spacing w:after="0" w:line="67" w:lineRule="exact"/>
        <w:rPr>
          <w:sz w:val="20"/>
          <w:szCs w:val="20"/>
          <w:color w:val="auto"/>
        </w:rPr>
      </w:pPr>
    </w:p>
    <w:p>
      <w:pPr>
        <w:ind w:left="900" w:right="20" w:hanging="446"/>
        <w:spacing w:after="0" w:line="255" w:lineRule="auto"/>
        <w:tabs>
          <w:tab w:leader="none" w:pos="90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20, 2016, the Company, through its PRC subsidiary, entered into a six-month revolving loan agreement with a bank of limit up to RMB20 million. Out of this loan facility, the PRC subsidiary had utilized RMB10 million (equivalent to US$1,444) as of December 31, 2016. The interest rate of this loan facility was 120% of the benchmark interest rate determined by the People’s Bank of China for loans over six months granted by financial institutions per annum. The loan was finally settled on 13 January, 2017. Restricted cash amounting to US$1,568 was held in a restricted bank account as required by this loan agreement as of December 31, 2016. In January 2017, the Company renewed this bank facility which will mature in May 2018 with no changes in terms except for an increase in credit line to RMB30 million. Subsequently, the Company entered into an amended agreement in June 2017 for this bank facility and the interest rate was amended as 115% of the benchmark per annum interest rate determined by the People’s bank of China for loans over six months granted by financial institutions.</w:t>
      </w:r>
    </w:p>
    <w:p>
      <w:pPr>
        <w:spacing w:after="0" w:line="90" w:lineRule="exact"/>
        <w:rPr>
          <w:rFonts w:ascii="Times New Roman" w:cs="Times New Roman" w:eastAsia="Times New Roman" w:hAnsi="Times New Roman"/>
          <w:sz w:val="18"/>
          <w:szCs w:val="18"/>
          <w:color w:val="auto"/>
        </w:rPr>
      </w:pPr>
    </w:p>
    <w:p>
      <w:pPr>
        <w:ind w:left="900" w:hanging="446"/>
        <w:spacing w:after="0" w:line="258" w:lineRule="auto"/>
        <w:tabs>
          <w:tab w:leader="none" w:pos="90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28, 2016, the Company, through its PRC subsidiary, entered into a one-year revolving loan agreement with a bank amounting to a total of RMB12 million (equivalent to US$1,732) as of 31 December, 2016 and 30 June, 2017. The interest rate of this loan facility was the benchmark interest rate determined by the People’s Bank of China for loans over one year granted by financial institutions plus 0.435% per annum. Restricted cash amounting to US$2,000 was held in a restricted bank account as required by this loan agreement as of December 31, 2016 and June 30, 2017.</w:t>
      </w:r>
    </w:p>
    <w:p>
      <w:pPr>
        <w:spacing w:after="0" w:line="89" w:lineRule="exact"/>
        <w:rPr>
          <w:rFonts w:ascii="Times New Roman" w:cs="Times New Roman" w:eastAsia="Times New Roman" w:hAnsi="Times New Roman"/>
          <w:sz w:val="18"/>
          <w:szCs w:val="18"/>
          <w:color w:val="auto"/>
        </w:rPr>
      </w:pPr>
    </w:p>
    <w:p>
      <w:pPr>
        <w:ind w:left="900" w:right="160" w:hanging="446"/>
        <w:spacing w:after="0" w:line="272" w:lineRule="auto"/>
        <w:tabs>
          <w:tab w:leader="none" w:pos="900"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November 14, 2016, the Company, through its PRC subsidiary, entered into a three-month revolving loan agreement with a bank amounting to a total of RMB10 million (equivalent to US$1,443). The interest rate of this loan facility was the benchmark interest rate determined by the People’s Bank of China for loans over six months granted by financial institutions plus 0.435% per annum. The loan was finally settled on</w:t>
      </w:r>
    </w:p>
    <w:p>
      <w:pPr>
        <w:spacing w:after="0" w:line="1" w:lineRule="exact"/>
        <w:rPr>
          <w:rFonts w:ascii="Times New Roman" w:cs="Times New Roman" w:eastAsia="Times New Roman" w:hAnsi="Times New Roman"/>
          <w:sz w:val="17"/>
          <w:szCs w:val="17"/>
          <w:color w:val="auto"/>
        </w:rPr>
      </w:pPr>
    </w:p>
    <w:p>
      <w:pPr>
        <w:ind w:left="900" w:right="6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14 February, 2017. Restricted cash amounting to US$1,666 was held in a restricted bank account as required by this loan agreement as of December 31, 2016.</w:t>
      </w:r>
    </w:p>
    <w:p>
      <w:pPr>
        <w:spacing w:after="0" w:line="85" w:lineRule="exact"/>
        <w:rPr>
          <w:rFonts w:ascii="Times New Roman" w:cs="Times New Roman" w:eastAsia="Times New Roman" w:hAnsi="Times New Roman"/>
          <w:sz w:val="17"/>
          <w:szCs w:val="17"/>
          <w:color w:val="auto"/>
        </w:rPr>
      </w:pPr>
    </w:p>
    <w:p>
      <w:pPr>
        <w:ind w:left="900" w:right="40" w:hanging="446"/>
        <w:spacing w:after="0" w:line="266" w:lineRule="auto"/>
        <w:tabs>
          <w:tab w:leader="none" w:pos="90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2016 and June 30, 2017, certain financial covenants (minimum monthly adjusted quick ratio and minimum quarterly EBITDA as defined in the banking facilities agreements) as set out in these loan agreements have been breached. The relevant subsidiaries have obtained waiver letters for waiving the requirements to meet the financial covenants such that the bank cannot demand for immediate repayment.</w:t>
      </w:r>
    </w:p>
    <w:p>
      <w:pPr>
        <w:spacing w:after="0" w:line="68" w:lineRule="exact"/>
        <w:rPr>
          <w:sz w:val="20"/>
          <w:szCs w:val="20"/>
          <w:color w:val="auto"/>
        </w:rPr>
      </w:pPr>
    </w:p>
    <w:p>
      <w:pPr>
        <w:ind w:left="920" w:right="580"/>
        <w:spacing w:after="0" w:line="282" w:lineRule="auto"/>
        <w:rPr>
          <w:sz w:val="20"/>
          <w:szCs w:val="20"/>
          <w:color w:val="auto"/>
        </w:rPr>
      </w:pPr>
      <w:r>
        <w:rPr>
          <w:rFonts w:ascii="Times New Roman" w:cs="Times New Roman" w:eastAsia="Times New Roman" w:hAnsi="Times New Roman"/>
          <w:sz w:val="18"/>
          <w:szCs w:val="18"/>
          <w:color w:val="auto"/>
        </w:rPr>
        <w:t>The weighted average interest rate for bank loans outstanding as of December 31, 2016 and June 30, 2017 was 5.99% per annum for both periods.</w:t>
      </w:r>
    </w:p>
    <w:p>
      <w:pPr>
        <w:spacing w:after="0" w:line="67" w:lineRule="exact"/>
        <w:rPr>
          <w:sz w:val="20"/>
          <w:szCs w:val="20"/>
          <w:color w:val="auto"/>
        </w:rPr>
      </w:pPr>
    </w:p>
    <w:p>
      <w:pPr>
        <w:ind w:left="920" w:right="200" w:hanging="574"/>
        <w:spacing w:after="0" w:line="261" w:lineRule="auto"/>
        <w:tabs>
          <w:tab w:leader="none" w:pos="92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2017, the Company entered into a facility agreement for working capital loans with Eastwest Bank, which provides for a RMB30 million (US$4.3 million) 18-month revolving loan. The Company provide corporate guarantee and account receivables as pledge to secure the obligations under this revolving loan. The interest rate of this loan facility is fixed at 5.75% per annum. As of June 30, 2017, the Company had not drawn down under this revolving loan.</w:t>
      </w:r>
    </w:p>
    <w:p>
      <w:pPr>
        <w:spacing w:after="0" w:line="180" w:lineRule="exact"/>
        <w:rPr>
          <w:sz w:val="20"/>
          <w:szCs w:val="20"/>
          <w:color w:val="auto"/>
        </w:rPr>
      </w:pPr>
    </w:p>
    <w:p>
      <w:pPr>
        <w:ind w:left="920" w:right="40"/>
        <w:spacing w:after="0" w:line="282" w:lineRule="auto"/>
        <w:rPr>
          <w:sz w:val="20"/>
          <w:szCs w:val="20"/>
          <w:color w:val="auto"/>
        </w:rPr>
      </w:pPr>
      <w:r>
        <w:rPr>
          <w:rFonts w:ascii="Times New Roman" w:cs="Times New Roman" w:eastAsia="Times New Roman" w:hAnsi="Times New Roman"/>
          <w:sz w:val="18"/>
          <w:szCs w:val="18"/>
          <w:color w:val="auto"/>
        </w:rPr>
        <w:t>Other than those shown above, the Company did not have any significant capital and other commitments, long-term obligations, or guarantees as of December 31, 2016 and June 30, 2017.</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F-98</w:t>
      </w:r>
    </w:p>
    <w:p>
      <w:pPr>
        <w:sectPr>
          <w:pgSz w:w="11900" w:h="16838" w:orient="portrait"/>
          <w:cols w:equalWidth="0" w:num="1">
            <w:col w:w="11400"/>
          </w:cols>
          <w:pgMar w:left="240" w:top="455" w:right="259" w:bottom="1440" w:gutter="0" w:footer="0" w:header="0"/>
        </w:sectPr>
      </w:pPr>
    </w:p>
    <w:bookmarkStart w:id="319" w:name="page320"/>
    <w:bookmarkEnd w:id="3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200" w:lineRule="exact"/>
        <w:rPr>
          <w:sz w:val="20"/>
          <w:szCs w:val="20"/>
          <w:color w:val="auto"/>
        </w:rPr>
      </w:pPr>
    </w:p>
    <w:p>
      <w:pPr>
        <w:spacing w:after="0" w:line="252" w:lineRule="exact"/>
        <w:rPr>
          <w:sz w:val="20"/>
          <w:szCs w:val="20"/>
          <w:color w:val="auto"/>
        </w:rPr>
      </w:pPr>
    </w:p>
    <w:p>
      <w:pPr>
        <w:ind w:left="460" w:right="7800" w:hanging="452"/>
        <w:spacing w:after="0" w:line="378" w:lineRule="auto"/>
        <w:tabs>
          <w:tab w:leader="none" w:pos="449" w:val="left"/>
        </w:tabs>
        <w:numPr>
          <w:ilvl w:val="0"/>
          <w:numId w:val="2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w:t>
      </w:r>
      <w:r>
        <w:rPr>
          <w:rFonts w:ascii="Times New Roman" w:cs="Times New Roman" w:eastAsia="Times New Roman" w:hAnsi="Times New Roman"/>
          <w:sz w:val="18"/>
          <w:szCs w:val="18"/>
          <w:i w:val="1"/>
          <w:iCs w:val="1"/>
          <w:color w:val="auto"/>
        </w:rPr>
        <w:t>Series A preferred shares</w:t>
      </w:r>
    </w:p>
    <w:p>
      <w:pPr>
        <w:ind w:left="46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17, 2010, the Company entered into an agreement (“Series A Agreement”) to issue Series A preferred shares and preferred share warrants to a third-party investor (“Investor A”) for a total cash consideration of US$1,200. Accordingly, the Company issued 1,142,857 Series A preferred shares at US$1.05 per share; and warrants to purchase 342,857 Series A preferred shares at US$1.05 per share (“Series A Warrants”) at the option of Investor A. Pursuant to the Series A Agreement, the Company also granted an option, exercisable within one year from the date of agreement, to Investor A where the Company would issue 761,905 Series A preferred shares at US$1.05 per share (“Series A-1 preferred shares”) and warrants to purchase 228,571 Series A preferred shares at US$1.05 per share (“Series A-1 Warrants”) at the option of Investor A. On September 29, 2010, Investor A exercised the option and the Group received a total consideration of US$800. During the year ended December 31, 2013, both Series A Warrants and Series A-1 Warrants were fully exercised.</w:t>
      </w:r>
    </w:p>
    <w:p>
      <w:pPr>
        <w:spacing w:after="0" w:line="29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Series B preferred shares</w:t>
      </w:r>
    </w:p>
    <w:p>
      <w:pPr>
        <w:spacing w:after="0" w:line="119" w:lineRule="exact"/>
        <w:rPr>
          <w:rFonts w:ascii="Times New Roman" w:cs="Times New Roman" w:eastAsia="Times New Roman" w:hAnsi="Times New Roman"/>
          <w:sz w:val="18"/>
          <w:szCs w:val="18"/>
          <w:b w:val="1"/>
          <w:bCs w:val="1"/>
          <w:color w:val="auto"/>
        </w:rPr>
      </w:pPr>
    </w:p>
    <w:p>
      <w:pPr>
        <w:ind w:left="4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21, 2011, the Company entered into agreements (“Series B Agreements”) to issue Series B preferred shares and preferred share warrants to two other third-party investors (“Investors B”) for an aggregate cash consideration of US$7,000. Pursuant to the Series B Agreements, the Company issued 1,266,667 Series B preferred shares at US$5.53 per share; and warrants to purchase 542,858 Series B preferred shares at US$5.53 per share (“Series B Warrants”) at the option of Investors B. During the year ended December 31, 2013, the Series B Warrants were fully exercised.</w:t>
      </w:r>
    </w:p>
    <w:p>
      <w:pPr>
        <w:spacing w:after="0" w:line="71" w:lineRule="exact"/>
        <w:rPr>
          <w:rFonts w:ascii="Times New Roman" w:cs="Times New Roman" w:eastAsia="Times New Roman" w:hAnsi="Times New Roman"/>
          <w:sz w:val="18"/>
          <w:szCs w:val="18"/>
          <w:b w:val="1"/>
          <w:bCs w:val="1"/>
          <w:color w:val="auto"/>
        </w:rPr>
      </w:pPr>
    </w:p>
    <w:p>
      <w:pPr>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16, 2011, the Company entered into an agreement (“Series B-1 Agreement”) to issue additional Series B preferred shares to another third-party investor (“Investor B-1”) for a total consideration of US$4,285 (“Series B-1 preferred shares”). Pursuant to the Series B-1 Agreement, the Company issued 723,808 Series B-1 preferred shares at US$5.92 per share.</w:t>
      </w:r>
    </w:p>
    <w:p>
      <w:pPr>
        <w:spacing w:after="0" w:line="6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24, 2015, the Company repurchased from Investor B-1 723,808 Series B-1 preferred shares at a consideration of US$11,581.</w:t>
      </w:r>
    </w:p>
    <w:p>
      <w:pPr>
        <w:spacing w:after="0" w:line="117" w:lineRule="exact"/>
        <w:rPr>
          <w:rFonts w:ascii="Times New Roman" w:cs="Times New Roman" w:eastAsia="Times New Roman" w:hAnsi="Times New Roman"/>
          <w:sz w:val="18"/>
          <w:szCs w:val="18"/>
          <w:b w:val="1"/>
          <w:bCs w:val="1"/>
          <w:color w:val="auto"/>
        </w:rPr>
      </w:pPr>
    </w:p>
    <w:p>
      <w:pPr>
        <w:ind w:left="46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accounting purposes, the Company determined the per share fair value of Series B-1 preferred shares to be US$19.58 on September 24, 2015, the date of repurchase. The per share repurchase price of US$16.00 was mutually negotiated at the time of the repurchase transaction. There were no other arrangements with Investor B-1. Investor B-1 was willing to sell its Series B-1 preferred shares at the US$16.00 per share price as it would provide liquidity to Investor B-1. For the Series B-1 preferred shares repurchased, the Company recorded the excess of purchase price over the carrying value of US$2,591 to accumulated deficit as deemed contribution from Series B-1 preferred shareholders.</w:t>
      </w:r>
    </w:p>
    <w:p>
      <w:pPr>
        <w:spacing w:after="0" w:line="290"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Series C preferred shares</w:t>
      </w:r>
    </w:p>
    <w:p>
      <w:pPr>
        <w:spacing w:after="0" w:line="119" w:lineRule="exact"/>
        <w:rPr>
          <w:rFonts w:ascii="Times New Roman" w:cs="Times New Roman" w:eastAsia="Times New Roman" w:hAnsi="Times New Roman"/>
          <w:sz w:val="18"/>
          <w:szCs w:val="18"/>
          <w:b w:val="1"/>
          <w:bCs w:val="1"/>
          <w:color w:val="auto"/>
        </w:rPr>
      </w:pPr>
    </w:p>
    <w:p>
      <w:pPr>
        <w:jc w:val="both"/>
        <w:ind w:left="460" w:righ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16, 2013, the Company entered into an agreement (“Series C Agreement”) to issue Series C preferred shares to another third-party investor (“Investor C”) for a total cash consideration of US$13,000. Pursuant to the Series C Agreement, the Company issued 1,599,186 Series C preferred shares at US$8.13 per share.</w:t>
      </w:r>
    </w:p>
    <w:p>
      <w:pPr>
        <w:spacing w:after="0" w:line="28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Series D preferred shares</w:t>
      </w:r>
    </w:p>
    <w:p>
      <w:pPr>
        <w:spacing w:after="0" w:line="119" w:lineRule="exact"/>
        <w:rPr>
          <w:rFonts w:ascii="Times New Roman" w:cs="Times New Roman" w:eastAsia="Times New Roman" w:hAnsi="Times New Roman"/>
          <w:sz w:val="18"/>
          <w:szCs w:val="18"/>
          <w:b w:val="1"/>
          <w:bCs w:val="1"/>
          <w:color w:val="auto"/>
        </w:rPr>
      </w:pPr>
    </w:p>
    <w:p>
      <w:pPr>
        <w:ind w:left="460" w:right="4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30, 2014, the Company entered into an agreement (“Series D Agreement”) to issue Series D preferred shares to another third-party investor (“Investor D”) for a total cash consideration of US$48,000.</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F-99</w:t>
      </w:r>
    </w:p>
    <w:p>
      <w:pPr>
        <w:sectPr>
          <w:pgSz w:w="11900" w:h="16838" w:orient="portrait"/>
          <w:cols w:equalWidth="0" w:num="1">
            <w:col w:w="11400"/>
          </w:cols>
          <w:pgMar w:left="240" w:top="455" w:right="259" w:bottom="1440" w:gutter="0" w:footer="0" w:header="0"/>
        </w:sectPr>
      </w:pPr>
    </w:p>
    <w:bookmarkStart w:id="320" w:name="page321"/>
    <w:bookmarkEnd w:id="3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right="6820" w:hanging="452"/>
        <w:spacing w:after="0" w:line="263" w:lineRule="auto"/>
        <w:tabs>
          <w:tab w:leader="none" w:pos="449" w:val="left"/>
        </w:tabs>
        <w:numPr>
          <w:ilvl w:val="0"/>
          <w:numId w:val="2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Series D preferred shares (Continued)</w:t>
      </w: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Series D Agreement, the Company issued 2,493,018 Series D preferred shares at US$19.25 per share.</w:t>
      </w:r>
    </w:p>
    <w:p>
      <w:pPr>
        <w:spacing w:after="0" w:line="98" w:lineRule="exact"/>
        <w:rPr>
          <w:rFonts w:ascii="Times New Roman" w:cs="Times New Roman" w:eastAsia="Times New Roman" w:hAnsi="Times New Roman"/>
          <w:sz w:val="18"/>
          <w:szCs w:val="18"/>
          <w:b w:val="1"/>
          <w:bCs w:val="1"/>
          <w:color w:val="auto"/>
        </w:rPr>
      </w:pPr>
    </w:p>
    <w:p>
      <w:pPr>
        <w:ind w:left="46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was also obligated to issue additional Series D preferred shares to Investor D at no consideration, the total number of which is based on a formula stipulated in the agreement, if the gross billing of the Group as defined in the Series D Agreement for the six months ended June 30, 2016 and June 30, 2017 is less than US$85,000. Considering the gross billing of the Group as defined in the Series D Agreement for the six months ended</w:t>
      </w:r>
    </w:p>
    <w:p>
      <w:pPr>
        <w:spacing w:after="0" w:line="1" w:lineRule="exact"/>
        <w:rPr>
          <w:rFonts w:ascii="Times New Roman" w:cs="Times New Roman" w:eastAsia="Times New Roman" w:hAnsi="Times New Roman"/>
          <w:sz w:val="18"/>
          <w:szCs w:val="18"/>
          <w:b w:val="1"/>
          <w:bCs w:val="1"/>
          <w:color w:val="auto"/>
        </w:rPr>
      </w:pPr>
    </w:p>
    <w:p>
      <w:pPr>
        <w:ind w:left="460" w:right="8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June 30, 2016 and June 30, 2017 was more than US$85,000, no additional Series D preferred shares were issued. Furthermore, the Company determines that the fair value of this obligation is zero as of December 31, 2016 and June 30, 2017.</w:t>
      </w:r>
    </w:p>
    <w:p>
      <w:pPr>
        <w:spacing w:after="0" w:line="285"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Series E preferred shares</w:t>
      </w:r>
    </w:p>
    <w:p>
      <w:pPr>
        <w:spacing w:after="0" w:line="119" w:lineRule="exact"/>
        <w:rPr>
          <w:rFonts w:ascii="Times New Roman" w:cs="Times New Roman" w:eastAsia="Times New Roman" w:hAnsi="Times New Roman"/>
          <w:sz w:val="18"/>
          <w:szCs w:val="18"/>
          <w:b w:val="1"/>
          <w:bCs w:val="1"/>
          <w:color w:val="auto"/>
        </w:rPr>
      </w:pPr>
    </w:p>
    <w:p>
      <w:pPr>
        <w:ind w:left="460" w:right="5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28, 2016, the Company entered into an agreement (“Series E Agreement”) to issue Series E preferred shares to another third-party investor (“Investor E”) for a total cash consideration of US$20,000.</w:t>
      </w:r>
    </w:p>
    <w:p>
      <w:pPr>
        <w:spacing w:after="0" w:line="53" w:lineRule="exact"/>
        <w:rPr>
          <w:rFonts w:ascii="Times New Roman" w:cs="Times New Roman" w:eastAsia="Times New Roman" w:hAnsi="Times New Roman"/>
          <w:sz w:val="18"/>
          <w:szCs w:val="18"/>
          <w:b w:val="1"/>
          <w:bCs w:val="1"/>
          <w:color w:val="auto"/>
        </w:rPr>
      </w:pPr>
    </w:p>
    <w:p>
      <w:pPr>
        <w:ind w:left="460" w:right="2540"/>
        <w:spacing w:after="0" w:line="40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Series E Agreement, the Company issued 1,068,114 Series E preferred shares at US$18.72 per share. The key terms of the Series A, B, C, D and E preferred shares are as follows:</w:t>
      </w:r>
    </w:p>
    <w:p>
      <w:pPr>
        <w:spacing w:after="0" w:line="160"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Dividend rights</w:t>
      </w:r>
    </w:p>
    <w:p>
      <w:pPr>
        <w:spacing w:after="0" w:line="119" w:lineRule="exact"/>
        <w:rPr>
          <w:rFonts w:ascii="Times New Roman" w:cs="Times New Roman" w:eastAsia="Times New Roman" w:hAnsi="Times New Roman"/>
          <w:sz w:val="18"/>
          <w:szCs w:val="18"/>
          <w:b w:val="1"/>
          <w:bCs w:val="1"/>
          <w:color w:val="auto"/>
        </w:rPr>
      </w:pPr>
    </w:p>
    <w:p>
      <w:pPr>
        <w:ind w:left="46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approval and declaration by the Board of Directors, the holders of the preferred shares are entitled to receive dividends in the following order:</w:t>
      </w:r>
    </w:p>
    <w:p>
      <w:pPr>
        <w:spacing w:after="0" w:line="67" w:lineRule="exact"/>
        <w:rPr>
          <w:rFonts w:ascii="Times New Roman" w:cs="Times New Roman" w:eastAsia="Times New Roman" w:hAnsi="Times New Roman"/>
          <w:sz w:val="18"/>
          <w:szCs w:val="18"/>
          <w:b w:val="1"/>
          <w:bCs w:val="1"/>
          <w:color w:val="auto"/>
        </w:rPr>
      </w:pPr>
    </w:p>
    <w:p>
      <w:pPr>
        <w:ind w:left="1460" w:right="120" w:hanging="547"/>
        <w:spacing w:after="0" w:line="266" w:lineRule="auto"/>
        <w:tabs>
          <w:tab w:leader="none" w:pos="1460"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E preferred shareholders are entitled to receive dividends at an amount equal to 8% of the issue price prior to and in preference to any dividend on the Series D preferred Shares, Series B preferred shares, Series A preferred shares, Series C preferred shares and ordinary shares or any other class or series of shares</w:t>
      </w:r>
    </w:p>
    <w:p>
      <w:pPr>
        <w:spacing w:after="0" w:line="81" w:lineRule="exact"/>
        <w:rPr>
          <w:rFonts w:ascii="Times New Roman" w:cs="Times New Roman" w:eastAsia="Times New Roman" w:hAnsi="Times New Roman"/>
          <w:sz w:val="18"/>
          <w:szCs w:val="18"/>
          <w:color w:val="auto"/>
        </w:rPr>
      </w:pPr>
    </w:p>
    <w:p>
      <w:pPr>
        <w:ind w:left="1460" w:right="20" w:hanging="547"/>
        <w:spacing w:after="0" w:line="282" w:lineRule="auto"/>
        <w:tabs>
          <w:tab w:leader="none" w:pos="1460"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D preferred shareholders are entitled to receive dividends at an amount equal to 8% of the issue price prior to and in preference to any dividends on the Series B, Series A and Series C preferred shares and ordinary shares or any other class or series of shares;</w:t>
      </w:r>
    </w:p>
    <w:p>
      <w:pPr>
        <w:spacing w:after="0" w:line="67" w:lineRule="exact"/>
        <w:rPr>
          <w:rFonts w:ascii="Times New Roman" w:cs="Times New Roman" w:eastAsia="Times New Roman" w:hAnsi="Times New Roman"/>
          <w:sz w:val="18"/>
          <w:szCs w:val="18"/>
          <w:color w:val="auto"/>
        </w:rPr>
      </w:pPr>
    </w:p>
    <w:p>
      <w:pPr>
        <w:ind w:left="1460" w:right="40" w:hanging="547"/>
        <w:spacing w:after="0" w:line="282" w:lineRule="auto"/>
        <w:tabs>
          <w:tab w:leader="none" w:pos="1460"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B preferred shareholders are entitled to receive dividends at an amount equal to 8% of the issue price prior to and in preference to any dividends on the Series A and Series C preferred shares and ordinary shares or any other class or series of shares;</w:t>
      </w:r>
    </w:p>
    <w:p>
      <w:pPr>
        <w:spacing w:after="0" w:line="67" w:lineRule="exact"/>
        <w:rPr>
          <w:rFonts w:ascii="Times New Roman" w:cs="Times New Roman" w:eastAsia="Times New Roman" w:hAnsi="Times New Roman"/>
          <w:sz w:val="18"/>
          <w:szCs w:val="18"/>
          <w:color w:val="auto"/>
        </w:rPr>
      </w:pPr>
    </w:p>
    <w:p>
      <w:pPr>
        <w:ind w:left="1460" w:right="20" w:hanging="547"/>
        <w:spacing w:after="0" w:line="282" w:lineRule="auto"/>
        <w:tabs>
          <w:tab w:leader="none" w:pos="1460"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A preferred shareholders are entitled to receive dividends at an amount equal to 8% of the issue price prior to and in preference to any dividends on the Series C preferred shares and ordinary shares or any other class or series of shares;</w:t>
      </w:r>
    </w:p>
    <w:p>
      <w:pPr>
        <w:spacing w:after="0" w:line="67" w:lineRule="exact"/>
        <w:rPr>
          <w:rFonts w:ascii="Times New Roman" w:cs="Times New Roman" w:eastAsia="Times New Roman" w:hAnsi="Times New Roman"/>
          <w:sz w:val="18"/>
          <w:szCs w:val="18"/>
          <w:color w:val="auto"/>
        </w:rPr>
      </w:pPr>
    </w:p>
    <w:p>
      <w:pPr>
        <w:ind w:left="1460" w:hanging="547"/>
        <w:spacing w:after="0" w:line="282" w:lineRule="auto"/>
        <w:tabs>
          <w:tab w:leader="none" w:pos="1460"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remaining dividends shall be distributed on a pro rata basis to holders of all the preferred shares and ordinary shares on a fully diluted and as-if converted basis.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460" w:right="60"/>
        <w:spacing w:after="0" w:line="282" w:lineRule="auto"/>
        <w:rPr>
          <w:sz w:val="20"/>
          <w:szCs w:val="20"/>
          <w:color w:val="auto"/>
        </w:rPr>
      </w:pPr>
      <w:r>
        <w:rPr>
          <w:rFonts w:ascii="Times New Roman" w:cs="Times New Roman" w:eastAsia="Times New Roman" w:hAnsi="Times New Roman"/>
          <w:sz w:val="18"/>
          <w:szCs w:val="18"/>
          <w:color w:val="auto"/>
        </w:rPr>
        <w:t>The holders of the Series A, B, C, D and E preferred shares shall be entitled to such number of votes equal to the whole number of ordinary shares into which such Series A, B, C, D and E preferred shares are convertible.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F-100</w:t>
      </w:r>
    </w:p>
    <w:p>
      <w:pPr>
        <w:sectPr>
          <w:pgSz w:w="11900" w:h="16838" w:orient="portrait"/>
          <w:cols w:equalWidth="0" w:num="1">
            <w:col w:w="11400"/>
          </w:cols>
          <w:pgMar w:left="240" w:top="455" w:right="259" w:bottom="1440" w:gutter="0" w:footer="0" w:header="0"/>
        </w:sectPr>
      </w:pPr>
    </w:p>
    <w:bookmarkStart w:id="321" w:name="page322"/>
    <w:bookmarkEnd w:id="3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right="6840" w:hanging="452"/>
        <w:spacing w:after="0" w:line="385" w:lineRule="auto"/>
        <w:tabs>
          <w:tab w:leader="none" w:pos="449" w:val="left"/>
        </w:tabs>
        <w:numPr>
          <w:ilvl w:val="0"/>
          <w:numId w:val="2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Liquidation preference</w:t>
      </w:r>
    </w:p>
    <w:p>
      <w:pPr>
        <w:spacing w:after="0" w:line="1" w:lineRule="exact"/>
        <w:rPr>
          <w:rFonts w:ascii="Times New Roman" w:cs="Times New Roman" w:eastAsia="Times New Roman" w:hAnsi="Times New Roman"/>
          <w:sz w:val="18"/>
          <w:szCs w:val="18"/>
          <w:b w:val="1"/>
          <w:bCs w:val="1"/>
          <w:color w:val="auto"/>
        </w:rPr>
      </w:pPr>
    </w:p>
    <w:p>
      <w:pPr>
        <w:ind w:left="460" w:right="1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liquidating transaction as defined in the Company’s Memorandum and Articles of Association as 1) a winding up or other dissolution of the Company or any of its subsidiaries, 2) a merger or acquisition of the Company or any of its subsidiaries in which the shareholders of the Company do not directly or indirectly own a majority of the outstanding shares of the surviving corporation, 3) a sale of all or substantially all of the assets of the Company or assets of its subsidiaries, or 4) government policies promulgated or interpreted after the closing that prohibit investment or exit of the Company by foreign investors, provided, that, in the case of 2) and 3), only when such merger, acquisition or sale implies a valuation of the Company on a fully diluted basis of less than US$550,000, available assets and funds are distributed as following manner.</w:t>
      </w:r>
    </w:p>
    <w:p>
      <w:pPr>
        <w:spacing w:after="0" w:line="293"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Liquidation preference</w:t>
      </w:r>
    </w:p>
    <w:p>
      <w:pPr>
        <w:spacing w:after="0" w:line="119" w:lineRule="exact"/>
        <w:rPr>
          <w:rFonts w:ascii="Times New Roman" w:cs="Times New Roman" w:eastAsia="Times New Roman" w:hAnsi="Times New Roman"/>
          <w:sz w:val="18"/>
          <w:szCs w:val="18"/>
          <w:b w:val="1"/>
          <w:bCs w:val="1"/>
          <w:color w:val="auto"/>
        </w:rPr>
      </w:pPr>
    </w:p>
    <w:p>
      <w:pPr>
        <w:ind w:left="460" w:right="1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liquidating transaction as defined in the Company’s Memorandum and Articles of Association as 1) a winding up or other dissolution of the Company or any of its subsidiaries, 2) a merger or acquisition of the Company or any of its subsidiaries in which the shareholders of the Company do not directly or indirectly own a majority of the outstanding shares of the surviving corporation, 3) a sale of all or substantially all of the assets of the Company or assets of its subsidiaries, or 4) government policies promulgated or interpreted after the closing that prohibit investment or exit of the Company by foreign investors, provided, that, in the case of 2) and 3), only when such merger, acquisition or sale implies a valuation of the Company on a fully diluted basis of less than US$550,000, available assets and funds are distributed as following manner.</w:t>
      </w:r>
    </w:p>
    <w:p>
      <w:pPr>
        <w:spacing w:after="0" w:line="79" w:lineRule="exact"/>
        <w:rPr>
          <w:rFonts w:ascii="Times New Roman" w:cs="Times New Roman" w:eastAsia="Times New Roman" w:hAnsi="Times New Roman"/>
          <w:sz w:val="18"/>
          <w:szCs w:val="18"/>
          <w:b w:val="1"/>
          <w:bCs w:val="1"/>
          <w:color w:val="auto"/>
        </w:rPr>
      </w:pPr>
    </w:p>
    <w:p>
      <w:pPr>
        <w:ind w:left="46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Series E, Series D, Series B and Series A preferred shares are entitled to receive an amount equal to i) 110% prior to or on December 28, 2017 or ii) 120% from January 1, 2018, 150%, 150% and 200%, respectively, of the issue price as defined in the Company’s Memorandum and Articles of Association (adjusted for share dividends, splits, combinations, recapitalizations or similar events, and plus all accrued or declared but unpaid dividends thereon minus all paid cash or non-cash dividends and distributions paid thereon since issue date). If the assets of the Company shall be insufficient to make the payment of the amount in full, then the assets of the Company shall be distributed ratably to the holders of preferred shares in proportion to the amount each holder would otherwise be entitled to receive in order of 1) Series E, 2) Series D, 3) Series B and then 4) Series A.</w:t>
      </w:r>
    </w:p>
    <w:p>
      <w:pPr>
        <w:spacing w:after="0" w:line="79" w:lineRule="exact"/>
        <w:rPr>
          <w:rFonts w:ascii="Times New Roman" w:cs="Times New Roman" w:eastAsia="Times New Roman" w:hAnsi="Times New Roman"/>
          <w:sz w:val="18"/>
          <w:szCs w:val="18"/>
          <w:b w:val="1"/>
          <w:bCs w:val="1"/>
          <w:color w:val="auto"/>
        </w:rPr>
      </w:pPr>
    </w:p>
    <w:p>
      <w:pPr>
        <w:ind w:left="4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liquidating transaction is a qualified merger or acquisition of the Company in which the shareholders of the Company do not directly or indirectly own a majority of the outstanding shares of the surviving corporation or a sale of all or substantially all of the assets of the Company, in each case, which implies i) an equity valuation of the Group of US$300,000 or higher, the distribution to the holders of Series B and Series A preferred shares shall be reduced to 0% of issue price or ii) an equity valuation of the Group of US$250,000 or higher, but lower than US$300,000, the distribution to the holders of Series B and Series A preferred shares shall be reduced to 100% of issue price as defined in the Company’s Memorandum and Articles of Association.</w:t>
      </w:r>
    </w:p>
    <w:p>
      <w:pPr>
        <w:spacing w:after="0" w:line="79" w:lineRule="exact"/>
        <w:rPr>
          <w:rFonts w:ascii="Times New Roman" w:cs="Times New Roman" w:eastAsia="Times New Roman" w:hAnsi="Times New Roman"/>
          <w:sz w:val="18"/>
          <w:szCs w:val="18"/>
          <w:b w:val="1"/>
          <w:bCs w:val="1"/>
          <w:color w:val="auto"/>
        </w:rPr>
      </w:pPr>
    </w:p>
    <w:p>
      <w:pPr>
        <w:ind w:left="460" w:right="2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the full amount has been paid to holders of Series E, Series D, Series B and Series A, any remaining funds or assets of the Company legally available for distribution shall be distributed pro rata among the holders of preferred shares on an as-converted basis together with the holders of the ordinary shares.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F-101</w:t>
      </w:r>
    </w:p>
    <w:p>
      <w:pPr>
        <w:sectPr>
          <w:pgSz w:w="11900" w:h="16838" w:orient="portrait"/>
          <w:cols w:equalWidth="0" w:num="1">
            <w:col w:w="11420"/>
          </w:cols>
          <w:pgMar w:left="240" w:top="456" w:right="239" w:bottom="1440" w:gutter="0" w:footer="0" w:header="0"/>
        </w:sectPr>
      </w:pPr>
    </w:p>
    <w:bookmarkStart w:id="322" w:name="page323"/>
    <w:bookmarkEnd w:id="3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right="6760" w:hanging="452"/>
        <w:spacing w:after="0" w:line="385" w:lineRule="auto"/>
        <w:tabs>
          <w:tab w:leader="none" w:pos="449" w:val="left"/>
        </w:tabs>
        <w:numPr>
          <w:ilvl w:val="0"/>
          <w:numId w:val="2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Conversion rights</w:t>
      </w:r>
    </w:p>
    <w:p>
      <w:pPr>
        <w:spacing w:after="0" w:line="1" w:lineRule="exact"/>
        <w:rPr>
          <w:rFonts w:ascii="Times New Roman" w:cs="Times New Roman" w:eastAsia="Times New Roman" w:hAnsi="Times New Roman"/>
          <w:sz w:val="18"/>
          <w:szCs w:val="18"/>
          <w:b w:val="1"/>
          <w:bCs w:val="1"/>
          <w:color w:val="auto"/>
        </w:rPr>
      </w:pPr>
    </w:p>
    <w:p>
      <w:pPr>
        <w:ind w:left="460" w:right="1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share of the Series A, B, C, D and E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75" w:lineRule="exact"/>
        <w:rPr>
          <w:rFonts w:ascii="Times New Roman" w:cs="Times New Roman" w:eastAsia="Times New Roman" w:hAnsi="Times New Roman"/>
          <w:sz w:val="18"/>
          <w:szCs w:val="18"/>
          <w:b w:val="1"/>
          <w:bCs w:val="1"/>
          <w:color w:val="auto"/>
        </w:rPr>
      </w:pPr>
    </w:p>
    <w:p>
      <w:pPr>
        <w:ind w:left="4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each share of the Series A, B, C, D and E preferred shares would automatically be converted into ordinary shares of the Company (i) upon the closing of an initial public offering of the Company’s shares or (ii) upon the election of holders of at least a majority of the then issued and outstanding preferred shares, voting together as a single class on an as-if-converted basis.</w:t>
      </w:r>
    </w:p>
    <w:p>
      <w:pPr>
        <w:spacing w:after="0" w:line="28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Anti-dilution provision</w:t>
      </w:r>
    </w:p>
    <w:p>
      <w:pPr>
        <w:spacing w:after="0" w:line="119" w:lineRule="exact"/>
        <w:rPr>
          <w:rFonts w:ascii="Times New Roman" w:cs="Times New Roman" w:eastAsia="Times New Roman" w:hAnsi="Times New Roman"/>
          <w:sz w:val="18"/>
          <w:szCs w:val="18"/>
          <w:b w:val="1"/>
          <w:bCs w:val="1"/>
          <w:color w:val="auto"/>
        </w:rPr>
      </w:pPr>
    </w:p>
    <w:p>
      <w:pPr>
        <w:ind w:left="460" w:right="6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Pursuant to the provisions of Series B Agreement, there is an anti-dilution provision which prevents the original ownership interest of ordinary shares, Series B preferred shares and Series B preferred share warrants (as if converted into Series B preferred shares) owned by Investors B to be diluted.</w:t>
      </w:r>
    </w:p>
    <w:p>
      <w:pPr>
        <w:spacing w:after="0" w:line="30" w:lineRule="exact"/>
        <w:rPr>
          <w:rFonts w:ascii="Times New Roman" w:cs="Times New Roman" w:eastAsia="Times New Roman" w:hAnsi="Times New Roman"/>
          <w:sz w:val="18"/>
          <w:szCs w:val="18"/>
          <w:b w:val="1"/>
          <w:bCs w:val="1"/>
          <w:color w:val="auto"/>
        </w:rPr>
      </w:pPr>
    </w:p>
    <w:p>
      <w:pPr>
        <w:ind w:lef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May 2011, the Company issued 457,611 ordinary shares of the Company to Mr. Cong and Mr. Liu in exchange for Mr. Cong and Mr. Liu would procure the grant of an exclusive reseller agreement from Baidu Online Network Technology (Beijing) Co. Ltd. (“Baidu”) for Hong Kong, Macau, Taiwan and Singapore for a period up to December 31, 2012. In accordance with the Series B Agreement, the issuance of the ordinary shares was considered an event which triggered the anti-dilution provision. As a result, the Company was required to issue additional 100,452 ordinary shares and 55,807 Series B preferred shares and to amend the conversion price of Series B preferred share warrants to maintain the original ownership interests of these ordinary shares, preferred shares and preferred shares warrants owned by Investors B. There were no beneficial conversion features for the issuance of additional Series B preferred shares and the value of the additional ordinary shares and Series B preferred shares issued amounted to US$421 and US$320, respectively, was charged to additional paid-in capital as a deemed dividend.</w:t>
      </w:r>
    </w:p>
    <w:p>
      <w:pPr>
        <w:spacing w:after="0" w:line="77" w:lineRule="exact"/>
        <w:rPr>
          <w:rFonts w:ascii="Times New Roman" w:cs="Times New Roman" w:eastAsia="Times New Roman" w:hAnsi="Times New Roman"/>
          <w:sz w:val="18"/>
          <w:szCs w:val="18"/>
          <w:b w:val="1"/>
          <w:bCs w:val="1"/>
          <w:color w:val="auto"/>
        </w:rPr>
      </w:pPr>
    </w:p>
    <w:p>
      <w:pPr>
        <w:ind w:left="4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Although the anti-dilution provision was triggered in May 2011, the Company only issued the additional ordinary shares and Series B preferred shares in May 2013. Accordingly, the Company recorded such obligation to issue additional ordinary shares and Series B preferred shares as liabilities until the corresponding ordinary shares and preferred shares were issued in May 2013.</w:t>
      </w:r>
    </w:p>
    <w:p>
      <w:pPr>
        <w:spacing w:after="0" w:line="28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Redemption right</w:t>
      </w:r>
    </w:p>
    <w:p>
      <w:pPr>
        <w:spacing w:after="0" w:line="119" w:lineRule="exact"/>
        <w:rPr>
          <w:rFonts w:ascii="Times New Roman" w:cs="Times New Roman" w:eastAsia="Times New Roman" w:hAnsi="Times New Roman"/>
          <w:sz w:val="18"/>
          <w:szCs w:val="18"/>
          <w:b w:val="1"/>
          <w:bCs w:val="1"/>
          <w:color w:val="auto"/>
        </w:rPr>
      </w:pPr>
    </w:p>
    <w:p>
      <w:pPr>
        <w:ind w:left="460" w:right="2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Series A and B preferred shares are redeemable at any time after the earlier of: (i) the 4th anniversary of the closing of sale and purchase of the Series A Agreement and Series B Agreement, respectively; or (ii) the occurrence of a material breach as defined in the subscription agreements.</w:t>
      </w:r>
    </w:p>
    <w:p>
      <w:pPr>
        <w:spacing w:after="0" w:line="53" w:lineRule="exact"/>
        <w:rPr>
          <w:rFonts w:ascii="Times New Roman" w:cs="Times New Roman" w:eastAsia="Times New Roman" w:hAnsi="Times New Roman"/>
          <w:sz w:val="18"/>
          <w:szCs w:val="18"/>
          <w:b w:val="1"/>
          <w:bCs w:val="1"/>
          <w:color w:val="auto"/>
        </w:rPr>
      </w:pPr>
    </w:p>
    <w:p>
      <w:pPr>
        <w:jc w:val="both"/>
        <w:ind w:left="460"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Series C preferred shares can redeem the preferred shares at any time after the earlier of: (i)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anniversary of the closing of sale and purchase of the Series C Agreement; (ii) the occurrence of any liquidating transaction as defined in the subscription agreements; (iii) Mr. Hsieh, Wing Hong Sammy,</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F-102</w:t>
      </w:r>
    </w:p>
    <w:p>
      <w:pPr>
        <w:sectPr>
          <w:pgSz w:w="11900" w:h="16838" w:orient="portrait"/>
          <w:cols w:equalWidth="0" w:num="1">
            <w:col w:w="11340"/>
          </w:cols>
          <w:pgMar w:left="240" w:top="455" w:right="319" w:bottom="1440" w:gutter="0" w:footer="0" w:header="0"/>
        </w:sectPr>
      </w:pPr>
    </w:p>
    <w:bookmarkStart w:id="323" w:name="page324"/>
    <w:bookmarkEnd w:id="3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right="6820" w:hanging="452"/>
        <w:spacing w:after="0" w:line="263" w:lineRule="auto"/>
        <w:tabs>
          <w:tab w:leader="none" w:pos="449" w:val="left"/>
        </w:tabs>
        <w:numPr>
          <w:ilvl w:val="0"/>
          <w:numId w:val="2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Redemption right (Continued)</w:t>
      </w:r>
    </w:p>
    <w:p>
      <w:pPr>
        <w:ind w:left="460" w:right="3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ceasing to exert day-to-day management and operational control over the Group; or (iv) any holder of the Series B preferred shares or the Series A preferred shares or the Series D preferred shares or the Series E preferred shares electing for redemption.</w:t>
      </w:r>
    </w:p>
    <w:p>
      <w:pPr>
        <w:spacing w:after="0" w:line="71" w:lineRule="exact"/>
        <w:rPr>
          <w:rFonts w:ascii="Times New Roman" w:cs="Times New Roman" w:eastAsia="Times New Roman" w:hAnsi="Times New Roman"/>
          <w:sz w:val="18"/>
          <w:szCs w:val="18"/>
          <w:b w:val="1"/>
          <w:bCs w:val="1"/>
          <w:color w:val="auto"/>
        </w:rPr>
      </w:pPr>
    </w:p>
    <w:p>
      <w:pPr>
        <w:ind w:left="460" w:right="2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Series D preferred shares can redeem the preferred shares at any time after the earlier of: (i)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anniversary of the closing of sale and purchase of the Series D preferred shares; (ii) the occurrence of any liquidating transaction as defined in the subscription agreements;</w:t>
      </w:r>
    </w:p>
    <w:p>
      <w:pPr>
        <w:ind w:left="460" w:right="2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(iii) Mr. Hsieh, Wing Hong Sammy, ceasing to exert day-to-day management and operational control over the Group; (iv) the occurrence of material breach of any warranty and covenants specified in the Series D Agreement; or (v) any holder of the Series A, Series B, or Series C preferred shares electing for redemption.</w:t>
      </w:r>
    </w:p>
    <w:p>
      <w:pPr>
        <w:spacing w:after="0" w:line="78"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The holders of Series E preferred shares can redeem the preferred shares at any time after the earlier of: (i) the occurrence of any liquidating transaction as defined in the subscription agreements; (i) the failure of the Group to achieve the following targets: (1) the audited consolidated revenues from the principal business (excluding any non-operating and non-recurring revenue) of the Group as of and for the twelve months ending on December 31, 2017 being no less than US$200,000; and (2) the audited consolidated revenues from the principal business (excluding any non-operating and non-recurring revenue) of the Group as of and for the twelve months ending on December 31, 2018 being no less than US$300,000; (iii) the termination of the employment with the relevant Group Company by Mr. Hsieh, Wing Hong Sammy, Tang Jian or Lee, Yanshu before the consummation of a Qualified IPO as defined in the Company’s Memorandum and Articles of Association (i.e. the first firm commitment underwritten registered public offering by the Company of its ordinary shares for its own account that results in such securities being listed or registered on NASDAQ, New York Stock Exchange, Hong Kong Stock Exchange, the Shenzhen Stock Exchange, Shanghai Stock Exchange or such other international recognized stock exchange approved in writing by certain of its preferred shareholders with an implied market capitalization of the Company immediately prior to such offering of not less than US$600 million; and which results in aggregate net proceeds to the Company of not less than US$150 million); (iv) the failure of the Company to consummate a Qualified IPO prior to or on June 30, 2018 (iv) the occurrence of material breach of any warranty and covenants specified in the Series E Agreement; or (v) any holder of the Series A, Series B, Series C or Series D preferred shares electing for redemption.</w:t>
      </w:r>
    </w:p>
    <w:p>
      <w:pPr>
        <w:spacing w:after="0" w:line="297" w:lineRule="exact"/>
        <w:rPr>
          <w:sz w:val="20"/>
          <w:szCs w:val="20"/>
          <w:color w:val="auto"/>
        </w:rPr>
      </w:pPr>
    </w:p>
    <w:p>
      <w:pPr>
        <w:ind w:left="460"/>
        <w:spacing w:after="0" w:line="252" w:lineRule="auto"/>
        <w:rPr>
          <w:sz w:val="20"/>
          <w:szCs w:val="20"/>
          <w:color w:val="auto"/>
        </w:rPr>
      </w:pPr>
      <w:r>
        <w:rPr>
          <w:rFonts w:ascii="Times New Roman" w:cs="Times New Roman" w:eastAsia="Times New Roman" w:hAnsi="Times New Roman"/>
          <w:sz w:val="18"/>
          <w:szCs w:val="18"/>
          <w:color w:val="auto"/>
        </w:rPr>
        <w:t>The redemption price for Series A and B preferred shares is equal to the greater of (1) 200% or 150%, respectively, of the original issue price (plus all declared but unpaid dividends) or (2) the fair market value of the preferred shares subject to redemption as determined by an independent appraiser. With respect to the redemption price for Series C preferred shares, it is equal to 200% of the original issue price (proportionally adjusted for share splits and stack dividends). For the redemption price for Series D preferred shares, it shall be equal to the greater of (1) a price reflecting an implied valuation (on a fully-diluted basis) of the Company at US$500,000, (2) the highest redemption price that would have been received by any other shareholders of the Company if their shares have become redeemable (proportionally adjusted for share splits and stack dividends), or (3) a price reflecting the implied valuation (on a fully-diluted basis) of the Company used in any liquidating transaction as defined in the Company’s Memorandum and Articles of Association. For the redemption price for Series E preferred shares is equal to the greater of (1) 100% of the Series E issue price, plus 9.5% annual compound interest thereon calculated from the Series E original issue date to the date of receipt of the Series E redemption price, plus all declared but unpaid dividends thereon to the date of redemption, proportionally adjusted for stock splits, stock dividends, and the like, or (2) the highest redemption price that would have been received by any other shareholder of the Company if their</w:t>
      </w:r>
    </w:p>
    <w:p>
      <w:pPr>
        <w:spacing w:after="0" w:line="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shares have become redeemable, proportionally adjusted for stock splits, stock dividends, or (3) a price</w:t>
      </w:r>
    </w:p>
    <w:p>
      <w:pPr>
        <w:spacing w:after="0" w:line="1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F-103</w:t>
      </w:r>
    </w:p>
    <w:p>
      <w:pPr>
        <w:sectPr>
          <w:pgSz w:w="11900" w:h="16838" w:orient="portrait"/>
          <w:cols w:equalWidth="0" w:num="1">
            <w:col w:w="11400"/>
          </w:cols>
          <w:pgMar w:left="240" w:top="455" w:right="259" w:bottom="1440" w:gutter="0" w:footer="0" w:header="0"/>
        </w:sectPr>
      </w:pPr>
    </w:p>
    <w:bookmarkStart w:id="324" w:name="page325"/>
    <w:bookmarkEnd w:id="3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shares (Continued)</w:t>
      </w:r>
    </w:p>
    <w:p>
      <w:pPr>
        <w:spacing w:after="0" w:line="13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Redemption right (Continued)</w:t>
      </w:r>
    </w:p>
    <w:p>
      <w:pPr>
        <w:spacing w:after="0" w:line="29" w:lineRule="exact"/>
        <w:rPr>
          <w:rFonts w:ascii="Times New Roman" w:cs="Times New Roman" w:eastAsia="Times New Roman" w:hAnsi="Times New Roman"/>
          <w:sz w:val="18"/>
          <w:szCs w:val="18"/>
          <w:b w:val="1"/>
          <w:bCs w:val="1"/>
          <w:color w:val="auto"/>
        </w:rPr>
      </w:pPr>
    </w:p>
    <w:p>
      <w:pPr>
        <w:ind w:left="460" w:right="9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reflecting the implied valuation (on a fully-diluted basis) of the Company used in any Liquidating Transaction as defined in the Company’s Memorandum and Articles of Association.</w:t>
      </w:r>
    </w:p>
    <w:p>
      <w:pPr>
        <w:spacing w:after="0" w:line="71" w:lineRule="exact"/>
        <w:rPr>
          <w:rFonts w:ascii="Times New Roman" w:cs="Times New Roman" w:eastAsia="Times New Roman" w:hAnsi="Times New Roman"/>
          <w:sz w:val="18"/>
          <w:szCs w:val="18"/>
          <w:b w:val="1"/>
          <w:bCs w:val="1"/>
          <w:color w:val="auto"/>
        </w:rPr>
      </w:pPr>
    </w:p>
    <w:p>
      <w:pPr>
        <w:ind w:left="4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completion of Series D Agreement, the redemption date of Series A, A-1, B, B-1 and C preferred share was changed to December 30, 2016. The redemption date of Series A, A-1, B, C and D preferred share was further changed to December 28, 2018 upon the completion Series E Agreement. Such change was considered as a modification and no gain or loss was recorded. However, considered the modification was occurred in connection with the issuance of Series D preferred shares and Series E preferred shares, there was a transfer of value from the existing preferred shareholders to new preferred shareholders and ordinary shareholders. With respect to the modification relating to the issuance of Series D preferred share, the transfer of value was considered insignificant. For the modification relating to the issuance of Series E preferred share, the transfer of value was recorded from additional paid in capital to retained earnings. Furthermore, due to the change of redemption date of Series C preferred share to December 28, 2018, the corresponding derivatives liabilities relating to the redemption feature were reclassified from current liabilities to non-current liabilities as of December 31, 2016 and June 30, 2017.</w:t>
      </w:r>
    </w:p>
    <w:p>
      <w:pPr>
        <w:spacing w:after="0" w:line="81" w:lineRule="exact"/>
        <w:rPr>
          <w:rFonts w:ascii="Times New Roman" w:cs="Times New Roman" w:eastAsia="Times New Roman" w:hAnsi="Times New Roman"/>
          <w:sz w:val="18"/>
          <w:szCs w:val="18"/>
          <w:b w:val="1"/>
          <w:bCs w:val="1"/>
          <w:color w:val="auto"/>
        </w:rPr>
      </w:pPr>
    </w:p>
    <w:p>
      <w:pPr>
        <w:ind w:left="46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determined that the Series A, A-1, B, B-1, C, D and E preferred shares should be classified as mezzanine equity after considering the features of the preferred shares as described above. The conversion features and redemption features as mentioned below, Series A Warrants, Series A-1 Warrants and Series B Warrants are initially measured at its fair value and the initial carrying value for Series A, A-1, B, B-1, C, D and E preferred shares is allocated on a residual basis as the warrants are liability classified. There were no beneficial conversion features for the Series A, A-1, B, B-1, C, D and E preferred shares.</w:t>
      </w:r>
    </w:p>
    <w:p>
      <w:pPr>
        <w:spacing w:after="0" w:line="75" w:lineRule="exact"/>
        <w:rPr>
          <w:rFonts w:ascii="Times New Roman" w:cs="Times New Roman" w:eastAsia="Times New Roman" w:hAnsi="Times New Roman"/>
          <w:sz w:val="18"/>
          <w:szCs w:val="18"/>
          <w:b w:val="1"/>
          <w:bCs w:val="1"/>
          <w:color w:val="auto"/>
        </w:rPr>
      </w:pPr>
    </w:p>
    <w:p>
      <w:pPr>
        <w:ind w:left="46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determined that conversion feature embedded in the Series A, A-1, B, B-1, D and E preferred share is required to be bifurcated and accounted for as derivative liabilities as the economic characteristics and risks of the embedded conversion are not clearly and closely related to that of the preferred shares and there is a mechanism in place for net settlement. However, Series C preferred shares does not have a mechanism in place for net settlement and therefore, bifurcation is considered unnecessary.</w:t>
      </w:r>
    </w:p>
    <w:p>
      <w:pPr>
        <w:spacing w:after="0" w:line="71" w:lineRule="exact"/>
        <w:rPr>
          <w:rFonts w:ascii="Times New Roman" w:cs="Times New Roman" w:eastAsia="Times New Roman" w:hAnsi="Times New Roman"/>
          <w:sz w:val="18"/>
          <w:szCs w:val="18"/>
          <w:b w:val="1"/>
          <w:bCs w:val="1"/>
          <w:color w:val="auto"/>
        </w:rPr>
      </w:pPr>
    </w:p>
    <w:p>
      <w:pPr>
        <w:ind w:left="46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also determined the redemption feature embedded in the Series C, D and E preferred shares is required to be bifurcated and accounted for as derivative liabilities as the economic characteristics and risk of the embedded redemption features are not clearly and closely related to that of the preferred shares. For Series A, A-1, B and B-1 preferred shares, the corresponding redemption feature is not required to be bifurcated and accounted for as derivative liabilities as the economic characteristic and risk of the embedded redemption feature are clearly and closely related to that of the preferred shares.</w:t>
      </w:r>
    </w:p>
    <w:p>
      <w:pPr>
        <w:spacing w:after="0" w:line="75" w:lineRule="exact"/>
        <w:rPr>
          <w:rFonts w:ascii="Times New Roman" w:cs="Times New Roman" w:eastAsia="Times New Roman" w:hAnsi="Times New Roman"/>
          <w:sz w:val="18"/>
          <w:szCs w:val="18"/>
          <w:b w:val="1"/>
          <w:bCs w:val="1"/>
          <w:color w:val="auto"/>
        </w:rPr>
      </w:pPr>
    </w:p>
    <w:p>
      <w:pPr>
        <w:ind w:left="46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2016 and June 30, 2017, the fair values of these conversion features and redemption features which required to be bifurcated and accounted for as derivative liabilities are as follows:</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42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December 31,</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June 30,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74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color w:val="auto"/>
              </w:rPr>
              <w:t>2016</w:t>
            </w:r>
          </w:p>
        </w:tc>
        <w:tc>
          <w:tcPr>
            <w:tcW w:w="540" w:type="dxa"/>
            <w:vAlign w:val="bottom"/>
          </w:tcPr>
          <w:p>
            <w:pPr>
              <w:spacing w:after="0"/>
              <w:rPr>
                <w:sz w:val="16"/>
                <w:szCs w:val="16"/>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3640" w:type="dxa"/>
            <w:vAlign w:val="bottom"/>
          </w:tcPr>
          <w:p>
            <w:pPr>
              <w:spacing w:after="0"/>
              <w:rPr>
                <w:sz w:val="7"/>
                <w:szCs w:val="7"/>
                <w:color w:val="auto"/>
              </w:rPr>
            </w:pPr>
          </w:p>
        </w:tc>
        <w:tc>
          <w:tcPr>
            <w:tcW w:w="2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derivatives — conversion features</w:t>
            </w:r>
          </w:p>
        </w:tc>
        <w:tc>
          <w:tcPr>
            <w:tcW w:w="3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56,916</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Financial derivatives — redemption features</w:t>
            </w:r>
          </w:p>
        </w:tc>
        <w:tc>
          <w:tcPr>
            <w:tcW w:w="29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5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60,884</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94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(60,525)</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294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54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280" w:type="dxa"/>
            <w:vAlign w:val="bottom"/>
            <w:gridSpan w:val="3"/>
          </w:tcPr>
          <w:p>
            <w:pPr>
              <w:jc w:val="right"/>
              <w:ind w:right="3400"/>
              <w:spacing w:after="0"/>
              <w:rPr>
                <w:sz w:val="20"/>
                <w:szCs w:val="20"/>
                <w:color w:val="auto"/>
              </w:rPr>
            </w:pPr>
            <w:r>
              <w:rPr>
                <w:rFonts w:ascii="Times New Roman" w:cs="Times New Roman" w:eastAsia="Times New Roman" w:hAnsi="Times New Roman"/>
                <w:sz w:val="18"/>
                <w:szCs w:val="18"/>
                <w:color w:val="auto"/>
              </w:rPr>
              <w:t>F-104</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25" w:name="page326"/>
    <w:bookmarkEnd w:id="3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5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shares (Continued)</w:t>
      </w:r>
    </w:p>
    <w:p>
      <w:pPr>
        <w:spacing w:after="0" w:line="132"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Redemption right (Continued)</w:t>
      </w:r>
    </w:p>
    <w:p>
      <w:pPr>
        <w:spacing w:after="0" w:line="29" w:lineRule="exact"/>
        <w:rPr>
          <w:rFonts w:ascii="Times New Roman" w:cs="Times New Roman" w:eastAsia="Times New Roman" w:hAnsi="Times New Roman"/>
          <w:sz w:val="18"/>
          <w:szCs w:val="18"/>
          <w:b w:val="1"/>
          <w:bCs w:val="1"/>
          <w:color w:val="auto"/>
        </w:rPr>
      </w:pPr>
    </w:p>
    <w:p>
      <w:pPr>
        <w:ind w:left="4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Due to the redemption features described above with respect to Series A, A-1, B and B-1 preferred shares, the Company recognizes the changes in the redemption value immediately as they occur by way of accreting 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79" w:lineRule="exact"/>
        <w:rPr>
          <w:rFonts w:ascii="Times New Roman" w:cs="Times New Roman" w:eastAsia="Times New Roman" w:hAnsi="Times New Roman"/>
          <w:sz w:val="18"/>
          <w:szCs w:val="18"/>
          <w:b w:val="1"/>
          <w:bCs w:val="1"/>
          <w:color w:val="auto"/>
        </w:rPr>
      </w:pPr>
    </w:p>
    <w:p>
      <w:pPr>
        <w:ind w:left="46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determining the fair value of these preferred shares for purposes of determining the conversion feature and redemption feature as of December 31, 2016 and June 30, 2017, a business valuation of the Company was estimated. Significant factors, assumptions and methodologies used in determining the business valuation include applying the discounted cash flow approach, and such approach involves certain significant estimates which are as follows:</w:t>
      </w:r>
    </w:p>
    <w:p>
      <w:pPr>
        <w:spacing w:after="0" w:line="203"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320" w:type="dxa"/>
            <w:vAlign w:val="bottom"/>
          </w:tcPr>
          <w:p>
            <w:pPr>
              <w:jc w:val="right"/>
              <w:ind w:right="394"/>
              <w:spacing w:after="0"/>
              <w:rPr>
                <w:sz w:val="20"/>
                <w:szCs w:val="20"/>
                <w:color w:val="auto"/>
              </w:rPr>
            </w:pPr>
            <w:r>
              <w:rPr>
                <w:rFonts w:ascii="Times New Roman" w:cs="Times New Roman" w:eastAsia="Times New Roman" w:hAnsi="Times New Roman"/>
                <w:sz w:val="14"/>
                <w:szCs w:val="14"/>
                <w:color w:val="auto"/>
              </w:rPr>
              <w:t>December 31, 2016</w:t>
            </w:r>
          </w:p>
        </w:tc>
        <w:tc>
          <w:tcPr>
            <w:tcW w:w="150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June 30, 2017</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Terminal growth rate</w:t>
            </w:r>
          </w:p>
        </w:tc>
        <w:tc>
          <w:tcPr>
            <w:tcW w:w="23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3.0%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cost of capital</w:t>
            </w:r>
          </w:p>
        </w:tc>
        <w:tc>
          <w:tcPr>
            <w:tcW w:w="2320" w:type="dxa"/>
            <w:vAlign w:val="bottom"/>
          </w:tcPr>
          <w:p>
            <w:pPr>
              <w:jc w:val="right"/>
              <w:ind w:right="274"/>
              <w:spacing w:after="0"/>
              <w:rPr>
                <w:sz w:val="20"/>
                <w:szCs w:val="20"/>
                <w:color w:val="auto"/>
              </w:rPr>
            </w:pPr>
            <w:r>
              <w:rPr>
                <w:rFonts w:ascii="Times New Roman" w:cs="Times New Roman" w:eastAsia="Times New Roman" w:hAnsi="Times New Roman"/>
                <w:sz w:val="18"/>
                <w:szCs w:val="18"/>
                <w:color w:val="auto"/>
              </w:rPr>
              <w:t>18.3%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annum growth rate on average spending per customer</w:t>
            </w:r>
          </w:p>
        </w:tc>
        <w:tc>
          <w:tcPr>
            <w:tcW w:w="23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3.0% - 19.0%</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- 27.2%</w:t>
            </w:r>
          </w:p>
        </w:tc>
      </w:tr>
    </w:tbl>
    <w:p>
      <w:pPr>
        <w:spacing w:after="0" w:line="3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A</w:t>
      </w:r>
    </w:p>
    <w:p>
      <w:pPr>
        <w:spacing w:after="0" w:line="25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700" w:type="dxa"/>
            <w:vAlign w:val="bottom"/>
            <w:gridSpan w:val="4"/>
          </w:tcPr>
          <w:p>
            <w:pPr>
              <w:ind w:left="320"/>
              <w:spacing w:after="0"/>
              <w:rPr>
                <w:sz w:val="20"/>
                <w:szCs w:val="20"/>
                <w:color w:val="auto"/>
              </w:rPr>
            </w:pPr>
            <w:r>
              <w:rPr>
                <w:rFonts w:ascii="Times New Roman" w:cs="Times New Roman" w:eastAsia="Times New Roman" w:hAnsi="Times New Roman"/>
                <w:sz w:val="14"/>
                <w:szCs w:val="14"/>
                <w:color w:val="auto"/>
              </w:rPr>
              <w:t>For the six months ended June 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84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color w:val="auto"/>
              </w:rPr>
              <w:t>2016</w:t>
            </w:r>
          </w:p>
        </w:tc>
        <w:tc>
          <w:tcPr>
            <w:tcW w:w="1800" w:type="dxa"/>
            <w:vAlign w:val="bottom"/>
            <w:tcBorders>
              <w:top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5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Accretion to redemption value</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9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B</w:t>
      </w:r>
    </w:p>
    <w:p>
      <w:pPr>
        <w:spacing w:after="0" w:line="25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660" w:type="dxa"/>
            <w:vAlign w:val="bottom"/>
            <w:gridSpan w:val="4"/>
          </w:tcPr>
          <w:p>
            <w:pPr>
              <w:ind w:left="300"/>
              <w:spacing w:after="0"/>
              <w:rPr>
                <w:sz w:val="20"/>
                <w:szCs w:val="20"/>
                <w:color w:val="auto"/>
              </w:rPr>
            </w:pPr>
            <w:r>
              <w:rPr>
                <w:rFonts w:ascii="Times New Roman" w:cs="Times New Roman" w:eastAsia="Times New Roman" w:hAnsi="Times New Roman"/>
                <w:sz w:val="14"/>
                <w:szCs w:val="14"/>
                <w:color w:val="auto"/>
              </w:rPr>
              <w:t>For the six months ended June 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76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color w:val="auto"/>
              </w:rPr>
              <w:t>2016</w:t>
            </w:r>
          </w:p>
        </w:tc>
        <w:tc>
          <w:tcPr>
            <w:tcW w:w="1840" w:type="dxa"/>
            <w:vAlign w:val="bottom"/>
            <w:tcBorders>
              <w:top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60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Accretion to redemption value</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9,472</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C</w:t>
      </w:r>
    </w:p>
    <w:p>
      <w:pPr>
        <w:spacing w:after="0" w:line="2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6350</wp:posOffset>
            </wp:positionV>
            <wp:extent cx="16205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left="7740"/>
        <w:spacing w:after="0"/>
        <w:tabs>
          <w:tab w:leader="none" w:pos="9400" w:val="left"/>
        </w:tabs>
        <w:rPr>
          <w:sz w:val="20"/>
          <w:szCs w:val="20"/>
          <w:color w:val="auto"/>
        </w:rPr>
      </w:pPr>
      <w:r>
        <w:rPr>
          <w:rFonts w:ascii="Times New Roman" w:cs="Times New Roman" w:eastAsia="Times New Roman" w:hAnsi="Times New Roman"/>
          <w:sz w:val="14"/>
          <w:szCs w:val="14"/>
          <w:color w:val="auto"/>
        </w:rPr>
        <w:t>2016</w:t>
      </w:r>
      <w:r>
        <w:rPr>
          <w:sz w:val="20"/>
          <w:szCs w:val="20"/>
          <w:color w:val="auto"/>
        </w:rPr>
        <w:tab/>
      </w:r>
      <w:r>
        <w:rPr>
          <w:rFonts w:ascii="Times New Roman" w:cs="Times New Roman" w:eastAsia="Times New Roman" w:hAnsi="Times New Roman"/>
          <w:sz w:val="14"/>
          <w:szCs w:val="14"/>
          <w:color w:val="auto"/>
        </w:rPr>
        <w:t>2017</w:t>
      </w:r>
    </w:p>
    <w:p>
      <w:pPr>
        <w:spacing w:after="0" w:line="10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60" w:type="dxa"/>
            <w:vAlign w:val="bottom"/>
            <w:shd w:val="clear" w:color="auto" w:fill="CCEEFF"/>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Series D</w:t>
      </w:r>
    </w:p>
    <w:p>
      <w:pPr>
        <w:spacing w:after="0" w:line="25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6350</wp:posOffset>
            </wp:positionV>
            <wp:extent cx="16205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ind w:left="7740"/>
        <w:spacing w:after="0"/>
        <w:tabs>
          <w:tab w:leader="none" w:pos="9400" w:val="left"/>
        </w:tabs>
        <w:rPr>
          <w:sz w:val="20"/>
          <w:szCs w:val="20"/>
          <w:color w:val="auto"/>
        </w:rPr>
      </w:pPr>
      <w:r>
        <w:rPr>
          <w:rFonts w:ascii="Times New Roman" w:cs="Times New Roman" w:eastAsia="Times New Roman" w:hAnsi="Times New Roman"/>
          <w:sz w:val="14"/>
          <w:szCs w:val="14"/>
          <w:color w:val="auto"/>
        </w:rPr>
        <w:t>2016</w:t>
      </w:r>
      <w:r>
        <w:rPr>
          <w:sz w:val="20"/>
          <w:szCs w:val="20"/>
          <w:color w:val="auto"/>
        </w:rPr>
        <w:tab/>
      </w:r>
      <w:r>
        <w:rPr>
          <w:rFonts w:ascii="Times New Roman" w:cs="Times New Roman" w:eastAsia="Times New Roman" w:hAnsi="Times New Roman"/>
          <w:sz w:val="14"/>
          <w:szCs w:val="14"/>
          <w:color w:val="auto"/>
        </w:rPr>
        <w:t>2017</w:t>
      </w:r>
    </w:p>
    <w:p>
      <w:pPr>
        <w:spacing w:after="0" w:line="102"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43,956</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43,956</w:t>
            </w:r>
          </w:p>
        </w:tc>
        <w:tc>
          <w:tcPr>
            <w:tcW w:w="60" w:type="dxa"/>
            <w:vAlign w:val="bottom"/>
            <w:shd w:val="clear" w:color="auto" w:fill="CCEEFF"/>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F-105</w:t>
      </w:r>
    </w:p>
    <w:p>
      <w:pPr>
        <w:sectPr>
          <w:pgSz w:w="11900" w:h="16838" w:orient="portrait"/>
          <w:cols w:equalWidth="0" w:num="1">
            <w:col w:w="11360"/>
          </w:cols>
          <w:pgMar w:left="240" w:top="455" w:right="299" w:bottom="1440" w:gutter="0" w:footer="0" w:header="0"/>
        </w:sectPr>
      </w:pPr>
    </w:p>
    <w:bookmarkStart w:id="326" w:name="page327"/>
    <w:bookmarkEnd w:id="3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right="6820" w:hanging="452"/>
        <w:spacing w:after="0" w:line="427" w:lineRule="auto"/>
        <w:tabs>
          <w:tab w:leader="none" w:pos="449" w:val="left"/>
        </w:tabs>
        <w:numPr>
          <w:ilvl w:val="0"/>
          <w:numId w:val="2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Series E</w:t>
      </w:r>
    </w:p>
    <w:p>
      <w:pPr>
        <w:spacing w:after="0" w:line="6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76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For the six months ended June 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560" w:type="dxa"/>
            <w:vAlign w:val="bottom"/>
            <w:tcBorders>
              <w:top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color w:val="auto"/>
              </w:rPr>
              <w:t>2016</w:t>
            </w:r>
          </w:p>
        </w:tc>
        <w:tc>
          <w:tcPr>
            <w:tcW w:w="214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59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preferred shares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right="380"/>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there was no beneficial conversion feature attributable to the Series A, A-1, B, B-1, C, D and E preferred shares because the accounting conversion of these preferred shares upon issuance were higher than the fair value of the Company’s ordinary shares as determined by the Company with the assistance from an independent valuation.</w:t>
      </w:r>
    </w:p>
    <w:p>
      <w:pPr>
        <w:spacing w:after="0" w:line="321" w:lineRule="exact"/>
        <w:rPr>
          <w:sz w:val="20"/>
          <w:szCs w:val="20"/>
          <w:color w:val="auto"/>
        </w:rPr>
      </w:pPr>
    </w:p>
    <w:p>
      <w:pPr>
        <w:ind w:left="460" w:hanging="452"/>
        <w:spacing w:after="0"/>
        <w:tabs>
          <w:tab w:leader="none" w:pos="460" w:val="left"/>
        </w:tabs>
        <w:numPr>
          <w:ilvl w:val="0"/>
          <w:numId w:val="2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ordinary shares</w:t>
      </w:r>
    </w:p>
    <w:p>
      <w:pPr>
        <w:spacing w:after="0" w:line="121" w:lineRule="exact"/>
        <w:rPr>
          <w:rFonts w:ascii="Times New Roman" w:cs="Times New Roman" w:eastAsia="Times New Roman" w:hAnsi="Times New Roman"/>
          <w:sz w:val="18"/>
          <w:szCs w:val="18"/>
          <w:b w:val="1"/>
          <w:bCs w:val="1"/>
          <w:color w:val="auto"/>
        </w:rPr>
      </w:pPr>
    </w:p>
    <w:p>
      <w:pPr>
        <w:ind w:left="4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30, 2014, concurrent with the issuance of Series D preferred shares to Investor D, the Company issued 742,320 ordinary shares to Investor D at US$16.17 per share, of which 99,022 shares were transferred from treasury shares held by the Company and 643,298 shares were newly issued shares. The aggregate consideration was US$12,000.</w:t>
      </w:r>
    </w:p>
    <w:p>
      <w:pPr>
        <w:spacing w:after="0" w:line="68" w:lineRule="exact"/>
        <w:rPr>
          <w:rFonts w:ascii="Times New Roman" w:cs="Times New Roman" w:eastAsia="Times New Roman" w:hAnsi="Times New Roman"/>
          <w:sz w:val="18"/>
          <w:szCs w:val="18"/>
          <w:b w:val="1"/>
          <w:bCs w:val="1"/>
          <w:color w:val="auto"/>
        </w:rPr>
      </w:pPr>
    </w:p>
    <w:p>
      <w:pPr>
        <w:ind w:left="46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Investor D shall have an option to require the Company to repurchase all of the ordinary shares if a qualified IPO is not consummated by the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anniversary of the closing of sale and purchase of the Series D preferred shares. The redemption price shall equal to the issue price, plus accrued interest at a non-compound interest rate of 18% per annum for each of 2016, and 12% per annum for 2017. The redeemable date of the ordinary shares was further changed to December 28, 2018 upon the completion of Series E Agreement. The change in value of such modification was insignificant.</w:t>
      </w:r>
    </w:p>
    <w:p>
      <w:pPr>
        <w:spacing w:after="0" w:line="71" w:lineRule="exact"/>
        <w:rPr>
          <w:rFonts w:ascii="Times New Roman" w:cs="Times New Roman" w:eastAsia="Times New Roman" w:hAnsi="Times New Roman"/>
          <w:sz w:val="18"/>
          <w:szCs w:val="18"/>
          <w:b w:val="1"/>
          <w:bCs w:val="1"/>
          <w:color w:val="auto"/>
        </w:rPr>
      </w:pPr>
    </w:p>
    <w:p>
      <w:pPr>
        <w:ind w:left="4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these ordinary shares are contingently redeemable, they are classified as mezzanine equity. The Company recognizes the accretion charge using the effective interest method.</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2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121" w:lineRule="exact"/>
        <w:rPr>
          <w:rFonts w:ascii="Times New Roman" w:cs="Times New Roman" w:eastAsia="Times New Roman" w:hAnsi="Times New Roman"/>
          <w:sz w:val="18"/>
          <w:szCs w:val="18"/>
          <w:b w:val="1"/>
          <w:bCs w:val="1"/>
          <w:color w:val="auto"/>
        </w:rPr>
      </w:pPr>
    </w:p>
    <w:p>
      <w:pPr>
        <w:ind w:left="4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Memorandum and Articles of Association authorizes the Company to issue 37,150,000 shares of US$0.001 par value per ordinary share as of December 31, 2016 and June 30, 2017.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Series A, B, C, D and E preferred shares representing a majority of the aggregate voting power of all outstanding shares. As of December 31, 2016 and June 30, 2017, there were 13,609,208 and 13,629,344 ordinary shares outstanding, respectively.</w:t>
      </w:r>
    </w:p>
    <w:p>
      <w:pPr>
        <w:spacing w:after="0" w:line="79" w:lineRule="exact"/>
        <w:rPr>
          <w:rFonts w:ascii="Times New Roman" w:cs="Times New Roman" w:eastAsia="Times New Roman" w:hAnsi="Times New Roman"/>
          <w:sz w:val="18"/>
          <w:szCs w:val="18"/>
          <w:b w:val="1"/>
          <w:bCs w:val="1"/>
          <w:color w:val="auto"/>
        </w:rPr>
      </w:pPr>
    </w:p>
    <w:p>
      <w:pPr>
        <w:ind w:left="460" w:right="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time the Company adopted the 2010 Employee Share Option Plan (the “2010 Share Option Plan”), the Company, together with the then shareholders, also decided to allot ordinary shares with par value of US$0.001 to Arda Holdings Limited (“Arda”), a British Virgin Islands company owned by the Group’s chairman and chief executive officer at no consideration. Arda will only hold these ordinary shares on trust for the benefit of the employees who are under the 2010 Share Option Plan and the dealing of these ordinary shares is under the direction of the board of directors of the Company. The Company considered Arda to be a variable interest entity as this entity has no equity at risk. The Company further considered that it is the primary beneficiary because the purchase of Arda is to hold treasury shares on behalf of the Company and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F-106</w:t>
      </w:r>
    </w:p>
    <w:p>
      <w:pPr>
        <w:sectPr>
          <w:pgSz w:w="11900" w:h="16838" w:orient="portrait"/>
          <w:cols w:equalWidth="0" w:num="1">
            <w:col w:w="11400"/>
          </w:cols>
          <w:pgMar w:left="240" w:top="455" w:right="259" w:bottom="1440" w:gutter="0" w:footer="0" w:header="0"/>
        </w:sectPr>
      </w:pPr>
    </w:p>
    <w:bookmarkStart w:id="327" w:name="page328"/>
    <w:bookmarkEnd w:id="3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2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 (Continued)</w:t>
      </w:r>
    </w:p>
    <w:p>
      <w:pPr>
        <w:spacing w:after="0" w:line="134" w:lineRule="exact"/>
        <w:rPr>
          <w:rFonts w:ascii="Times New Roman" w:cs="Times New Roman" w:eastAsia="Times New Roman" w:hAnsi="Times New Roman"/>
          <w:sz w:val="18"/>
          <w:szCs w:val="18"/>
          <w:b w:val="1"/>
          <w:bCs w:val="1"/>
          <w:color w:val="auto"/>
        </w:rPr>
      </w:pPr>
    </w:p>
    <w:p>
      <w:pPr>
        <w:ind w:left="460" w:right="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dealings of those transactions are under the direction of the Company’s board of directors. Given the structure of this arrangement, while these ordinary shares have been legally issued, they do not bear the attributes of unrestricted, issued and outstanding shares. Therefore, the ordinary shares issued to Arda are accounted for as treasury shares of the Company until these ordinary shares are earned by the Company’s employees, officers, directors or consultants for service provided to the Group. The Company allotted 627,811 shares during the year the 2010 Share Option Plan was adopted, and 788,459 shares and 0 share during the periods ended December 31, 2016 and June 30, 2017 to Arda, respectively. Arda does not hold any other assets or liabilities as at December 31, 2016 and June 30, 2017, nor earn any income nor incur any expenses for the periods ended December 31, 2016 and June 30, 2017.</w:t>
      </w:r>
    </w:p>
    <w:p>
      <w:pPr>
        <w:spacing w:after="0" w:line="333"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2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35" w:lineRule="exact"/>
        <w:rPr>
          <w:sz w:val="20"/>
          <w:szCs w:val="20"/>
          <w:color w:val="auto"/>
        </w:rPr>
      </w:pPr>
    </w:p>
    <w:p>
      <w:pPr>
        <w:ind w:left="460" w:hanging="452"/>
        <w:spacing w:after="0"/>
        <w:tabs>
          <w:tab w:leader="none" w:pos="46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plan</w:t>
      </w:r>
    </w:p>
    <w:p>
      <w:pPr>
        <w:spacing w:after="0" w:line="117" w:lineRule="exact"/>
        <w:rPr>
          <w:rFonts w:ascii="Times New Roman" w:cs="Times New Roman" w:eastAsia="Times New Roman" w:hAnsi="Times New Roman"/>
          <w:sz w:val="18"/>
          <w:szCs w:val="18"/>
          <w:color w:val="auto"/>
        </w:rPr>
      </w:pPr>
    </w:p>
    <w:p>
      <w:pPr>
        <w:ind w:left="460" w:right="5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2010 Share Option Plan provides for the grant of incentive share options to the Company’s employees, officers, directors or consultants. The Company’s board of directors administers the 2010 Share Option Plan, selects the individuals to whom options will be granted, determines the number of options to be granted, and the term and exercise price of each option.</w:t>
      </w:r>
    </w:p>
    <w:p>
      <w:pPr>
        <w:spacing w:after="0" w:line="68" w:lineRule="exact"/>
        <w:rPr>
          <w:rFonts w:ascii="Times New Roman" w:cs="Times New Roman" w:eastAsia="Times New Roman" w:hAnsi="Times New Roman"/>
          <w:sz w:val="18"/>
          <w:szCs w:val="18"/>
          <w:color w:val="auto"/>
        </w:rPr>
      </w:pPr>
    </w:p>
    <w:p>
      <w:pPr>
        <w:ind w:left="4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June 30, 2016 and June 30, 2017, the Company granted share options to non-employees, employees, officers and directors of the Group. These options were granted with exercise prices denominated in the US$, which is the functional currency of the Company. The table below sets forth information regarding share options granted over the years:</w:t>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color w:val="auto"/>
              </w:rPr>
              <w:t>Vesting</w:t>
            </w:r>
          </w:p>
        </w:tc>
        <w:tc>
          <w:tcPr>
            <w:tcW w:w="880" w:type="dxa"/>
            <w:vAlign w:val="bottom"/>
          </w:tcPr>
          <w:p>
            <w:pPr>
              <w:jc w:val="center"/>
              <w:ind w:left="13"/>
              <w:spacing w:after="0"/>
              <w:rPr>
                <w:sz w:val="20"/>
                <w:szCs w:val="20"/>
                <w:color w:val="auto"/>
              </w:rPr>
            </w:pPr>
            <w:r>
              <w:rPr>
                <w:rFonts w:ascii="Times New Roman" w:cs="Times New Roman" w:eastAsia="Times New Roman" w:hAnsi="Times New Roman"/>
                <w:sz w:val="14"/>
                <w:szCs w:val="14"/>
                <w:color w:val="auto"/>
              </w:rPr>
              <w:t>Exercise</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price at</w:t>
            </w:r>
          </w:p>
        </w:tc>
        <w:tc>
          <w:tcPr>
            <w:tcW w:w="0" w:type="dxa"/>
            <w:vAlign w:val="bottom"/>
          </w:tcPr>
          <w:p>
            <w:pPr>
              <w:spacing w:after="0"/>
              <w:rPr>
                <w:sz w:val="1"/>
                <w:szCs w:val="1"/>
                <w:color w:val="auto"/>
              </w:rPr>
            </w:pPr>
          </w:p>
        </w:tc>
      </w:tr>
      <w:tr>
        <w:trPr>
          <w:trHeight w:val="158"/>
        </w:trPr>
        <w:tc>
          <w:tcPr>
            <w:tcW w:w="3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Grant Date</w:t>
            </w:r>
          </w:p>
        </w:tc>
        <w:tc>
          <w:tcPr>
            <w:tcW w:w="4520" w:type="dxa"/>
            <w:vAlign w:val="bottom"/>
          </w:tcPr>
          <w:p>
            <w:pPr>
              <w:jc w:val="right"/>
              <w:ind w:right="131"/>
              <w:spacing w:after="0" w:line="158" w:lineRule="exact"/>
              <w:rPr>
                <w:sz w:val="20"/>
                <w:szCs w:val="20"/>
                <w:color w:val="auto"/>
              </w:rPr>
            </w:pPr>
            <w:r>
              <w:rPr>
                <w:rFonts w:ascii="Times New Roman" w:cs="Times New Roman" w:eastAsia="Times New Roman" w:hAnsi="Times New Roman"/>
                <w:sz w:val="14"/>
                <w:szCs w:val="14"/>
                <w:color w:val="auto"/>
              </w:rPr>
              <w:t>Number of</w:t>
            </w:r>
          </w:p>
        </w:tc>
        <w:tc>
          <w:tcPr>
            <w:tcW w:w="800" w:type="dxa"/>
            <w:vAlign w:val="bottom"/>
          </w:tcPr>
          <w:p>
            <w:pPr>
              <w:jc w:val="right"/>
              <w:ind w:right="172"/>
              <w:spacing w:after="0" w:line="158" w:lineRule="exact"/>
              <w:rPr>
                <w:sz w:val="20"/>
                <w:szCs w:val="20"/>
                <w:color w:val="auto"/>
              </w:rPr>
            </w:pPr>
            <w:r>
              <w:rPr>
                <w:rFonts w:ascii="Times New Roman" w:cs="Times New Roman" w:eastAsia="Times New Roman" w:hAnsi="Times New Roman"/>
                <w:sz w:val="14"/>
                <w:szCs w:val="14"/>
                <w:color w:val="auto"/>
              </w:rPr>
              <w:t>Term</w:t>
            </w:r>
          </w:p>
        </w:tc>
        <w:tc>
          <w:tcPr>
            <w:tcW w:w="820" w:type="dxa"/>
            <w:vAlign w:val="bottom"/>
          </w:tcPr>
          <w:p>
            <w:pPr>
              <w:jc w:val="right"/>
              <w:ind w:right="152"/>
              <w:spacing w:after="0" w:line="158" w:lineRule="exact"/>
              <w:rPr>
                <w:sz w:val="20"/>
                <w:szCs w:val="20"/>
                <w:color w:val="auto"/>
              </w:rPr>
            </w:pPr>
            <w:r>
              <w:rPr>
                <w:rFonts w:ascii="Times New Roman" w:cs="Times New Roman" w:eastAsia="Times New Roman" w:hAnsi="Times New Roman"/>
                <w:sz w:val="14"/>
                <w:szCs w:val="14"/>
                <w:color w:val="auto"/>
              </w:rPr>
              <w:t>period</w:t>
            </w:r>
          </w:p>
        </w:tc>
        <w:tc>
          <w:tcPr>
            <w:tcW w:w="8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grant date</w:t>
            </w:r>
          </w:p>
        </w:tc>
        <w:tc>
          <w:tcPr>
            <w:tcW w:w="0" w:type="dxa"/>
            <w:vAlign w:val="bottom"/>
          </w:tcPr>
          <w:p>
            <w:pPr>
              <w:spacing w:after="0"/>
              <w:rPr>
                <w:sz w:val="1"/>
                <w:szCs w:val="1"/>
                <w:color w:val="auto"/>
              </w:rPr>
            </w:pPr>
          </w:p>
        </w:tc>
      </w:tr>
      <w:tr>
        <w:trPr>
          <w:trHeight w:val="176"/>
        </w:trPr>
        <w:tc>
          <w:tcPr>
            <w:tcW w:w="3480" w:type="dxa"/>
            <w:vAlign w:val="bottom"/>
            <w:vMerge w:val="continue"/>
          </w:tcPr>
          <w:p>
            <w:pPr>
              <w:spacing w:after="0"/>
              <w:rPr>
                <w:sz w:val="15"/>
                <w:szCs w:val="15"/>
                <w:color w:val="auto"/>
              </w:rPr>
            </w:pPr>
          </w:p>
        </w:tc>
        <w:tc>
          <w:tcPr>
            <w:tcW w:w="452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rPr>
              <w:t>shares</w:t>
            </w:r>
          </w:p>
        </w:tc>
        <w:tc>
          <w:tcPr>
            <w:tcW w:w="800" w:type="dxa"/>
            <w:vAlign w:val="bottom"/>
          </w:tcPr>
          <w:p>
            <w:pPr>
              <w:jc w:val="right"/>
              <w:ind w:right="152"/>
              <w:spacing w:after="0"/>
              <w:rPr>
                <w:sz w:val="20"/>
                <w:szCs w:val="20"/>
                <w:color w:val="auto"/>
              </w:rPr>
            </w:pPr>
            <w:r>
              <w:rPr>
                <w:rFonts w:ascii="Times New Roman" w:cs="Times New Roman" w:eastAsia="Times New Roman" w:hAnsi="Times New Roman"/>
                <w:sz w:val="14"/>
                <w:szCs w:val="14"/>
                <w:color w:val="auto"/>
              </w:rPr>
              <w:t>(year)</w:t>
            </w:r>
          </w:p>
        </w:tc>
        <w:tc>
          <w:tcPr>
            <w:tcW w:w="820" w:type="dxa"/>
            <w:vAlign w:val="bottom"/>
          </w:tcPr>
          <w:p>
            <w:pPr>
              <w:jc w:val="right"/>
              <w:ind w:right="172"/>
              <w:spacing w:after="0"/>
              <w:rPr>
                <w:sz w:val="20"/>
                <w:szCs w:val="20"/>
                <w:color w:val="auto"/>
              </w:rPr>
            </w:pPr>
            <w:r>
              <w:rPr>
                <w:rFonts w:ascii="Times New Roman" w:cs="Times New Roman" w:eastAsia="Times New Roman" w:hAnsi="Times New Roman"/>
                <w:sz w:val="14"/>
                <w:szCs w:val="14"/>
                <w:color w:val="auto"/>
              </w:rPr>
              <w:t>(year)</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2015 (Note ii)</w:t>
            </w:r>
          </w:p>
        </w:tc>
        <w:tc>
          <w:tcPr>
            <w:tcW w:w="4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6,000</w:t>
            </w:r>
          </w:p>
        </w:tc>
        <w:tc>
          <w:tcPr>
            <w:tcW w:w="8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January 1, 2015 (Note ii)</w:t>
            </w:r>
          </w:p>
        </w:tc>
        <w:tc>
          <w:tcPr>
            <w:tcW w:w="4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18,500</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0.16</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1.8227</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2015 (Note ii)</w:t>
            </w:r>
          </w:p>
        </w:tc>
        <w:tc>
          <w:tcPr>
            <w:tcW w:w="4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11,938</w:t>
            </w:r>
          </w:p>
        </w:tc>
        <w:tc>
          <w:tcPr>
            <w:tcW w:w="8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0.16</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2.1669</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January 1, 2015</w:t>
            </w:r>
          </w:p>
        </w:tc>
        <w:tc>
          <w:tcPr>
            <w:tcW w:w="4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206,845</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2015 (Note i)</w:t>
            </w:r>
          </w:p>
        </w:tc>
        <w:tc>
          <w:tcPr>
            <w:tcW w:w="4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10,000</w:t>
            </w:r>
          </w:p>
        </w:tc>
        <w:tc>
          <w:tcPr>
            <w:tcW w:w="8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10.17</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June 30, 2015</w:t>
            </w:r>
          </w:p>
        </w:tc>
        <w:tc>
          <w:tcPr>
            <w:tcW w:w="4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36,000</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16.1700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6, 2015</w:t>
            </w:r>
          </w:p>
        </w:tc>
        <w:tc>
          <w:tcPr>
            <w:tcW w:w="4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25,000</w:t>
            </w:r>
          </w:p>
        </w:tc>
        <w:tc>
          <w:tcPr>
            <w:tcW w:w="8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July 6, 2015</w:t>
            </w:r>
          </w:p>
        </w:tc>
        <w:tc>
          <w:tcPr>
            <w:tcW w:w="4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15,000</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11.25</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 (Note iii)</w:t>
            </w:r>
          </w:p>
        </w:tc>
        <w:tc>
          <w:tcPr>
            <w:tcW w:w="4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58,058</w:t>
            </w:r>
          </w:p>
        </w:tc>
        <w:tc>
          <w:tcPr>
            <w:tcW w:w="8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0.3224</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August 1, 2015 (Note iv)</w:t>
            </w:r>
          </w:p>
        </w:tc>
        <w:tc>
          <w:tcPr>
            <w:tcW w:w="4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25,308</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0.4299</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 (Note v)</w:t>
            </w:r>
          </w:p>
        </w:tc>
        <w:tc>
          <w:tcPr>
            <w:tcW w:w="4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7,444</w:t>
            </w:r>
          </w:p>
        </w:tc>
        <w:tc>
          <w:tcPr>
            <w:tcW w:w="8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0.8598</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August 1, 2015 (Note vi)</w:t>
            </w:r>
          </w:p>
        </w:tc>
        <w:tc>
          <w:tcPr>
            <w:tcW w:w="4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49,871</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1.0748</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 (Note vii)</w:t>
            </w:r>
          </w:p>
        </w:tc>
        <w:tc>
          <w:tcPr>
            <w:tcW w:w="4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32,750</w:t>
            </w:r>
          </w:p>
        </w:tc>
        <w:tc>
          <w:tcPr>
            <w:tcW w:w="8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1.2897</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August 1, 2015 (Note vii)</w:t>
            </w:r>
          </w:p>
        </w:tc>
        <w:tc>
          <w:tcPr>
            <w:tcW w:w="4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10,421</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0.4299</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 (Note viii)</w:t>
            </w:r>
          </w:p>
        </w:tc>
        <w:tc>
          <w:tcPr>
            <w:tcW w:w="4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82,995</w:t>
            </w:r>
          </w:p>
        </w:tc>
        <w:tc>
          <w:tcPr>
            <w:tcW w:w="8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1.6122</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August 1, 2015 (Note ix)</w:t>
            </w:r>
          </w:p>
        </w:tc>
        <w:tc>
          <w:tcPr>
            <w:tcW w:w="4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11,165</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0.2687</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 (Note x)</w:t>
            </w:r>
          </w:p>
        </w:tc>
        <w:tc>
          <w:tcPr>
            <w:tcW w:w="4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78,156</w:t>
            </w:r>
          </w:p>
        </w:tc>
        <w:tc>
          <w:tcPr>
            <w:tcW w:w="8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2.6869</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August 1, 2015 (Note xi)</w:t>
            </w:r>
          </w:p>
        </w:tc>
        <w:tc>
          <w:tcPr>
            <w:tcW w:w="4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147,007</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3.83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4.0304</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 (Note xii)</w:t>
            </w:r>
          </w:p>
        </w:tc>
        <w:tc>
          <w:tcPr>
            <w:tcW w:w="4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21,884</w:t>
            </w:r>
          </w:p>
        </w:tc>
        <w:tc>
          <w:tcPr>
            <w:tcW w:w="8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5.3739</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45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113,311</w:t>
            </w:r>
          </w:p>
        </w:tc>
        <w:tc>
          <w:tcPr>
            <w:tcW w:w="8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0.0100</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2016</w:t>
            </w:r>
          </w:p>
        </w:tc>
        <w:tc>
          <w:tcPr>
            <w:tcW w:w="45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32,200</w:t>
            </w:r>
          </w:p>
        </w:tc>
        <w:tc>
          <w:tcPr>
            <w:tcW w:w="8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10.25</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365"/>
        </w:trPr>
        <w:tc>
          <w:tcPr>
            <w:tcW w:w="3480" w:type="dxa"/>
            <w:vAlign w:val="bottom"/>
          </w:tcPr>
          <w:p>
            <w:pPr>
              <w:spacing w:after="0"/>
              <w:rPr>
                <w:sz w:val="24"/>
                <w:szCs w:val="24"/>
                <w:color w:val="auto"/>
              </w:rPr>
            </w:pPr>
          </w:p>
        </w:tc>
        <w:tc>
          <w:tcPr>
            <w:tcW w:w="4520" w:type="dxa"/>
            <w:vAlign w:val="bottom"/>
          </w:tcPr>
          <w:p>
            <w:pPr>
              <w:jc w:val="right"/>
              <w:ind w:right="2451"/>
              <w:spacing w:after="0"/>
              <w:rPr>
                <w:sz w:val="20"/>
                <w:szCs w:val="20"/>
                <w:color w:val="auto"/>
              </w:rPr>
            </w:pPr>
            <w:r>
              <w:rPr>
                <w:rFonts w:ascii="Times New Roman" w:cs="Times New Roman" w:eastAsia="Times New Roman" w:hAnsi="Times New Roman"/>
                <w:sz w:val="18"/>
                <w:szCs w:val="18"/>
                <w:color w:val="auto"/>
              </w:rPr>
              <w:t>F-107</w:t>
            </w: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5" w:right="259" w:bottom="1440" w:gutter="0" w:footer="0" w:header="0"/>
        </w:sectPr>
      </w:pPr>
    </w:p>
    <w:bookmarkStart w:id="328" w:name="page329"/>
    <w:bookmarkEnd w:id="3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5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18</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plan (Continued)</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color w:val="auto"/>
              </w:rPr>
              <w:t>Vesting</w:t>
            </w:r>
          </w:p>
        </w:tc>
        <w:tc>
          <w:tcPr>
            <w:tcW w:w="880" w:type="dxa"/>
            <w:vAlign w:val="bottom"/>
          </w:tcPr>
          <w:p>
            <w:pPr>
              <w:jc w:val="center"/>
              <w:ind w:left="17"/>
              <w:spacing w:after="0"/>
              <w:rPr>
                <w:sz w:val="20"/>
                <w:szCs w:val="20"/>
                <w:color w:val="auto"/>
              </w:rPr>
            </w:pPr>
            <w:r>
              <w:rPr>
                <w:rFonts w:ascii="Times New Roman" w:cs="Times New Roman" w:eastAsia="Times New Roman" w:hAnsi="Times New Roman"/>
                <w:sz w:val="14"/>
                <w:szCs w:val="14"/>
                <w:color w:val="auto"/>
              </w:rPr>
              <w:t>Exercise</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price at</w:t>
            </w:r>
          </w:p>
        </w:tc>
        <w:tc>
          <w:tcPr>
            <w:tcW w:w="0" w:type="dxa"/>
            <w:vAlign w:val="bottom"/>
          </w:tcPr>
          <w:p>
            <w:pPr>
              <w:spacing w:after="0"/>
              <w:rPr>
                <w:sz w:val="1"/>
                <w:szCs w:val="1"/>
                <w:color w:val="auto"/>
              </w:rPr>
            </w:pPr>
          </w:p>
        </w:tc>
      </w:tr>
      <w:tr>
        <w:trPr>
          <w:trHeight w:val="158"/>
        </w:trPr>
        <w:tc>
          <w:tcPr>
            <w:tcW w:w="4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Grant Date</w:t>
            </w:r>
          </w:p>
        </w:tc>
        <w:tc>
          <w:tcPr>
            <w:tcW w:w="3840" w:type="dxa"/>
            <w:vAlign w:val="bottom"/>
          </w:tcPr>
          <w:p>
            <w:pPr>
              <w:jc w:val="right"/>
              <w:ind w:right="134"/>
              <w:spacing w:after="0" w:line="158" w:lineRule="exact"/>
              <w:rPr>
                <w:sz w:val="20"/>
                <w:szCs w:val="20"/>
                <w:color w:val="auto"/>
              </w:rPr>
            </w:pPr>
            <w:r>
              <w:rPr>
                <w:rFonts w:ascii="Times New Roman" w:cs="Times New Roman" w:eastAsia="Times New Roman" w:hAnsi="Times New Roman"/>
                <w:sz w:val="14"/>
                <w:szCs w:val="14"/>
                <w:color w:val="auto"/>
              </w:rPr>
              <w:t>Number of</w:t>
            </w:r>
          </w:p>
        </w:tc>
        <w:tc>
          <w:tcPr>
            <w:tcW w:w="800" w:type="dxa"/>
            <w:vAlign w:val="bottom"/>
          </w:tcPr>
          <w:p>
            <w:pPr>
              <w:ind w:left="220"/>
              <w:spacing w:after="0" w:line="158" w:lineRule="exact"/>
              <w:rPr>
                <w:sz w:val="20"/>
                <w:szCs w:val="20"/>
                <w:color w:val="auto"/>
              </w:rPr>
            </w:pPr>
            <w:r>
              <w:rPr>
                <w:rFonts w:ascii="Times New Roman" w:cs="Times New Roman" w:eastAsia="Times New Roman" w:hAnsi="Times New Roman"/>
                <w:sz w:val="14"/>
                <w:szCs w:val="14"/>
                <w:color w:val="auto"/>
              </w:rPr>
              <w:t>Term</w:t>
            </w:r>
          </w:p>
        </w:tc>
        <w:tc>
          <w:tcPr>
            <w:tcW w:w="820" w:type="dxa"/>
            <w:vAlign w:val="bottom"/>
          </w:tcPr>
          <w:p>
            <w:pPr>
              <w:jc w:val="right"/>
              <w:ind w:right="155"/>
              <w:spacing w:after="0" w:line="158" w:lineRule="exact"/>
              <w:rPr>
                <w:sz w:val="20"/>
                <w:szCs w:val="20"/>
                <w:color w:val="auto"/>
              </w:rPr>
            </w:pPr>
            <w:r>
              <w:rPr>
                <w:rFonts w:ascii="Times New Roman" w:cs="Times New Roman" w:eastAsia="Times New Roman" w:hAnsi="Times New Roman"/>
                <w:sz w:val="14"/>
                <w:szCs w:val="14"/>
                <w:color w:val="auto"/>
              </w:rPr>
              <w:t>period</w:t>
            </w:r>
          </w:p>
        </w:tc>
        <w:tc>
          <w:tcPr>
            <w:tcW w:w="8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grant date</w:t>
            </w:r>
          </w:p>
        </w:tc>
        <w:tc>
          <w:tcPr>
            <w:tcW w:w="0" w:type="dxa"/>
            <w:vAlign w:val="bottom"/>
          </w:tcPr>
          <w:p>
            <w:pPr>
              <w:spacing w:after="0"/>
              <w:rPr>
                <w:sz w:val="1"/>
                <w:szCs w:val="1"/>
                <w:color w:val="auto"/>
              </w:rPr>
            </w:pPr>
          </w:p>
        </w:tc>
      </w:tr>
      <w:tr>
        <w:trPr>
          <w:trHeight w:val="176"/>
        </w:trPr>
        <w:tc>
          <w:tcPr>
            <w:tcW w:w="4160" w:type="dxa"/>
            <w:vAlign w:val="bottom"/>
            <w:vMerge w:val="continue"/>
          </w:tcPr>
          <w:p>
            <w:pPr>
              <w:spacing w:after="0"/>
              <w:rPr>
                <w:sz w:val="15"/>
                <w:szCs w:val="15"/>
                <w:color w:val="auto"/>
              </w:rPr>
            </w:pPr>
          </w:p>
        </w:tc>
        <w:tc>
          <w:tcPr>
            <w:tcW w:w="3840" w:type="dxa"/>
            <w:vAlign w:val="bottom"/>
          </w:tcPr>
          <w:p>
            <w:pPr>
              <w:jc w:val="right"/>
              <w:ind w:right="274"/>
              <w:spacing w:after="0"/>
              <w:rPr>
                <w:sz w:val="20"/>
                <w:szCs w:val="20"/>
                <w:color w:val="auto"/>
              </w:rPr>
            </w:pPr>
            <w:r>
              <w:rPr>
                <w:rFonts w:ascii="Times New Roman" w:cs="Times New Roman" w:eastAsia="Times New Roman" w:hAnsi="Times New Roman"/>
                <w:sz w:val="14"/>
                <w:szCs w:val="14"/>
                <w:color w:val="auto"/>
              </w:rPr>
              <w:t>shares</w:t>
            </w:r>
          </w:p>
        </w:tc>
        <w:tc>
          <w:tcPr>
            <w:tcW w:w="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(year)</w:t>
            </w:r>
          </w:p>
        </w:tc>
        <w:tc>
          <w:tcPr>
            <w:tcW w:w="820" w:type="dxa"/>
            <w:vAlign w:val="bottom"/>
          </w:tcPr>
          <w:p>
            <w:pPr>
              <w:jc w:val="right"/>
              <w:ind w:right="175"/>
              <w:spacing w:after="0"/>
              <w:rPr>
                <w:sz w:val="20"/>
                <w:szCs w:val="20"/>
                <w:color w:val="auto"/>
              </w:rPr>
            </w:pPr>
            <w:r>
              <w:rPr>
                <w:rFonts w:ascii="Times New Roman" w:cs="Times New Roman" w:eastAsia="Times New Roman" w:hAnsi="Times New Roman"/>
                <w:sz w:val="14"/>
                <w:szCs w:val="14"/>
                <w:color w:val="auto"/>
              </w:rPr>
              <w:t>(year)</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2016</w:t>
            </w:r>
          </w:p>
        </w:tc>
        <w:tc>
          <w:tcPr>
            <w:tcW w:w="38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79,116</w:t>
            </w:r>
          </w:p>
        </w:tc>
        <w:tc>
          <w:tcPr>
            <w:tcW w:w="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10.25</w:t>
            </w:r>
          </w:p>
        </w:tc>
        <w:tc>
          <w:tcPr>
            <w:tcW w:w="8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July 1, 2016</w:t>
            </w:r>
          </w:p>
        </w:tc>
        <w:tc>
          <w:tcPr>
            <w:tcW w:w="3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10,000</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10.00</w:t>
            </w:r>
          </w:p>
        </w:tc>
        <w:tc>
          <w:tcPr>
            <w:tcW w:w="8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2016</w:t>
            </w:r>
          </w:p>
        </w:tc>
        <w:tc>
          <w:tcPr>
            <w:tcW w:w="38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1,000</w:t>
            </w:r>
          </w:p>
        </w:tc>
        <w:tc>
          <w:tcPr>
            <w:tcW w:w="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10.00</w:t>
            </w:r>
          </w:p>
        </w:tc>
        <w:tc>
          <w:tcPr>
            <w:tcW w:w="8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January 1, 2017</w:t>
            </w:r>
          </w:p>
        </w:tc>
        <w:tc>
          <w:tcPr>
            <w:tcW w:w="3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4,400</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2017</w:t>
            </w:r>
          </w:p>
        </w:tc>
        <w:tc>
          <w:tcPr>
            <w:tcW w:w="38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180,000</w:t>
            </w:r>
          </w:p>
        </w:tc>
        <w:tc>
          <w:tcPr>
            <w:tcW w:w="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8.1290</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January 1, 2017</w:t>
            </w:r>
          </w:p>
        </w:tc>
        <w:tc>
          <w:tcPr>
            <w:tcW w:w="38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100,800</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2017</w:t>
            </w:r>
          </w:p>
        </w:tc>
        <w:tc>
          <w:tcPr>
            <w:tcW w:w="38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5,000</w:t>
            </w:r>
          </w:p>
        </w:tc>
        <w:tc>
          <w:tcPr>
            <w:tcW w:w="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10.01</w:t>
            </w:r>
          </w:p>
        </w:tc>
        <w:tc>
          <w:tcPr>
            <w:tcW w:w="8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920" w:hanging="574"/>
        <w:spacing w:after="0" w:line="261" w:lineRule="auto"/>
        <w:tabs>
          <w:tab w:leader="none" w:pos="92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modified certain terms of the options previously granted which these modifications were related to either the vesting period or the exercise price. The incremental costs resulting from such modifications were assessed to be insignificant.</w:t>
      </w:r>
    </w:p>
    <w:p>
      <w:pPr>
        <w:ind w:left="920" w:right="440" w:hanging="574"/>
        <w:spacing w:after="0" w:line="250" w:lineRule="auto"/>
        <w:tabs>
          <w:tab w:leader="none" w:pos="92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 options were granted to employees for their past services and immediately vested on grant date. The holders of the options are entitled to exercise the vested options during January 1, 2015 to February 28, 2015.</w:t>
      </w:r>
    </w:p>
    <w:p>
      <w:pPr>
        <w:ind w:left="920" w:right="60" w:hanging="574"/>
        <w:spacing w:after="0" w:line="250" w:lineRule="auto"/>
        <w:tabs>
          <w:tab w:leader="none" w:pos="92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58.33% of the options were vested on August 1, 2015 and the remaining 41.67% of the options are vested over a 1.67 years period starting from August 1, 2015 to March 31,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ind w:left="920" w:right="60" w:hanging="574"/>
        <w:spacing w:after="0" w:line="250" w:lineRule="auto"/>
        <w:tabs>
          <w:tab w:leader="none" w:pos="92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56.25% of the options were vested on August 1, 2015 and the remaining 43.75% of the options are vested over a 1.75 years period starting from August 1, 2015 to April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ind w:left="920" w:right="60" w:hanging="574"/>
        <w:spacing w:after="0" w:line="250" w:lineRule="auto"/>
        <w:tabs>
          <w:tab w:leader="none" w:pos="92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43.75% of the options were vested on August 1, 2015 and the remaining 56.25% of the options are vested over a 2.25 years period starting from August 1, 2015 to October 31,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ind w:left="920" w:hanging="574"/>
        <w:spacing w:after="0" w:line="250" w:lineRule="auto"/>
        <w:tabs>
          <w:tab w:leader="none" w:pos="92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41.67% of the options were vested on August 1, 2015 and the remaining 58.3% of the options are vested over a 2.33 years period starting from August 1, 2015 to November 30, 2017.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ind w:left="920" w:right="60" w:hanging="574"/>
        <w:spacing w:after="0" w:line="250" w:lineRule="auto"/>
        <w:tabs>
          <w:tab w:leader="none" w:pos="92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33.67% of the options were vested on August 1, 2015 and the remaining 66.33% of the options are vested over a 2.67 years period starting from August 1, 2015 to March 31, 2018.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jc w:val="both"/>
        <w:ind w:left="920" w:hanging="574"/>
        <w:spacing w:after="0" w:line="250" w:lineRule="auto"/>
        <w:tabs>
          <w:tab w:leader="none" w:pos="92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16.67% of the options were vested on August 1, 2015 and the remaining 83.33% of the options are vested over a 3.33 years period starting from August 1, 2015 to November 30, 2018.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jc w:val="both"/>
        <w:ind w:left="920" w:right="20" w:hanging="574"/>
        <w:spacing w:after="0" w:line="255" w:lineRule="auto"/>
        <w:tabs>
          <w:tab w:leader="none" w:pos="92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14.58% of the options were vested on August 1, 2015 and the remaining 85.42% of the options are vested over a 3.42 years period starting from August 1, 2015 to December 31, 2018. The holders of the options are entitled to exercise the vested options during the first five business days of January, April, July and October until the expiration date — August 1, 2025 of the share option.</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F-108</w:t>
      </w:r>
    </w:p>
    <w:p>
      <w:pPr>
        <w:sectPr>
          <w:pgSz w:w="11900" w:h="16838" w:orient="portrait"/>
          <w:cols w:equalWidth="0" w:num="1">
            <w:col w:w="11340"/>
          </w:cols>
          <w:pgMar w:left="240" w:top="455" w:right="319" w:bottom="1440" w:gutter="0" w:footer="0" w:header="0"/>
        </w:sectPr>
      </w:pPr>
    </w:p>
    <w:bookmarkStart w:id="329" w:name="page330"/>
    <w:bookmarkEnd w:id="3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18</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plan (Continued)</w:t>
      </w:r>
    </w:p>
    <w:p>
      <w:pPr>
        <w:spacing w:after="0" w:line="130" w:lineRule="exact"/>
        <w:rPr>
          <w:rFonts w:ascii="Times New Roman" w:cs="Times New Roman" w:eastAsia="Times New Roman" w:hAnsi="Times New Roman"/>
          <w:sz w:val="18"/>
          <w:szCs w:val="18"/>
          <w:color w:val="auto"/>
        </w:rPr>
      </w:pPr>
    </w:p>
    <w:p>
      <w:pPr>
        <w:ind w:left="920" w:right="180" w:hanging="574"/>
        <w:spacing w:after="0" w:line="257" w:lineRule="auto"/>
        <w:tabs>
          <w:tab w:leader="none" w:pos="92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8.33% of the options were vested on August 1, 2015 and the remaining 91.67% of the options are vested over a 3.67 years period starting from August 1, 2015 to March 31, 2019.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ind w:left="920" w:right="180" w:hanging="574"/>
        <w:spacing w:after="0" w:line="250" w:lineRule="auto"/>
        <w:tabs>
          <w:tab w:leader="none" w:pos="92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4.17% of the options were vested on August 1, 2015 and the remaining 95.83% of the options are vested over a 3.83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1" w:lineRule="exact"/>
        <w:rPr>
          <w:rFonts w:ascii="Times New Roman" w:cs="Times New Roman" w:eastAsia="Times New Roman" w:hAnsi="Times New Roman"/>
          <w:sz w:val="18"/>
          <w:szCs w:val="18"/>
          <w:color w:val="auto"/>
        </w:rPr>
      </w:pPr>
    </w:p>
    <w:p>
      <w:pPr>
        <w:ind w:left="920" w:hanging="574"/>
        <w:spacing w:after="0" w:line="255" w:lineRule="auto"/>
        <w:tabs>
          <w:tab w:leader="none" w:pos="92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are vested over a 4 years period starting from August 1, 2015 to May 31, 2019. The holders of the options are entitled to exercise the vested options during the first five business days of January, April, July and October until the expiration date — August 1, 2025 of the share option.</w:t>
      </w:r>
    </w:p>
    <w:p>
      <w:pPr>
        <w:spacing w:after="0" w:line="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share option activity for the six months ended June 30, 2016 and June 30, 2017:</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Weighted</w:t>
            </w: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color w:val="auto"/>
                <w:w w:val="99"/>
              </w:rPr>
              <w:t>Weighted</w:t>
            </w:r>
          </w:p>
        </w:tc>
        <w:tc>
          <w:tcPr>
            <w:tcW w:w="1100" w:type="dxa"/>
            <w:vAlign w:val="bottom"/>
            <w:gridSpan w:val="2"/>
          </w:tcPr>
          <w:p>
            <w:pPr>
              <w:jc w:val="center"/>
              <w:ind w:right="540"/>
              <w:spacing w:after="0" w:line="158" w:lineRule="exact"/>
              <w:rPr>
                <w:sz w:val="20"/>
                <w:szCs w:val="20"/>
                <w:color w:val="auto"/>
              </w:rPr>
            </w:pPr>
            <w:r>
              <w:rPr>
                <w:rFonts w:ascii="Times New Roman" w:cs="Times New Roman" w:eastAsia="Times New Roman" w:hAnsi="Times New Roman"/>
                <w:sz w:val="14"/>
                <w:szCs w:val="14"/>
                <w:color w:val="auto"/>
              </w:rPr>
              <w:t>average</w:t>
            </w:r>
          </w:p>
        </w:tc>
        <w:tc>
          <w:tcPr>
            <w:tcW w:w="1180" w:type="dxa"/>
            <w:vAlign w:val="bottom"/>
            <w:gridSpan w:val="2"/>
          </w:tcPr>
          <w:p>
            <w:pPr>
              <w:jc w:val="center"/>
              <w:ind w:right="540"/>
              <w:spacing w:after="0" w:line="158" w:lineRule="exact"/>
              <w:rPr>
                <w:sz w:val="20"/>
                <w:szCs w:val="20"/>
                <w:color w:val="auto"/>
              </w:rPr>
            </w:pPr>
            <w:r>
              <w:rPr>
                <w:rFonts w:ascii="Times New Roman" w:cs="Times New Roman" w:eastAsia="Times New Roman" w:hAnsi="Times New Roman"/>
                <w:sz w:val="14"/>
                <w:szCs w:val="14"/>
                <w:color w:val="auto"/>
              </w:rPr>
              <w:t>Weighted</w:t>
            </w:r>
          </w:p>
        </w:tc>
        <w:tc>
          <w:tcPr>
            <w:tcW w:w="6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w w:val="97"/>
              </w:rPr>
              <w:t>grant</w:t>
            </w:r>
          </w:p>
        </w:tc>
        <w:tc>
          <w:tcPr>
            <w:tcW w:w="11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8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color w:val="auto"/>
              </w:rPr>
              <w:t>Number of</w:t>
            </w:r>
          </w:p>
        </w:tc>
        <w:tc>
          <w:tcPr>
            <w:tcW w:w="11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1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rPr>
              <w:t>date fair</w:t>
            </w:r>
          </w:p>
        </w:tc>
        <w:tc>
          <w:tcPr>
            <w:tcW w:w="11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color w:val="auto"/>
              </w:rPr>
              <w:t>exercise</w:t>
            </w:r>
          </w:p>
        </w:tc>
        <w:tc>
          <w:tcPr>
            <w:tcW w:w="11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rPr>
              <w:t>value</w:t>
            </w:r>
          </w:p>
        </w:tc>
        <w:tc>
          <w:tcPr>
            <w:tcW w:w="118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color w:val="auto"/>
              </w:rPr>
              <w:t>contractual</w:t>
            </w: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2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shares</w:t>
            </w:r>
          </w:p>
        </w:tc>
        <w:tc>
          <w:tcPr>
            <w:tcW w:w="11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price ($)</w:t>
            </w:r>
          </w:p>
        </w:tc>
        <w:tc>
          <w:tcPr>
            <w:tcW w:w="11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(US$)</w:t>
            </w:r>
          </w:p>
        </w:tc>
        <w:tc>
          <w:tcPr>
            <w:tcW w:w="11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color w:val="auto"/>
              </w:rPr>
              <w:t>life (years)</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(US$’000)</w:t>
            </w:r>
          </w:p>
        </w:tc>
        <w:tc>
          <w:tcPr>
            <w:tcW w:w="0" w:type="dxa"/>
            <w:vAlign w:val="bottom"/>
          </w:tcPr>
          <w:p>
            <w:pPr>
              <w:spacing w:after="0"/>
              <w:rPr>
                <w:sz w:val="1"/>
                <w:szCs w:val="1"/>
                <w:color w:val="auto"/>
              </w:rPr>
            </w:pPr>
          </w:p>
        </w:tc>
      </w:tr>
      <w:tr>
        <w:trPr>
          <w:trHeight w:val="91"/>
        </w:trPr>
        <w:tc>
          <w:tcPr>
            <w:tcW w:w="20" w:type="dxa"/>
            <w:vAlign w:val="bottom"/>
            <w:vMerge w:val="restart"/>
          </w:tcPr>
          <w:p>
            <w:pPr>
              <w:spacing w:after="0"/>
              <w:rPr>
                <w:sz w:val="7"/>
                <w:szCs w:val="7"/>
                <w:color w:val="auto"/>
              </w:rPr>
            </w:pPr>
          </w:p>
        </w:tc>
        <w:tc>
          <w:tcPr>
            <w:tcW w:w="5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2016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1,592,443</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4.90</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8.58</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111,316</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10.05</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13.96</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(53,388)</w:t>
            </w: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2.10</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(102,857)</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6.49</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June 30, 2016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1,547,514</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5.26</w:t>
            </w: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10.96</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8.7</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22,834</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At January 1, 2017</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1,492,185</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290,200</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8.38</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(20,136)</w:t>
            </w: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2.34</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(120,643)</w:t>
            </w:r>
          </w:p>
        </w:tc>
        <w:tc>
          <w:tcPr>
            <w:tcW w:w="11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5.92</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June 30, 2017</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1,641,606</w:t>
            </w:r>
          </w:p>
        </w:tc>
        <w:tc>
          <w:tcPr>
            <w:tcW w:w="5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5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5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5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right="40"/>
        <w:spacing w:after="0" w:line="266" w:lineRule="auto"/>
        <w:rPr>
          <w:sz w:val="20"/>
          <w:szCs w:val="20"/>
          <w:color w:val="auto"/>
        </w:rPr>
      </w:pPr>
      <w:r>
        <w:rPr>
          <w:rFonts w:ascii="Times New Roman" w:cs="Times New Roman" w:eastAsia="Times New Roman" w:hAnsi="Times New Roman"/>
          <w:sz w:val="18"/>
          <w:szCs w:val="18"/>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9% and 0% and 6% and 23% for employees and senior management in June 30, 2016 and June 30, 2017 respectively.</w:t>
      </w:r>
    </w:p>
    <w:p>
      <w:pPr>
        <w:spacing w:after="0" w:line="68" w:lineRule="exact"/>
        <w:rPr>
          <w:sz w:val="20"/>
          <w:szCs w:val="20"/>
          <w:color w:val="auto"/>
        </w:rPr>
      </w:pPr>
    </w:p>
    <w:p>
      <w:pPr>
        <w:ind w:left="460" w:right="460"/>
        <w:spacing w:after="0" w:line="282"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difference between the estimated fair value of the Company’s ordinary shares as of June 30, 2016 and June 30, 2017 and the exercise price.</w:t>
      </w:r>
    </w:p>
    <w:p>
      <w:pPr>
        <w:spacing w:after="0" w:line="54" w:lineRule="exact"/>
        <w:rPr>
          <w:sz w:val="20"/>
          <w:szCs w:val="20"/>
          <w:color w:val="auto"/>
        </w:rPr>
      </w:pPr>
    </w:p>
    <w:p>
      <w:pPr>
        <w:jc w:val="both"/>
        <w:ind w:left="460" w:right="160"/>
        <w:spacing w:after="0" w:line="266" w:lineRule="auto"/>
        <w:rPr>
          <w:sz w:val="20"/>
          <w:szCs w:val="20"/>
          <w:color w:val="auto"/>
        </w:rPr>
      </w:pPr>
      <w:r>
        <w:rPr>
          <w:rFonts w:ascii="Times New Roman" w:cs="Times New Roman" w:eastAsia="Times New Roman" w:hAnsi="Times New Roman"/>
          <w:sz w:val="18"/>
          <w:szCs w:val="18"/>
          <w:color w:val="auto"/>
        </w:rPr>
        <w:t>All share-based payments to employees are measured based on their grant-date fair values. Compensation expense is recognized based on the vesting schedule over the requisite service period. Total fair values of options vested and recognized as expenses as of June 30, 2016 and June 30, 2017 were US$1,863 and US$1,923 respectively.</w:t>
      </w:r>
    </w:p>
    <w:p>
      <w:pPr>
        <w:spacing w:after="0" w:line="68" w:lineRule="exact"/>
        <w:rPr>
          <w:sz w:val="20"/>
          <w:szCs w:val="20"/>
          <w:color w:val="auto"/>
        </w:rPr>
      </w:pPr>
    </w:p>
    <w:p>
      <w:pPr>
        <w:ind w:left="460" w:right="380"/>
        <w:spacing w:after="0" w:line="282" w:lineRule="auto"/>
        <w:rPr>
          <w:sz w:val="20"/>
          <w:szCs w:val="20"/>
          <w:color w:val="auto"/>
        </w:rPr>
      </w:pPr>
      <w:r>
        <w:rPr>
          <w:rFonts w:ascii="Times New Roman" w:cs="Times New Roman" w:eastAsia="Times New Roman" w:hAnsi="Times New Roman"/>
          <w:sz w:val="18"/>
          <w:szCs w:val="18"/>
          <w:color w:val="auto"/>
        </w:rPr>
        <w:t>As of June 30, 2016 and June 30, 2017, there were 150,000 share options granted to certain employees which the vesting was subject to the earlier occurrence of any of the following events, either: the Company</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F-109</w:t>
      </w:r>
    </w:p>
    <w:p>
      <w:pPr>
        <w:sectPr>
          <w:pgSz w:w="11900" w:h="16838" w:orient="portrait"/>
          <w:cols w:equalWidth="0" w:num="1">
            <w:col w:w="11380"/>
          </w:cols>
          <w:pgMar w:left="240" w:top="455" w:right="279" w:bottom="1440" w:gutter="0" w:footer="0" w:header="0"/>
        </w:sectPr>
      </w:pPr>
    </w:p>
    <w:bookmarkStart w:id="330" w:name="page331"/>
    <w:bookmarkEnd w:id="3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18</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plan (Continued)</w:t>
      </w:r>
    </w:p>
    <w:p>
      <w:pPr>
        <w:spacing w:after="0" w:line="130" w:lineRule="exact"/>
        <w:rPr>
          <w:rFonts w:ascii="Times New Roman" w:cs="Times New Roman" w:eastAsia="Times New Roman" w:hAnsi="Times New Roman"/>
          <w:sz w:val="18"/>
          <w:szCs w:val="18"/>
          <w:color w:val="auto"/>
        </w:rPr>
      </w:pPr>
    </w:p>
    <w:p>
      <w:pPr>
        <w:ind w:left="4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approved to be listed on a stock exchange with an expected market capitalization of no less than US$500,000; or (ii) a merger or acquisition of the Company or any of its subsidiaries at a valuation of US$500,000 or above in which the shareholders of the Company shall no longer hold a majority of the outstanding shares of the surviving corporation; or (iii) the Company achieves a gross profit of US$50,000, for the six months ended June 30, 2016 and June 30, 2017.</w:t>
      </w:r>
    </w:p>
    <w:p>
      <w:pPr>
        <w:spacing w:after="0" w:line="71" w:lineRule="exact"/>
        <w:rPr>
          <w:rFonts w:ascii="Times New Roman" w:cs="Times New Roman" w:eastAsia="Times New Roman" w:hAnsi="Times New Roman"/>
          <w:sz w:val="18"/>
          <w:szCs w:val="18"/>
          <w:color w:val="auto"/>
        </w:rPr>
      </w:pPr>
    </w:p>
    <w:p>
      <w:pPr>
        <w:ind w:left="460" w:righ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2016 and June 30, 2017, there were US$7,329 and US$6,170 of unrecognized share-based compensation expenses related to share options, which were expected to be recognized over a weighted-average vesting period of 2.59 and 2.45 years, respectively. To the extent the actual forfeiture rate is different from the Company’s estimate, the actual share-based compensation related to these awards may be different from the expectation.</w:t>
      </w:r>
    </w:p>
    <w:p>
      <w:pPr>
        <w:spacing w:after="0" w:line="71" w:lineRule="exact"/>
        <w:rPr>
          <w:rFonts w:ascii="Times New Roman" w:cs="Times New Roman" w:eastAsia="Times New Roman" w:hAnsi="Times New Roman"/>
          <w:sz w:val="18"/>
          <w:szCs w:val="18"/>
          <w:color w:val="auto"/>
        </w:rPr>
      </w:pPr>
    </w:p>
    <w:p>
      <w:pPr>
        <w:ind w:left="46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binomial option pricing model is used to determine the fair value of the share options granted to employees and non-employees. The fair values of share options granted during the six months ended June 30, 2016 and June 30, 2017 were estimated using the following assumptions: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3900" w:type="dxa"/>
            <w:vAlign w:val="bottom"/>
            <w:vMerge w:val="restart"/>
          </w:tcPr>
          <w:p>
            <w:pPr>
              <w:jc w:val="center"/>
              <w:ind w:left="2314"/>
              <w:spacing w:after="0"/>
              <w:rPr>
                <w:sz w:val="20"/>
                <w:szCs w:val="20"/>
                <w:color w:val="auto"/>
              </w:rPr>
            </w:pPr>
            <w:r>
              <w:rPr>
                <w:rFonts w:ascii="Times New Roman" w:cs="Times New Roman" w:eastAsia="Times New Roman" w:hAnsi="Times New Roman"/>
                <w:sz w:val="14"/>
                <w:szCs w:val="14"/>
                <w:color w:val="auto"/>
              </w:rPr>
              <w:t>Risk-free</w:t>
            </w:r>
          </w:p>
        </w:tc>
        <w:tc>
          <w:tcPr>
            <w:tcW w:w="122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color w:val="auto"/>
              </w:rPr>
              <w:t>Dividend</w:t>
            </w:r>
          </w:p>
        </w:tc>
        <w:tc>
          <w:tcPr>
            <w:tcW w:w="12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Volatility</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Expected</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390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860" w:type="dxa"/>
            <w:vAlign w:val="bottom"/>
          </w:tcPr>
          <w:p>
            <w:pPr>
              <w:jc w:val="right"/>
              <w:ind w:right="114"/>
              <w:spacing w:after="0" w:line="149" w:lineRule="exact"/>
              <w:rPr>
                <w:sz w:val="20"/>
                <w:szCs w:val="20"/>
                <w:color w:val="auto"/>
              </w:rPr>
            </w:pPr>
            <w:r>
              <w:rPr>
                <w:rFonts w:ascii="Times New Roman" w:cs="Times New Roman" w:eastAsia="Times New Roman" w:hAnsi="Times New Roman"/>
                <w:sz w:val="14"/>
                <w:szCs w:val="14"/>
                <w:color w:val="auto"/>
              </w:rPr>
              <w:t>term</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3900" w:type="dxa"/>
            <w:vAlign w:val="bottom"/>
          </w:tcPr>
          <w:p>
            <w:pPr>
              <w:jc w:val="center"/>
              <w:ind w:left="2314"/>
              <w:spacing w:after="0" w:line="149" w:lineRule="exact"/>
              <w:rPr>
                <w:sz w:val="20"/>
                <w:szCs w:val="20"/>
                <w:color w:val="auto"/>
              </w:rPr>
            </w:pPr>
            <w:r>
              <w:rPr>
                <w:rFonts w:ascii="Times New Roman" w:cs="Times New Roman" w:eastAsia="Times New Roman" w:hAnsi="Times New Roman"/>
                <w:sz w:val="14"/>
                <w:szCs w:val="14"/>
                <w:color w:val="auto"/>
              </w:rPr>
              <w:t>interest rate</w:t>
            </w:r>
          </w:p>
        </w:tc>
        <w:tc>
          <w:tcPr>
            <w:tcW w:w="122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color w:val="auto"/>
              </w:rPr>
              <w:t>yield</w:t>
            </w:r>
          </w:p>
        </w:tc>
        <w:tc>
          <w:tcPr>
            <w:tcW w:w="12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rate</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(in years)</w:t>
            </w:r>
          </w:p>
        </w:tc>
        <w:tc>
          <w:tcPr>
            <w:tcW w:w="0" w:type="dxa"/>
            <w:vAlign w:val="bottom"/>
          </w:tcPr>
          <w:p>
            <w:pPr>
              <w:spacing w:after="0"/>
              <w:rPr>
                <w:sz w:val="1"/>
                <w:szCs w:val="1"/>
                <w:color w:val="auto"/>
              </w:rPr>
            </w:pPr>
          </w:p>
        </w:tc>
      </w:tr>
      <w:tr>
        <w:trPr>
          <w:trHeight w:val="185"/>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Grant Date</w:t>
            </w:r>
          </w:p>
        </w:tc>
        <w:tc>
          <w:tcPr>
            <w:tcW w:w="3900" w:type="dxa"/>
            <w:vAlign w:val="bottom"/>
          </w:tcPr>
          <w:p>
            <w:pPr>
              <w:jc w:val="center"/>
              <w:ind w:left="2314"/>
              <w:spacing w:after="0"/>
              <w:rPr>
                <w:sz w:val="20"/>
                <w:szCs w:val="20"/>
                <w:color w:val="auto"/>
              </w:rPr>
            </w:pPr>
            <w:r>
              <w:rPr>
                <w:rFonts w:ascii="Times New Roman" w:cs="Times New Roman" w:eastAsia="Times New Roman" w:hAnsi="Times New Roman"/>
                <w:sz w:val="14"/>
                <w:szCs w:val="14"/>
                <w:color w:val="auto"/>
              </w:rPr>
              <w:t>(Note i)</w:t>
            </w:r>
          </w:p>
        </w:tc>
        <w:tc>
          <w:tcPr>
            <w:tcW w:w="1220" w:type="dxa"/>
            <w:vAlign w:val="bottom"/>
          </w:tcPr>
          <w:p>
            <w:pPr>
              <w:jc w:val="center"/>
              <w:ind w:right="74"/>
              <w:spacing w:after="0"/>
              <w:rPr>
                <w:sz w:val="20"/>
                <w:szCs w:val="20"/>
                <w:color w:val="auto"/>
              </w:rPr>
            </w:pPr>
            <w:r>
              <w:rPr>
                <w:rFonts w:ascii="Times New Roman" w:cs="Times New Roman" w:eastAsia="Times New Roman" w:hAnsi="Times New Roman"/>
                <w:sz w:val="14"/>
                <w:szCs w:val="14"/>
                <w:color w:val="auto"/>
              </w:rPr>
              <w:t>(Note ii)</w:t>
            </w:r>
          </w:p>
        </w:tc>
        <w:tc>
          <w:tcPr>
            <w:tcW w:w="12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(Note iii)</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(Note iv)</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2015</w:t>
            </w:r>
          </w:p>
        </w:tc>
        <w:tc>
          <w:tcPr>
            <w:tcW w:w="39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0.09%</w:t>
            </w:r>
          </w:p>
        </w:tc>
        <w:tc>
          <w:tcPr>
            <w:tcW w:w="12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47.34%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January 1, 2015</w:t>
            </w:r>
          </w:p>
        </w:tc>
        <w:tc>
          <w:tcPr>
            <w:tcW w:w="39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2.37%</w:t>
            </w:r>
          </w:p>
        </w:tc>
        <w:tc>
          <w:tcPr>
            <w:tcW w:w="12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53.47%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2015</w:t>
            </w:r>
          </w:p>
        </w:tc>
        <w:tc>
          <w:tcPr>
            <w:tcW w:w="39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1.88%</w:t>
            </w:r>
          </w:p>
        </w:tc>
        <w:tc>
          <w:tcPr>
            <w:tcW w:w="12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54.55%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June 30, 2015</w:t>
            </w:r>
          </w:p>
        </w:tc>
        <w:tc>
          <w:tcPr>
            <w:tcW w:w="39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2.57%</w:t>
            </w:r>
          </w:p>
        </w:tc>
        <w:tc>
          <w:tcPr>
            <w:tcW w:w="12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52.87%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6, 2015</w:t>
            </w:r>
          </w:p>
        </w:tc>
        <w:tc>
          <w:tcPr>
            <w:tcW w:w="39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2.53%</w:t>
            </w:r>
          </w:p>
        </w:tc>
        <w:tc>
          <w:tcPr>
            <w:tcW w:w="12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52.60%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July 6, 2015</w:t>
            </w:r>
          </w:p>
        </w:tc>
        <w:tc>
          <w:tcPr>
            <w:tcW w:w="39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2.58%</w:t>
            </w:r>
          </w:p>
        </w:tc>
        <w:tc>
          <w:tcPr>
            <w:tcW w:w="12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52.64%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2015</w:t>
            </w:r>
          </w:p>
        </w:tc>
        <w:tc>
          <w:tcPr>
            <w:tcW w:w="39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2.34%</w:t>
            </w:r>
          </w:p>
        </w:tc>
        <w:tc>
          <w:tcPr>
            <w:tcW w:w="12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52.78%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39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2.52%</w:t>
            </w:r>
          </w:p>
        </w:tc>
        <w:tc>
          <w:tcPr>
            <w:tcW w:w="12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55.54%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2016</w:t>
            </w:r>
          </w:p>
        </w:tc>
        <w:tc>
          <w:tcPr>
            <w:tcW w:w="39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2.00%</w:t>
            </w:r>
          </w:p>
        </w:tc>
        <w:tc>
          <w:tcPr>
            <w:tcW w:w="12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49.37%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July 1, 2016</w:t>
            </w:r>
          </w:p>
        </w:tc>
        <w:tc>
          <w:tcPr>
            <w:tcW w:w="39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1.62%</w:t>
            </w:r>
          </w:p>
        </w:tc>
        <w:tc>
          <w:tcPr>
            <w:tcW w:w="12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50.52%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2017</w:t>
            </w:r>
          </w:p>
        </w:tc>
        <w:tc>
          <w:tcPr>
            <w:tcW w:w="39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2.67%</w:t>
            </w:r>
          </w:p>
        </w:tc>
        <w:tc>
          <w:tcPr>
            <w:tcW w:w="122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50.75%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April 1, 2017</w:t>
            </w:r>
          </w:p>
        </w:tc>
        <w:tc>
          <w:tcPr>
            <w:tcW w:w="390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2.59%</w:t>
            </w:r>
          </w:p>
        </w:tc>
        <w:tc>
          <w:tcPr>
            <w:tcW w:w="122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50.79%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Notes:</w:t>
      </w:r>
    </w:p>
    <w:p>
      <w:pPr>
        <w:spacing w:after="0" w:line="131" w:lineRule="exact"/>
        <w:rPr>
          <w:sz w:val="20"/>
          <w:szCs w:val="20"/>
          <w:color w:val="auto"/>
        </w:rPr>
      </w:pPr>
    </w:p>
    <w:p>
      <w:pPr>
        <w:ind w:left="900" w:right="500" w:hanging="446"/>
        <w:spacing w:after="0" w:line="261" w:lineRule="auto"/>
        <w:tabs>
          <w:tab w:leader="none" w:pos="90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of periods within the contractual life of the share option is based on the yield of US Treasury Strips sourced from Bloomberg as of the valuation dates.</w:t>
      </w:r>
    </w:p>
    <w:p>
      <w:pPr>
        <w:ind w:left="900" w:hanging="446"/>
        <w:spacing w:after="0"/>
        <w:tabs>
          <w:tab w:leader="none" w:pos="90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history or expectation of paying dividends on its ordinary shares.</w:t>
      </w:r>
    </w:p>
    <w:p>
      <w:pPr>
        <w:spacing w:after="0" w:line="9" w:lineRule="exact"/>
        <w:rPr>
          <w:rFonts w:ascii="Times New Roman" w:cs="Times New Roman" w:eastAsia="Times New Roman" w:hAnsi="Times New Roman"/>
          <w:sz w:val="18"/>
          <w:szCs w:val="18"/>
          <w:color w:val="auto"/>
        </w:rPr>
      </w:pPr>
    </w:p>
    <w:p>
      <w:pPr>
        <w:ind w:left="900" w:right="700" w:hanging="446"/>
        <w:spacing w:after="0" w:line="250" w:lineRule="auto"/>
        <w:tabs>
          <w:tab w:leader="none" w:pos="90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is estimated based on the average of historical volatilities of the comparable companies in the same industry as at the valuation dates.</w:t>
      </w:r>
    </w:p>
    <w:p>
      <w:pPr>
        <w:ind w:left="900" w:right="100" w:hanging="446"/>
        <w:spacing w:after="0" w:line="255" w:lineRule="auto"/>
        <w:tabs>
          <w:tab w:leader="none" w:pos="90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to expire is assumed to be the option’s contractual term while early exercise multiples, being 2.2x and 2.8x for general staff and management staff, respectively, and post-vesting employment termination behavior have been factored into the model to derive the fair values of the share options.</w:t>
      </w:r>
    </w:p>
    <w:p>
      <w:pPr>
        <w:spacing w:after="0" w:line="334"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shares to certain employees with performance conditions</w:t>
      </w:r>
    </w:p>
    <w:p>
      <w:pPr>
        <w:spacing w:after="0" w:line="117" w:lineRule="exact"/>
        <w:rPr>
          <w:rFonts w:ascii="Times New Roman" w:cs="Times New Roman" w:eastAsia="Times New Roman" w:hAnsi="Times New Roman"/>
          <w:sz w:val="18"/>
          <w:szCs w:val="18"/>
          <w:color w:val="auto"/>
        </w:rPr>
      </w:pPr>
    </w:p>
    <w:p>
      <w:pPr>
        <w:ind w:left="460" w:right="6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28, 2016, the Company authorized and communicated the issuance of restricted ordinary shares of 1,068,114 and 801,086 of the Company to certain employees upon fulfillment of certain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F-110</w:t>
      </w:r>
    </w:p>
    <w:p>
      <w:pPr>
        <w:sectPr>
          <w:pgSz w:w="11900" w:h="16838" w:orient="portrait"/>
          <w:cols w:equalWidth="0" w:num="1">
            <w:col w:w="11420"/>
          </w:cols>
          <w:pgMar w:left="240" w:top="455" w:right="239" w:bottom="1440" w:gutter="0" w:footer="0" w:header="0"/>
        </w:sectPr>
      </w:pPr>
    </w:p>
    <w:bookmarkStart w:id="331" w:name="page332"/>
    <w:bookmarkEnd w:id="3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18</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shares to certain employees with performance conditions (Continued)</w:t>
      </w:r>
    </w:p>
    <w:p>
      <w:pPr>
        <w:spacing w:after="0" w:line="130" w:lineRule="exact"/>
        <w:rPr>
          <w:rFonts w:ascii="Times New Roman" w:cs="Times New Roman" w:eastAsia="Times New Roman" w:hAnsi="Times New Roman"/>
          <w:sz w:val="18"/>
          <w:szCs w:val="18"/>
          <w:color w:val="auto"/>
        </w:rPr>
      </w:pPr>
    </w:p>
    <w:p>
      <w:pPr>
        <w:ind w:left="460"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conditions for the fiscal years of 2017 and 2018, respectively and these employees have to be remained employed by the Company. Considering the likelihood of achieving the performance conditions are not probable as of December 31, 2016, no share-based compensation expense has been recorded. Total fair value of these shares were US$32,869.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ranges from 3.0% to 19.0%. In addition, none of these restricted ordinary shares were vested, forfeited, and expired during the period ended June 30, 2017.</w:t>
      </w:r>
    </w:p>
    <w:p>
      <w:pPr>
        <w:spacing w:after="0" w:line="33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shares to certain employees</w:t>
      </w:r>
    </w:p>
    <w:p>
      <w:pPr>
        <w:spacing w:after="0" w:line="117" w:lineRule="exact"/>
        <w:rPr>
          <w:rFonts w:ascii="Times New Roman" w:cs="Times New Roman" w:eastAsia="Times New Roman" w:hAnsi="Times New Roman"/>
          <w:sz w:val="18"/>
          <w:szCs w:val="18"/>
          <w:color w:val="auto"/>
        </w:rPr>
      </w:pPr>
    </w:p>
    <w:p>
      <w:pPr>
        <w:ind w:left="4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28, 2016, the Company and three of the Company’s shareholders agreed to transfer a total of 998,338 shares of the Company’s ordinary shares held by them to certain employees of the Company at no cost for services previously provided for. The fair value of the shares transferred and the corresponding share-based compensation expense and additional paid-in capital was US$17,555 and included in general and administrative expenses. In determining the fair value of shares of the Company transferred to these employees, a business valuation of the Company was performed by management with the assistance of an external valuer.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ranges from 3.0% to 19.0%.</w:t>
      </w:r>
    </w:p>
    <w:p>
      <w:pPr>
        <w:spacing w:after="0" w:line="81"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compensation costs recognized for the six months ended June 30, 2016 and June 30, 2017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940" w:type="dxa"/>
            <w:vAlign w:val="bottom"/>
            <w:gridSpan w:val="8"/>
          </w:tcPr>
          <w:p>
            <w:pPr>
              <w:ind w:left="460"/>
              <w:spacing w:after="0"/>
              <w:rPr>
                <w:sz w:val="20"/>
                <w:szCs w:val="20"/>
                <w:color w:val="auto"/>
              </w:rPr>
            </w:pPr>
            <w:r>
              <w:rPr>
                <w:rFonts w:ascii="Times New Roman" w:cs="Times New Roman" w:eastAsia="Times New Roman" w:hAnsi="Times New Roman"/>
                <w:sz w:val="14"/>
                <w:szCs w:val="14"/>
                <w:color w:val="auto"/>
              </w:rPr>
              <w:t>For the six months ended June 30,</w:t>
            </w:r>
          </w:p>
        </w:tc>
        <w:tc>
          <w:tcPr>
            <w:tcW w:w="0" w:type="dxa"/>
            <w:vAlign w:val="bottom"/>
          </w:tcPr>
          <w:p>
            <w:pPr>
              <w:spacing w:after="0"/>
              <w:rPr>
                <w:sz w:val="1"/>
                <w:szCs w:val="1"/>
                <w:color w:val="auto"/>
              </w:rPr>
            </w:pPr>
          </w:p>
        </w:tc>
      </w:tr>
      <w:tr>
        <w:trPr>
          <w:trHeight w:val="182"/>
        </w:trPr>
        <w:tc>
          <w:tcPr>
            <w:tcW w:w="13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760" w:type="dxa"/>
            <w:vAlign w:val="bottom"/>
            <w:tcBorders>
              <w:top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color w:val="auto"/>
              </w:rPr>
              <w:t>2016</w:t>
            </w: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2017</w:t>
            </w:r>
          </w:p>
        </w:tc>
        <w:tc>
          <w:tcPr>
            <w:tcW w:w="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380" w:type="dxa"/>
            <w:vAlign w:val="bottom"/>
            <w:vMerge w:val="restart"/>
          </w:tcPr>
          <w:p>
            <w:pPr>
              <w:spacing w:after="0"/>
              <w:rPr>
                <w:sz w:val="5"/>
                <w:szCs w:val="5"/>
                <w:color w:val="auto"/>
              </w:rPr>
            </w:pPr>
          </w:p>
        </w:tc>
        <w:tc>
          <w:tcPr>
            <w:tcW w:w="3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36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19   Other (losses)/gains, net</w:t>
            </w:r>
          </w:p>
        </w:tc>
        <w:tc>
          <w:tcPr>
            <w:tcW w:w="2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760" w:type="dxa"/>
            <w:vAlign w:val="bottom"/>
            <w:gridSpan w:val="2"/>
            <w:vMerge w:val="continue"/>
          </w:tcPr>
          <w:p>
            <w:pPr>
              <w:spacing w:after="0"/>
              <w:rPr>
                <w:sz w:val="24"/>
                <w:szCs w:val="24"/>
                <w:color w:val="auto"/>
              </w:rPr>
            </w:pPr>
          </w:p>
        </w:tc>
        <w:tc>
          <w:tcPr>
            <w:tcW w:w="2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80" w:type="dxa"/>
            <w:vAlign w:val="bottom"/>
            <w:gridSpan w:val="7"/>
          </w:tcPr>
          <w:p>
            <w:pPr>
              <w:ind w:left="40"/>
              <w:spacing w:after="0"/>
              <w:rPr>
                <w:sz w:val="20"/>
                <w:szCs w:val="20"/>
                <w:color w:val="auto"/>
              </w:rPr>
            </w:pPr>
            <w:r>
              <w:rPr>
                <w:rFonts w:ascii="Times New Roman" w:cs="Times New Roman" w:eastAsia="Times New Roman" w:hAnsi="Times New Roman"/>
                <w:sz w:val="14"/>
                <w:szCs w:val="14"/>
                <w:color w:val="auto"/>
              </w:rPr>
              <w:t>For the six months ended June 30,</w:t>
            </w:r>
          </w:p>
        </w:tc>
        <w:tc>
          <w:tcPr>
            <w:tcW w:w="0" w:type="dxa"/>
            <w:vAlign w:val="bottom"/>
          </w:tcPr>
          <w:p>
            <w:pPr>
              <w:spacing w:after="0"/>
              <w:rPr>
                <w:sz w:val="1"/>
                <w:szCs w:val="1"/>
                <w:color w:val="auto"/>
              </w:rPr>
            </w:pPr>
          </w:p>
        </w:tc>
      </w:tr>
      <w:tr>
        <w:trPr>
          <w:trHeight w:val="182"/>
        </w:trPr>
        <w:tc>
          <w:tcPr>
            <w:tcW w:w="13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3120" w:type="dxa"/>
            <w:vAlign w:val="bottom"/>
            <w:gridSpan w:val="2"/>
          </w:tcPr>
          <w:p>
            <w:pPr>
              <w:spacing w:after="0"/>
              <w:rPr>
                <w:sz w:val="15"/>
                <w:szCs w:val="15"/>
                <w:color w:val="auto"/>
              </w:rPr>
            </w:pPr>
          </w:p>
        </w:tc>
        <w:tc>
          <w:tcPr>
            <w:tcW w:w="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2016</w:t>
            </w:r>
          </w:p>
        </w:tc>
        <w:tc>
          <w:tcPr>
            <w:tcW w:w="8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380" w:type="dxa"/>
            <w:vAlign w:val="bottom"/>
            <w:vMerge w:val="restart"/>
          </w:tcPr>
          <w:p>
            <w:pPr>
              <w:spacing w:after="0"/>
              <w:rPr>
                <w:sz w:val="5"/>
                <w:szCs w:val="5"/>
                <w:color w:val="auto"/>
              </w:rPr>
            </w:pPr>
          </w:p>
        </w:tc>
        <w:tc>
          <w:tcPr>
            <w:tcW w:w="3380" w:type="dxa"/>
            <w:vAlign w:val="bottom"/>
          </w:tcPr>
          <w:p>
            <w:pPr>
              <w:spacing w:after="0"/>
              <w:rPr>
                <w:sz w:val="5"/>
                <w:szCs w:val="5"/>
                <w:color w:val="auto"/>
              </w:rPr>
            </w:pPr>
          </w:p>
        </w:tc>
        <w:tc>
          <w:tcPr>
            <w:tcW w:w="3120" w:type="dxa"/>
            <w:vAlign w:val="bottom"/>
            <w:gridSpan w:val="2"/>
          </w:tcPr>
          <w:p>
            <w:pPr>
              <w:spacing w:after="0"/>
              <w:rPr>
                <w:sz w:val="5"/>
                <w:szCs w:val="5"/>
                <w:color w:val="auto"/>
              </w:rPr>
            </w:pPr>
          </w:p>
        </w:tc>
        <w:tc>
          <w:tcPr>
            <w:tcW w:w="400" w:type="dxa"/>
            <w:vAlign w:val="bottom"/>
            <w:gridSpan w:val="2"/>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exchange losses</w:t>
            </w:r>
          </w:p>
        </w:tc>
        <w:tc>
          <w:tcPr>
            <w:tcW w:w="4380" w:type="dxa"/>
            <w:vAlign w:val="bottom"/>
            <w:gridSpan w:val="5"/>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(126)</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3120" w:type="dxa"/>
            <w:vAlign w:val="bottom"/>
            <w:gridSpan w:val="2"/>
          </w:tcPr>
          <w:p>
            <w:pPr>
              <w:spacing w:after="0"/>
              <w:rPr>
                <w:sz w:val="19"/>
                <w:szCs w:val="19"/>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spacing w:after="0"/>
              <w:rPr>
                <w:sz w:val="18"/>
                <w:szCs w:val="18"/>
                <w:color w:val="auto"/>
              </w:rPr>
            </w:pPr>
          </w:p>
        </w:tc>
        <w:tc>
          <w:tcPr>
            <w:tcW w:w="1260" w:type="dxa"/>
            <w:vAlign w:val="bottom"/>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(69)</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380" w:type="dxa"/>
            <w:vAlign w:val="bottom"/>
            <w:gridSpan w:val="5"/>
          </w:tcPr>
          <w:p>
            <w:pPr>
              <w:jc w:val="right"/>
              <w:ind w:right="3220"/>
              <w:spacing w:after="0"/>
              <w:rPr>
                <w:sz w:val="20"/>
                <w:szCs w:val="20"/>
                <w:color w:val="auto"/>
              </w:rPr>
            </w:pPr>
            <w:r>
              <w:rPr>
                <w:rFonts w:ascii="Times New Roman" w:cs="Times New Roman" w:eastAsia="Times New Roman" w:hAnsi="Times New Roman"/>
                <w:sz w:val="18"/>
                <w:szCs w:val="18"/>
                <w:color w:val="auto"/>
              </w:rPr>
              <w:t>F-111</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5" w:right="359" w:bottom="1440" w:gutter="0" w:footer="0" w:header="0"/>
        </w:sectPr>
      </w:pPr>
    </w:p>
    <w:bookmarkStart w:id="332" w:name="page333"/>
    <w:bookmarkEnd w:id="3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200" w:lineRule="exact"/>
        <w:rPr>
          <w:sz w:val="20"/>
          <w:szCs w:val="20"/>
          <w:color w:val="auto"/>
        </w:rPr>
      </w:pPr>
    </w:p>
    <w:p>
      <w:pPr>
        <w:spacing w:after="0" w:line="25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20</w:t>
        <w:tab/>
        <w:t>Income tax</w:t>
      </w:r>
    </w:p>
    <w:p>
      <w:pPr>
        <w:spacing w:after="0" w:line="135" w:lineRule="exact"/>
        <w:rPr>
          <w:sz w:val="20"/>
          <w:szCs w:val="20"/>
          <w:color w:val="auto"/>
        </w:rPr>
      </w:pPr>
    </w:p>
    <w:p>
      <w:pPr>
        <w:ind w:left="460" w:hanging="452"/>
        <w:spacing w:after="0"/>
        <w:tabs>
          <w:tab w:leader="none" w:pos="46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117" w:lineRule="exact"/>
        <w:rPr>
          <w:rFonts w:ascii="Times New Roman" w:cs="Times New Roman" w:eastAsia="Times New Roman" w:hAnsi="Times New Roman"/>
          <w:sz w:val="18"/>
          <w:szCs w:val="18"/>
          <w:color w:val="auto"/>
        </w:rPr>
      </w:pPr>
    </w:p>
    <w:p>
      <w:pPr>
        <w:ind w:left="460" w:right="5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31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profits tax</w:t>
      </w:r>
    </w:p>
    <w:p>
      <w:pPr>
        <w:spacing w:after="0" w:line="117" w:lineRule="exact"/>
        <w:rPr>
          <w:rFonts w:ascii="Times New Roman" w:cs="Times New Roman" w:eastAsia="Times New Roman" w:hAnsi="Times New Roman"/>
          <w:sz w:val="18"/>
          <w:szCs w:val="18"/>
          <w:color w:val="auto"/>
        </w:rPr>
      </w:pPr>
    </w:p>
    <w:p>
      <w:pPr>
        <w:ind w:left="4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incorporated in Hong Kong are subject to Hong Kong profits tax at a rate of 16.5% on the estimated assessable profit for the six months ended June 30, 2016 and June 30, 2017.</w:t>
      </w:r>
    </w:p>
    <w:p>
      <w:pPr>
        <w:spacing w:after="0" w:line="31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Enterprise Income Tax (“EIT”)</w:t>
      </w:r>
    </w:p>
    <w:p>
      <w:pPr>
        <w:spacing w:after="0" w:line="117" w:lineRule="exact"/>
        <w:rPr>
          <w:rFonts w:ascii="Times New Roman" w:cs="Times New Roman" w:eastAsia="Times New Roman" w:hAnsi="Times New Roman"/>
          <w:sz w:val="18"/>
          <w:szCs w:val="18"/>
          <w:color w:val="auto"/>
        </w:rPr>
      </w:pPr>
    </w:p>
    <w:p>
      <w:pPr>
        <w:ind w:left="460" w:right="5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subsidiaries and VIEs in China are governed by the Enterprise Income Tax Law (“EIT Law”). Pursuant to the EIT Law and its implementation rules, enterprises in China are generally subjected to tax at a statutory rate of 25%.</w:t>
      </w:r>
    </w:p>
    <w:p>
      <w:pPr>
        <w:spacing w:after="0" w:line="53" w:lineRule="exact"/>
        <w:rPr>
          <w:rFonts w:ascii="Times New Roman" w:cs="Times New Roman" w:eastAsia="Times New Roman" w:hAnsi="Times New Roman"/>
          <w:sz w:val="18"/>
          <w:szCs w:val="18"/>
          <w:color w:val="auto"/>
        </w:rPr>
      </w:pPr>
    </w:p>
    <w:p>
      <w:pPr>
        <w:ind w:left="460" w:right="2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 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79" w:lineRule="exact"/>
        <w:rPr>
          <w:rFonts w:ascii="Times New Roman" w:cs="Times New Roman" w:eastAsia="Times New Roman" w:hAnsi="Times New Roman"/>
          <w:sz w:val="18"/>
          <w:szCs w:val="18"/>
          <w:color w:val="auto"/>
        </w:rPr>
      </w:pPr>
    </w:p>
    <w:p>
      <w:pPr>
        <w:ind w:left="460" w:right="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Although there are undistributed earnings of the Company’s subsidiaries in the PRC and Taiwan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December 31, 2016 and June 30, 2017.</w:t>
      </w:r>
    </w:p>
    <w:p>
      <w:pPr>
        <w:spacing w:after="0" w:line="274"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Composition of income tax benefit/(expense)</w:t>
      </w:r>
    </w:p>
    <w:p>
      <w:pPr>
        <w:spacing w:after="0" w:line="119" w:lineRule="exact"/>
        <w:rPr>
          <w:rFonts w:ascii="Times New Roman" w:cs="Times New Roman" w:eastAsia="Times New Roman" w:hAnsi="Times New Roman"/>
          <w:sz w:val="18"/>
          <w:szCs w:val="18"/>
          <w:color w:val="auto"/>
        </w:rPr>
      </w:pPr>
    </w:p>
    <w:p>
      <w:pPr>
        <w:ind w:left="460" w:right="9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deferred portions of income tax benefit/(expense) included in the unaudited interim condensed consolidated statements of comprehensive loss are as follows:</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2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color w:val="auto"/>
              </w:rPr>
              <w:t>For the six months ended June 30,</w:t>
            </w:r>
          </w:p>
        </w:tc>
      </w:tr>
      <w:tr>
        <w:trPr>
          <w:trHeight w:val="142"/>
        </w:trPr>
        <w:tc>
          <w:tcPr>
            <w:tcW w:w="3340" w:type="dxa"/>
            <w:vAlign w:val="bottom"/>
            <w:tcBorders>
              <w:bottom w:val="single" w:sz="8" w:color="CCEEFF"/>
            </w:tcBorders>
          </w:tcPr>
          <w:p>
            <w:pPr>
              <w:spacing w:after="0"/>
              <w:rPr>
                <w:sz w:val="12"/>
                <w:szCs w:val="12"/>
                <w:color w:val="auto"/>
              </w:rPr>
            </w:pPr>
          </w:p>
        </w:tc>
        <w:tc>
          <w:tcPr>
            <w:tcW w:w="402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13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4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(396)</w:t>
            </w: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(812)</w:t>
            </w:r>
          </w:p>
        </w:tc>
        <w:tc>
          <w:tcPr>
            <w:tcW w:w="100" w:type="dxa"/>
            <w:vAlign w:val="bottom"/>
            <w:shd w:val="clear" w:color="auto" w:fill="CCEEFF"/>
          </w:tcPr>
          <w:p>
            <w:pPr>
              <w:spacing w:after="0"/>
              <w:rPr>
                <w:sz w:val="18"/>
                <w:szCs w:val="18"/>
                <w:color w:val="auto"/>
              </w:rPr>
            </w:pPr>
          </w:p>
        </w:tc>
      </w:tr>
      <w:tr>
        <w:trPr>
          <w:trHeight w:val="22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benefits</w:t>
            </w:r>
          </w:p>
        </w:tc>
        <w:tc>
          <w:tcPr>
            <w:tcW w:w="40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3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40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(601)</w:t>
            </w:r>
          </w:p>
        </w:tc>
      </w:tr>
      <w:tr>
        <w:trPr>
          <w:trHeight w:val="20"/>
        </w:trPr>
        <w:tc>
          <w:tcPr>
            <w:tcW w:w="33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340" w:type="dxa"/>
            <w:vAlign w:val="bottom"/>
          </w:tcPr>
          <w:p>
            <w:pPr>
              <w:spacing w:after="0"/>
              <w:rPr>
                <w:sz w:val="24"/>
                <w:szCs w:val="24"/>
                <w:color w:val="auto"/>
              </w:rPr>
            </w:pPr>
          </w:p>
        </w:tc>
        <w:tc>
          <w:tcPr>
            <w:tcW w:w="5740" w:type="dxa"/>
            <w:vAlign w:val="bottom"/>
            <w:gridSpan w:val="3"/>
          </w:tcPr>
          <w:p>
            <w:pPr>
              <w:ind w:left="1240"/>
              <w:spacing w:after="0"/>
              <w:rPr>
                <w:sz w:val="20"/>
                <w:szCs w:val="20"/>
                <w:color w:val="auto"/>
              </w:rPr>
            </w:pPr>
            <w:r>
              <w:rPr>
                <w:rFonts w:ascii="Times New Roman" w:cs="Times New Roman" w:eastAsia="Times New Roman" w:hAnsi="Times New Roman"/>
                <w:sz w:val="18"/>
                <w:szCs w:val="18"/>
                <w:color w:val="auto"/>
              </w:rPr>
              <w:t>F-112</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20"/>
          </w:cols>
          <w:pgMar w:left="240" w:top="455" w:right="339" w:bottom="1440" w:gutter="0" w:footer="0" w:header="0"/>
        </w:sectPr>
      </w:pPr>
    </w:p>
    <w:bookmarkStart w:id="333" w:name="page334"/>
    <w:bookmarkEnd w:id="3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right="8540" w:hanging="452"/>
        <w:spacing w:after="0" w:line="408" w:lineRule="auto"/>
        <w:tabs>
          <w:tab w:leader="none" w:pos="449" w:val="left"/>
        </w:tabs>
        <w:numPr>
          <w:ilvl w:val="0"/>
          <w:numId w:val="3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Income tax (Continued) </w:t>
      </w:r>
      <w:r>
        <w:rPr>
          <w:rFonts w:ascii="Times New Roman" w:cs="Times New Roman" w:eastAsia="Times New Roman" w:hAnsi="Times New Roman"/>
          <w:sz w:val="17"/>
          <w:szCs w:val="17"/>
          <w:i w:val="1"/>
          <w:iCs w:val="1"/>
          <w:color w:val="auto"/>
        </w:rPr>
        <w:t>Deferred tax assets and liabilities</w:t>
      </w:r>
    </w:p>
    <w:p>
      <w:pPr>
        <w:spacing w:after="0" w:line="1" w:lineRule="exact"/>
        <w:rPr>
          <w:rFonts w:ascii="Times New Roman" w:cs="Times New Roman" w:eastAsia="Times New Roman" w:hAnsi="Times New Roman"/>
          <w:sz w:val="17"/>
          <w:szCs w:val="17"/>
          <w:b w:val="1"/>
          <w:bCs w:val="1"/>
          <w:color w:val="auto"/>
        </w:rPr>
      </w:pPr>
    </w:p>
    <w:p>
      <w:pPr>
        <w:ind w:left="460" w:right="5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Deferred taxes were measured using the enacted tax rates for the periods in which they are expected to be reversed. The tax effects of temporary differences that give rise to the deferred tax asset balances as of December 31, 2016 and June 30, 2017 are as follows:</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352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color w:val="auto"/>
              </w:rPr>
              <w:t>December 31,</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June 30,</w:t>
            </w:r>
          </w:p>
        </w:tc>
        <w:tc>
          <w:tcPr>
            <w:tcW w:w="0" w:type="dxa"/>
            <w:vAlign w:val="bottom"/>
          </w:tcPr>
          <w:p>
            <w:pPr>
              <w:spacing w:after="0"/>
              <w:rPr>
                <w:sz w:val="1"/>
                <w:szCs w:val="1"/>
                <w:color w:val="auto"/>
              </w:rPr>
            </w:pPr>
          </w:p>
        </w:tc>
      </w:tr>
      <w:tr>
        <w:trPr>
          <w:trHeight w:val="185"/>
        </w:trPr>
        <w:tc>
          <w:tcPr>
            <w:tcW w:w="4520" w:type="dxa"/>
            <w:vAlign w:val="bottom"/>
          </w:tcPr>
          <w:p>
            <w:pPr>
              <w:spacing w:after="0"/>
              <w:rPr>
                <w:sz w:val="16"/>
                <w:szCs w:val="16"/>
                <w:color w:val="auto"/>
              </w:rPr>
            </w:pPr>
          </w:p>
        </w:tc>
        <w:tc>
          <w:tcPr>
            <w:tcW w:w="28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2016</w:t>
            </w:r>
          </w:p>
        </w:tc>
        <w:tc>
          <w:tcPr>
            <w:tcW w:w="680" w:type="dxa"/>
            <w:vAlign w:val="bottom"/>
          </w:tcPr>
          <w:p>
            <w:pPr>
              <w:spacing w:after="0"/>
              <w:rPr>
                <w:sz w:val="16"/>
                <w:szCs w:val="16"/>
                <w:color w:val="auto"/>
              </w:rPr>
            </w:pPr>
          </w:p>
        </w:tc>
        <w:tc>
          <w:tcPr>
            <w:tcW w:w="520" w:type="dxa"/>
            <w:vAlign w:val="bottom"/>
          </w:tcPr>
          <w:p>
            <w:pPr>
              <w:jc w:val="right"/>
              <w:ind w:right="34"/>
              <w:spacing w:after="0"/>
              <w:rPr>
                <w:sz w:val="20"/>
                <w:szCs w:val="20"/>
                <w:color w:val="auto"/>
              </w:rPr>
            </w:pPr>
            <w:r>
              <w:rPr>
                <w:rFonts w:ascii="Times New Roman" w:cs="Times New Roman" w:eastAsia="Times New Roman" w:hAnsi="Times New Roman"/>
                <w:sz w:val="14"/>
                <w:szCs w:val="14"/>
                <w:color w:val="auto"/>
              </w:rPr>
              <w:t>2017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Tax losses carried forward</w:t>
            </w:r>
          </w:p>
        </w:tc>
        <w:tc>
          <w:tcPr>
            <w:tcW w:w="2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6,838</w:t>
            </w:r>
          </w:p>
        </w:tc>
        <w:tc>
          <w:tcPr>
            <w:tcW w:w="6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payments</w:t>
            </w:r>
          </w:p>
        </w:tc>
        <w:tc>
          <w:tcPr>
            <w:tcW w:w="2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 (Note i)</w:t>
            </w:r>
          </w:p>
        </w:tc>
        <w:tc>
          <w:tcPr>
            <w:tcW w:w="2020" w:type="dxa"/>
            <w:vAlign w:val="bottom"/>
          </w:tcPr>
          <w:p>
            <w:pPr>
              <w:spacing w:after="0"/>
              <w:rPr>
                <w:sz w:val="19"/>
                <w:szCs w:val="19"/>
                <w:color w:val="auto"/>
              </w:rPr>
            </w:pPr>
          </w:p>
        </w:tc>
        <w:tc>
          <w:tcPr>
            <w:tcW w:w="15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(6,838)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(8,636)</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680" w:type="dxa"/>
            <w:vAlign w:val="bottom"/>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35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(3,677)</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Outside basis difference (Note ii)</w:t>
            </w:r>
          </w:p>
        </w:tc>
        <w:tc>
          <w:tcPr>
            <w:tcW w:w="2020" w:type="dxa"/>
            <w:vAlign w:val="bottom"/>
          </w:tcPr>
          <w:p>
            <w:pPr>
              <w:spacing w:after="0"/>
              <w:rPr>
                <w:sz w:val="18"/>
                <w:szCs w:val="18"/>
                <w:color w:val="auto"/>
              </w:rPr>
            </w:pP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35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6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Note:</w:t>
      </w:r>
    </w:p>
    <w:p>
      <w:pPr>
        <w:spacing w:after="0" w:line="254" w:lineRule="exact"/>
        <w:rPr>
          <w:sz w:val="20"/>
          <w:szCs w:val="20"/>
          <w:color w:val="auto"/>
        </w:rPr>
      </w:pPr>
    </w:p>
    <w:p>
      <w:pPr>
        <w:ind w:left="900" w:right="120" w:hanging="446"/>
        <w:spacing w:after="0" w:line="256" w:lineRule="auto"/>
        <w:tabs>
          <w:tab w:leader="none" w:pos="90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losses carried forward. Valuation allowance was provided for net operating loss carried forward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Movement of valuation allowance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7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color w:val="auto"/>
              </w:rPr>
              <w:t>For the six months ended June 30,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860" w:type="dxa"/>
            <w:vAlign w:val="bottom"/>
            <w:tcBorders>
              <w:top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color w:val="auto"/>
              </w:rPr>
              <w:t>2016</w:t>
            </w:r>
          </w:p>
        </w:tc>
        <w:tc>
          <w:tcPr>
            <w:tcW w:w="9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color w:val="auto"/>
              </w:rPr>
              <w:t>2017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8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78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5,804</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9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9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500" w:right="2740" w:hanging="5046"/>
        <w:spacing w:after="0" w:line="454" w:lineRule="auto"/>
        <w:tabs>
          <w:tab w:leader="none" w:pos="897"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deferred tax liabilities are recorded for the undistributed earnings in the Group’s VIE and its subsidiary. F-113</w:t>
      </w:r>
    </w:p>
    <w:p>
      <w:pPr>
        <w:sectPr>
          <w:pgSz w:w="11900" w:h="16838" w:orient="portrait"/>
          <w:cols w:equalWidth="0" w:num="1">
            <w:col w:w="11420"/>
          </w:cols>
          <w:pgMar w:left="240" w:top="455" w:right="239" w:bottom="1440" w:gutter="0" w:footer="0" w:header="0"/>
        </w:sectPr>
      </w:pPr>
    </w:p>
    <w:bookmarkStart w:id="334" w:name="page335"/>
    <w:bookmarkEnd w:id="3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right="9140" w:hanging="452"/>
        <w:spacing w:after="0" w:line="385" w:lineRule="auto"/>
        <w:tabs>
          <w:tab w:leader="none" w:pos="449" w:val="left"/>
        </w:tabs>
        <w:numPr>
          <w:ilvl w:val="0"/>
          <w:numId w:val="3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 (Continued) </w:t>
      </w:r>
      <w:r>
        <w:rPr>
          <w:rFonts w:ascii="Times New Roman" w:cs="Times New Roman" w:eastAsia="Times New Roman" w:hAnsi="Times New Roman"/>
          <w:sz w:val="18"/>
          <w:szCs w:val="18"/>
          <w:i w:val="1"/>
          <w:iCs w:val="1"/>
          <w:color w:val="auto"/>
        </w:rPr>
        <w:t>Tax loss carryforwards</w:t>
      </w:r>
    </w:p>
    <w:p>
      <w:pPr>
        <w:spacing w:after="0" w:line="1" w:lineRule="exact"/>
        <w:rPr>
          <w:rFonts w:ascii="Times New Roman" w:cs="Times New Roman" w:eastAsia="Times New Roman" w:hAnsi="Times New Roman"/>
          <w:sz w:val="18"/>
          <w:szCs w:val="18"/>
          <w:b w:val="1"/>
          <w:bCs w:val="1"/>
          <w:color w:val="auto"/>
        </w:rPr>
      </w:pPr>
    </w:p>
    <w:p>
      <w:pPr>
        <w:ind w:left="460" w:right="1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June 30, 2017, the Group had tax loss carryforwards of approximately US$26,978, which can be carried forward to offset future taxable income. The net operating tax loss carry forwards will begin to expire as follows: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3940" w:type="dxa"/>
            <w:vAlign w:val="bottom"/>
            <w:gridSpan w:val="3"/>
          </w:tcPr>
          <w:p>
            <w:pPr>
              <w:ind w:left="3060"/>
              <w:spacing w:after="0"/>
              <w:rPr>
                <w:sz w:val="20"/>
                <w:szCs w:val="20"/>
                <w:color w:val="auto"/>
              </w:rPr>
            </w:pPr>
            <w:r>
              <w:rPr>
                <w:rFonts w:ascii="Times New Roman" w:cs="Times New Roman" w:eastAsia="Times New Roman" w:hAnsi="Times New Roman"/>
                <w:sz w:val="14"/>
                <w:szCs w:val="14"/>
                <w:color w:val="auto"/>
              </w:rPr>
              <w:t>June 30, 2017</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2017</w:t>
            </w:r>
          </w:p>
        </w:tc>
        <w:tc>
          <w:tcPr>
            <w:tcW w:w="3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6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3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3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6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12,035</w:t>
            </w:r>
          </w:p>
        </w:tc>
        <w:tc>
          <w:tcPr>
            <w:tcW w:w="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3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60" w:type="dxa"/>
            <w:vAlign w:val="bottom"/>
            <w:shd w:val="clear" w:color="auto" w:fill="CCEEFF"/>
          </w:tcPr>
          <w:p>
            <w:pPr>
              <w:spacing w:after="0"/>
              <w:rPr>
                <w:sz w:val="18"/>
                <w:szCs w:val="18"/>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Tax loss with no expiry</w:t>
            </w:r>
          </w:p>
        </w:tc>
        <w:tc>
          <w:tcPr>
            <w:tcW w:w="30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60" w:type="dxa"/>
            <w:vAlign w:val="bottom"/>
          </w:tcPr>
          <w:p>
            <w:pPr>
              <w:spacing w:after="0"/>
              <w:rPr>
                <w:sz w:val="19"/>
                <w:szCs w:val="19"/>
                <w:color w:val="auto"/>
              </w:rPr>
            </w:pPr>
          </w:p>
        </w:tc>
      </w:tr>
      <w:tr>
        <w:trPr>
          <w:trHeight w:val="216"/>
        </w:trPr>
        <w:tc>
          <w:tcPr>
            <w:tcW w:w="474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26,978</w:t>
            </w:r>
          </w:p>
        </w:tc>
        <w:tc>
          <w:tcPr>
            <w:tcW w:w="60" w:type="dxa"/>
            <w:vAlign w:val="bottom"/>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right="60"/>
        <w:spacing w:after="0" w:line="261" w:lineRule="auto"/>
        <w:rPr>
          <w:sz w:val="20"/>
          <w:szCs w:val="20"/>
          <w:color w:val="auto"/>
        </w:rPr>
      </w:pPr>
      <w:r>
        <w:rPr>
          <w:rFonts w:ascii="Times New Roman" w:cs="Times New Roman" w:eastAsia="Times New Roman" w:hAnsi="Times New Roman"/>
          <w:sz w:val="18"/>
          <w:szCs w:val="18"/>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2010 to 2016 remain subject to examination by the tax authorities. There were no ongoing examinations by tax authorities as of June 30, 2017.</w:t>
      </w:r>
    </w:p>
    <w:p>
      <w:pPr>
        <w:spacing w:after="0" w:line="325" w:lineRule="exact"/>
        <w:rPr>
          <w:sz w:val="20"/>
          <w:szCs w:val="20"/>
          <w:color w:val="auto"/>
        </w:rPr>
      </w:pPr>
    </w:p>
    <w:p>
      <w:pPr>
        <w:ind w:left="460" w:hanging="452"/>
        <w:spacing w:after="0"/>
        <w:tabs>
          <w:tab w:leader="none" w:pos="460" w:val="left"/>
        </w:tabs>
        <w:numPr>
          <w:ilvl w:val="0"/>
          <w:numId w:val="3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net loss per share</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loss per share for the six months ended June 30, 2016 and June 30, 2017 are calculated as follows:</w:t>
      </w:r>
    </w:p>
    <w:p>
      <w:pPr>
        <w:spacing w:after="0" w:line="248"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4"/>
          <w:szCs w:val="14"/>
          <w:color w:val="auto"/>
        </w:rPr>
        <w:t>For the</w:t>
      </w:r>
    </w:p>
    <w:p>
      <w:pPr>
        <w:jc w:val="center"/>
        <w:ind w:left="8880"/>
        <w:spacing w:after="0" w:line="236" w:lineRule="auto"/>
        <w:rPr>
          <w:sz w:val="20"/>
          <w:szCs w:val="20"/>
          <w:color w:val="auto"/>
        </w:rPr>
      </w:pPr>
      <w:r>
        <w:rPr>
          <w:rFonts w:ascii="Times New Roman" w:cs="Times New Roman" w:eastAsia="Times New Roman" w:hAnsi="Times New Roman"/>
          <w:sz w:val="14"/>
          <w:szCs w:val="14"/>
          <w:color w:val="auto"/>
        </w:rPr>
        <w:t>six months ended 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00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color w:val="auto"/>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 of the Company</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(6,586)</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convertible redeemable preferred shares redemption value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(381)</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Accretion to redeemable ordinary shares redemption value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(757)</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of basic net loss per share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(7,724)</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(23,488)</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gridSpan w:val="2"/>
            <w:vMerge w:val="continue"/>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basic and diluted net loss per share</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weighted average shares outstanding</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13,130,027</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13,618,905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loss per share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(0.59)</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(0.59)</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240"/>
        <w:spacing w:after="0" w:line="259" w:lineRule="auto"/>
        <w:rPr>
          <w:sz w:val="20"/>
          <w:szCs w:val="20"/>
          <w:color w:val="auto"/>
        </w:rPr>
      </w:pPr>
      <w:r>
        <w:rPr>
          <w:rFonts w:ascii="Times New Roman" w:cs="Times New Roman" w:eastAsia="Times New Roman" w:hAnsi="Times New Roman"/>
          <w:sz w:val="18"/>
          <w:szCs w:val="18"/>
          <w:color w:val="auto"/>
        </w:rPr>
        <w:t>The Company’s preferred shares are participating securities and as such would be included in the calculation of basic earnings per share under the two-class method. According to the contractual terms of the preferred shares, the preferred shares do not have a contractual obligation to share in the losses of the Company. Therefore no loss was allocated to the preferred shares in the computation of basic loss per share for the six months ended June 30, 2016 and June 30, 2017.</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F-114</w:t>
      </w:r>
    </w:p>
    <w:p>
      <w:pPr>
        <w:sectPr>
          <w:pgSz w:w="11900" w:h="16838" w:orient="portrait"/>
          <w:cols w:equalWidth="0" w:num="1">
            <w:col w:w="11420"/>
          </w:cols>
          <w:pgMar w:left="240" w:top="456" w:right="239" w:bottom="1440" w:gutter="0" w:footer="0" w:header="0"/>
        </w:sectPr>
      </w:pPr>
    </w:p>
    <w:bookmarkStart w:id="335" w:name="page336"/>
    <w:bookmarkEnd w:id="3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87" w:lineRule="exact"/>
        <w:rPr>
          <w:sz w:val="20"/>
          <w:szCs w:val="20"/>
          <w:color w:val="auto"/>
        </w:rPr>
      </w:pPr>
    </w:p>
    <w:p>
      <w:pPr>
        <w:ind w:left="460" w:hanging="452"/>
        <w:spacing w:after="0"/>
        <w:tabs>
          <w:tab w:leader="none" w:pos="460" w:val="left"/>
        </w:tabs>
        <w:numPr>
          <w:ilvl w:val="0"/>
          <w:numId w:val="3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net loss per share (Continued)</w:t>
      </w:r>
    </w:p>
    <w:p>
      <w:pPr>
        <w:spacing w:after="0" w:line="134" w:lineRule="exact"/>
        <w:rPr>
          <w:rFonts w:ascii="Times New Roman" w:cs="Times New Roman" w:eastAsia="Times New Roman" w:hAnsi="Times New Roman"/>
          <w:sz w:val="18"/>
          <w:szCs w:val="18"/>
          <w:b w:val="1"/>
          <w:bCs w:val="1"/>
          <w:color w:val="auto"/>
        </w:rPr>
      </w:pPr>
    </w:p>
    <w:p>
      <w:pPr>
        <w:ind w:left="460"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preferred shares, share options and preferred share warrants were excluded from the computation of diluted net loss per ordinary share for the periods presented because including them would have had an anti-dilutive effect.</w:t>
      </w:r>
    </w:p>
    <w:p>
      <w:pPr>
        <w:spacing w:after="0" w:line="53" w:lineRule="exact"/>
        <w:rPr>
          <w:rFonts w:ascii="Times New Roman" w:cs="Times New Roman" w:eastAsia="Times New Roman" w:hAnsi="Times New Roman"/>
          <w:sz w:val="18"/>
          <w:szCs w:val="18"/>
          <w:b w:val="1"/>
          <w:bCs w:val="1"/>
          <w:color w:val="auto"/>
        </w:rPr>
      </w:pPr>
    </w:p>
    <w:p>
      <w:pPr>
        <w:ind w:lef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ordinary shares equivalents were excluded from the computation of diluted net loss per ordinary share for the periods presented because including them would have had an anti-dilutive effect:</w:t>
      </w:r>
    </w:p>
    <w:p>
      <w:pPr>
        <w:spacing w:after="0" w:line="184"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4"/>
          <w:szCs w:val="14"/>
          <w:color w:val="auto"/>
        </w:rPr>
        <w:t>For the six</w:t>
      </w:r>
    </w:p>
    <w:p>
      <w:pPr>
        <w:jc w:val="center"/>
        <w:ind w:left="7200"/>
        <w:spacing w:after="0" w:line="226" w:lineRule="auto"/>
        <w:rPr>
          <w:sz w:val="20"/>
          <w:szCs w:val="20"/>
          <w:color w:val="auto"/>
        </w:rPr>
      </w:pPr>
      <w:r>
        <w:rPr>
          <w:rFonts w:ascii="Times New Roman" w:cs="Times New Roman" w:eastAsia="Times New Roman" w:hAnsi="Times New Roman"/>
          <w:sz w:val="14"/>
          <w:szCs w:val="14"/>
          <w:color w:val="auto"/>
        </w:rPr>
        <w:t>months ended</w:t>
      </w:r>
    </w:p>
    <w:p>
      <w:pPr>
        <w:jc w:val="center"/>
        <w:ind w:left="7200"/>
        <w:spacing w:after="0" w:line="232" w:lineRule="auto"/>
        <w:rPr>
          <w:sz w:val="20"/>
          <w:szCs w:val="20"/>
          <w:color w:val="auto"/>
        </w:rPr>
      </w:pPr>
      <w:r>
        <w:rPr>
          <w:rFonts w:ascii="Times New Roman" w:cs="Times New Roman" w:eastAsia="Times New Roman" w:hAnsi="Times New Roman"/>
          <w:sz w:val="14"/>
          <w:szCs w:val="14"/>
          <w:color w:val="auto"/>
        </w:rPr>
        <w:t>June 30,</w:t>
      </w:r>
    </w:p>
    <w:tbl>
      <w:tblPr>
        <w:tblLayout w:type="fixed"/>
        <w:tblInd w:w="1380" w:type="dxa"/>
        <w:tblCellMar>
          <w:top w:w="0" w:type="dxa"/>
          <w:left w:w="0" w:type="dxa"/>
          <w:bottom w:w="0" w:type="dxa"/>
          <w:right w:w="0" w:type="dxa"/>
        </w:tblCellMar>
      </w:tblPr>
      <w:tr>
        <w:trPr>
          <w:trHeight w:val="142"/>
        </w:trPr>
        <w:tc>
          <w:tcPr>
            <w:tcW w:w="72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color w:val="auto"/>
              </w:rPr>
              <w:t>2016</w:t>
            </w:r>
          </w:p>
        </w:tc>
        <w:tc>
          <w:tcPr>
            <w:tcW w:w="4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color w:val="auto"/>
              </w:rPr>
              <w:t>2017</w:t>
            </w:r>
          </w:p>
        </w:tc>
        <w:tc>
          <w:tcPr>
            <w:tcW w:w="80" w:type="dxa"/>
            <w:vAlign w:val="bottom"/>
            <w:tcBorders>
              <w:bottom w:val="single" w:sz="8" w:color="CCEEFF"/>
            </w:tcBorders>
          </w:tcPr>
          <w:p>
            <w:pPr>
              <w:spacing w:after="0"/>
              <w:rPr>
                <w:sz w:val="12"/>
                <w:szCs w:val="12"/>
                <w:color w:val="auto"/>
              </w:rPr>
            </w:pPr>
          </w:p>
        </w:tc>
      </w:tr>
      <w:tr>
        <w:trPr>
          <w:trHeight w:val="210"/>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 weighted average (thousands)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8,458</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9,526</w:t>
            </w:r>
          </w:p>
        </w:tc>
        <w:tc>
          <w:tcPr>
            <w:tcW w:w="8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Share options — weighted average (thousands)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4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8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ordinary shares — weighted average (thousands)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80" w:type="dxa"/>
            <w:vAlign w:val="bottom"/>
            <w:shd w:val="clear" w:color="auto" w:fill="CCEEFF"/>
          </w:tcPr>
          <w:p>
            <w:pPr>
              <w:spacing w:after="0"/>
              <w:rPr>
                <w:sz w:val="18"/>
                <w:szCs w:val="18"/>
                <w:color w:val="auto"/>
              </w:rPr>
            </w:pPr>
          </w:p>
        </w:tc>
      </w:tr>
    </w:tbl>
    <w:p>
      <w:pPr>
        <w:spacing w:after="0" w:line="34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22</w:t>
        <w:tab/>
        <w:t>Commitments and contingencies</w:t>
      </w:r>
    </w:p>
    <w:p>
      <w:pPr>
        <w:spacing w:after="0" w:line="135" w:lineRule="exact"/>
        <w:rPr>
          <w:sz w:val="20"/>
          <w:szCs w:val="20"/>
          <w:color w:val="auto"/>
        </w:rPr>
      </w:pPr>
    </w:p>
    <w:p>
      <w:pPr>
        <w:ind w:left="460" w:hanging="452"/>
        <w:spacing w:after="0"/>
        <w:tabs>
          <w:tab w:leader="none" w:pos="4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commitments</w:t>
      </w:r>
    </w:p>
    <w:p>
      <w:pPr>
        <w:spacing w:after="0" w:line="117" w:lineRule="exact"/>
        <w:rPr>
          <w:rFonts w:ascii="Times New Roman" w:cs="Times New Roman" w:eastAsia="Times New Roman" w:hAnsi="Times New Roman"/>
          <w:sz w:val="18"/>
          <w:szCs w:val="18"/>
          <w:color w:val="auto"/>
        </w:rPr>
      </w:pPr>
    </w:p>
    <w:p>
      <w:pPr>
        <w:ind w:left="460" w:right="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leases facilities under non-cancellable operating leases expiring on different dates. The terms of substantially all of these leases are two years or less. Payments under operating leases are expensed on a straight-line basis over the periods of the respective leases.</w:t>
      </w:r>
    </w:p>
    <w:p>
      <w:pPr>
        <w:spacing w:after="0" w:line="53" w:lineRule="exact"/>
        <w:rPr>
          <w:rFonts w:ascii="Times New Roman" w:cs="Times New Roman" w:eastAsia="Times New Roman" w:hAnsi="Times New Roman"/>
          <w:sz w:val="18"/>
          <w:szCs w:val="18"/>
          <w:color w:val="auto"/>
        </w:rPr>
      </w:pPr>
    </w:p>
    <w:p>
      <w:pPr>
        <w:ind w:left="460" w:right="4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office rental expenses under all operating leases were US$1,466 and US$1,303 for the six months ended June 30, 2016 and June 30, 2017, respectively.</w:t>
      </w:r>
    </w:p>
    <w:p>
      <w:pPr>
        <w:spacing w:after="0" w:line="53" w:lineRule="exact"/>
        <w:rPr>
          <w:rFonts w:ascii="Times New Roman" w:cs="Times New Roman" w:eastAsia="Times New Roman" w:hAnsi="Times New Roman"/>
          <w:sz w:val="18"/>
          <w:szCs w:val="18"/>
          <w:color w:val="auto"/>
        </w:rPr>
      </w:pPr>
    </w:p>
    <w:p>
      <w:pPr>
        <w:ind w:left="460" w:right="1600"/>
        <w:spacing w:after="0" w:line="40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2017, future minimum payments under non-cancellable operating leases for office rental consist of the following: Remaining of</w:t>
      </w:r>
    </w:p>
    <w:p>
      <w:pPr>
        <w:spacing w:after="0" w:line="10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200" w:type="dxa"/>
            <w:vAlign w:val="bottom"/>
            <w:shd w:val="clear" w:color="auto" w:fill="CCEEFF"/>
          </w:tcPr>
          <w:p>
            <w:pPr>
              <w:jc w:val="right"/>
              <w:ind w:right="6750"/>
              <w:spacing w:after="0"/>
              <w:rPr>
                <w:sz w:val="20"/>
                <w:szCs w:val="20"/>
                <w:color w:val="auto"/>
              </w:rPr>
            </w:pPr>
            <w:r>
              <w:rPr>
                <w:rFonts w:ascii="Times New Roman" w:cs="Times New Roman" w:eastAsia="Times New Roman" w:hAnsi="Times New Roman"/>
                <w:sz w:val="18"/>
                <w:szCs w:val="18"/>
                <w:color w:val="auto"/>
                <w:w w:val="94"/>
              </w:rPr>
              <w:t>2017</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80" w:type="dxa"/>
            <w:vAlign w:val="bottom"/>
            <w:shd w:val="clear" w:color="auto" w:fill="CCEEFF"/>
          </w:tcPr>
          <w:p>
            <w:pPr>
              <w:spacing w:after="0"/>
              <w:rPr>
                <w:sz w:val="18"/>
                <w:szCs w:val="18"/>
                <w:color w:val="auto"/>
              </w:rPr>
            </w:pPr>
          </w:p>
        </w:tc>
      </w:tr>
      <w:tr>
        <w:trPr>
          <w:trHeight w:val="216"/>
        </w:trPr>
        <w:tc>
          <w:tcPr>
            <w:tcW w:w="7200" w:type="dxa"/>
            <w:vAlign w:val="bottom"/>
          </w:tcPr>
          <w:p>
            <w:pPr>
              <w:jc w:val="right"/>
              <w:ind w:right="6750"/>
              <w:spacing w:after="0"/>
              <w:rPr>
                <w:sz w:val="20"/>
                <w:szCs w:val="20"/>
                <w:color w:val="auto"/>
              </w:rPr>
            </w:pPr>
            <w:r>
              <w:rPr>
                <w:rFonts w:ascii="Times New Roman" w:cs="Times New Roman" w:eastAsia="Times New Roman" w:hAnsi="Times New Roman"/>
                <w:sz w:val="18"/>
                <w:szCs w:val="18"/>
                <w:color w:val="auto"/>
                <w:w w:val="94"/>
              </w:rPr>
              <w:t>2018</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80" w:type="dxa"/>
            <w:vAlign w:val="bottom"/>
          </w:tcPr>
          <w:p>
            <w:pPr>
              <w:spacing w:after="0"/>
              <w:rPr>
                <w:sz w:val="18"/>
                <w:szCs w:val="18"/>
                <w:color w:val="auto"/>
              </w:rPr>
            </w:pPr>
          </w:p>
        </w:tc>
      </w:tr>
      <w:tr>
        <w:trPr>
          <w:trHeight w:val="216"/>
        </w:trPr>
        <w:tc>
          <w:tcPr>
            <w:tcW w:w="7200" w:type="dxa"/>
            <w:vAlign w:val="bottom"/>
            <w:shd w:val="clear" w:color="auto" w:fill="CCEEFF"/>
          </w:tcPr>
          <w:p>
            <w:pPr>
              <w:jc w:val="right"/>
              <w:ind w:right="6750"/>
              <w:spacing w:after="0"/>
              <w:rPr>
                <w:sz w:val="20"/>
                <w:szCs w:val="20"/>
                <w:color w:val="auto"/>
              </w:rPr>
            </w:pPr>
            <w:r>
              <w:rPr>
                <w:rFonts w:ascii="Times New Roman" w:cs="Times New Roman" w:eastAsia="Times New Roman" w:hAnsi="Times New Roman"/>
                <w:sz w:val="18"/>
                <w:szCs w:val="18"/>
                <w:color w:val="auto"/>
                <w:w w:val="94"/>
              </w:rPr>
              <w:t>2019</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8"/>
                <w:szCs w:val="18"/>
                <w:color w:val="auto"/>
              </w:rPr>
            </w:pPr>
          </w:p>
        </w:tc>
      </w:tr>
      <w:tr>
        <w:trPr>
          <w:trHeight w:val="223"/>
        </w:trPr>
        <w:tc>
          <w:tcPr>
            <w:tcW w:w="72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8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commitments</w:t>
      </w:r>
    </w:p>
    <w:p>
      <w:pPr>
        <w:spacing w:after="0" w:line="11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2017, no purchase commitments were related to the purchase of space for its online marketing services.</w:t>
      </w:r>
    </w:p>
    <w:p>
      <w:pPr>
        <w:spacing w:after="0" w:line="373"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17" w:lineRule="exact"/>
        <w:rPr>
          <w:rFonts w:ascii="Times New Roman" w:cs="Times New Roman" w:eastAsia="Times New Roman" w:hAnsi="Times New Roman"/>
          <w:sz w:val="18"/>
          <w:szCs w:val="18"/>
          <w:color w:val="auto"/>
        </w:rPr>
      </w:pPr>
    </w:p>
    <w:p>
      <w:pPr>
        <w:ind w:left="460" w:right="1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ordinary course of the business, the Group is subject to periodic legal or administrative proceedings. As of December 31, 2016 and June 30, 2017, the Group is not a party to any legal or administrative proceedings which will have a material adverse effect on the Group’s business, financial position, results of operations and cash flows.</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F-115</w:t>
      </w:r>
    </w:p>
    <w:p>
      <w:pPr>
        <w:sectPr>
          <w:pgSz w:w="11900" w:h="16838" w:orient="portrait"/>
          <w:cols w:equalWidth="0" w:num="1">
            <w:col w:w="11320"/>
          </w:cols>
          <w:pgMar w:left="240" w:top="455" w:right="339" w:bottom="1440" w:gutter="0" w:footer="0" w:header="0"/>
        </w:sectPr>
      </w:pPr>
    </w:p>
    <w:bookmarkStart w:id="336" w:name="page337"/>
    <w:bookmarkEnd w:id="3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117" w:lineRule="exact"/>
        <w:rPr>
          <w:sz w:val="20"/>
          <w:szCs w:val="20"/>
          <w:color w:val="auto"/>
        </w:rPr>
      </w:pPr>
    </w:p>
    <w:p>
      <w:pPr>
        <w:ind w:left="460" w:right="26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INTERIM CONDENSED CONSOLIDATED FINANCIAL STATEMENTS </w:t>
      </w:r>
      <w:r>
        <w:rPr>
          <w:rFonts w:ascii="Times New Roman" w:cs="Times New Roman" w:eastAsia="Times New Roman" w:hAnsi="Times New Roman"/>
          <w:sz w:val="18"/>
          <w:szCs w:val="18"/>
          <w:color w:val="auto"/>
        </w:rPr>
        <w:t>(US$’000, except share data and per share data, or otherwise noted)</w:t>
      </w:r>
    </w:p>
    <w:p>
      <w:pPr>
        <w:spacing w:after="0" w:line="200" w:lineRule="exact"/>
        <w:rPr>
          <w:sz w:val="20"/>
          <w:szCs w:val="20"/>
          <w:color w:val="auto"/>
        </w:rPr>
      </w:pPr>
    </w:p>
    <w:p>
      <w:pPr>
        <w:spacing w:after="0" w:line="252" w:lineRule="exact"/>
        <w:rPr>
          <w:sz w:val="20"/>
          <w:szCs w:val="20"/>
          <w:color w:val="auto"/>
        </w:rPr>
      </w:pPr>
    </w:p>
    <w:p>
      <w:pPr>
        <w:ind w:left="460" w:hanging="452"/>
        <w:spacing w:after="0"/>
        <w:tabs>
          <w:tab w:leader="none" w:pos="460" w:val="left"/>
        </w:tabs>
        <w:numPr>
          <w:ilvl w:val="0"/>
          <w:numId w:val="3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Unaudited pro forma balance sheet and net loss per share</w:t>
      </w:r>
    </w:p>
    <w:p>
      <w:pPr>
        <w:spacing w:after="0" w:line="121" w:lineRule="exact"/>
        <w:rPr>
          <w:rFonts w:ascii="Times New Roman" w:cs="Times New Roman" w:eastAsia="Times New Roman" w:hAnsi="Times New Roman"/>
          <w:sz w:val="18"/>
          <w:szCs w:val="18"/>
          <w:b w:val="1"/>
          <w:bCs w:val="1"/>
          <w:color w:val="auto"/>
        </w:rPr>
      </w:pPr>
    </w:p>
    <w:p>
      <w:pPr>
        <w:ind w:left="460" w:right="2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the completion of a qualified initial public offering, the Series A, B, C, D and E preferred shares shall automatically be converted into ordinary shares. The unaudited pro-forma balance sheet as of June 30, 2017 assumes a qualified initial public offering has occurred and presents an adjusted financial position as if the conversion of all outstanding Series A, B, C, D and E preferred shares into ordinary shares at the conversion ratio as described in Note 15 to the interim condensed consolidated financial statements occurred on June 30,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8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For the 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80" w:type="dxa"/>
            <w:vAlign w:val="bottom"/>
          </w:tcPr>
          <w:p>
            <w:pPr>
              <w:spacing w:after="0"/>
              <w:rPr>
                <w:sz w:val="12"/>
                <w:szCs w:val="12"/>
                <w:color w:val="auto"/>
              </w:rPr>
            </w:pPr>
          </w:p>
        </w:tc>
        <w:tc>
          <w:tcPr>
            <w:tcW w:w="172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color w:val="auto"/>
              </w:rPr>
              <w:t>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June 30, 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15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 attributable to iClick Interactive Asia Group Limited</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Accretion to convertible redeemable shares redemption value</w:t>
            </w: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to redeemable ordinary shares redemption value</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Fair value loss on derivative liabilities</w:t>
            </w: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14,727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Numerator for pro-forma basic and diluted net loss per share</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(7,518)</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9680" w:type="dxa"/>
            <w:vAlign w:val="bottom"/>
          </w:tcPr>
          <w:p>
            <w:pPr>
              <w:spacing w:after="0"/>
              <w:rPr>
                <w:sz w:val="7"/>
                <w:szCs w:val="7"/>
                <w:color w:val="auto"/>
              </w:rPr>
            </w:pPr>
          </w:p>
        </w:tc>
        <w:tc>
          <w:tcPr>
            <w:tcW w:w="1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13,618,905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Pro-forma effect of the conversion of Series A preferred shares</w:t>
            </w: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Pro-forma effect of the conversion of Series B preferred shares</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1,599,186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Pro-forma effect of the conversion of Series C preferred shares</w:t>
            </w: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1,889,249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Pro-forma effect of the conversion of Series D preferred shares</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2,476,190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Pro-forma effect of the conversion of Series E preferred shares</w:t>
            </w: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1,068,114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Pro-forma effect of redeemable ordinary shares</w:t>
            </w: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Denominator for pro-forma basic and diluted net loss per share</w:t>
            </w:r>
          </w:p>
        </w:tc>
        <w:tc>
          <w:tcPr>
            <w:tcW w:w="1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23,886,982</w:t>
            </w:r>
          </w:p>
        </w:tc>
        <w:tc>
          <w:tcPr>
            <w:tcW w:w="0" w:type="dxa"/>
            <w:vAlign w:val="bottom"/>
          </w:tcPr>
          <w:p>
            <w:pPr>
              <w:spacing w:after="0"/>
              <w:rPr>
                <w:sz w:val="1"/>
                <w:szCs w:val="1"/>
                <w:color w:val="auto"/>
              </w:rPr>
            </w:pPr>
          </w:p>
        </w:tc>
      </w:tr>
      <w:tr>
        <w:trPr>
          <w:trHeight w:val="324"/>
        </w:trPr>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Pro-forma net loss per share:</w:t>
            </w: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460" w:hanging="452"/>
        <w:spacing w:after="0"/>
        <w:tabs>
          <w:tab w:leader="none" w:pos="460" w:val="left"/>
        </w:tabs>
        <w:numPr>
          <w:ilvl w:val="0"/>
          <w:numId w:val="3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evaluated subsequent events through August 18, 2017, the date on which these financial statements were issued.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F-116</w:t>
      </w:r>
    </w:p>
    <w:p>
      <w:pPr>
        <w:sectPr>
          <w:pgSz w:w="11900" w:h="16838" w:orient="portrait"/>
          <w:cols w:equalWidth="0" w:num="1">
            <w:col w:w="11420"/>
          </w:cols>
          <w:pgMar w:left="240" w:top="455" w:right="239" w:bottom="1440" w:gutter="0" w:footer="0" w:header="0"/>
        </w:sectPr>
      </w:pPr>
    </w:p>
    <w:bookmarkStart w:id="337" w:name="page338"/>
    <w:bookmarkEnd w:id="3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Auditors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Management of OptAim Limited</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financial statements of OptAim Limited (the “Company”) and its subsidiaries (the “Group”), which comprise the consolidated balance sheet as of July 23, 2015, and the related consolidated statement of comprehensive loss, consolidated statement of changes in shareholders’ equity and consolidated statement of cash flows for the period from January 1, 2015 to July 23, 2015.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Responsibility for the Consolidated Financial Statements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Auditors’ Responsibility</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responsibility is to express an opinion on the consolidated financial statements based on our audit.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audit involves performing procedures to obtain audit evidence about the amounts and disclosures in the consolidated financial statements. The procedures selected depend on our judgment, including the assessment of the risks of material misstatement of the consolidated financial statements, whether due to fraud or error. In making those risk assessments, we consider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 We believe that the audit evidence we have obtained is sufficient and appropriate to provide a basis for our audit opinion.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OptAim Limited and its subsidiaries as of July 23, 2015, and the results of their operations and their cash flows for the period from January 1, 2015 to July 23, 2015 in accordance with accounting principles generally accepted in the United States of America.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PricewaterhouseCoopers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18, 2017</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F-117</w:t>
      </w:r>
    </w:p>
    <w:p>
      <w:pPr>
        <w:sectPr>
          <w:pgSz w:w="11900" w:h="16838" w:orient="portrait"/>
          <w:cols w:equalWidth="0" w:num="1">
            <w:col w:w="11420"/>
          </w:cols>
          <w:pgMar w:left="240" w:top="455" w:right="239" w:bottom="1440" w:gutter="0" w:footer="0" w:header="0"/>
        </w:sectPr>
      </w:pPr>
    </w:p>
    <w:bookmarkStart w:id="338" w:name="page339"/>
    <w:bookmarkEnd w:id="3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JULY 23,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w w:val="97"/>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July 23,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40" w:type="dxa"/>
            <w:vAlign w:val="bottom"/>
          </w:tcPr>
          <w:p>
            <w:pPr>
              <w:spacing w:after="0"/>
              <w:rPr>
                <w:sz w:val="16"/>
                <w:szCs w:val="16"/>
                <w:color w:val="auto"/>
              </w:rPr>
            </w:pPr>
          </w:p>
        </w:tc>
        <w:tc>
          <w:tcPr>
            <w:tcW w:w="76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Note</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US$nil as of July 23, 2015</w:t>
            </w:r>
          </w:p>
        </w:tc>
        <w:tc>
          <w:tcPr>
            <w:tcW w:w="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media costs</w:t>
            </w:r>
          </w:p>
        </w:tc>
        <w:tc>
          <w:tcPr>
            <w:tcW w:w="7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7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14,494</w:t>
            </w:r>
          </w:p>
        </w:tc>
        <w:tc>
          <w:tcPr>
            <w:tcW w:w="0" w:type="dxa"/>
            <w:vAlign w:val="bottom"/>
          </w:tcPr>
          <w:p>
            <w:pPr>
              <w:spacing w:after="0"/>
              <w:rPr>
                <w:sz w:val="1"/>
                <w:szCs w:val="1"/>
                <w:color w:val="auto"/>
              </w:rPr>
            </w:pPr>
          </w:p>
        </w:tc>
      </w:tr>
      <w:tr>
        <w:trPr>
          <w:trHeight w:val="223"/>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7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7</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equity</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Accounts payable (including accounts payable of the consolidated variable interest entity (“VIE”) and its subsidiary without recourse to</w:t>
            </w: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Company of US$1,096 as of July 23, 2015)</w:t>
            </w:r>
          </w:p>
        </w:tc>
        <w:tc>
          <w:tcPr>
            <w:tcW w:w="7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Customer deposits (including deferred revenue of the consolidated VIE and its subsidiary without recourse to the Company of of</w:t>
            </w: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US$5,240 as of July 23, 2015)</w:t>
            </w:r>
          </w:p>
        </w:tc>
        <w:tc>
          <w:tcPr>
            <w:tcW w:w="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5,240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Accrued liabilities and other current liabilities (including accrued liabilities and other current liabilities of the consolidated VIE and its</w:t>
            </w: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subsidiary without recourse to the Company of of US$521 as of July 23, 2015)</w:t>
            </w:r>
          </w:p>
        </w:tc>
        <w:tc>
          <w:tcPr>
            <w:tcW w:w="7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9</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Amount due to a related party (including amount due to a related party of the consolidated VIE and its subsidiary without recourse to the</w:t>
            </w: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 of of US$537 as of July 23, 2015)</w:t>
            </w:r>
          </w:p>
        </w:tc>
        <w:tc>
          <w:tcPr>
            <w:tcW w:w="7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tax payable (including income tax payable of the consolidated VIE and its subsidiary without recourse to the Company of of</w:t>
            </w: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US$44 as of July 23, 2015)</w:t>
            </w:r>
          </w:p>
        </w:tc>
        <w:tc>
          <w:tcPr>
            <w:tcW w:w="7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6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7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16</w:t>
            </w: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F-118</w:t>
      </w:r>
    </w:p>
    <w:p>
      <w:pPr>
        <w:sectPr>
          <w:pgSz w:w="11900" w:h="16838" w:orient="portrait"/>
          <w:cols w:equalWidth="0" w:num="1">
            <w:col w:w="11420"/>
          </w:cols>
          <w:pgMar w:left="240" w:top="455" w:right="239" w:bottom="1440" w:gutter="0" w:footer="0" w:header="0"/>
        </w:sectPr>
      </w:pPr>
    </w:p>
    <w:bookmarkStart w:id="339" w:name="page340"/>
    <w:bookmarkEnd w:id="3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 (CONTINUED)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JULY 23,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As of</w:t>
            </w:r>
          </w:p>
        </w:tc>
      </w:tr>
      <w:tr>
        <w:trPr>
          <w:trHeight w:val="149"/>
        </w:trPr>
        <w:tc>
          <w:tcPr>
            <w:tcW w:w="20" w:type="dxa"/>
            <w:vAlign w:val="bottom"/>
          </w:tcPr>
          <w:p>
            <w:pPr>
              <w:spacing w:after="0"/>
              <w:rPr>
                <w:sz w:val="12"/>
                <w:szCs w:val="12"/>
                <w:color w:val="auto"/>
              </w:rPr>
            </w:pPr>
          </w:p>
        </w:tc>
        <w:tc>
          <w:tcPr>
            <w:tcW w:w="10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July 23,</w:t>
            </w:r>
          </w:p>
        </w:tc>
      </w:tr>
      <w:tr>
        <w:trPr>
          <w:trHeight w:val="185"/>
        </w:trPr>
        <w:tc>
          <w:tcPr>
            <w:tcW w:w="20" w:type="dxa"/>
            <w:vAlign w:val="bottom"/>
          </w:tcPr>
          <w:p>
            <w:pPr>
              <w:spacing w:after="0"/>
              <w:rPr>
                <w:sz w:val="16"/>
                <w:szCs w:val="16"/>
                <w:color w:val="auto"/>
              </w:rPr>
            </w:pPr>
          </w:p>
        </w:tc>
        <w:tc>
          <w:tcPr>
            <w:tcW w:w="10040" w:type="dxa"/>
            <w:vAlign w:val="bottom"/>
          </w:tcPr>
          <w:p>
            <w:pPr>
              <w:spacing w:after="0"/>
              <w:rPr>
                <w:sz w:val="16"/>
                <w:szCs w:val="16"/>
                <w:color w:val="auto"/>
              </w:rPr>
            </w:pPr>
          </w:p>
        </w:tc>
        <w:tc>
          <w:tcPr>
            <w:tcW w:w="700" w:type="dxa"/>
            <w:vAlign w:val="bottom"/>
          </w:tcPr>
          <w:p>
            <w:pPr>
              <w:jc w:val="right"/>
              <w:ind w:right="194"/>
              <w:spacing w:after="0"/>
              <w:rPr>
                <w:sz w:val="20"/>
                <w:szCs w:val="20"/>
                <w:color w:val="auto"/>
              </w:rPr>
            </w:pPr>
            <w:r>
              <w:rPr>
                <w:rFonts w:ascii="Times New Roman" w:cs="Times New Roman" w:eastAsia="Times New Roman" w:hAnsi="Times New Roman"/>
                <w:sz w:val="14"/>
                <w:szCs w:val="14"/>
                <w:color w:val="auto"/>
              </w:rPr>
              <w:t>Note</w:t>
            </w: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100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Series A-2 convertible redeemable preferred shares (US$0.0002 par value; 15,909,091 shares authorized as of July 23, 2015;</w:t>
            </w: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10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15,909,091 shares issued and shares outstanding as of July 23, 2015)</w:t>
            </w: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6,734</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7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1004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Series A-1 convertible preferred shares (US$0.0002 par value; 25,000,000 shares authorized as of July 23, 2015; 25,000,000 shares</w:t>
            </w: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0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issued and shares outstanding as of July 23, 2015)</w:t>
            </w: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10</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198"/>
        </w:trPr>
        <w:tc>
          <w:tcPr>
            <w:tcW w:w="20" w:type="dxa"/>
            <w:vAlign w:val="bottom"/>
          </w:tcPr>
          <w:p>
            <w:pPr>
              <w:spacing w:after="0"/>
              <w:rPr>
                <w:sz w:val="17"/>
                <w:szCs w:val="17"/>
                <w:color w:val="auto"/>
              </w:rPr>
            </w:pPr>
          </w:p>
        </w:tc>
        <w:tc>
          <w:tcPr>
            <w:tcW w:w="1004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Ordinary shares (US$0.0002 par value; 250,000,000 shares authorized as of July 23, 2015; 55,000,000 shares issued and outstanding</w:t>
            </w:r>
          </w:p>
        </w:tc>
        <w:tc>
          <w:tcPr>
            <w:tcW w:w="7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0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as of July 23, 2015)</w:t>
            </w:r>
          </w:p>
        </w:tc>
        <w:tc>
          <w:tcPr>
            <w:tcW w:w="7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2,303</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Statutory reserves</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2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Currency translation differences</w:t>
            </w:r>
          </w:p>
        </w:tc>
        <w:tc>
          <w:tcPr>
            <w:tcW w:w="7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(2,050)</w:t>
            </w:r>
          </w:p>
        </w:tc>
      </w:tr>
      <w:tr>
        <w:trPr>
          <w:trHeight w:val="230"/>
        </w:trPr>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7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7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14,578</w:t>
            </w: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F-119</w:t>
      </w:r>
    </w:p>
    <w:p>
      <w:pPr>
        <w:sectPr>
          <w:pgSz w:w="11900" w:h="16838" w:orient="portrait"/>
          <w:cols w:equalWidth="0" w:num="1">
            <w:col w:w="11420"/>
          </w:cols>
          <w:pgMar w:left="240" w:top="456" w:right="239" w:bottom="1440" w:gutter="0" w:footer="0" w:header="0"/>
        </w:sectPr>
      </w:pPr>
    </w:p>
    <w:bookmarkStart w:id="340" w:name="page341"/>
    <w:bookmarkEnd w:id="3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PERIOD FROM JANUARY 1, 2015 TO JULY 23,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2015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9"/>
              </w:rPr>
              <w:t>July 23,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3120" w:type="dxa"/>
            <w:vAlign w:val="bottom"/>
          </w:tcPr>
          <w:p>
            <w:pPr>
              <w:jc w:val="right"/>
              <w:ind w:right="419"/>
              <w:spacing w:after="0"/>
              <w:rPr>
                <w:sz w:val="20"/>
                <w:szCs w:val="20"/>
                <w:color w:val="auto"/>
              </w:rPr>
            </w:pPr>
            <w:r>
              <w:rPr>
                <w:rFonts w:ascii="Times New Roman" w:cs="Times New Roman" w:eastAsia="Times New Roman" w:hAnsi="Times New Roman"/>
                <w:sz w:val="14"/>
                <w:szCs w:val="14"/>
                <w:color w:val="auto"/>
              </w:rPr>
              <w:t>Note</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1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228"/>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8"/>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Profit before income tax expense</w:t>
            </w:r>
          </w:p>
        </w:tc>
        <w:tc>
          <w:tcPr>
            <w:tcW w:w="3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12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8"/>
                <w:szCs w:val="18"/>
                <w:color w:val="auto"/>
              </w:rPr>
              <w:t>14</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8"/>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profit attributable to OptAim Limited’s ordinary shareholders</w:t>
            </w:r>
          </w:p>
        </w:tc>
        <w:tc>
          <w:tcPr>
            <w:tcW w:w="3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7460" w:type="dxa"/>
            <w:vAlign w:val="bottom"/>
          </w:tcPr>
          <w:p>
            <w:pPr>
              <w:spacing w:after="0"/>
              <w:rPr>
                <w:sz w:val="8"/>
                <w:szCs w:val="8"/>
                <w:color w:val="auto"/>
              </w:rPr>
            </w:pPr>
          </w:p>
        </w:tc>
        <w:tc>
          <w:tcPr>
            <w:tcW w:w="3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 net of US$nil tax</w:t>
            </w:r>
          </w:p>
        </w:tc>
        <w:tc>
          <w:tcPr>
            <w:tcW w:w="3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 attributable to OptAim Limited</w:t>
            </w:r>
          </w:p>
        </w:tc>
        <w:tc>
          <w:tcPr>
            <w:tcW w:w="3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F-120</w:t>
      </w:r>
    </w:p>
    <w:p>
      <w:pPr>
        <w:sectPr>
          <w:pgSz w:w="11900" w:h="16838" w:orient="portrait"/>
          <w:cols w:equalWidth="0" w:num="1">
            <w:col w:w="11420"/>
          </w:cols>
          <w:pgMar w:left="240" w:top="455" w:right="239" w:bottom="1440" w:gutter="0" w:footer="0" w:header="0"/>
        </w:sectPr>
      </w:pPr>
    </w:p>
    <w:bookmarkStart w:id="341" w:name="page342"/>
    <w:bookmarkEnd w:id="3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SHAREHOLDERS’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PERIOD FROM JANUARY 1, 2015 TO JULY 23,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06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color w:val="auto"/>
              </w:rPr>
              <w:t>Series A1 convertible preferred</w:t>
            </w:r>
          </w:p>
        </w:tc>
        <w:tc>
          <w:tcPr>
            <w:tcW w:w="150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Ordinary shares</w:t>
            </w: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60" w:type="dxa"/>
            <w:vAlign w:val="bottom"/>
            <w:gridSpan w:val="2"/>
          </w:tcPr>
          <w:p>
            <w:pPr>
              <w:jc w:val="center"/>
              <w:ind w:left="637"/>
              <w:spacing w:after="0"/>
              <w:rPr>
                <w:sz w:val="20"/>
                <w:szCs w:val="20"/>
                <w:color w:val="auto"/>
              </w:rPr>
            </w:pPr>
            <w:r>
              <w:rPr>
                <w:rFonts w:ascii="Times New Roman" w:cs="Times New Roman" w:eastAsia="Times New Roman" w:hAnsi="Times New Roman"/>
                <w:sz w:val="14"/>
                <w:szCs w:val="14"/>
                <w:color w:val="auto"/>
              </w:rPr>
              <w:t>shares</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w w:val="99"/>
              </w:rPr>
              <w:t>Currency</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4"/>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16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Number of</w:t>
            </w:r>
          </w:p>
        </w:tc>
        <w:tc>
          <w:tcPr>
            <w:tcW w:w="7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Borders>
              <w:top w:val="single" w:sz="8" w:color="auto"/>
            </w:tcBorders>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Number of</w:t>
            </w:r>
          </w:p>
        </w:tc>
        <w:tc>
          <w:tcPr>
            <w:tcW w:w="4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Additional</w:t>
            </w: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w w:val="99"/>
              </w:rPr>
              <w:t>Accumulated</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Statutory</w:t>
            </w:r>
          </w:p>
        </w:tc>
        <w:tc>
          <w:tcPr>
            <w:tcW w:w="88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Amount</w:t>
            </w:r>
          </w:p>
        </w:tc>
        <w:tc>
          <w:tcPr>
            <w:tcW w:w="840" w:type="dxa"/>
            <w:vAlign w:val="bottom"/>
            <w:gridSpan w:val="2"/>
            <w:vMerge w:val="continue"/>
          </w:tcPr>
          <w:p>
            <w:pPr>
              <w:spacing w:after="0"/>
              <w:rPr>
                <w:sz w:val="12"/>
                <w:szCs w:val="12"/>
                <w:color w:val="auto"/>
              </w:rPr>
            </w:pPr>
          </w:p>
        </w:tc>
        <w:tc>
          <w:tcPr>
            <w:tcW w:w="6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w w:val="95"/>
              </w:rPr>
              <w:t>Amount</w:t>
            </w:r>
          </w:p>
        </w:tc>
        <w:tc>
          <w:tcPr>
            <w:tcW w:w="10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gridSpan w:val="2"/>
            <w:vMerge w:val="continue"/>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shares</w:t>
            </w:r>
          </w:p>
        </w:tc>
        <w:tc>
          <w:tcPr>
            <w:tcW w:w="660" w:type="dxa"/>
            <w:vAlign w:val="bottom"/>
            <w:gridSpan w:val="2"/>
            <w:vMerge w:val="continue"/>
          </w:tcPr>
          <w:p>
            <w:pPr>
              <w:spacing w:after="0"/>
              <w:rPr>
                <w:sz w:val="15"/>
                <w:szCs w:val="15"/>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w w:val="99"/>
              </w:rPr>
              <w:t>paid-in capital</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deficit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Reserve</w:t>
            </w: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differences</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(deficit)/equity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2015</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55,000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1,706</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(2,076)</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597</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Beneficial conversion feature of Series A-</w:t>
            </w: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 preferred shares</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7,125</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beneficial conversion</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feature of Series A-1 preferred shares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(7,125)</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July 23, 2015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55,000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2,303</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(2,050)</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F-121</w:t>
      </w:r>
    </w:p>
    <w:p>
      <w:pPr>
        <w:sectPr>
          <w:pgSz w:w="11900" w:h="16838" w:orient="portrait"/>
          <w:cols w:equalWidth="0" w:num="1">
            <w:col w:w="11420"/>
          </w:cols>
          <w:pgMar w:left="240" w:top="455" w:right="239" w:bottom="1440" w:gutter="0" w:footer="0" w:header="0"/>
        </w:sectPr>
      </w:pPr>
    </w:p>
    <w:bookmarkStart w:id="342" w:name="page343"/>
    <w:bookmarkEnd w:id="3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PERIOD FROM JANUARY 1, 2015 TO JULY 23, 2015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580" w:type="dxa"/>
            <w:vAlign w:val="bottom"/>
          </w:tcPr>
          <w:p>
            <w:pPr>
              <w:spacing w:after="0"/>
              <w:rPr>
                <w:sz w:val="13"/>
                <w:szCs w:val="13"/>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Period from</w:t>
            </w:r>
          </w:p>
        </w:tc>
      </w:tr>
      <w:tr>
        <w:trPr>
          <w:trHeight w:val="149"/>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January 1,</w:t>
            </w:r>
          </w:p>
        </w:tc>
      </w:tr>
      <w:tr>
        <w:trPr>
          <w:trHeight w:val="149"/>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2015 to</w:t>
            </w:r>
          </w:p>
        </w:tc>
      </w:tr>
      <w:tr>
        <w:trPr>
          <w:trHeight w:val="149"/>
        </w:trPr>
        <w:tc>
          <w:tcPr>
            <w:tcW w:w="20" w:type="dxa"/>
            <w:vAlign w:val="bottom"/>
          </w:tcPr>
          <w:p>
            <w:pPr>
              <w:spacing w:after="0"/>
              <w:rPr>
                <w:sz w:val="12"/>
                <w:szCs w:val="12"/>
                <w:color w:val="auto"/>
              </w:rPr>
            </w:pPr>
          </w:p>
        </w:tc>
        <w:tc>
          <w:tcPr>
            <w:tcW w:w="105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9"/>
              </w:rPr>
              <w:t>July 23,</w:t>
            </w:r>
          </w:p>
        </w:tc>
      </w:tr>
      <w:tr>
        <w:trPr>
          <w:trHeight w:val="185"/>
        </w:trPr>
        <w:tc>
          <w:tcPr>
            <w:tcW w:w="20" w:type="dxa"/>
            <w:vAlign w:val="bottom"/>
          </w:tcPr>
          <w:p>
            <w:pPr>
              <w:spacing w:after="0"/>
              <w:rPr>
                <w:sz w:val="16"/>
                <w:szCs w:val="16"/>
                <w:color w:val="auto"/>
              </w:rPr>
            </w:pPr>
          </w:p>
        </w:tc>
        <w:tc>
          <w:tcPr>
            <w:tcW w:w="105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Net profit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(2,857)</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media costs</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(4,882)</w:t>
            </w: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1,298</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w:t>
            </w: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2,455</w:t>
            </w:r>
          </w:p>
        </w:tc>
      </w:tr>
      <w:tr>
        <w:trPr>
          <w:trHeight w:val="223"/>
        </w:trPr>
        <w:tc>
          <w:tcPr>
            <w:tcW w:w="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payable</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(2,438)</w:t>
            </w:r>
          </w:p>
        </w:tc>
      </w:tr>
      <w:tr>
        <w:trPr>
          <w:trHeight w:val="223"/>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activity</w:t>
            </w: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activity</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Series A-2 convertible redeemable preferred shares</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amount due to a related party</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r>
      <w:tr>
        <w:trPr>
          <w:trHeight w:val="223"/>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(628)</w:t>
            </w: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1,932</w:t>
            </w: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on exchange rate changes on cash and cash equivalents</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period</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financing activity:</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Beneficial conversion feature of Series A-1 preferred shareholder</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F-122</w:t>
      </w:r>
    </w:p>
    <w:p>
      <w:pPr>
        <w:sectPr>
          <w:pgSz w:w="11900" w:h="16838" w:orient="portrait"/>
          <w:cols w:equalWidth="0" w:num="1">
            <w:col w:w="11420"/>
          </w:cols>
          <w:pgMar w:left="240" w:top="455" w:right="239" w:bottom="1440" w:gutter="0" w:footer="0" w:header="0"/>
        </w:sectPr>
      </w:pPr>
    </w:p>
    <w:bookmarkStart w:id="343" w:name="page344"/>
    <w:bookmarkEnd w:id="3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351" w:lineRule="exact"/>
        <w:rPr>
          <w:sz w:val="20"/>
          <w:szCs w:val="20"/>
          <w:color w:val="auto"/>
        </w:rPr>
      </w:pPr>
    </w:p>
    <w:p>
      <w:pPr>
        <w:ind w:left="460" w:hanging="452"/>
        <w:spacing w:after="0"/>
        <w:tabs>
          <w:tab w:leader="none" w:pos="460" w:val="left"/>
        </w:tabs>
        <w:numPr>
          <w:ilvl w:val="0"/>
          <w:numId w:val="3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131" w:lineRule="exact"/>
        <w:rPr>
          <w:sz w:val="20"/>
          <w:szCs w:val="20"/>
          <w:color w:val="auto"/>
        </w:rPr>
      </w:pPr>
    </w:p>
    <w:p>
      <w:pPr>
        <w:ind w:left="460" w:hanging="452"/>
        <w:spacing w:after="0"/>
        <w:tabs>
          <w:tab w:leader="none" w:pos="460" w:val="left"/>
        </w:tabs>
        <w:numPr>
          <w:ilvl w:val="0"/>
          <w:numId w:val="3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w:t>
      </w:r>
    </w:p>
    <w:p>
      <w:pPr>
        <w:spacing w:after="0" w:line="121" w:lineRule="exact"/>
        <w:rPr>
          <w:rFonts w:ascii="Times New Roman" w:cs="Times New Roman" w:eastAsia="Times New Roman" w:hAnsi="Times New Roman"/>
          <w:sz w:val="18"/>
          <w:szCs w:val="18"/>
          <w:b w:val="1"/>
          <w:bCs w:val="1"/>
          <w:color w:val="auto"/>
        </w:rPr>
      </w:pPr>
    </w:p>
    <w:p>
      <w:pPr>
        <w:ind w:left="460" w:right="3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OptAim Limited (“OptAim” or the “Company”) and its subsidiaries (collectively referred to as the “Group”) are engaged in the provision of online advertising services with a focus of mobile device in the People’s Republic of China (the “PRC”) market.</w:t>
      </w:r>
    </w:p>
    <w:p>
      <w:pPr>
        <w:spacing w:after="0" w:line="53" w:lineRule="exact"/>
        <w:rPr>
          <w:rFonts w:ascii="Times New Roman" w:cs="Times New Roman" w:eastAsia="Times New Roman" w:hAnsi="Times New Roman"/>
          <w:sz w:val="18"/>
          <w:szCs w:val="18"/>
          <w:b w:val="1"/>
          <w:bCs w:val="1"/>
          <w:color w:val="auto"/>
        </w:rPr>
      </w:pPr>
    </w:p>
    <w:p>
      <w:pPr>
        <w:ind w:left="46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iClick Interactive Asia Group Limited (“Optimix”) acquired 100% equity interest of OptAim on July 24, 2015, which is considered the effective date of the acquisition for the purpose of the accompanying consolidated financial statements. The consolidated statement of comprehensive loss, of changes in shareholders’ equity and cash flows, are prepared for the period from January 1, 2015 to July 23, 2015 (the “Period”). The accompanying consolidated financial statements include the financial statements of the legal entities and variable interest entities (“VIEs”) as follows:</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 of direct</w:t>
            </w:r>
          </w:p>
        </w:tc>
        <w:tc>
          <w:tcPr>
            <w:tcW w:w="10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Date of</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Place of</w:t>
            </w:r>
          </w:p>
        </w:tc>
        <w:tc>
          <w:tcPr>
            <w:tcW w:w="136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Principal</w:t>
            </w:r>
          </w:p>
        </w:tc>
        <w:tc>
          <w:tcPr>
            <w:tcW w:w="0" w:type="dxa"/>
            <w:vAlign w:val="bottom"/>
          </w:tcPr>
          <w:p>
            <w:pPr>
              <w:spacing w:after="0"/>
              <w:rPr>
                <w:sz w:val="1"/>
                <w:szCs w:val="1"/>
                <w:color w:val="auto"/>
              </w:rPr>
            </w:pPr>
          </w:p>
        </w:tc>
      </w:tr>
      <w:tr>
        <w:trPr>
          <w:trHeight w:val="149"/>
        </w:trPr>
        <w:tc>
          <w:tcPr>
            <w:tcW w:w="4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Name</w:t>
            </w: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Relationship</w:t>
            </w:r>
          </w:p>
        </w:tc>
        <w:tc>
          <w:tcPr>
            <w:tcW w:w="9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or indirect</w:t>
            </w:r>
          </w:p>
        </w:tc>
        <w:tc>
          <w:tcPr>
            <w:tcW w:w="1080" w:type="dxa"/>
            <w:vAlign w:val="bottom"/>
            <w:gridSpan w:val="2"/>
            <w:vMerge w:val="continue"/>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incorporation/</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920" w:type="dxa"/>
            <w:vAlign w:val="bottom"/>
            <w:gridSpan w:val="2"/>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ownership</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incorporation</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establishment</w:t>
            </w:r>
          </w:p>
        </w:tc>
        <w:tc>
          <w:tcPr>
            <w:tcW w:w="13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activities</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9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OptAim (HK) Limited</w:t>
            </w:r>
          </w:p>
        </w:tc>
        <w:tc>
          <w:tcPr>
            <w:tcW w:w="9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Subsidiary</w:t>
            </w:r>
          </w:p>
        </w:tc>
        <w:tc>
          <w:tcPr>
            <w:tcW w:w="80" w:type="dxa"/>
            <w:vAlign w:val="bottom"/>
            <w:vMerge w:val="continue"/>
            <w:shd w:val="clear" w:color="auto" w:fill="CCEEFF"/>
          </w:tcPr>
          <w:p>
            <w:pPr>
              <w:spacing w:after="0"/>
              <w:rPr>
                <w:sz w:val="16"/>
                <w:szCs w:val="16"/>
                <w:color w:val="auto"/>
              </w:rPr>
            </w:pPr>
          </w:p>
        </w:tc>
        <w:tc>
          <w:tcPr>
            <w:tcW w:w="84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vMerge w:val="continue"/>
            <w:shd w:val="clear" w:color="auto" w:fill="CCEEFF"/>
          </w:tcPr>
          <w:p>
            <w:pPr>
              <w:spacing w:after="0"/>
              <w:rPr>
                <w:sz w:val="16"/>
                <w:szCs w:val="16"/>
                <w:color w:val="auto"/>
              </w:rPr>
            </w:pPr>
          </w:p>
        </w:tc>
        <w:tc>
          <w:tcPr>
            <w:tcW w:w="9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July 2014</w:t>
            </w:r>
          </w:p>
        </w:tc>
        <w:tc>
          <w:tcPr>
            <w:tcW w:w="100" w:type="dxa"/>
            <w:vAlign w:val="bottom"/>
            <w:vMerge w:val="continue"/>
            <w:shd w:val="clear" w:color="auto" w:fill="CCEEFF"/>
          </w:tcPr>
          <w:p>
            <w:pPr>
              <w:spacing w:after="0"/>
              <w:rPr>
                <w:sz w:val="16"/>
                <w:szCs w:val="16"/>
                <w:color w:val="auto"/>
              </w:rPr>
            </w:pPr>
          </w:p>
        </w:tc>
        <w:tc>
          <w:tcPr>
            <w:tcW w:w="1080" w:type="dxa"/>
            <w:vAlign w:val="bottom"/>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Hong Kong</w:t>
            </w:r>
          </w:p>
        </w:tc>
        <w:tc>
          <w:tcPr>
            <w:tcW w:w="100" w:type="dxa"/>
            <w:vAlign w:val="bottom"/>
            <w:vMerge w:val="continue"/>
            <w:shd w:val="clear" w:color="auto" w:fill="CCEEFF"/>
          </w:tcPr>
          <w:p>
            <w:pPr>
              <w:spacing w:after="0"/>
              <w:rPr>
                <w:sz w:val="16"/>
                <w:szCs w:val="16"/>
                <w:color w:val="auto"/>
              </w:rPr>
            </w:pPr>
          </w:p>
        </w:tc>
        <w:tc>
          <w:tcPr>
            <w:tcW w:w="13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Investment</w:t>
            </w:r>
          </w:p>
        </w:tc>
        <w:tc>
          <w:tcPr>
            <w:tcW w:w="0" w:type="dxa"/>
            <w:vAlign w:val="bottom"/>
          </w:tcPr>
          <w:p>
            <w:pPr>
              <w:spacing w:after="0"/>
              <w:rPr>
                <w:sz w:val="1"/>
                <w:szCs w:val="1"/>
                <w:color w:val="auto"/>
              </w:rPr>
            </w:pPr>
          </w:p>
        </w:tc>
      </w:tr>
      <w:tr>
        <w:trPr>
          <w:trHeight w:val="234"/>
        </w:trPr>
        <w:tc>
          <w:tcPr>
            <w:tcW w:w="34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holding</w:t>
            </w:r>
          </w:p>
        </w:tc>
        <w:tc>
          <w:tcPr>
            <w:tcW w:w="0" w:type="dxa"/>
            <w:vAlign w:val="bottom"/>
          </w:tcPr>
          <w:p>
            <w:pPr>
              <w:spacing w:after="0"/>
              <w:rPr>
                <w:sz w:val="1"/>
                <w:szCs w:val="1"/>
                <w:color w:val="auto"/>
              </w:rPr>
            </w:pPr>
          </w:p>
        </w:tc>
      </w:tr>
      <w:tr>
        <w:trPr>
          <w:trHeight w:val="198"/>
        </w:trPr>
        <w:tc>
          <w:tcPr>
            <w:tcW w:w="4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OptAim (Beijing) Information Technology Co., Ltd.</w:t>
            </w:r>
          </w:p>
        </w:tc>
        <w:tc>
          <w:tcPr>
            <w:tcW w:w="1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Subsidiary</w:t>
            </w:r>
          </w:p>
        </w:tc>
        <w:tc>
          <w:tcPr>
            <w:tcW w:w="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7"/>
                <w:szCs w:val="17"/>
                <w:color w:val="auto"/>
              </w:rPr>
            </w:pPr>
          </w:p>
        </w:tc>
        <w:tc>
          <w:tcPr>
            <w:tcW w:w="1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November</w:t>
            </w:r>
          </w:p>
        </w:tc>
        <w:tc>
          <w:tcPr>
            <w:tcW w:w="11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The PRC</w:t>
            </w:r>
          </w:p>
        </w:tc>
        <w:tc>
          <w:tcPr>
            <w:tcW w:w="1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Investment</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(WFOE)</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holding</w:t>
            </w:r>
          </w:p>
        </w:tc>
        <w:tc>
          <w:tcPr>
            <w:tcW w:w="0" w:type="dxa"/>
            <w:vAlign w:val="bottom"/>
          </w:tcPr>
          <w:p>
            <w:pPr>
              <w:spacing w:after="0"/>
              <w:rPr>
                <w:sz w:val="1"/>
                <w:szCs w:val="1"/>
                <w:color w:val="auto"/>
              </w:rPr>
            </w:pPr>
          </w:p>
        </w:tc>
      </w:tr>
      <w:tr>
        <w:trPr>
          <w:trHeight w:val="211"/>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Beijing OptAim Network Technology Co., Ltd.</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VIE</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w:t>
            </w:r>
          </w:p>
        </w:tc>
        <w:tc>
          <w:tcPr>
            <w:tcW w:w="11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The PRC</w:t>
            </w:r>
          </w:p>
        </w:tc>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w:t>
            </w:r>
          </w:p>
        </w:tc>
        <w:tc>
          <w:tcPr>
            <w:tcW w:w="0" w:type="dxa"/>
            <w:vAlign w:val="bottom"/>
          </w:tcPr>
          <w:p>
            <w:pPr>
              <w:spacing w:after="0"/>
              <w:rPr>
                <w:sz w:val="1"/>
                <w:szCs w:val="1"/>
                <w:color w:val="auto"/>
              </w:rPr>
            </w:pPr>
          </w:p>
        </w:tc>
      </w:tr>
      <w:tr>
        <w:trPr>
          <w:trHeight w:val="234"/>
        </w:trPr>
        <w:tc>
          <w:tcPr>
            <w:tcW w:w="340" w:type="dxa"/>
            <w:vAlign w:val="bottom"/>
            <w:shd w:val="clear" w:color="auto" w:fill="CCEEFF"/>
          </w:tcPr>
          <w:p>
            <w:pPr>
              <w:spacing w:after="0"/>
              <w:rPr>
                <w:sz w:val="20"/>
                <w:szCs w:val="20"/>
                <w:color w:val="auto"/>
              </w:rPr>
            </w:pPr>
          </w:p>
        </w:tc>
        <w:tc>
          <w:tcPr>
            <w:tcW w:w="45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solutions</w:t>
            </w:r>
          </w:p>
        </w:tc>
        <w:tc>
          <w:tcPr>
            <w:tcW w:w="0" w:type="dxa"/>
            <w:vAlign w:val="bottom"/>
          </w:tcPr>
          <w:p>
            <w:pPr>
              <w:spacing w:after="0"/>
              <w:rPr>
                <w:sz w:val="1"/>
                <w:szCs w:val="1"/>
                <w:color w:val="auto"/>
              </w:rPr>
            </w:pPr>
          </w:p>
        </w:tc>
      </w:tr>
      <w:tr>
        <w:trPr>
          <w:trHeight w:val="198"/>
        </w:trPr>
        <w:tc>
          <w:tcPr>
            <w:tcW w:w="4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Zhiyunzhong (Shanghai) Technology Co., Ltd.</w:t>
            </w:r>
          </w:p>
        </w:tc>
        <w:tc>
          <w:tcPr>
            <w:tcW w:w="1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VIE’s</w:t>
            </w:r>
          </w:p>
        </w:tc>
        <w:tc>
          <w:tcPr>
            <w:tcW w:w="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Pr>
          <w:p>
            <w:pPr>
              <w:spacing w:after="0"/>
              <w:rPr>
                <w:sz w:val="17"/>
                <w:szCs w:val="17"/>
                <w:color w:val="auto"/>
              </w:rPr>
            </w:pPr>
          </w:p>
        </w:tc>
        <w:tc>
          <w:tcPr>
            <w:tcW w:w="1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September</w:t>
            </w:r>
          </w:p>
        </w:tc>
        <w:tc>
          <w:tcPr>
            <w:tcW w:w="11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The PRC</w:t>
            </w:r>
          </w:p>
        </w:tc>
        <w:tc>
          <w:tcPr>
            <w:tcW w:w="1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Internet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 and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solutions</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460" w:hanging="452"/>
        <w:spacing w:after="0"/>
        <w:tabs>
          <w:tab w:leader="none" w:pos="460" w:val="left"/>
        </w:tabs>
        <w:numPr>
          <w:ilvl w:val="0"/>
          <w:numId w:val="3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Reorganization</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was incorporated in the Cayman Islands in July 2014.</w:t>
      </w:r>
    </w:p>
    <w:p>
      <w:pPr>
        <w:spacing w:after="0" w:line="117" w:lineRule="exact"/>
        <w:rPr>
          <w:rFonts w:ascii="Times New Roman" w:cs="Times New Roman" w:eastAsia="Times New Roman" w:hAnsi="Times New Roman"/>
          <w:sz w:val="18"/>
          <w:szCs w:val="18"/>
          <w:b w:val="1"/>
          <w:bCs w:val="1"/>
          <w:color w:val="auto"/>
        </w:rPr>
      </w:pPr>
    </w:p>
    <w:p>
      <w:pPr>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began its operations in September 2012 through Beijing OptAim Network Technology Co., Ltd. (“OptAim VIE”), a PRC domestic company established by our founders. OptAim VIE established one wholly owned subsidiary, Zhiyun Zhong (Shanghai) Technology Co., Ltd. (“Shanghai OptAim”), in September 2014.</w:t>
      </w:r>
    </w:p>
    <w:p>
      <w:pPr>
        <w:spacing w:after="0" w:line="68" w:lineRule="exact"/>
        <w:rPr>
          <w:rFonts w:ascii="Times New Roman" w:cs="Times New Roman" w:eastAsia="Times New Roman" w:hAnsi="Times New Roman"/>
          <w:sz w:val="18"/>
          <w:szCs w:val="18"/>
          <w:b w:val="1"/>
          <w:bCs w:val="1"/>
          <w:color w:val="auto"/>
        </w:rPr>
      </w:pPr>
    </w:p>
    <w:p>
      <w:pPr>
        <w:ind w:left="460" w:right="2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2014, the Group undertook a reorganization (“Restructuring”) and established the Company under the laws of the Cayman Islands; the Company established a wholly owned Hong Kong subsidiary, OptAim (HK) Limited (“OptAim HK”), which in turn established a wholly owned subsidiary in China, OptAim (Beijing) Information Technology Co., Ltd. (“OptAim WFOE”) or a wholly foreign owned enterprise (“WFOE”) of the Company.</w:t>
      </w:r>
    </w:p>
    <w:p>
      <w:pPr>
        <w:spacing w:after="0" w:line="71" w:lineRule="exact"/>
        <w:rPr>
          <w:rFonts w:ascii="Times New Roman" w:cs="Times New Roman" w:eastAsia="Times New Roman" w:hAnsi="Times New Roman"/>
          <w:sz w:val="18"/>
          <w:szCs w:val="18"/>
          <w:b w:val="1"/>
          <w:bCs w:val="1"/>
          <w:color w:val="auto"/>
        </w:rPr>
      </w:pPr>
    </w:p>
    <w:p>
      <w:pPr>
        <w:ind w:left="460"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15, 2015, OptAim WFOE entered into a series of contractual agreements (“VIE agreements”) amongst OptAim VIE and OptAim VIE’s legal shareholders. The Restructuring was undertaken in order to facilitate an international financing completed in January 2015 as well as to comply with relevant government regulations and policies in the PRC. Prior to the Restructuring, the Group’s founders held 100%</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F-123</w:t>
      </w:r>
    </w:p>
    <w:p>
      <w:pPr>
        <w:sectPr>
          <w:pgSz w:w="11900" w:h="16838" w:orient="portrait"/>
          <w:cols w:equalWidth="0" w:num="1">
            <w:col w:w="11420"/>
          </w:cols>
          <w:pgMar w:left="240" w:top="455" w:right="239" w:bottom="1440" w:gutter="0" w:footer="0" w:header="0"/>
        </w:sectPr>
      </w:pPr>
    </w:p>
    <w:bookmarkStart w:id="344" w:name="page345"/>
    <w:bookmarkEnd w:id="3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3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Reorganization (Continued)</w:t>
      </w:r>
    </w:p>
    <w:p>
      <w:pPr>
        <w:spacing w:after="0" w:line="134" w:lineRule="exact"/>
        <w:rPr>
          <w:rFonts w:ascii="Times New Roman" w:cs="Times New Roman" w:eastAsia="Times New Roman" w:hAnsi="Times New Roman"/>
          <w:sz w:val="18"/>
          <w:szCs w:val="18"/>
          <w:b w:val="1"/>
          <w:bCs w:val="1"/>
          <w:color w:val="auto"/>
        </w:rPr>
      </w:pPr>
    </w:p>
    <w:p>
      <w:pPr>
        <w:ind w:left="4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 the beneficial ownership interest in OptAim VIE. In the Restructuring, the Cayman Islands entity was established with the same beneficial ownership structure as OptAim VIE. Therefore, the Group’s founders held 100% of the beneficial ownership interests in, and maintained control of, the Group immediately before and after the Restructuring.</w:t>
      </w:r>
    </w:p>
    <w:p>
      <w:pPr>
        <w:spacing w:after="0" w:line="68" w:lineRule="exact"/>
        <w:rPr>
          <w:rFonts w:ascii="Times New Roman" w:cs="Times New Roman" w:eastAsia="Times New Roman" w:hAnsi="Times New Roman"/>
          <w:sz w:val="18"/>
          <w:szCs w:val="18"/>
          <w:b w:val="1"/>
          <w:bCs w:val="1"/>
          <w:color w:val="auto"/>
        </w:rPr>
      </w:pPr>
    </w:p>
    <w:p>
      <w:pPr>
        <w:ind w:left="460" w:right="2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entities included in the Restructuring were under common control and the two reorganizations have been accounted for in a manner akin to a common control transaction as if the Company, through its wholly owned subsidiaries, had been in existence and been the primary beneficiary of the VIE throughout the periods presented in the consolidated financial statements.</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VIE and VIE’s subsidiary</w:t>
      </w:r>
    </w:p>
    <w:p>
      <w:pPr>
        <w:spacing w:after="0" w:line="121" w:lineRule="exact"/>
        <w:rPr>
          <w:rFonts w:ascii="Times New Roman" w:cs="Times New Roman" w:eastAsia="Times New Roman" w:hAnsi="Times New Roman"/>
          <w:sz w:val="18"/>
          <w:szCs w:val="18"/>
          <w:b w:val="1"/>
          <w:bCs w:val="1"/>
          <w:color w:val="auto"/>
        </w:rPr>
      </w:pPr>
    </w:p>
    <w:p>
      <w:pPr>
        <w:jc w:val="both"/>
        <w:ind w:left="460"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comply with PRC laws and regulations that prohibit or restrict foreign ownership of companies that provide online advertising services, certain of the Group’s operations are conducted through OptAim VIE and its subsidiary, Shanghai OptAim. OptAim WFOE, a wholly owned subsidiary of the Company, entered into a series of contractual agreements amongst OptAim VIE and OptAim VIE’s legal shareholders.</w:t>
      </w:r>
    </w:p>
    <w:p>
      <w:pPr>
        <w:spacing w:after="0" w:line="284"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OptAim VIE</w:t>
      </w:r>
    </w:p>
    <w:p>
      <w:pPr>
        <w:spacing w:after="0" w:line="117" w:lineRule="exact"/>
        <w:rPr>
          <w:rFonts w:ascii="Times New Roman" w:cs="Times New Roman" w:eastAsia="Times New Roman" w:hAnsi="Times New Roman"/>
          <w:sz w:val="18"/>
          <w:szCs w:val="18"/>
          <w:b w:val="1"/>
          <w:bCs w:val="1"/>
          <w:color w:val="auto"/>
        </w:rPr>
      </w:pPr>
    </w:p>
    <w:p>
      <w:pPr>
        <w:ind w:left="46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relationships with OptAim VIE and its shareholders are governed by the following contractual arrangements which were entered into on January 16, 2015:</w:t>
      </w:r>
    </w:p>
    <w:p>
      <w:pPr>
        <w:spacing w:after="0" w:line="67" w:lineRule="exact"/>
        <w:rPr>
          <w:sz w:val="20"/>
          <w:szCs w:val="20"/>
          <w:color w:val="auto"/>
        </w:rPr>
      </w:pPr>
    </w:p>
    <w:p>
      <w:pPr>
        <w:ind w:left="900" w:hanging="446"/>
        <w:spacing w:after="0"/>
        <w:tabs>
          <w:tab w:leader="none" w:pos="90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 Agreement</w:t>
      </w:r>
    </w:p>
    <w:p>
      <w:pPr>
        <w:spacing w:after="0" w:line="117" w:lineRule="exact"/>
        <w:rPr>
          <w:sz w:val="20"/>
          <w:szCs w:val="20"/>
          <w:color w:val="auto"/>
        </w:rPr>
      </w:pPr>
    </w:p>
    <w:p>
      <w:pPr>
        <w:ind w:left="920" w:right="80"/>
        <w:spacing w:after="0" w:line="261" w:lineRule="auto"/>
        <w:rPr>
          <w:sz w:val="20"/>
          <w:szCs w:val="20"/>
          <w:color w:val="auto"/>
        </w:rPr>
      </w:pPr>
      <w:r>
        <w:rPr>
          <w:rFonts w:ascii="Times New Roman" w:cs="Times New Roman" w:eastAsia="Times New Roman" w:hAnsi="Times New Roman"/>
          <w:sz w:val="18"/>
          <w:szCs w:val="18"/>
          <w:color w:val="auto"/>
        </w:rPr>
        <w:t>Under the cooperative agreement between OptAim WFOE and OptAim VIE, OptAim WFOE has the exclusive right to provide to OptAim VIE, among others, technical consulting, technical support, business consulting, and appointment and dismissal of employees. OptAim WFOE will collect a fee from OptAim VIE to be determined at the sole discretion of Beijing OptAim. The term of this agreement will not expire unless OptAim WFOE provides prior written notice to OptAim VIE.</w:t>
      </w:r>
    </w:p>
    <w:p>
      <w:pPr>
        <w:spacing w:after="0" w:line="86" w:lineRule="exact"/>
        <w:rPr>
          <w:sz w:val="20"/>
          <w:szCs w:val="20"/>
          <w:color w:val="auto"/>
        </w:rPr>
      </w:pPr>
    </w:p>
    <w:p>
      <w:pPr>
        <w:ind w:left="900" w:hanging="446"/>
        <w:spacing w:after="0"/>
        <w:tabs>
          <w:tab w:leader="none" w:pos="90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Option Agreement</w:t>
      </w:r>
    </w:p>
    <w:p>
      <w:pPr>
        <w:spacing w:after="0" w:line="117" w:lineRule="exact"/>
        <w:rPr>
          <w:sz w:val="20"/>
          <w:szCs w:val="20"/>
          <w:color w:val="auto"/>
        </w:rPr>
      </w:pPr>
    </w:p>
    <w:p>
      <w:pPr>
        <w:ind w:left="920"/>
        <w:spacing w:after="0" w:line="256" w:lineRule="auto"/>
        <w:rPr>
          <w:sz w:val="20"/>
          <w:szCs w:val="20"/>
          <w:color w:val="auto"/>
        </w:rPr>
      </w:pPr>
      <w:r>
        <w:rPr>
          <w:rFonts w:ascii="Times New Roman" w:cs="Times New Roman" w:eastAsia="Times New Roman" w:hAnsi="Times New Roman"/>
          <w:sz w:val="18"/>
          <w:szCs w:val="18"/>
          <w:color w:val="auto"/>
        </w:rPr>
        <w:t>The parties to the purchase option agreement are OptAim WFOE, OptAim VIE and each of the shareholders of OptAim VIE. Under the purchase option agreement, each of the shareholder of OptAim VIE irrevocably granted OptAim WFOE or its designated representative(s) an exclusive option to purchase, to the extent permitted under PRC law, all or part of its equity interests in OptAim VIE. OptAim WFOE or its designated representative(s) have sole discretion as to when to exercise such options, either in part or in full. Without OptAim WFOE’s prior written consent, OptAim VIE’s shareholders shall not sell, transfer, mortgage or otherwise dispose their equity interests in OptAim VIE. The agreement will not expire until all shares of OptAim VIE are transferred to OptAim WFOE or its designated representative(s).</w:t>
      </w:r>
    </w:p>
    <w:p>
      <w:pPr>
        <w:spacing w:after="0" w:line="93" w:lineRule="exact"/>
        <w:rPr>
          <w:sz w:val="20"/>
          <w:szCs w:val="20"/>
          <w:color w:val="auto"/>
        </w:rPr>
      </w:pPr>
    </w:p>
    <w:p>
      <w:pPr>
        <w:ind w:left="900" w:hanging="446"/>
        <w:spacing w:after="0"/>
        <w:tabs>
          <w:tab w:leader="none" w:pos="90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w:t>
      </w:r>
    </w:p>
    <w:p>
      <w:pPr>
        <w:spacing w:after="0" w:line="117" w:lineRule="exact"/>
        <w:rPr>
          <w:sz w:val="20"/>
          <w:szCs w:val="20"/>
          <w:color w:val="auto"/>
        </w:rPr>
      </w:pPr>
    </w:p>
    <w:p>
      <w:pPr>
        <w:jc w:val="both"/>
        <w:ind w:left="920"/>
        <w:spacing w:after="0" w:line="266" w:lineRule="auto"/>
        <w:rPr>
          <w:sz w:val="20"/>
          <w:szCs w:val="20"/>
          <w:color w:val="auto"/>
        </w:rPr>
      </w:pPr>
      <w:r>
        <w:rPr>
          <w:rFonts w:ascii="Times New Roman" w:cs="Times New Roman" w:eastAsia="Times New Roman" w:hAnsi="Times New Roman"/>
          <w:sz w:val="18"/>
          <w:szCs w:val="18"/>
          <w:color w:val="auto"/>
        </w:rPr>
        <w:t>Pursuant to the irrevocable power of attorney executed by the shareholders of OptAim VIE, the shareholders of OptAim VIE appointed OptAim WFOE as its attorney-in-fact to exercise all shareholders’ rights in OptAim VIE, including, without limitation, the power to vote on all matters of OptAim VIE requiring shareholder approval under PRC laws and regulations and the articles of</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F-124</w:t>
      </w:r>
    </w:p>
    <w:p>
      <w:pPr>
        <w:sectPr>
          <w:pgSz w:w="11900" w:h="16838" w:orient="portrait"/>
          <w:cols w:equalWidth="0" w:num="1">
            <w:col w:w="11400"/>
          </w:cols>
          <w:pgMar w:left="240" w:top="456" w:right="259" w:bottom="1440" w:gutter="0" w:footer="0" w:header="0"/>
        </w:sectPr>
      </w:pPr>
    </w:p>
    <w:bookmarkStart w:id="345" w:name="page346"/>
    <w:bookmarkEnd w:id="3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3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VIE and VIE’s subsidiary (Continued)</w:t>
      </w:r>
    </w:p>
    <w:p>
      <w:pPr>
        <w:spacing w:after="0" w:line="1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association of OptAim VIE. The power of attorney will remain in force until OptAim WFOE provides prior written notice to OptAim VIE.</w:t>
      </w:r>
    </w:p>
    <w:p>
      <w:pPr>
        <w:spacing w:after="0" w:line="131" w:lineRule="exact"/>
        <w:rPr>
          <w:sz w:val="20"/>
          <w:szCs w:val="20"/>
          <w:color w:val="auto"/>
        </w:rPr>
      </w:pPr>
    </w:p>
    <w:p>
      <w:pPr>
        <w:ind w:left="900" w:hanging="446"/>
        <w:spacing w:after="0"/>
        <w:tabs>
          <w:tab w:leader="none" w:pos="90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Agreement</w:t>
      </w:r>
    </w:p>
    <w:p>
      <w:pPr>
        <w:spacing w:after="0" w:line="117" w:lineRule="exact"/>
        <w:rPr>
          <w:sz w:val="20"/>
          <w:szCs w:val="20"/>
          <w:color w:val="auto"/>
        </w:rPr>
      </w:pPr>
    </w:p>
    <w:p>
      <w:pPr>
        <w:ind w:left="920"/>
        <w:spacing w:after="0" w:line="256" w:lineRule="auto"/>
        <w:rPr>
          <w:sz w:val="20"/>
          <w:szCs w:val="20"/>
          <w:color w:val="auto"/>
        </w:rPr>
      </w:pPr>
      <w:r>
        <w:rPr>
          <w:rFonts w:ascii="Times New Roman" w:cs="Times New Roman" w:eastAsia="Times New Roman" w:hAnsi="Times New Roman"/>
          <w:sz w:val="18"/>
          <w:szCs w:val="18"/>
          <w:color w:val="auto"/>
        </w:rPr>
        <w:t>Pursuant to the pledge agreement between OptAim WFOE and the shareholders of OptAim VIE, the shareholders of OptAim VIE have pledged all of their equity interests in OptAim VIE to OptAim WFOE to guarantee the performance by OptAim VIE under the cooperative agreement, purchase option agreement, and power of attorney. If OptAim VIE and/or its shareholders breach their contractual obligations under those agreements, OptAim WFOE, as pledgee, will be entitled to certain rights, including the right to sell the pledged equity interests. Under the pledge agreement, the shareholders of OptAim VIE are not able to provide any other guarantee by pledging the shares of OptAim VIE, transfer or sell their pledged shares to other individual, increase share capital of OptAim VIE or transfer or sell the assets out of OptAim VIE.</w:t>
      </w:r>
    </w:p>
    <w:p>
      <w:pPr>
        <w:spacing w:after="0" w:line="80" w:lineRule="exact"/>
        <w:rPr>
          <w:sz w:val="20"/>
          <w:szCs w:val="20"/>
          <w:color w:val="auto"/>
        </w:rPr>
      </w:pPr>
    </w:p>
    <w:p>
      <w:pPr>
        <w:ind w:left="460" w:right="160"/>
        <w:spacing w:after="0" w:line="282" w:lineRule="auto"/>
        <w:rPr>
          <w:sz w:val="20"/>
          <w:szCs w:val="20"/>
          <w:color w:val="auto"/>
        </w:rPr>
      </w:pPr>
      <w:r>
        <w:rPr>
          <w:rFonts w:ascii="Times New Roman" w:cs="Times New Roman" w:eastAsia="Times New Roman" w:hAnsi="Times New Roman"/>
          <w:sz w:val="18"/>
          <w:szCs w:val="18"/>
          <w:color w:val="auto"/>
        </w:rPr>
        <w:t>Through the aforementioned contractual agreements, OptAim VIE is considered a VIE in accordance with Generally Accepted Accounting Principles in the United States (“US GAAP”) because the Company, through OptAim WFOE has the ability to:</w:t>
      </w:r>
    </w:p>
    <w:p>
      <w:pPr>
        <w:spacing w:after="0" w:line="67" w:lineRule="exact"/>
        <w:rPr>
          <w:sz w:val="20"/>
          <w:szCs w:val="20"/>
          <w:color w:val="auto"/>
        </w:rPr>
      </w:pPr>
    </w:p>
    <w:p>
      <w:pPr>
        <w:ind w:left="1460" w:right="60" w:hanging="547"/>
        <w:spacing w:after="0" w:line="282" w:lineRule="auto"/>
        <w:tabs>
          <w:tab w:leader="none" w:pos="146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effective control over OptAim VIE whereby having the power to direct OptAim VIE’s activities that most significantly drive the economic results of OptAim VIE;</w:t>
      </w:r>
    </w:p>
    <w:p>
      <w:pPr>
        <w:spacing w:after="0" w:line="67" w:lineRule="exact"/>
        <w:rPr>
          <w:rFonts w:ascii="Times New Roman" w:cs="Times New Roman" w:eastAsia="Times New Roman" w:hAnsi="Times New Roman"/>
          <w:sz w:val="18"/>
          <w:szCs w:val="18"/>
          <w:color w:val="auto"/>
        </w:rPr>
      </w:pPr>
    </w:p>
    <w:p>
      <w:pPr>
        <w:ind w:left="1460" w:right="400" w:hanging="547"/>
        <w:spacing w:after="0" w:line="282" w:lineRule="auto"/>
        <w:tabs>
          <w:tab w:leader="none" w:pos="146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and residual returns, and absorb substantially all the risks and expected losses from OptAim VIE as if it was their sole shareholder; and</w:t>
      </w:r>
    </w:p>
    <w:p>
      <w:pPr>
        <w:spacing w:after="0" w:line="67"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exclusive option to purchase all of the equity interests in OptAim VIE.</w:t>
      </w:r>
    </w:p>
    <w:p>
      <w:pPr>
        <w:spacing w:after="0" w:line="117" w:lineRule="exact"/>
        <w:rPr>
          <w:sz w:val="20"/>
          <w:szCs w:val="20"/>
          <w:color w:val="auto"/>
        </w:rPr>
      </w:pPr>
    </w:p>
    <w:p>
      <w:pPr>
        <w:ind w:left="460" w:right="320"/>
        <w:spacing w:after="0" w:line="266" w:lineRule="auto"/>
        <w:rPr>
          <w:sz w:val="20"/>
          <w:szCs w:val="20"/>
          <w:color w:val="auto"/>
        </w:rPr>
      </w:pPr>
      <w:r>
        <w:rPr>
          <w:rFonts w:ascii="Times New Roman" w:cs="Times New Roman" w:eastAsia="Times New Roman" w:hAnsi="Times New Roman"/>
          <w:sz w:val="18"/>
          <w:szCs w:val="18"/>
          <w:color w:val="auto"/>
        </w:rPr>
        <w:t>Management evaluated the relationships among the Company, OptAim WFOE and OptAim VIE, and concluded that OptAim WFOE is the primary beneficiary of the VIEs. As a result, the VIEs’ results of operations, assets and liabilities have been included in the Group’s consolidated financial statements.</w:t>
      </w:r>
    </w:p>
    <w:p>
      <w:pPr>
        <w:spacing w:after="0" w:line="68" w:lineRule="exact"/>
        <w:rPr>
          <w:sz w:val="20"/>
          <w:szCs w:val="20"/>
          <w:color w:val="auto"/>
        </w:rPr>
      </w:pPr>
    </w:p>
    <w:p>
      <w:pPr>
        <w:ind w:left="460" w:right="280"/>
        <w:spacing w:after="0" w:line="266" w:lineRule="auto"/>
        <w:rPr>
          <w:sz w:val="20"/>
          <w:szCs w:val="20"/>
          <w:color w:val="auto"/>
        </w:rPr>
      </w:pPr>
      <w:r>
        <w:rPr>
          <w:rFonts w:ascii="Times New Roman" w:cs="Times New Roman" w:eastAsia="Times New Roman" w:hAnsi="Times New Roman"/>
          <w:sz w:val="18"/>
          <w:szCs w:val="18"/>
          <w:color w:val="auto"/>
        </w:rPr>
        <w:t>As of July 23, 2015, the total assets of OptAim VIE and its subsidiary were US$14,227, mainly comprising cash and cash equivalents, accounts receivable, prepayments and other current assets, property and equipment. As of July 23, 2015, the total liabilities of OptAim VIE and its subsidiary were US$7,439, mainly comprising deferred revenue, accrued liabilities and other current liabilities.</w:t>
      </w:r>
    </w:p>
    <w:p>
      <w:pPr>
        <w:spacing w:after="0" w:line="68" w:lineRule="exact"/>
        <w:rPr>
          <w:sz w:val="20"/>
          <w:szCs w:val="20"/>
          <w:color w:val="auto"/>
        </w:rPr>
      </w:pPr>
    </w:p>
    <w:p>
      <w:pPr>
        <w:ind w:left="460" w:right="60"/>
        <w:spacing w:after="0" w:line="258" w:lineRule="auto"/>
        <w:rPr>
          <w:sz w:val="20"/>
          <w:szCs w:val="20"/>
          <w:color w:val="auto"/>
        </w:rPr>
      </w:pPr>
      <w:r>
        <w:rPr>
          <w:rFonts w:ascii="Times New Roman" w:cs="Times New Roman" w:eastAsia="Times New Roman" w:hAnsi="Times New Roman"/>
          <w:sz w:val="18"/>
          <w:szCs w:val="18"/>
          <w:color w:val="auto"/>
        </w:rPr>
        <w:t>In accordance with the aforementioned agreements, the Company has power to direct activities of OptAim VIE, and can have assets transferred out of OptAim VIE. Therefore the Company considers that there is no asset in OptAim VIE that can be used only to settle obligations of OptAim VIE, except for registered capital and PRC statutory reserves of OptAim VIE amounting to US$2,081 as of July 23, 2015. As OptAim VIE were incorporated as limited liability company under the PRC Company Law, the creditors do not have recourse to the general credit of the Company for all the liabilities of the VIEs. Currently there is no contractual arrangement that could require the Company to provide additional financial support to OptAim VIE.</w:t>
      </w:r>
    </w:p>
    <w:p>
      <w:pPr>
        <w:spacing w:after="0" w:line="76" w:lineRule="exact"/>
        <w:rPr>
          <w:sz w:val="20"/>
          <w:szCs w:val="20"/>
          <w:color w:val="auto"/>
        </w:rPr>
      </w:pPr>
    </w:p>
    <w:p>
      <w:pPr>
        <w:ind w:left="460" w:right="200"/>
        <w:spacing w:after="0" w:line="282" w:lineRule="auto"/>
        <w:rPr>
          <w:sz w:val="20"/>
          <w:szCs w:val="20"/>
          <w:color w:val="auto"/>
        </w:rPr>
      </w:pPr>
      <w:r>
        <w:rPr>
          <w:rFonts w:ascii="Times New Roman" w:cs="Times New Roman" w:eastAsia="Times New Roman" w:hAnsi="Times New Roman"/>
          <w:sz w:val="18"/>
          <w:szCs w:val="18"/>
          <w:color w:val="auto"/>
        </w:rPr>
        <w:t>As the Company is conducting its PRC online advertising services business through OptAim VIE, the Company will, if needed, provide such support on a discretional basis in the future, which could expose the Company to a loss.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is no VIE where the Company has variable interest but is not the primary beneficiary.</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F-125</w:t>
      </w:r>
    </w:p>
    <w:p>
      <w:pPr>
        <w:sectPr>
          <w:pgSz w:w="11900" w:h="16838" w:orient="portrait"/>
          <w:cols w:equalWidth="0" w:num="1">
            <w:col w:w="11420"/>
          </w:cols>
          <w:pgMar w:left="240" w:top="455" w:right="239" w:bottom="1440" w:gutter="0" w:footer="0" w:header="0"/>
        </w:sectPr>
      </w:pPr>
    </w:p>
    <w:bookmarkStart w:id="346" w:name="page347"/>
    <w:bookmarkEnd w:id="3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 (Continued)</w:t>
      </w:r>
    </w:p>
    <w:p>
      <w:pPr>
        <w:spacing w:after="0" w:line="131" w:lineRule="exact"/>
        <w:rPr>
          <w:sz w:val="20"/>
          <w:szCs w:val="20"/>
          <w:color w:val="auto"/>
        </w:rPr>
      </w:pPr>
    </w:p>
    <w:p>
      <w:pPr>
        <w:ind w:left="460" w:hanging="452"/>
        <w:spacing w:after="0"/>
        <w:tabs>
          <w:tab w:leader="none" w:pos="460" w:val="left"/>
        </w:tabs>
        <w:numPr>
          <w:ilvl w:val="0"/>
          <w:numId w:val="3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Consolidated VIE and VIE’s subsidiary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believes that the contractual arrangements among OptAim VIE,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71" w:lineRule="exact"/>
        <w:rPr>
          <w:rFonts w:ascii="Times New Roman" w:cs="Times New Roman" w:eastAsia="Times New Roman" w:hAnsi="Times New Roman"/>
          <w:sz w:val="18"/>
          <w:szCs w:val="18"/>
          <w:b w:val="1"/>
          <w:bCs w:val="1"/>
          <w:color w:val="auto"/>
        </w:rPr>
      </w:pPr>
    </w:p>
    <w:p>
      <w:pPr>
        <w:ind w:left="46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ability to control OptAim VIE also depends on the power of attorney and OptAim WFOE has to vote on all matters requiring shareholder approval in OptAim VIE. As noted above, the Company believes this power of attorney is legally enforceable but may not be as effective as direct equity ownership.</w:t>
      </w:r>
    </w:p>
    <w:p>
      <w:pPr>
        <w:spacing w:after="0" w:line="321" w:lineRule="exact"/>
        <w:rPr>
          <w:sz w:val="20"/>
          <w:szCs w:val="20"/>
          <w:color w:val="auto"/>
        </w:rPr>
      </w:pPr>
    </w:p>
    <w:p>
      <w:pPr>
        <w:ind w:left="460" w:hanging="452"/>
        <w:spacing w:after="0"/>
        <w:tabs>
          <w:tab w:leader="none" w:pos="460" w:val="left"/>
        </w:tabs>
        <w:numPr>
          <w:ilvl w:val="0"/>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w:t>
      </w:r>
    </w:p>
    <w:p>
      <w:pPr>
        <w:spacing w:after="0" w:line="131" w:lineRule="exact"/>
        <w:rPr>
          <w:sz w:val="20"/>
          <w:szCs w:val="20"/>
          <w:color w:val="auto"/>
        </w:rPr>
      </w:pPr>
    </w:p>
    <w:p>
      <w:pPr>
        <w:ind w:left="460" w:hanging="452"/>
        <w:spacing w:after="0"/>
        <w:tabs>
          <w:tab w:leader="none" w:pos="460" w:val="left"/>
        </w:tabs>
        <w:numPr>
          <w:ilvl w:val="0"/>
          <w:numId w:val="3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rFonts w:ascii="Times New Roman" w:cs="Times New Roman" w:eastAsia="Times New Roman" w:hAnsi="Times New Roman"/>
          <w:sz w:val="18"/>
          <w:szCs w:val="18"/>
          <w:b w:val="1"/>
          <w:bCs w:val="1"/>
          <w:color w:val="auto"/>
        </w:rPr>
      </w:pPr>
    </w:p>
    <w:p>
      <w:pPr>
        <w:ind w:left="4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consolidated financial statements have been prepared in accordance with the US GAAP. Significant accounting policies followed by the Company in the preparation of the accompanying consolidated financial statements are summarized below.</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121" w:lineRule="exact"/>
        <w:rPr>
          <w:rFonts w:ascii="Times New Roman" w:cs="Times New Roman" w:eastAsia="Times New Roman" w:hAnsi="Times New Roman"/>
          <w:sz w:val="18"/>
          <w:szCs w:val="18"/>
          <w:b w:val="1"/>
          <w:bCs w:val="1"/>
          <w:color w:val="auto"/>
        </w:rPr>
      </w:pPr>
    </w:p>
    <w:p>
      <w:pPr>
        <w:ind w:left="46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the Group’s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68" w:lineRule="exact"/>
        <w:rPr>
          <w:rFonts w:ascii="Times New Roman" w:cs="Times New Roman" w:eastAsia="Times New Roman" w:hAnsi="Times New Roman"/>
          <w:sz w:val="18"/>
          <w:szCs w:val="18"/>
          <w:b w:val="1"/>
          <w:bCs w:val="1"/>
          <w:color w:val="auto"/>
        </w:rPr>
      </w:pPr>
    </w:p>
    <w:p>
      <w:pPr>
        <w:ind w:left="4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believes that revenue recognition, consolidation of VIEs, determination of share-based compensation, measurement of redemption value of redeemable preferred shares and impairment assessment of long-lived assets that reflect more significant judgments and estimates used in the preparation of its consolidated financial statements.</w:t>
      </w:r>
    </w:p>
    <w:p>
      <w:pPr>
        <w:spacing w:after="0" w:line="68" w:lineRule="exact"/>
        <w:rPr>
          <w:rFonts w:ascii="Times New Roman" w:cs="Times New Roman" w:eastAsia="Times New Roman" w:hAnsi="Times New Roman"/>
          <w:sz w:val="18"/>
          <w:szCs w:val="18"/>
          <w:b w:val="1"/>
          <w:bCs w:val="1"/>
          <w:color w:val="auto"/>
        </w:rPr>
      </w:pPr>
    </w:p>
    <w:p>
      <w:pPr>
        <w:ind w:left="460" w:right="5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Consolidation</w:t>
      </w:r>
    </w:p>
    <w:p>
      <w:pPr>
        <w:spacing w:after="0" w:line="121" w:lineRule="exact"/>
        <w:rPr>
          <w:rFonts w:ascii="Times New Roman" w:cs="Times New Roman" w:eastAsia="Times New Roman" w:hAnsi="Times New Roman"/>
          <w:sz w:val="18"/>
          <w:szCs w:val="18"/>
          <w:b w:val="1"/>
          <w:bCs w:val="1"/>
          <w:color w:val="auto"/>
        </w:rPr>
      </w:pPr>
    </w:p>
    <w:p>
      <w:pPr>
        <w:ind w:left="460"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consolidated financial statements include the financial statements of the Company, its subsidiaries, its VIE and the VIE’s subsidiary for which the Company or its subsidiary is the primary beneficiary. All transactions and balances among the Company, its subsidiaries, its VIE and the VIE’s subsidiary have been eliminated upon consolidation.</w:t>
      </w:r>
    </w:p>
    <w:p>
      <w:pPr>
        <w:spacing w:after="0" w:line="68" w:lineRule="exact"/>
        <w:rPr>
          <w:rFonts w:ascii="Times New Roman" w:cs="Times New Roman" w:eastAsia="Times New Roman" w:hAnsi="Times New Roman"/>
          <w:sz w:val="18"/>
          <w:szCs w:val="18"/>
          <w:b w:val="1"/>
          <w:bCs w:val="1"/>
          <w:color w:val="auto"/>
        </w:rPr>
      </w:pPr>
    </w:p>
    <w:p>
      <w:pPr>
        <w:jc w:val="both"/>
        <w:ind w:left="4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F-126</w:t>
      </w:r>
    </w:p>
    <w:p>
      <w:pPr>
        <w:sectPr>
          <w:pgSz w:w="11900" w:h="16838" w:orient="portrait"/>
          <w:cols w:equalWidth="0" w:num="1">
            <w:col w:w="11400"/>
          </w:cols>
          <w:pgMar w:left="240" w:top="455" w:right="259" w:bottom="1440" w:gutter="0" w:footer="0" w:header="0"/>
        </w:sectPr>
      </w:pPr>
    </w:p>
    <w:bookmarkStart w:id="347" w:name="page348"/>
    <w:bookmarkEnd w:id="3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Consolidation (Continued)</w:t>
      </w:r>
    </w:p>
    <w:p>
      <w:pPr>
        <w:spacing w:after="0" w:line="134" w:lineRule="exact"/>
        <w:rPr>
          <w:rFonts w:ascii="Times New Roman" w:cs="Times New Roman" w:eastAsia="Times New Roman" w:hAnsi="Times New Roman"/>
          <w:sz w:val="18"/>
          <w:szCs w:val="18"/>
          <w:b w:val="1"/>
          <w:bCs w:val="1"/>
          <w:color w:val="auto"/>
        </w:rPr>
      </w:pPr>
    </w:p>
    <w:p>
      <w:pPr>
        <w:ind w:left="460" w:right="1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VIE is an entity in which the Company, or its subsidiary, through contractual agreements, bears the risks of, and enjoys the rewards normally associated with ownership of the entity. In determining whether the Company or its subsidiaries are the primary beneficiary, the Company considered whether it has the power to direct activities that are significant to the VIE’s economic performance, and also the Group’s obligation to absorb losses of the VIE that could potentially be significant to the VIE or the right to receive benefits from the VIE that could potentially be significant to the VIE. OptAim WFOE and ultimately the Company hold all the variable interests of the VIE and its subsidiary, and has been determined to be the primary beneficiary of the VIE.</w:t>
      </w:r>
    </w:p>
    <w:p>
      <w:pPr>
        <w:spacing w:after="0" w:line="332"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 translation</w:t>
      </w:r>
    </w:p>
    <w:p>
      <w:pPr>
        <w:spacing w:after="0" w:line="121" w:lineRule="exact"/>
        <w:rPr>
          <w:rFonts w:ascii="Times New Roman" w:cs="Times New Roman" w:eastAsia="Times New Roman" w:hAnsi="Times New Roman"/>
          <w:sz w:val="18"/>
          <w:szCs w:val="18"/>
          <w:b w:val="1"/>
          <w:bCs w:val="1"/>
          <w:color w:val="auto"/>
        </w:rPr>
      </w:pPr>
    </w:p>
    <w:p>
      <w:pPr>
        <w:ind w:left="460" w:right="4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reporting currency of the Company is presented in thousands of United States dollars (“US$’000”) unless otherwise stated. The Company is a holding company engaged in capital raising and financing activities denominated in US$. As such, the Company’s functional currency has been determined to be the US$. The cash flows of the Company’s non-PRC subsidiary are denominated in US$, and its functional currency has been determined to be US$. The financial records of the Company’s PRC subsidiary, VIE and its subsidiary are maintained in their local currency, the Renminbi (“RMB”), which is their functional currency.</w:t>
      </w:r>
    </w:p>
    <w:p>
      <w:pPr>
        <w:spacing w:after="0" w:line="75" w:lineRule="exact"/>
        <w:rPr>
          <w:rFonts w:ascii="Times New Roman" w:cs="Times New Roman" w:eastAsia="Times New Roman" w:hAnsi="Times New Roman"/>
          <w:sz w:val="18"/>
          <w:szCs w:val="18"/>
          <w:b w:val="1"/>
          <w:bCs w:val="1"/>
          <w:color w:val="auto"/>
        </w:rPr>
      </w:pPr>
    </w:p>
    <w:p>
      <w:pPr>
        <w:ind w:left="460"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 Transaction gains and losses are recognized in “Other income, net”. Assets and liabilities of the Group’s subsidiaries and VIEs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consolidated statement of changes in shareholders’ deficit and comprehensive loss.</w:t>
      </w:r>
    </w:p>
    <w:p>
      <w:pPr>
        <w:spacing w:after="0" w:line="333"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rFonts w:ascii="Times New Roman" w:cs="Times New Roman" w:eastAsia="Times New Roman" w:hAnsi="Times New Roman"/>
          <w:sz w:val="18"/>
          <w:szCs w:val="18"/>
          <w:b w:val="1"/>
          <w:bCs w:val="1"/>
          <w:color w:val="auto"/>
        </w:rPr>
      </w:pPr>
    </w:p>
    <w:p>
      <w:pPr>
        <w:ind w:left="4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Fair value measurements are based on a fair value hierarchy, based on three levels of inputs, of which the first two are considered observable and the last unobservable, that may be used to measure fair value which are the following:</w:t>
      </w:r>
    </w:p>
    <w:p>
      <w:pPr>
        <w:spacing w:after="0" w:line="75" w:lineRule="exact"/>
        <w:rPr>
          <w:rFonts w:ascii="Times New Roman" w:cs="Times New Roman" w:eastAsia="Times New Roman" w:hAnsi="Times New Roman"/>
          <w:sz w:val="18"/>
          <w:szCs w:val="18"/>
          <w:b w:val="1"/>
          <w:bCs w:val="1"/>
          <w:color w:val="auto"/>
        </w:rPr>
      </w:pPr>
    </w:p>
    <w:p>
      <w:pPr>
        <w:ind w:left="4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 — Quoted prices (unadjusted) in active markets for identical assets or liabilities that the Company has the ability to access at the measurement date.</w:t>
      </w:r>
    </w:p>
    <w:p>
      <w:pPr>
        <w:spacing w:after="0" w:line="53" w:lineRule="exact"/>
        <w:rPr>
          <w:rFonts w:ascii="Times New Roman" w:cs="Times New Roman" w:eastAsia="Times New Roman" w:hAnsi="Times New Roman"/>
          <w:sz w:val="18"/>
          <w:szCs w:val="18"/>
          <w:b w:val="1"/>
          <w:bCs w:val="1"/>
          <w:color w:val="auto"/>
        </w:rPr>
      </w:pPr>
    </w:p>
    <w:p>
      <w:pPr>
        <w:ind w:left="460" w:right="4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such as quoted market prices for similar assets and liabilities; quoted prices in markets that are not active; or other inputs that are observable or can be corroborated by observable market data for substantially the full term of the asset or liability.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F-127</w:t>
      </w:r>
    </w:p>
    <w:p>
      <w:pPr>
        <w:sectPr>
          <w:pgSz w:w="11900" w:h="16838" w:orient="portrait"/>
          <w:cols w:equalWidth="0" w:num="1">
            <w:col w:w="11400"/>
          </w:cols>
          <w:pgMar w:left="240" w:top="455" w:right="259" w:bottom="1440" w:gutter="0" w:footer="0" w:header="0"/>
        </w:sectPr>
      </w:pPr>
    </w:p>
    <w:bookmarkStart w:id="348" w:name="page349"/>
    <w:bookmarkEnd w:id="3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 (Continued)</w:t>
      </w:r>
    </w:p>
    <w:p>
      <w:pPr>
        <w:spacing w:after="0" w:line="134" w:lineRule="exact"/>
        <w:rPr>
          <w:rFonts w:ascii="Times New Roman" w:cs="Times New Roman" w:eastAsia="Times New Roman" w:hAnsi="Times New Roman"/>
          <w:sz w:val="18"/>
          <w:szCs w:val="18"/>
          <w:b w:val="1"/>
          <w:bCs w:val="1"/>
          <w:color w:val="auto"/>
        </w:rPr>
      </w:pPr>
    </w:p>
    <w:p>
      <w:pPr>
        <w:ind w:left="460" w:right="560"/>
        <w:spacing w:after="0" w:line="3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 — Unobservable inputs to the valuation methodology that are significant to the measurement of the fair value of the assets or liabilities. Observable inputs are based on market data obtained from independent sources.</w:t>
      </w:r>
    </w:p>
    <w:p>
      <w:pPr>
        <w:spacing w:after="0" w:line="1" w:lineRule="exact"/>
        <w:rPr>
          <w:rFonts w:ascii="Times New Roman" w:cs="Times New Roman" w:eastAsia="Times New Roman" w:hAnsi="Times New Roman"/>
          <w:sz w:val="18"/>
          <w:szCs w:val="18"/>
          <w:b w:val="1"/>
          <w:bCs w:val="1"/>
          <w:color w:val="auto"/>
        </w:rPr>
      </w:pPr>
    </w:p>
    <w:p>
      <w:pPr>
        <w:ind w:left="4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carrying amounts of cash and cash equivalents, accounts receivable, prepayment and other current assets, accounts payable, accrued liabilities and other current liabilities, deferred revenue and amount due to a related party, approximate to their fair value due to the short-term nature of these instruments.</w:t>
      </w:r>
    </w:p>
    <w:p>
      <w:pPr>
        <w:spacing w:after="0" w:line="68" w:lineRule="exact"/>
        <w:rPr>
          <w:rFonts w:ascii="Times New Roman" w:cs="Times New Roman" w:eastAsia="Times New Roman" w:hAnsi="Times New Roman"/>
          <w:sz w:val="18"/>
          <w:szCs w:val="18"/>
          <w:b w:val="1"/>
          <w:bCs w:val="1"/>
          <w:color w:val="auto"/>
        </w:rPr>
      </w:pPr>
    </w:p>
    <w:p>
      <w:pPr>
        <w:ind w:left="4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assets are also subject to measurement at fair value on a non-recurring basis if they are deemed to be impaired as a result of an impairment review. For the period from January 1, 2015 to July 23, 2015, no impairments were recorded on those assets required to be measured at fair value on a non-recurring basis.</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rFonts w:ascii="Times New Roman" w:cs="Times New Roman" w:eastAsia="Times New Roman" w:hAnsi="Times New Roman"/>
          <w:sz w:val="18"/>
          <w:szCs w:val="18"/>
          <w:b w:val="1"/>
          <w:bCs w:val="1"/>
          <w:color w:val="auto"/>
        </w:rPr>
      </w:pPr>
    </w:p>
    <w:p>
      <w:pPr>
        <w:ind w:left="460"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include cash on hand, cash in bank and time deposits placed with banks or other financial institutions, which have original maturities of three months or less and are readily convertible to known amounts of cash.</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net</w:t>
      </w:r>
    </w:p>
    <w:p>
      <w:pPr>
        <w:spacing w:after="0" w:line="121" w:lineRule="exact"/>
        <w:rPr>
          <w:rFonts w:ascii="Times New Roman" w:cs="Times New Roman" w:eastAsia="Times New Roman" w:hAnsi="Times New Roman"/>
          <w:sz w:val="18"/>
          <w:szCs w:val="18"/>
          <w:b w:val="1"/>
          <w:bCs w:val="1"/>
          <w:color w:val="auto"/>
        </w:rPr>
      </w:pPr>
    </w:p>
    <w:p>
      <w:pPr>
        <w:jc w:val="both"/>
        <w:ind w:left="46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 are presented net of allowance for doubtful accounts. The Group uses specific identification in providing for bad debts when facts and circumstances indicate that collection is doubtful and based on factors listed in the following paragraph. If the financial conditions of its customers were to deteriorate, resulting in an impairment of their ability to make payments, additional allowance may be required.</w:t>
      </w:r>
    </w:p>
    <w:p>
      <w:pPr>
        <w:spacing w:after="0" w:line="68" w:lineRule="exact"/>
        <w:rPr>
          <w:rFonts w:ascii="Times New Roman" w:cs="Times New Roman" w:eastAsia="Times New Roman" w:hAnsi="Times New Roman"/>
          <w:sz w:val="18"/>
          <w:szCs w:val="18"/>
          <w:b w:val="1"/>
          <w:bCs w:val="1"/>
          <w:color w:val="auto"/>
        </w:rPr>
      </w:pPr>
    </w:p>
    <w:p>
      <w:pPr>
        <w:ind w:left="4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maintains an allowance for doubtful accounts which reflects its best estimate of amounts that potentially will not be collected. The Company determines the allowance for doubtful accounts on an individual basis taking into consideration various factors including but not limited to historical collection experience and credit-worthiness of the debtors as well as the age of the individual receivables balance. Additionally, the Company makes specific bad debt provisions based on any specific knowledge the Company has acquired that might indicate that an account is uncollectible. The facts and circumstances of each account may require the Company to use substantial judgment in assessing its collectability.</w:t>
      </w:r>
    </w:p>
    <w:p>
      <w:pPr>
        <w:spacing w:after="0" w:line="328"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460"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are stated at historical cost less accumulated depreciation and impairment loss, if any. Depreciation is calculated using the straight-line method over their estimated useful lives. The estimated useful lives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7060" w:type="dxa"/>
            <w:vAlign w:val="bottom"/>
            <w:shd w:val="clear" w:color="auto" w:fill="CCEEFF"/>
          </w:tcPr>
          <w:p>
            <w:pPr>
              <w:ind w:left="2460"/>
              <w:spacing w:after="0"/>
              <w:rPr>
                <w:sz w:val="20"/>
                <w:szCs w:val="20"/>
                <w:color w:val="auto"/>
              </w:rPr>
            </w:pPr>
            <w:r>
              <w:rPr>
                <w:rFonts w:ascii="Times New Roman" w:cs="Times New Roman" w:eastAsia="Times New Roman" w:hAnsi="Times New Roman"/>
                <w:sz w:val="18"/>
                <w:szCs w:val="18"/>
                <w:color w:val="auto"/>
              </w:rPr>
              <w:t>Over the shorter of lease term or 2 – 5 years</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706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2 – 5 years</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7060" w:type="dxa"/>
            <w:vAlign w:val="bottom"/>
            <w:shd w:val="clear" w:color="auto" w:fill="CCEEFF"/>
          </w:tcPr>
          <w:p>
            <w:pPr>
              <w:ind w:left="2460"/>
              <w:spacing w:after="0"/>
              <w:rPr>
                <w:sz w:val="20"/>
                <w:szCs w:val="20"/>
                <w:color w:val="auto"/>
              </w:rPr>
            </w:pPr>
            <w:r>
              <w:rPr>
                <w:rFonts w:ascii="Times New Roman" w:cs="Times New Roman" w:eastAsia="Times New Roman" w:hAnsi="Times New Roman"/>
                <w:sz w:val="18"/>
                <w:szCs w:val="18"/>
                <w:color w:val="auto"/>
              </w:rPr>
              <w:t>3 – 5 years</w:t>
            </w:r>
          </w:p>
        </w:tc>
      </w:tr>
      <w:tr>
        <w:trPr>
          <w:trHeight w:val="365"/>
        </w:trPr>
        <w:tc>
          <w:tcPr>
            <w:tcW w:w="3440" w:type="dxa"/>
            <w:vAlign w:val="bottom"/>
          </w:tcPr>
          <w:p>
            <w:pPr>
              <w:spacing w:after="0"/>
              <w:rPr>
                <w:sz w:val="24"/>
                <w:szCs w:val="24"/>
                <w:color w:val="auto"/>
              </w:rPr>
            </w:pPr>
          </w:p>
        </w:tc>
        <w:tc>
          <w:tcPr>
            <w:tcW w:w="70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F-128</w:t>
            </w:r>
          </w:p>
        </w:tc>
      </w:tr>
    </w:tbl>
    <w:p>
      <w:pPr>
        <w:sectPr>
          <w:pgSz w:w="11900" w:h="16838" w:orient="portrait"/>
          <w:cols w:equalWidth="0" w:num="1">
            <w:col w:w="11400"/>
          </w:cols>
          <w:pgMar w:left="240" w:top="456" w:right="259" w:bottom="1440" w:gutter="0" w:footer="0" w:header="0"/>
        </w:sectPr>
      </w:pPr>
    </w:p>
    <w:bookmarkStart w:id="349" w:name="page350"/>
    <w:bookmarkEnd w:id="3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 (Continued)</w:t>
      </w:r>
    </w:p>
    <w:p>
      <w:pPr>
        <w:spacing w:after="0" w:line="134" w:lineRule="exact"/>
        <w:rPr>
          <w:rFonts w:ascii="Times New Roman" w:cs="Times New Roman" w:eastAsia="Times New Roman" w:hAnsi="Times New Roman"/>
          <w:sz w:val="18"/>
          <w:szCs w:val="18"/>
          <w:b w:val="1"/>
          <w:bCs w:val="1"/>
          <w:color w:val="auto"/>
        </w:rPr>
      </w:pPr>
    </w:p>
    <w:p>
      <w:pPr>
        <w:ind w:left="460" w:right="26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 of comprehensive loss.</w:t>
      </w:r>
    </w:p>
    <w:p>
      <w:pPr>
        <w:spacing w:after="0" w:line="282"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rFonts w:ascii="Times New Roman" w:cs="Times New Roman" w:eastAsia="Times New Roman" w:hAnsi="Times New Roman"/>
          <w:sz w:val="18"/>
          <w:szCs w:val="18"/>
          <w:b w:val="1"/>
          <w:bCs w:val="1"/>
          <w:color w:val="auto"/>
        </w:rPr>
      </w:pPr>
    </w:p>
    <w:p>
      <w:pPr>
        <w:ind w:left="4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long-lived assets including property and equipment, the Group evaluates for impairment whenever events or changes (triggering events) indicate that the carrying amount of an asset may no longer be recoverable. The Group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w:t>
      </w:r>
    </w:p>
    <w:p>
      <w:pPr>
        <w:spacing w:after="0" w:line="328"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Customer deposits</w:t>
      </w:r>
    </w:p>
    <w:p>
      <w:pPr>
        <w:spacing w:after="0" w:line="121" w:lineRule="exact"/>
        <w:rPr>
          <w:rFonts w:ascii="Times New Roman" w:cs="Times New Roman" w:eastAsia="Times New Roman" w:hAnsi="Times New Roman"/>
          <w:sz w:val="18"/>
          <w:szCs w:val="18"/>
          <w:b w:val="1"/>
          <w:bCs w:val="1"/>
          <w:color w:val="auto"/>
        </w:rPr>
      </w:pPr>
    </w:p>
    <w:p>
      <w:pPr>
        <w:ind w:left="4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receives prepayments for services in advance of service performance from certain customers. The amounts received in advance are recorded as customer deposits and recognized in the period which the corresponding services are performed.</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rFonts w:ascii="Times New Roman" w:cs="Times New Roman" w:eastAsia="Times New Roman" w:hAnsi="Times New Roman"/>
          <w:sz w:val="18"/>
          <w:szCs w:val="18"/>
          <w:b w:val="1"/>
          <w:bCs w:val="1"/>
          <w:color w:val="auto"/>
        </w:rPr>
      </w:pPr>
    </w:p>
    <w:p>
      <w:pPr>
        <w:ind w:left="4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services are the provisions of online advertising services. The Group utilizes a combination of pricing models and revenue is recognized when the related services are delivered based on the specific terms of the contract, which are commonly based on (i) cost-plus, (ii) agreed rebates to be earned from certain website publishers or (iii) specified actions (i.e. cost per impression (“CPMs), cost per click (“CPC”), cost per action (“CPA”), cost per sale (“CPS”), cost per lead (“CPL”) or return on investment (“ROI”) and related campaign budgets, depending on the advertisers’ preferences and their campaigns launched.</w:t>
      </w:r>
    </w:p>
    <w:p>
      <w:pPr>
        <w:spacing w:after="0" w:line="75" w:lineRule="exact"/>
        <w:rPr>
          <w:rFonts w:ascii="Times New Roman" w:cs="Times New Roman" w:eastAsia="Times New Roman" w:hAnsi="Times New Roman"/>
          <w:sz w:val="18"/>
          <w:szCs w:val="18"/>
          <w:b w:val="1"/>
          <w:bCs w:val="1"/>
          <w:color w:val="auto"/>
        </w:rPr>
      </w:pPr>
    </w:p>
    <w:p>
      <w:pPr>
        <w:ind w:left="46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recognizes revenue when four basic criteria are met: (1) persuasive evidence of an arrangement with the customer exists reflecting the terms and conditions under which the services will be provided; (2) services have been provided or delivery has occurred; (3) the fee is fixed or determinable; and (4) 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w:t>
      </w:r>
    </w:p>
    <w:p>
      <w:pPr>
        <w:spacing w:after="0" w:line="71" w:lineRule="exact"/>
        <w:rPr>
          <w:rFonts w:ascii="Times New Roman" w:cs="Times New Roman" w:eastAsia="Times New Roman" w:hAnsi="Times New Roman"/>
          <w:sz w:val="18"/>
          <w:szCs w:val="18"/>
          <w:b w:val="1"/>
          <w:bCs w:val="1"/>
          <w:color w:val="auto"/>
        </w:rPr>
      </w:pPr>
    </w:p>
    <w:p>
      <w:pPr>
        <w:ind w:left="46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 in relation to rebates to be earned from certain website publishers are based on factors determined by these website publishers, such as yearly spending at these website publishers’ various platforms and other factors selected at the discretion of these website publishers. Such rebates earned from website publishers are recorded as revenues when the Group is acting as an agent in a transaction, and is based on an evaluation of the terms of each arrangement. Revenues are recorded net of value-added taxes and surcharges.</w:t>
      </w:r>
    </w:p>
    <w:p>
      <w:pPr>
        <w:spacing w:after="0" w:line="286"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Cost-plus and agreed rebates to be earned from certain website publishers</w:t>
      </w:r>
    </w:p>
    <w:p>
      <w:pPr>
        <w:spacing w:after="0" w:line="119" w:lineRule="exact"/>
        <w:rPr>
          <w:rFonts w:ascii="Times New Roman" w:cs="Times New Roman" w:eastAsia="Times New Roman" w:hAnsi="Times New Roman"/>
          <w:sz w:val="18"/>
          <w:szCs w:val="18"/>
          <w:b w:val="1"/>
          <w:bCs w:val="1"/>
          <w:color w:val="auto"/>
        </w:rPr>
      </w:pPr>
    </w:p>
    <w:p>
      <w:pPr>
        <w:ind w:lef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cost-plus advertisement campaigns and rebates to be earned from certain website publishers, sales are valued at the amount received and receivable. Rebates and discounts granted to advertisers, along with free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F-129</w:t>
      </w:r>
    </w:p>
    <w:p>
      <w:pPr>
        <w:sectPr>
          <w:pgSz w:w="11900" w:h="16838" w:orient="portrait"/>
          <w:cols w:equalWidth="0" w:num="1">
            <w:col w:w="11420"/>
          </w:cols>
          <w:pgMar w:left="240" w:top="456" w:right="239" w:bottom="1440" w:gutter="0" w:footer="0" w:header="0"/>
        </w:sectPr>
      </w:pPr>
    </w:p>
    <w:bookmarkStart w:id="350" w:name="page351"/>
    <w:bookmarkEnd w:id="3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(Continued)</w:t>
      </w:r>
    </w:p>
    <w:p>
      <w:pPr>
        <w:spacing w:after="0" w:line="119"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Cost-plus and agreed rebates to be earned from certain website publishers (Continued)</w:t>
      </w:r>
    </w:p>
    <w:p>
      <w:pPr>
        <w:spacing w:after="0" w:line="132" w:lineRule="exact"/>
        <w:rPr>
          <w:rFonts w:ascii="Times New Roman" w:cs="Times New Roman" w:eastAsia="Times New Roman" w:hAnsi="Times New Roman"/>
          <w:sz w:val="18"/>
          <w:szCs w:val="18"/>
          <w:b w:val="1"/>
          <w:bCs w:val="1"/>
          <w:color w:val="auto"/>
        </w:rPr>
      </w:pPr>
    </w:p>
    <w:p>
      <w:pPr>
        <w:ind w:left="4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or extended advertising campaigns, are recorded as a deduction from revenue. In the normal course of business, the Group acts as an intermediary in executing transactions with third parties, specifically for transactions where the Group is not the principal in executing these transactions as the Group is acting on behalf of the website publishers. The determination of whether revenue should be reported on a gross or net basis is based on an assessment of whether the Group is acting as the principal or an agent in those transactions. In determining whether the Group acts as the principal or an agent, the Group follows the accounting guidance for principal-agent considerations. The determination of whether the Group is acting as a principal or an agent in a transaction involves judgment and is based on an evaluation of the terms of each arrangement. While none of the factors individually are considered presumptive or determinative, because the Group is simply facilitating the advertisers and the publishers to purchase and to sell advertising inventory and the pricing is generally restricted by the costs incurred through purchasing the advertising inventory, the Group is not the principal in these arrangements and therefore reports revenue earned and costs incurred related to these transaction on a net basis.</w:t>
      </w:r>
    </w:p>
    <w:p>
      <w:pPr>
        <w:spacing w:after="0" w:line="295"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Specified actions</w:t>
      </w:r>
    </w:p>
    <w:p>
      <w:pPr>
        <w:spacing w:after="0" w:line="119" w:lineRule="exact"/>
        <w:rPr>
          <w:rFonts w:ascii="Times New Roman" w:cs="Times New Roman" w:eastAsia="Times New Roman" w:hAnsi="Times New Roman"/>
          <w:sz w:val="18"/>
          <w:szCs w:val="18"/>
          <w:b w:val="1"/>
          <w:bCs w:val="1"/>
          <w:color w:val="auto"/>
        </w:rPr>
      </w:pPr>
    </w:p>
    <w:p>
      <w:pPr>
        <w:ind w:left="460" w:right="1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also generates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the Group is the primary obligor and are responsible for (1) identifying and contracting with third-party advertisers which the Group views as customers; (2) identifying website publishers to provide website spaces where the Group views the website publishers as suppliers; (3) establishing the selling prices of each of the CPM, CPC, CPA, CPS, CPL or ROI pricing model; (4) performing all billing and collection activities, including retaining credit risk; and (5) bearing sole responsibility for fulfillment of the advertising, the Group acts as the principal of these arrangements and therefore reports revenue earned and costs incurred related to these transactions on a gross basis.</w:t>
      </w:r>
    </w:p>
    <w:p>
      <w:pPr>
        <w:spacing w:after="0" w:line="329"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 of revenues</w:t>
      </w:r>
    </w:p>
    <w:p>
      <w:pPr>
        <w:spacing w:after="0" w:line="121" w:lineRule="exact"/>
        <w:rPr>
          <w:rFonts w:ascii="Times New Roman" w:cs="Times New Roman" w:eastAsia="Times New Roman" w:hAnsi="Times New Roman"/>
          <w:sz w:val="18"/>
          <w:szCs w:val="18"/>
          <w:b w:val="1"/>
          <w:bCs w:val="1"/>
          <w:color w:val="auto"/>
        </w:rPr>
      </w:pPr>
    </w:p>
    <w:p>
      <w:pPr>
        <w:ind w:lef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Cost of revenues consists of the costs to purchase advertising space for the online advertising operations, salaries and benefits of the relevant operations and support personnel and depreciation of relevant property and equipment depreciation. The Group becomes obligated to make payments related to website publishers in the period the advertising impressions and click-through occur. Such expenses are classified as cost of revenues in the consolidated statement of operations as incurred. Cost of revenues also includes rebates received from website publishers which are recorded as a deduction against the cost of revenues when the Group is acting as a principal in a transaction. Following recent reforms of PRC tax laws, business tax is gradually being replaced by VAT, which is recorded as a reduction of revenue. The Group’s PRC subsidiaries and VIEs are subjected to VAT at a rate of 6%.</w:t>
      </w:r>
    </w:p>
    <w:p>
      <w:pPr>
        <w:spacing w:after="0" w:line="333"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media costs</w:t>
      </w:r>
    </w:p>
    <w:p>
      <w:pPr>
        <w:spacing w:after="0" w:line="121" w:lineRule="exact"/>
        <w:rPr>
          <w:rFonts w:ascii="Times New Roman" w:cs="Times New Roman" w:eastAsia="Times New Roman" w:hAnsi="Times New Roman"/>
          <w:sz w:val="18"/>
          <w:szCs w:val="18"/>
          <w:b w:val="1"/>
          <w:bCs w:val="1"/>
          <w:color w:val="auto"/>
        </w:rPr>
      </w:pPr>
    </w:p>
    <w:p>
      <w:pPr>
        <w:ind w:left="4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media costs represent prepayments for online advertising space paid by the Group to third party publishers of websites. Upon utilization, media costs are recognized in cost of revenues when the Group is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F-130</w:t>
      </w:r>
    </w:p>
    <w:p>
      <w:pPr>
        <w:sectPr>
          <w:pgSz w:w="11900" w:h="16838" w:orient="portrait"/>
          <w:cols w:equalWidth="0" w:num="1">
            <w:col w:w="11400"/>
          </w:cols>
          <w:pgMar w:left="240" w:top="455" w:right="259" w:bottom="1440" w:gutter="0" w:footer="0" w:header="0"/>
        </w:sectPr>
      </w:pPr>
    </w:p>
    <w:bookmarkStart w:id="351" w:name="page352"/>
    <w:bookmarkEnd w:id="3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media costs (Continued)</w:t>
      </w:r>
    </w:p>
    <w:p>
      <w:pPr>
        <w:spacing w:after="0" w:line="134" w:lineRule="exact"/>
        <w:rPr>
          <w:rFonts w:ascii="Times New Roman" w:cs="Times New Roman" w:eastAsia="Times New Roman" w:hAnsi="Times New Roman"/>
          <w:sz w:val="18"/>
          <w:szCs w:val="18"/>
          <w:b w:val="1"/>
          <w:bCs w:val="1"/>
          <w:color w:val="auto"/>
        </w:rPr>
      </w:pPr>
    </w:p>
    <w:p>
      <w:pPr>
        <w:ind w:left="4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determined as acting as the principal. However, when the Group is determined as acting as the agent, these costs are recognized as deduction to revenue by the Group. These prepayments are classified as current considering the corresponding online advertising spaces are expected to be purchased and utilized within twelve months from the date of payments.</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Research and development expenses consist primarily of (i) salary and welfare for research and development personnel, (ii) rental expenses and</w:t>
      </w:r>
    </w:p>
    <w:p>
      <w:pPr>
        <w:spacing w:after="0" w:line="27" w:lineRule="exact"/>
        <w:rPr>
          <w:rFonts w:ascii="Times New Roman" w:cs="Times New Roman" w:eastAsia="Times New Roman" w:hAnsi="Times New Roman"/>
          <w:sz w:val="18"/>
          <w:szCs w:val="18"/>
          <w:b w:val="1"/>
          <w:bCs w:val="1"/>
          <w:color w:val="auto"/>
        </w:rPr>
      </w:pPr>
    </w:p>
    <w:p>
      <w:pPr>
        <w:ind w:lef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(iii) depreciation of office premise and servers utilized by research and development personnel. Costs incurred during the research stage are expensed as incurred. Costs incurred in the development stage, prior to the establishment of technological feasibility, which is when a working model is available, are expensed when incurred.</w:t>
      </w:r>
    </w:p>
    <w:p>
      <w:pPr>
        <w:spacing w:after="0" w:line="78" w:lineRule="exact"/>
        <w:rPr>
          <w:sz w:val="20"/>
          <w:szCs w:val="20"/>
          <w:color w:val="auto"/>
        </w:rPr>
      </w:pPr>
    </w:p>
    <w:p>
      <w:pPr>
        <w:ind w:left="460" w:right="40"/>
        <w:spacing w:after="0" w:line="261" w:lineRule="auto"/>
        <w:rPr>
          <w:sz w:val="20"/>
          <w:szCs w:val="20"/>
          <w:color w:val="auto"/>
        </w:rPr>
      </w:pPr>
      <w:r>
        <w:rPr>
          <w:rFonts w:ascii="Times New Roman" w:cs="Times New Roman" w:eastAsia="Times New Roman" w:hAnsi="Times New Roman"/>
          <w:sz w:val="18"/>
          <w:szCs w:val="18"/>
          <w:color w:val="auto"/>
        </w:rPr>
        <w:t>The Company accounts for internal use software development costs in accordance with guidance on intangible assets and internal use software. This requires capitalization of qualifying costs incurred during the software’s application development stage and to expense costs as they are incurred during the preliminary project and post implementation/operation stages. For the period from January 1, 2015 to July 23, 2015, the Company has not capitalized any costs related to internal use software.</w:t>
      </w:r>
    </w:p>
    <w:p>
      <w:pPr>
        <w:spacing w:after="0" w:line="325" w:lineRule="exact"/>
        <w:rPr>
          <w:sz w:val="20"/>
          <w:szCs w:val="20"/>
          <w:color w:val="auto"/>
        </w:rPr>
      </w:pPr>
    </w:p>
    <w:p>
      <w:pPr>
        <w:ind w:left="460" w:hanging="452"/>
        <w:spacing w:after="0"/>
        <w:tabs>
          <w:tab w:leader="none" w:pos="460"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Sales and marketing expenses</w:t>
      </w:r>
    </w:p>
    <w:p>
      <w:pPr>
        <w:spacing w:after="0" w:line="121" w:lineRule="exact"/>
        <w:rPr>
          <w:rFonts w:ascii="Times New Roman" w:cs="Times New Roman" w:eastAsia="Times New Roman" w:hAnsi="Times New Roman"/>
          <w:sz w:val="18"/>
          <w:szCs w:val="18"/>
          <w:b w:val="1"/>
          <w:bCs w:val="1"/>
          <w:color w:val="auto"/>
        </w:rPr>
      </w:pPr>
    </w:p>
    <w:p>
      <w:pPr>
        <w:ind w:left="460"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Sales and marketing expenses consist primarily of (i) advertising and market promotion expenses, and (ii) salary and welfare for sales and marketing personnel. The sales and marketing expenses amounted to US$1,150 during the period from January 1, 2015 to July 23, 2015.</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rFonts w:ascii="Times New Roman" w:cs="Times New Roman" w:eastAsia="Times New Roman" w:hAnsi="Times New Roman"/>
          <w:sz w:val="18"/>
          <w:szCs w:val="18"/>
          <w:b w:val="1"/>
          <w:bCs w:val="1"/>
          <w:color w:val="auto"/>
        </w:rPr>
      </w:pPr>
    </w:p>
    <w:p>
      <w:pPr>
        <w:ind w:left="46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 and administrative expenses consist primarily of (i) salary and welfare for general and administrative personnel, (ii) allowance for doubtful receivables, and (iii) professional service fees.</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121" w:lineRule="exact"/>
        <w:rPr>
          <w:rFonts w:ascii="Times New Roman" w:cs="Times New Roman" w:eastAsia="Times New Roman" w:hAnsi="Times New Roman"/>
          <w:sz w:val="18"/>
          <w:szCs w:val="18"/>
          <w:b w:val="1"/>
          <w:bCs w:val="1"/>
          <w:color w:val="auto"/>
        </w:rPr>
      </w:pPr>
    </w:p>
    <w:p>
      <w:pPr>
        <w:ind w:left="4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Leases where substantially all the rewards and risks of ownership of assets remain with the lessor are accounted for as operating leases. Payments made under operating leases are charged to the consolidated statement of operations on a straight-line basis over the lease periods. The Group had no capital leases for the period from January 1, 2015 to July 23, 2015.</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social security and welfare benefits</w:t>
      </w:r>
    </w:p>
    <w:p>
      <w:pPr>
        <w:spacing w:after="0" w:line="121" w:lineRule="exact"/>
        <w:rPr>
          <w:rFonts w:ascii="Times New Roman" w:cs="Times New Roman" w:eastAsia="Times New Roman" w:hAnsi="Times New Roman"/>
          <w:sz w:val="18"/>
          <w:szCs w:val="18"/>
          <w:b w:val="1"/>
          <w:bCs w:val="1"/>
          <w:color w:val="auto"/>
        </w:rPr>
      </w:pPr>
    </w:p>
    <w:p>
      <w:pPr>
        <w:ind w:left="46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contribute to the plan based on certain percentages of the employees’ salaries, up to a maximum amount specified by the local government.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F-131</w:t>
      </w:r>
    </w:p>
    <w:p>
      <w:pPr>
        <w:sectPr>
          <w:pgSz w:w="11900" w:h="16838" w:orient="portrait"/>
          <w:cols w:equalWidth="0" w:num="1">
            <w:col w:w="11420"/>
          </w:cols>
          <w:pgMar w:left="240" w:top="455" w:right="239" w:bottom="1440" w:gutter="0" w:footer="0" w:header="0"/>
        </w:sectPr>
      </w:pPr>
    </w:p>
    <w:bookmarkStart w:id="352" w:name="page353"/>
    <w:bookmarkEnd w:id="3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social security and welfare benefits (Continued)</w:t>
      </w:r>
    </w:p>
    <w:p>
      <w:pPr>
        <w:spacing w:after="0" w:line="134" w:lineRule="exact"/>
        <w:rPr>
          <w:rFonts w:ascii="Times New Roman" w:cs="Times New Roman" w:eastAsia="Times New Roman" w:hAnsi="Times New Roman"/>
          <w:sz w:val="18"/>
          <w:szCs w:val="18"/>
          <w:b w:val="1"/>
          <w:bCs w:val="1"/>
          <w:color w:val="auto"/>
        </w:rPr>
      </w:pPr>
    </w:p>
    <w:p>
      <w:pPr>
        <w:ind w:left="460"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PRC government is responsible for the medical benefits and the pension liability to be paid to these employees and the Group’s obligations are limited to the amounts contributed and no legal obligation beyond the contributions made.</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 of comprehensive loss in the period of change. A valuation allowance is provided to reduce the amount of deferred tax assets if it is considered more likely than not that some portion of, or all of the deferred tax assets will not be realized.</w:t>
      </w:r>
    </w:p>
    <w:p>
      <w:pPr>
        <w:spacing w:after="0" w:line="29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Uncertain tax positions</w:t>
      </w:r>
    </w:p>
    <w:p>
      <w:pPr>
        <w:spacing w:after="0" w:line="119" w:lineRule="exact"/>
        <w:rPr>
          <w:rFonts w:ascii="Times New Roman" w:cs="Times New Roman" w:eastAsia="Times New Roman" w:hAnsi="Times New Roman"/>
          <w:sz w:val="18"/>
          <w:szCs w:val="18"/>
          <w:b w:val="1"/>
          <w:bCs w:val="1"/>
          <w:color w:val="auto"/>
        </w:rPr>
      </w:pPr>
    </w:p>
    <w:p>
      <w:pPr>
        <w:ind w:lef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guidance on accounting for uncertainties in income taxes prescribes a more likely than not threshold for financial statements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Group’s uncertain tax positions and determining its provision for income taxes. The Group recognizes interests and penalties, if any, under accrued expenses and other current liabilities on its consolidated balance sheet and under other expenses in its statements of operations and comprehensive income. The Group did not recognize any significant interest and penalties associated with uncertain tax positions for the period from January 1, 2015 to July 23, 2015. As of July 23, 2015, the Group did not have any significant unrecognized uncertain tax positions.</w:t>
      </w:r>
    </w:p>
    <w:p>
      <w:pPr>
        <w:spacing w:after="0" w:line="329"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rFonts w:ascii="Times New Roman" w:cs="Times New Roman" w:eastAsia="Times New Roman" w:hAnsi="Times New Roman"/>
          <w:sz w:val="18"/>
          <w:szCs w:val="18"/>
          <w:b w:val="1"/>
          <w:bCs w:val="1"/>
          <w:color w:val="auto"/>
        </w:rPr>
      </w:pPr>
    </w:p>
    <w:p>
      <w:pPr>
        <w:ind w:left="460" w:right="1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accounts for share-based compensation expenses in accordance with ASC subtopic 718-10 (“ASC 718-10”), Compensation-Stock Compensation, for share-based awards to employees. Under the fair value recognition provisions of ASC 718-10, share-based compensation costs are measured at the grant date. The share-based compensation expenses have been categorized as either general and administrative expenses, selling and marketing expenses or research and development expenses, depending on the job functions of the grantees.</w:t>
      </w:r>
    </w:p>
    <w:p>
      <w:pPr>
        <w:spacing w:after="0" w:line="286"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Option granted to employees</w:t>
      </w:r>
    </w:p>
    <w:p>
      <w:pPr>
        <w:spacing w:after="0" w:line="119" w:lineRule="exact"/>
        <w:rPr>
          <w:rFonts w:ascii="Times New Roman" w:cs="Times New Roman" w:eastAsia="Times New Roman" w:hAnsi="Times New Roman"/>
          <w:sz w:val="18"/>
          <w:szCs w:val="18"/>
          <w:b w:val="1"/>
          <w:bCs w:val="1"/>
          <w:color w:val="auto"/>
        </w:rPr>
      </w:pPr>
    </w:p>
    <w:p>
      <w:pPr>
        <w:ind w:left="46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options granted to employee, the compensation expense is recognized using the graded-vesting attribution approach over the requisite service period, which is generally the vesting period.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F-132</w:t>
      </w:r>
    </w:p>
    <w:p>
      <w:pPr>
        <w:sectPr>
          <w:pgSz w:w="11900" w:h="16838" w:orient="portrait"/>
          <w:cols w:equalWidth="0" w:num="1">
            <w:col w:w="11400"/>
          </w:cols>
          <w:pgMar w:left="240" w:top="455" w:right="259" w:bottom="1440" w:gutter="0" w:footer="0" w:header="0"/>
        </w:sectPr>
      </w:pPr>
    </w:p>
    <w:bookmarkStart w:id="353" w:name="page354"/>
    <w:bookmarkEnd w:id="3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jc w:val="both"/>
        <w:ind w:left="460" w:right="7900" w:hanging="452"/>
        <w:spacing w:after="0" w:line="408" w:lineRule="auto"/>
        <w:tabs>
          <w:tab w:leader="none" w:pos="449" w:val="left"/>
        </w:tabs>
        <w:numPr>
          <w:ilvl w:val="0"/>
          <w:numId w:val="3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Share-based compensation (Continued) </w:t>
      </w:r>
      <w:r>
        <w:rPr>
          <w:rFonts w:ascii="Times New Roman" w:cs="Times New Roman" w:eastAsia="Times New Roman" w:hAnsi="Times New Roman"/>
          <w:sz w:val="17"/>
          <w:szCs w:val="17"/>
          <w:i w:val="1"/>
          <w:iCs w:val="1"/>
          <w:color w:val="auto"/>
        </w:rPr>
        <w:t>Option granted to employees (Continued)</w:t>
      </w:r>
    </w:p>
    <w:p>
      <w:pPr>
        <w:spacing w:after="0" w:line="1" w:lineRule="exact"/>
        <w:rPr>
          <w:rFonts w:ascii="Times New Roman" w:cs="Times New Roman" w:eastAsia="Times New Roman" w:hAnsi="Times New Roman"/>
          <w:sz w:val="17"/>
          <w:szCs w:val="17"/>
          <w:b w:val="1"/>
          <w:bCs w:val="1"/>
          <w:color w:val="auto"/>
        </w:rPr>
      </w:pPr>
    </w:p>
    <w:p>
      <w:pPr>
        <w:ind w:left="4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Forfeitures are estimated at the time of grant, with such estimate updated periodically and with actual forfeitures recognized currently to the extent they differ from the estimate. In determining the fair value of the Company’s share options, the binomial option pricing model has been applied.</w:t>
      </w:r>
    </w:p>
    <w:p>
      <w:pPr>
        <w:spacing w:after="0" w:line="267" w:lineRule="exact"/>
        <w:rPr>
          <w:rFonts w:ascii="Times New Roman" w:cs="Times New Roman" w:eastAsia="Times New Roman" w:hAnsi="Times New Roman"/>
          <w:sz w:val="17"/>
          <w:szCs w:val="17"/>
          <w:b w:val="1"/>
          <w:bCs w:val="1"/>
          <w:color w:val="auto"/>
        </w:rPr>
      </w:pPr>
    </w:p>
    <w:p>
      <w:pPr>
        <w:ind w:left="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Option modification</w:t>
      </w:r>
    </w:p>
    <w:p>
      <w:pPr>
        <w:spacing w:after="0" w:line="119" w:lineRule="exact"/>
        <w:rPr>
          <w:rFonts w:ascii="Times New Roman" w:cs="Times New Roman" w:eastAsia="Times New Roman" w:hAnsi="Times New Roman"/>
          <w:sz w:val="17"/>
          <w:szCs w:val="17"/>
          <w:b w:val="1"/>
          <w:bCs w:val="1"/>
          <w:color w:val="auto"/>
        </w:rPr>
      </w:pPr>
    </w:p>
    <w:p>
      <w:pPr>
        <w:ind w:left="460" w:right="8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According to ASC 718, a change in any of the terms or conditions of equity based awards shall be accounted for as a modification of the award. Therefore, the Company calculates incremental compensation cost of a modification as the excess of the fair value of the modified option over the fair value of the original option immediately before its terms are modified. For vested options, the Company would recognize incremental compensation costs on the date of modification and for unvested options, the Company would recognize, prospectively and over the remaining requisite service period, the sum of the incremental compensation costs and the remaining unrecognized compensation costs for the original award.</w:t>
      </w:r>
    </w:p>
    <w:p>
      <w:pPr>
        <w:spacing w:after="0" w:line="290" w:lineRule="exact"/>
        <w:rPr>
          <w:rFonts w:ascii="Times New Roman" w:cs="Times New Roman" w:eastAsia="Times New Roman" w:hAnsi="Times New Roman"/>
          <w:sz w:val="17"/>
          <w:szCs w:val="17"/>
          <w:b w:val="1"/>
          <w:bCs w:val="1"/>
          <w:color w:val="auto"/>
        </w:rPr>
      </w:pPr>
    </w:p>
    <w:p>
      <w:pPr>
        <w:ind w:left="4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Option granted to non-employees</w:t>
      </w:r>
    </w:p>
    <w:p>
      <w:pPr>
        <w:spacing w:after="0" w:line="119" w:lineRule="exact"/>
        <w:rPr>
          <w:rFonts w:ascii="Times New Roman" w:cs="Times New Roman" w:eastAsia="Times New Roman" w:hAnsi="Times New Roman"/>
          <w:sz w:val="17"/>
          <w:szCs w:val="17"/>
          <w:b w:val="1"/>
          <w:bCs w:val="1"/>
          <w:color w:val="auto"/>
        </w:rPr>
      </w:pPr>
    </w:p>
    <w:p>
      <w:pPr>
        <w:ind w:left="460" w:right="8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For share-based awards granted to non-employees, the Group accounts for the related share-based compensation expenses in accordance with ASC subtopic, 505-50 (“ASC 505-50”), Equity-Based Payments to Non-Employees. Under the provision of ASC 505-50, options of the Company issued to non-employees are measured based on fair value of the options which are determined by using the binomial option pricing model. These options are measured as of the earlier of the date at which either: (1) commitment for performance by the non-employee has been reached; or (2) the non-employee’s performance is complete.</w:t>
      </w:r>
    </w:p>
    <w:p>
      <w:pPr>
        <w:spacing w:after="0" w:line="328" w:lineRule="exact"/>
        <w:rPr>
          <w:rFonts w:ascii="Times New Roman" w:cs="Times New Roman" w:eastAsia="Times New Roman" w:hAnsi="Times New Roman"/>
          <w:sz w:val="17"/>
          <w:szCs w:val="17"/>
          <w:b w:val="1"/>
          <w:bCs w:val="1"/>
          <w:color w:val="auto"/>
        </w:rPr>
      </w:pPr>
    </w:p>
    <w:p>
      <w:pPr>
        <w:ind w:left="460" w:hanging="452"/>
        <w:spacing w:after="0"/>
        <w:tabs>
          <w:tab w:leader="none" w:pos="460" w:val="left"/>
        </w:tabs>
        <w:numPr>
          <w:ilvl w:val="0"/>
          <w:numId w:val="3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Statutory reserves</w:t>
      </w:r>
    </w:p>
    <w:p>
      <w:pPr>
        <w:spacing w:after="0" w:line="121" w:lineRule="exact"/>
        <w:rPr>
          <w:rFonts w:ascii="Times New Roman" w:cs="Times New Roman" w:eastAsia="Times New Roman" w:hAnsi="Times New Roman"/>
          <w:sz w:val="18"/>
          <w:szCs w:val="18"/>
          <w:b w:val="1"/>
          <w:bCs w:val="1"/>
          <w:color w:val="auto"/>
        </w:rPr>
      </w:pPr>
    </w:p>
    <w:p>
      <w:pPr>
        <w:ind w:left="460" w:right="2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Group’s subsidiaries, consolidated VIE and its subsidiaries incorporated in the PRC are required on an annual basis to make appropriations of retained earnings set at certain percentage of after-tax profit determined in accordance with PRC accounting standards and regulations (“PRC GAAP”).</w:t>
      </w:r>
    </w:p>
    <w:p>
      <w:pPr>
        <w:spacing w:after="0" w:line="30" w:lineRule="exact"/>
        <w:rPr>
          <w:rFonts w:ascii="Times New Roman" w:cs="Times New Roman" w:eastAsia="Times New Roman" w:hAnsi="Times New Roman"/>
          <w:sz w:val="18"/>
          <w:szCs w:val="18"/>
          <w:b w:val="1"/>
          <w:bCs w:val="1"/>
          <w:color w:val="auto"/>
        </w:rPr>
      </w:pPr>
    </w:p>
    <w:p>
      <w:pPr>
        <w:ind w:left="4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Appropriation to the statutory general reserve should be at least 10% of the after tax net income determined in accordance with the legal requirements in the PRC until the reserve is equal to 50% of the entities’ registered capital. The Group is not required to make appropriation to other reserve funds and the Group does not have any intentions to make appropriations to any other reserve funds.</w:t>
      </w:r>
    </w:p>
    <w:p>
      <w:pPr>
        <w:spacing w:after="0" w:line="68" w:lineRule="exact"/>
        <w:rPr>
          <w:rFonts w:ascii="Times New Roman" w:cs="Times New Roman" w:eastAsia="Times New Roman" w:hAnsi="Times New Roman"/>
          <w:sz w:val="18"/>
          <w:szCs w:val="18"/>
          <w:b w:val="1"/>
          <w:bCs w:val="1"/>
          <w:color w:val="auto"/>
        </w:rPr>
      </w:pPr>
    </w:p>
    <w:p>
      <w:pPr>
        <w:ind w:left="460" w:right="4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general reserve fund can only be used for specific purposes, such as setting off the accumulated losses, enterprise expansion or increasing the registered capital. Appropriations to the general reserve funds are classified in the consolidated balance sheet as statutory reserves.</w:t>
      </w:r>
    </w:p>
    <w:p>
      <w:pPr>
        <w:spacing w:after="0" w:line="53"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are no legal requirements in the PRC to fund these reserves by transfer of cash to restricted accounts, and the Group does not do so.</w:t>
      </w:r>
    </w:p>
    <w:p>
      <w:pPr>
        <w:spacing w:after="0" w:line="117" w:lineRule="exact"/>
        <w:rPr>
          <w:rFonts w:ascii="Times New Roman" w:cs="Times New Roman" w:eastAsia="Times New Roman" w:hAnsi="Times New Roman"/>
          <w:sz w:val="18"/>
          <w:szCs w:val="18"/>
          <w:b w:val="1"/>
          <w:bCs w:val="1"/>
          <w:color w:val="auto"/>
        </w:rPr>
      </w:pPr>
    </w:p>
    <w:p>
      <w:pPr>
        <w:ind w:left="460"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the Company in terms of cash dividends, loans or advances.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F-133</w:t>
      </w:r>
    </w:p>
    <w:p>
      <w:pPr>
        <w:sectPr>
          <w:pgSz w:w="11900" w:h="16838" w:orient="portrait"/>
          <w:cols w:equalWidth="0" w:num="1">
            <w:col w:w="11380"/>
          </w:cols>
          <w:pgMar w:left="240" w:top="456" w:right="279" w:bottom="1440" w:gutter="0" w:footer="0" w:header="0"/>
        </w:sectPr>
      </w:pPr>
    </w:p>
    <w:bookmarkStart w:id="354" w:name="page355"/>
    <w:bookmarkEnd w:id="3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121" w:lineRule="exact"/>
        <w:rPr>
          <w:rFonts w:ascii="Times New Roman" w:cs="Times New Roman" w:eastAsia="Times New Roman" w:hAnsi="Times New Roman"/>
          <w:sz w:val="18"/>
          <w:szCs w:val="18"/>
          <w:b w:val="1"/>
          <w:bCs w:val="1"/>
          <w:color w:val="auto"/>
        </w:rPr>
      </w:pPr>
    </w:p>
    <w:p>
      <w:pPr>
        <w:ind w:left="4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121" w:lineRule="exact"/>
        <w:rPr>
          <w:rFonts w:ascii="Times New Roman" w:cs="Times New Roman" w:eastAsia="Times New Roman" w:hAnsi="Times New Roman"/>
          <w:sz w:val="18"/>
          <w:szCs w:val="18"/>
          <w:b w:val="1"/>
          <w:bCs w:val="1"/>
          <w:color w:val="auto"/>
        </w:rPr>
      </w:pPr>
    </w:p>
    <w:p>
      <w:pPr>
        <w:ind w:left="46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Dividends are recognized when declared. No dividends were declared for the period from January 1, 2015 to July 23, 2015. The Group does not have any present plan to pay any dividends on ordinary shares in the foreseeable future. The Group currently intends to retain the available funds and any future earnings to operate and expand its business.</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Comprehensive loss</w:t>
      </w:r>
    </w:p>
    <w:p>
      <w:pPr>
        <w:spacing w:after="0" w:line="121" w:lineRule="exact"/>
        <w:rPr>
          <w:rFonts w:ascii="Times New Roman" w:cs="Times New Roman" w:eastAsia="Times New Roman" w:hAnsi="Times New Roman"/>
          <w:sz w:val="18"/>
          <w:szCs w:val="18"/>
          <w:b w:val="1"/>
          <w:bCs w:val="1"/>
          <w:color w:val="auto"/>
        </w:rPr>
      </w:pPr>
    </w:p>
    <w:p>
      <w:pPr>
        <w:ind w:left="460" w:right="3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Comprehensive loss is defined as the change in shareholders’ equity of the Company during a period arising from transactions and other events and circumstances excluding transactions resulting from investments by shareholders and distributions to shareholders.</w:t>
      </w:r>
    </w:p>
    <w:p>
      <w:pPr>
        <w:spacing w:after="0" w:line="53" w:lineRule="exact"/>
        <w:rPr>
          <w:rFonts w:ascii="Times New Roman" w:cs="Times New Roman" w:eastAsia="Times New Roman" w:hAnsi="Times New Roman"/>
          <w:sz w:val="18"/>
          <w:szCs w:val="18"/>
          <w:b w:val="1"/>
          <w:bCs w:val="1"/>
          <w:color w:val="auto"/>
        </w:rPr>
      </w:pPr>
    </w:p>
    <w:p>
      <w:pPr>
        <w:ind w:lef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Comprehensive loss is reported in the consolidated statement of comprehensive loss. Accumulated other comprehensive losses of the Group include the foreign currency translation adjustments.</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21" w:lineRule="exact"/>
        <w:rPr>
          <w:rFonts w:ascii="Times New Roman" w:cs="Times New Roman" w:eastAsia="Times New Roman" w:hAnsi="Times New Roman"/>
          <w:sz w:val="18"/>
          <w:szCs w:val="18"/>
          <w:b w:val="1"/>
          <w:bCs w:val="1"/>
          <w:color w:val="auto"/>
        </w:rPr>
      </w:pPr>
    </w:p>
    <w:p>
      <w:pPr>
        <w:ind w:left="4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segments are defined as components of an enterprise engaging in businesses activities for which separate financial information is available that is regularly evaluated by the Group’s chief operating decision makers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Hence, the Group has only one operating segment and one reportable segment.</w:t>
      </w:r>
    </w:p>
    <w:p>
      <w:pPr>
        <w:spacing w:after="0" w:line="328"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rFonts w:ascii="Times New Roman" w:cs="Times New Roman" w:eastAsia="Times New Roman" w:hAnsi="Times New Roman"/>
          <w:sz w:val="18"/>
          <w:szCs w:val="18"/>
          <w:b w:val="1"/>
          <w:bCs w:val="1"/>
          <w:color w:val="auto"/>
        </w:rPr>
      </w:pPr>
    </w:p>
    <w:p>
      <w:pPr>
        <w:ind w:left="460" w:right="8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May 2014, the Financial Accounting Standards Board (“FASB”) issued Accounting Standards Update (“ASU”) No. 2014-09, “Revenue from Contracts with Customers (Topic 606)” (“ASU 2014-09”). ASU 2014-09 will eliminate transaction-specific and industry-specific revenue recognition guidance under current U.S. GAAP and replace it with a principle-based approach for determining revenue recognition. ASU 2014-09 will require that companies recognize revenues based on the value of transferred goods or services as they occur in the contract. The ASU also will require additional disclosure about the nature, amount, timing and uncertainty of revenues and cash flows arising from customer contracts, including significant judgments and changes in judgments and assets recognized from costs incurred to obtain or fulfill a contract. In August 2015, the FASB issued ASU 2015-14, which defers by one year ASU 2014-09’s effective date. The amendment will be effective for annual reporting periods beginning after December 15, 2017 including interim periods within that reporting period. Early adoption is permitted only for annual and interim periods beginning after December 15, 2016.</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F-134</w:t>
      </w:r>
    </w:p>
    <w:p>
      <w:pPr>
        <w:sectPr>
          <w:pgSz w:w="11900" w:h="16838" w:orient="portrait"/>
          <w:cols w:equalWidth="0" w:num="1">
            <w:col w:w="11400"/>
          </w:cols>
          <w:pgMar w:left="240" w:top="456" w:right="259" w:bottom="1440" w:gutter="0" w:footer="0" w:header="0"/>
        </w:sectPr>
      </w:pPr>
    </w:p>
    <w:bookmarkStart w:id="355" w:name="page356"/>
    <w:bookmarkEnd w:id="3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 (Continued)</w:t>
      </w:r>
    </w:p>
    <w:p>
      <w:pPr>
        <w:spacing w:after="0" w:line="134" w:lineRule="exact"/>
        <w:rPr>
          <w:rFonts w:ascii="Times New Roman" w:cs="Times New Roman" w:eastAsia="Times New Roman" w:hAnsi="Times New Roman"/>
          <w:sz w:val="18"/>
          <w:szCs w:val="18"/>
          <w:b w:val="1"/>
          <w:bCs w:val="1"/>
          <w:color w:val="auto"/>
        </w:rPr>
      </w:pPr>
    </w:p>
    <w:p>
      <w:pPr>
        <w:ind w:left="4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March 2016, the FASB issued ASU 2016-08, which amends the principal-versus-agent implementation guidance and illustrations in the Board’s new revenue standard (ASC 606). The amendments in this update clarify the implementation guidance on principal versus agent considerations. When another party, along with the reporting entity, is involved in providing goods or services to a customer, an entity is required to determine whether the nature of its promise is to provide that good or service to the customer (as a principal) or to arrange for the good or service to be provided to the customer by the other party (as an agent). The guidance is effective for interim and annual periods beginning after December 15, 2017.</w:t>
      </w:r>
    </w:p>
    <w:p>
      <w:pPr>
        <w:spacing w:after="0" w:line="75" w:lineRule="exact"/>
        <w:rPr>
          <w:rFonts w:ascii="Times New Roman" w:cs="Times New Roman" w:eastAsia="Times New Roman" w:hAnsi="Times New Roman"/>
          <w:sz w:val="18"/>
          <w:szCs w:val="18"/>
          <w:b w:val="1"/>
          <w:bCs w:val="1"/>
          <w:color w:val="auto"/>
        </w:rPr>
      </w:pPr>
    </w:p>
    <w:p>
      <w:pPr>
        <w:ind w:left="46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will apply the new revenue standard beginning January 1, 2018 and will not early adopt. The Company will set up an implementation team to analyze each of the Group’s revenue streams in accordance with the new revenue standard to determine the impact on the Company’s consolidated financial statements. The Company plans to continue the evaluation, analysis, and documentation of its adoption of ASU 2014-09 (includes those subsequently issued updates that clarify its provisions) throughout 2017 as the Company works towards the implementation and finalize its determination of the impact that the adoption will have on its consolidated financial statements.</w:t>
      </w:r>
    </w:p>
    <w:p>
      <w:pPr>
        <w:spacing w:after="0" w:line="75" w:lineRule="exact"/>
        <w:rPr>
          <w:rFonts w:ascii="Times New Roman" w:cs="Times New Roman" w:eastAsia="Times New Roman" w:hAnsi="Times New Roman"/>
          <w:sz w:val="18"/>
          <w:szCs w:val="18"/>
          <w:b w:val="1"/>
          <w:bCs w:val="1"/>
          <w:color w:val="auto"/>
        </w:rPr>
      </w:pPr>
    </w:p>
    <w:p>
      <w:pPr>
        <w:ind w:lef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2015, the FASB issued ASU No. 2015-02, “Consolidation (Topic 810): Amendments to the Consolidation Analysis” (“ASU 2015-02”). ASU 2015-02 focuses on the consolidation evaluation for reporting organizations that are required to evaluate whether they should consolidate certain legal entities. The ASU simplifies consolidation accounting by reducing the number of consolidation models from four to two. In addition, the new standard simplifies the FASB Accounting Standards Codification and improves current guidance by: (i) placing more emphasis on risk of loss when determining a controlling financial interest; (ii) reducing the frequency of the application of related-party guidance when determining a controlling financial interest in a VIE; and (iii) changing consolidation conclusions for public and private companies in several industries that typically make use of limited partnerships or VIEs.</w:t>
      </w:r>
    </w:p>
    <w:p>
      <w:pPr>
        <w:spacing w:after="0" w:line="81" w:lineRule="exact"/>
        <w:rPr>
          <w:rFonts w:ascii="Times New Roman" w:cs="Times New Roman" w:eastAsia="Times New Roman" w:hAnsi="Times New Roman"/>
          <w:sz w:val="18"/>
          <w:szCs w:val="18"/>
          <w:b w:val="1"/>
          <w:bCs w:val="1"/>
          <w:color w:val="auto"/>
        </w:rPr>
      </w:pPr>
    </w:p>
    <w:p>
      <w:pPr>
        <w:ind w:left="460" w:right="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ASU will be effective for periods beginning after December 15, 2016, for public companies. For public interest entities, the amendments in this Update are effective for fiscal years beginning after December 15, 2017, including interim periods within those fiscal years. The Company is in the process of evaluating the impact of the standard on its consolidated financial statements.</w:t>
      </w:r>
    </w:p>
    <w:p>
      <w:pPr>
        <w:spacing w:after="0" w:line="68" w:lineRule="exact"/>
        <w:rPr>
          <w:rFonts w:ascii="Times New Roman" w:cs="Times New Roman" w:eastAsia="Times New Roman" w:hAnsi="Times New Roman"/>
          <w:sz w:val="18"/>
          <w:szCs w:val="18"/>
          <w:b w:val="1"/>
          <w:bCs w:val="1"/>
          <w:color w:val="auto"/>
        </w:rPr>
      </w:pPr>
    </w:p>
    <w:p>
      <w:pPr>
        <w:ind w:left="460" w:righ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publicly-traded companies for interim and annual periods beginning after December 15, 2016 (early adoption is permitted). The Company does not expect this standard to have a material impact on its consolidated financial statements.</w:t>
      </w:r>
    </w:p>
    <w:p>
      <w:pPr>
        <w:spacing w:after="0" w:line="71" w:lineRule="exact"/>
        <w:rPr>
          <w:rFonts w:ascii="Times New Roman" w:cs="Times New Roman" w:eastAsia="Times New Roman" w:hAnsi="Times New Roman"/>
          <w:sz w:val="18"/>
          <w:szCs w:val="18"/>
          <w:b w:val="1"/>
          <w:bCs w:val="1"/>
          <w:color w:val="auto"/>
        </w:rPr>
      </w:pPr>
    </w:p>
    <w:p>
      <w:pPr>
        <w:ind w:left="46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GAAP, which did not require lease assets and lease liabilities to be recognized for most leases.</w:t>
      </w:r>
    </w:p>
    <w:p>
      <w:pPr>
        <w:spacing w:after="0" w:line="71" w:lineRule="exact"/>
        <w:rPr>
          <w:rFonts w:ascii="Times New Roman" w:cs="Times New Roman" w:eastAsia="Times New Roman" w:hAnsi="Times New Roman"/>
          <w:sz w:val="18"/>
          <w:szCs w:val="18"/>
          <w:b w:val="1"/>
          <w:bCs w:val="1"/>
          <w:color w:val="auto"/>
        </w:rPr>
      </w:pPr>
    </w:p>
    <w:p>
      <w:pPr>
        <w:ind w:left="46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public business entities, the amendments in this update are effective for fiscal years beginning after December 15, 2018, including interim periods within those fiscal years. The Company is in the process of evaluating the impact of the standard on its consolidated financial statements.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F-135</w:t>
      </w:r>
    </w:p>
    <w:p>
      <w:pPr>
        <w:sectPr>
          <w:pgSz w:w="11900" w:h="16838" w:orient="portrait"/>
          <w:cols w:equalWidth="0" w:num="1">
            <w:col w:w="11420"/>
          </w:cols>
          <w:pgMar w:left="240" w:top="455" w:right="239" w:bottom="1440" w:gutter="0" w:footer="0" w:header="0"/>
        </w:sectPr>
      </w:pPr>
    </w:p>
    <w:bookmarkStart w:id="356" w:name="page357"/>
    <w:bookmarkEnd w:id="3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 (Continued)</w:t>
      </w:r>
    </w:p>
    <w:p>
      <w:pPr>
        <w:spacing w:after="0" w:line="134" w:lineRule="exact"/>
        <w:rPr>
          <w:rFonts w:ascii="Times New Roman" w:cs="Times New Roman" w:eastAsia="Times New Roman" w:hAnsi="Times New Roman"/>
          <w:sz w:val="18"/>
          <w:szCs w:val="18"/>
          <w:b w:val="1"/>
          <w:bCs w:val="1"/>
          <w:color w:val="auto"/>
        </w:rPr>
      </w:pPr>
    </w:p>
    <w:p>
      <w:pPr>
        <w:ind w:left="4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The Company is currently evaluating the impact of this standard will have on its consolidated financial statements.</w:t>
      </w:r>
    </w:p>
    <w:p>
      <w:pPr>
        <w:spacing w:after="0" w:line="75" w:lineRule="exact"/>
        <w:rPr>
          <w:rFonts w:ascii="Times New Roman" w:cs="Times New Roman" w:eastAsia="Times New Roman" w:hAnsi="Times New Roman"/>
          <w:sz w:val="18"/>
          <w:szCs w:val="18"/>
          <w:b w:val="1"/>
          <w:bCs w:val="1"/>
          <w:color w:val="auto"/>
        </w:rPr>
      </w:pPr>
    </w:p>
    <w:p>
      <w:pPr>
        <w:ind w:left="4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The Company does not expect ASU 2016-16 to have a material impact to the Group’s consolidated financial statements.</w:t>
      </w:r>
    </w:p>
    <w:p>
      <w:pPr>
        <w:spacing w:after="0" w:line="71" w:lineRule="exact"/>
        <w:rPr>
          <w:rFonts w:ascii="Times New Roman" w:cs="Times New Roman" w:eastAsia="Times New Roman" w:hAnsi="Times New Roman"/>
          <w:sz w:val="18"/>
          <w:szCs w:val="18"/>
          <w:b w:val="1"/>
          <w:bCs w:val="1"/>
          <w:color w:val="auto"/>
        </w:rPr>
      </w:pPr>
    </w:p>
    <w:p>
      <w:pPr>
        <w:ind w:left="46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2018. The Company currently does not expect ASU 2017-01 to have a material impact to the Company’s consolidated financial statements, but will evaluate the impact of adopting this standard prospectively upon any transaction of acquisitions or disposals of assets or businesses.</w:t>
      </w:r>
    </w:p>
    <w:p>
      <w:pPr>
        <w:spacing w:after="0" w:line="79" w:lineRule="exact"/>
        <w:rPr>
          <w:rFonts w:ascii="Times New Roman" w:cs="Times New Roman" w:eastAsia="Times New Roman" w:hAnsi="Times New Roman"/>
          <w:sz w:val="18"/>
          <w:szCs w:val="18"/>
          <w:b w:val="1"/>
          <w:bCs w:val="1"/>
          <w:color w:val="auto"/>
        </w:rPr>
      </w:pPr>
    </w:p>
    <w:p>
      <w:pPr>
        <w:ind w:left="460" w:right="14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March, 2016, the FASB issued ASU 2016-09, “Compensation — Stock Compensation (Topic 718): Improvements to Employee Share-Based Payment Accounting”, which relates to the accounting for employee share-based payments. This standard addresses several aspects of the accounting for share-based payment award transactions, including: (a) income tax consequences; (b) classification of awards as either equity or liabilities; and</w:t>
      </w:r>
    </w:p>
    <w:p>
      <w:pPr>
        <w:spacing w:after="0" w:line="1" w:lineRule="exact"/>
        <w:rPr>
          <w:rFonts w:ascii="Times New Roman" w:cs="Times New Roman" w:eastAsia="Times New Roman" w:hAnsi="Times New Roman"/>
          <w:sz w:val="18"/>
          <w:szCs w:val="18"/>
          <w:b w:val="1"/>
          <w:bCs w:val="1"/>
          <w:color w:val="auto"/>
        </w:rPr>
      </w:pPr>
    </w:p>
    <w:p>
      <w:pPr>
        <w:jc w:val="both"/>
        <w:ind w:left="460" w:righ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 classification on the statement of cash flows; (d) accounting for forfeitures of share-based payments. The ASU will be effective for fiscal years beginning after December 15, 2016, including interim periods within those fiscal years. The Group does not expect this standard to have a material impact on its consolidated financial statements.</w:t>
      </w:r>
    </w:p>
    <w:p>
      <w:pPr>
        <w:spacing w:after="0" w:line="78" w:lineRule="exact"/>
        <w:rPr>
          <w:sz w:val="20"/>
          <w:szCs w:val="20"/>
          <w:color w:val="auto"/>
        </w:rPr>
      </w:pPr>
    </w:p>
    <w:p>
      <w:pPr>
        <w:ind w:left="460" w:right="40"/>
        <w:spacing w:after="0" w:line="261" w:lineRule="auto"/>
        <w:rPr>
          <w:sz w:val="20"/>
          <w:szCs w:val="20"/>
          <w:color w:val="auto"/>
        </w:rPr>
      </w:pPr>
      <w:r>
        <w:rPr>
          <w:rFonts w:ascii="Times New Roman" w:cs="Times New Roman" w:eastAsia="Times New Roman" w:hAnsi="Times New Roman"/>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The Group is currently evaluating the impact of the adoption on its consolidated financial statements.</w:t>
      </w:r>
    </w:p>
    <w:p>
      <w:pPr>
        <w:spacing w:after="0" w:line="72" w:lineRule="exact"/>
        <w:rPr>
          <w:sz w:val="20"/>
          <w:szCs w:val="20"/>
          <w:color w:val="auto"/>
        </w:rPr>
      </w:pPr>
    </w:p>
    <w:p>
      <w:pPr>
        <w:ind w:left="460" w:right="40"/>
        <w:spacing w:after="0" w:line="258" w:lineRule="auto"/>
        <w:rPr>
          <w:sz w:val="20"/>
          <w:szCs w:val="20"/>
          <w:color w:val="auto"/>
        </w:rPr>
      </w:pPr>
      <w:r>
        <w:rPr>
          <w:rFonts w:ascii="Times New Roman" w:cs="Times New Roman" w:eastAsia="Times New Roman" w:hAnsi="Times New Roman"/>
          <w:sz w:val="18"/>
          <w:szCs w:val="18"/>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 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F-136</w:t>
      </w:r>
    </w:p>
    <w:p>
      <w:pPr>
        <w:sectPr>
          <w:pgSz w:w="11900" w:h="16838" w:orient="portrait"/>
          <w:cols w:equalWidth="0" w:num="1">
            <w:col w:w="11380"/>
          </w:cols>
          <w:pgMar w:left="240" w:top="455" w:right="279" w:bottom="1440" w:gutter="0" w:footer="0" w:header="0"/>
        </w:sectPr>
      </w:pPr>
    </w:p>
    <w:bookmarkStart w:id="357" w:name="page358"/>
    <w:bookmarkEnd w:id="3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accounting policies (Continued)</w:t>
      </w:r>
    </w:p>
    <w:p>
      <w:pPr>
        <w:spacing w:after="0" w:line="131" w:lineRule="exact"/>
        <w:rPr>
          <w:sz w:val="20"/>
          <w:szCs w:val="20"/>
          <w:color w:val="auto"/>
        </w:rPr>
      </w:pPr>
    </w:p>
    <w:p>
      <w:pPr>
        <w:ind w:left="460" w:hanging="452"/>
        <w:spacing w:after="0"/>
        <w:tabs>
          <w:tab w:leader="none" w:pos="460" w:val="left"/>
        </w:tabs>
        <w:numPr>
          <w:ilvl w:val="0"/>
          <w:numId w:val="3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pronouncements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January 1, 2017. The Group is currently evaluating the impact of adopting this standard on its consolidated financial statements.</w:t>
      </w:r>
    </w:p>
    <w:p>
      <w:pPr>
        <w:spacing w:after="0" w:line="370" w:lineRule="exact"/>
        <w:rPr>
          <w:sz w:val="20"/>
          <w:szCs w:val="20"/>
          <w:color w:val="auto"/>
        </w:rPr>
      </w:pPr>
    </w:p>
    <w:p>
      <w:pPr>
        <w:ind w:left="460" w:hanging="452"/>
        <w:spacing w:after="0"/>
        <w:tabs>
          <w:tab w:leader="none" w:pos="460" w:val="left"/>
        </w:tabs>
        <w:numPr>
          <w:ilvl w:val="0"/>
          <w:numId w:val="3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w:t>
      </w:r>
    </w:p>
    <w:p>
      <w:pPr>
        <w:spacing w:after="0" w:line="131" w:lineRule="exact"/>
        <w:rPr>
          <w:sz w:val="20"/>
          <w:szCs w:val="20"/>
          <w:color w:val="auto"/>
        </w:rPr>
      </w:pPr>
    </w:p>
    <w:p>
      <w:pPr>
        <w:ind w:left="460" w:hanging="452"/>
        <w:spacing w:after="0"/>
        <w:tabs>
          <w:tab w:leader="none" w:pos="460" w:val="left"/>
        </w:tabs>
        <w:numPr>
          <w:ilvl w:val="0"/>
          <w:numId w:val="3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regulations</w:t>
      </w:r>
    </w:p>
    <w:p>
      <w:pPr>
        <w:spacing w:after="0" w:line="121" w:lineRule="exact"/>
        <w:rPr>
          <w:rFonts w:ascii="Times New Roman" w:cs="Times New Roman" w:eastAsia="Times New Roman" w:hAnsi="Times New Roman"/>
          <w:sz w:val="18"/>
          <w:szCs w:val="18"/>
          <w:b w:val="1"/>
          <w:bCs w:val="1"/>
          <w:color w:val="auto"/>
        </w:rPr>
      </w:pPr>
    </w:p>
    <w:p>
      <w:pPr>
        <w:ind w:left="4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Chinese market in which the Company operates poses certain macro-economic and regulatory risks and uncertainties. These uncertainties extend to the ability of the Company to engage in online advertising businesses through contractual arrangements in the PRC since the internet and advertising services industries remain regulated. The Company conducts certain of its operations in China through its variable interest entities,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China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 online advertising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97"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revoking the business licenses of such entities;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or restricting the conduct of any transactions between the Company’s PRC subsidiaries and OptAim VIE;</w:t>
      </w:r>
    </w:p>
    <w:p>
      <w:pPr>
        <w:spacing w:after="0" w:line="130" w:lineRule="exact"/>
        <w:rPr>
          <w:rFonts w:ascii="Times New Roman" w:cs="Times New Roman" w:eastAsia="Times New Roman" w:hAnsi="Times New Roman"/>
          <w:sz w:val="18"/>
          <w:szCs w:val="18"/>
          <w:color w:val="auto"/>
        </w:rPr>
      </w:pPr>
    </w:p>
    <w:p>
      <w:pPr>
        <w:ind w:left="900" w:right="400" w:hanging="446"/>
        <w:spacing w:after="0" w:line="282" w:lineRule="auto"/>
        <w:tabs>
          <w:tab w:leader="none" w:pos="90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fines, confiscating the income of OptAim VIE or the Company’s PRC subsidiaries, or imposing other requirements with which the Company or its PRC subsidiaries and consolidated VIEs may not be able to comply;</w:t>
      </w:r>
    </w:p>
    <w:p>
      <w:pPr>
        <w:spacing w:after="0" w:line="67" w:lineRule="exact"/>
        <w:rPr>
          <w:rFonts w:ascii="Times New Roman" w:cs="Times New Roman" w:eastAsia="Times New Roman" w:hAnsi="Times New Roman"/>
          <w:sz w:val="18"/>
          <w:szCs w:val="18"/>
          <w:color w:val="auto"/>
        </w:rPr>
      </w:pPr>
    </w:p>
    <w:p>
      <w:pPr>
        <w:jc w:val="both"/>
        <w:ind w:left="900" w:right="20" w:hanging="446"/>
        <w:spacing w:after="0" w:line="266" w:lineRule="auto"/>
        <w:tabs>
          <w:tab w:leader="none" w:pos="90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F-137</w:t>
      </w:r>
    </w:p>
    <w:p>
      <w:pPr>
        <w:sectPr>
          <w:pgSz w:w="11900" w:h="16838" w:orient="portrait"/>
          <w:cols w:equalWidth="0" w:num="1">
            <w:col w:w="11420"/>
          </w:cols>
          <w:pgMar w:left="240" w:top="455" w:right="239" w:bottom="1440" w:gutter="0" w:footer="0" w:header="0"/>
        </w:sectPr>
      </w:pPr>
    </w:p>
    <w:bookmarkStart w:id="358" w:name="page359"/>
    <w:bookmarkEnd w:id="3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regulations (Continued)</w:t>
      </w:r>
    </w:p>
    <w:p>
      <w:pPr>
        <w:spacing w:after="0" w:line="135" w:lineRule="exact"/>
        <w:rPr>
          <w:sz w:val="20"/>
          <w:szCs w:val="20"/>
          <w:color w:val="auto"/>
        </w:rPr>
      </w:pPr>
    </w:p>
    <w:p>
      <w:pPr>
        <w:ind w:left="900" w:hanging="446"/>
        <w:spacing w:after="0"/>
        <w:tabs>
          <w:tab w:leader="none" w:pos="90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or prohibiting its use of the proceeds of any offering to finance its business and operations in China.</w:t>
      </w:r>
    </w:p>
    <w:p>
      <w:pPr>
        <w:spacing w:after="0" w:line="117" w:lineRule="exact"/>
        <w:rPr>
          <w:sz w:val="20"/>
          <w:szCs w:val="20"/>
          <w:color w:val="auto"/>
        </w:rPr>
      </w:pPr>
    </w:p>
    <w:p>
      <w:pPr>
        <w:ind w:left="460" w:right="20"/>
        <w:spacing w:after="0" w:line="256" w:lineRule="auto"/>
        <w:rPr>
          <w:sz w:val="20"/>
          <w:szCs w:val="20"/>
          <w:color w:val="auto"/>
        </w:rPr>
      </w:pPr>
      <w:r>
        <w:rPr>
          <w:rFonts w:ascii="Times New Roman" w:cs="Times New Roman" w:eastAsia="Times New Roman" w:hAnsi="Times New Roman"/>
          <w:sz w:val="18"/>
          <w:szCs w:val="18"/>
          <w:color w:val="auto"/>
        </w:rPr>
        <w:t>If the imposition of any of these penalties precludes the Company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 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w:t>
      </w:r>
    </w:p>
    <w:p>
      <w:pPr>
        <w:spacing w:after="0" w:line="80"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8"/>
          <w:szCs w:val="18"/>
          <w:color w:val="auto"/>
        </w:rPr>
        <w:t>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reach the Group’s VIE arrangement, and as a result the Group’s VIE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w:t>
      </w:r>
    </w:p>
    <w:p>
      <w:pPr>
        <w:spacing w:after="0" w:line="78" w:lineRule="exact"/>
        <w:rPr>
          <w:sz w:val="20"/>
          <w:szCs w:val="20"/>
          <w:color w:val="auto"/>
        </w:rPr>
      </w:pPr>
    </w:p>
    <w:p>
      <w:pPr>
        <w:ind w:left="460" w:right="40"/>
        <w:spacing w:after="0" w:line="256" w:lineRule="auto"/>
        <w:rPr>
          <w:sz w:val="20"/>
          <w:szCs w:val="20"/>
          <w:color w:val="auto"/>
        </w:rPr>
      </w:pPr>
      <w:r>
        <w:rPr>
          <w:rFonts w:ascii="Times New Roman" w:cs="Times New Roman" w:eastAsia="Times New Roman" w:hAnsi="Times New Roman"/>
          <w:sz w:val="18"/>
          <w:szCs w:val="18"/>
          <w:color w:val="auto"/>
        </w:rPr>
        <w:t>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the Draft FIE Law if it becomes effective, that the Company’s operation of certain of its operations and businesses through VIE violates the Draft FIE Law, regulatory authorities with jurisdiction over the licensing and operation of such operations and businesses may require the Company to take various actions as discussed in the paragraph above. The Group’s management considers the possibility of such a finding by PRC regulatory authorities under the Draft VIE law, if it becomes effective, to be remote.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F-138</w:t>
      </w:r>
    </w:p>
    <w:p>
      <w:pPr>
        <w:sectPr>
          <w:pgSz w:w="11900" w:h="16838" w:orient="portrait"/>
          <w:cols w:equalWidth="0" w:num="1">
            <w:col w:w="11420"/>
          </w:cols>
          <w:pgMar w:left="240" w:top="455" w:right="239" w:bottom="1440" w:gutter="0" w:footer="0" w:header="0"/>
        </w:sectPr>
      </w:pPr>
    </w:p>
    <w:bookmarkStart w:id="359" w:name="page360"/>
    <w:bookmarkEnd w:id="3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PRC regulations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financial information of OptAim VIE and its subsidiary excluding the intercompany items with the Company’s subsidiaries was included in the accompanying financial statements as of and for the period from January 1, 2015 to July 23, 2015:</w:t>
      </w:r>
    </w:p>
    <w:p>
      <w:pPr>
        <w:spacing w:after="0" w:line="17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9"/>
              </w:rPr>
              <w:t>July 23,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2520" w:type="dxa"/>
            <w:vAlign w:val="bottom"/>
            <w:gridSpan w:val="3"/>
          </w:tcPr>
          <w:p>
            <w:pPr>
              <w:jc w:val="center"/>
              <w:ind w:left="1875"/>
              <w:spacing w:after="0"/>
              <w:rPr>
                <w:sz w:val="20"/>
                <w:szCs w:val="20"/>
                <w:color w:val="auto"/>
              </w:rPr>
            </w:pPr>
            <w:r>
              <w:rPr>
                <w:rFonts w:ascii="Times New Roman" w:cs="Times New Roman" w:eastAsia="Times New Roman" w:hAnsi="Times New Roman"/>
                <w:sz w:val="14"/>
                <w:szCs w:val="14"/>
                <w:color w:val="auto"/>
                <w:w w:val="99"/>
              </w:rPr>
              <w:t>2015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14,145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20" w:type="dxa"/>
            <w:vAlign w:val="bottom"/>
            <w:gridSpan w:val="2"/>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2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and other current liabilities</w:t>
            </w:r>
          </w:p>
        </w:tc>
        <w:tc>
          <w:tcPr>
            <w:tcW w:w="2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a related party</w:t>
            </w:r>
          </w:p>
        </w:tc>
        <w:tc>
          <w:tcPr>
            <w:tcW w:w="2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1920" w:type="dxa"/>
            <w:vAlign w:val="bottom"/>
            <w:gridSpan w:val="2"/>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920" w:type="dxa"/>
            <w:vAlign w:val="bottom"/>
            <w:gridSpan w:val="2"/>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gridSpan w:val="4"/>
          </w:tcPr>
          <w:p>
            <w:pPr>
              <w:jc w:val="center"/>
              <w:spacing w:after="0"/>
              <w:rPr>
                <w:sz w:val="20"/>
                <w:szCs w:val="20"/>
                <w:color w:val="auto"/>
              </w:rPr>
            </w:pPr>
            <w:r>
              <w:rPr>
                <w:rFonts w:ascii="Times New Roman" w:cs="Times New Roman" w:eastAsia="Times New Roman" w:hAnsi="Times New Roman"/>
                <w:sz w:val="14"/>
                <w:szCs w:val="14"/>
                <w:color w:val="auto"/>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2015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July 23,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2520" w:type="dxa"/>
            <w:vAlign w:val="bottom"/>
            <w:gridSpan w:val="3"/>
          </w:tcPr>
          <w:p>
            <w:pPr>
              <w:jc w:val="center"/>
              <w:ind w:left="1835"/>
              <w:spacing w:after="0"/>
              <w:rPr>
                <w:sz w:val="20"/>
                <w:szCs w:val="20"/>
                <w:color w:val="auto"/>
              </w:rPr>
            </w:pPr>
            <w:r>
              <w:rPr>
                <w:rFonts w:ascii="Times New Roman" w:cs="Times New Roman" w:eastAsia="Times New Roman" w:hAnsi="Times New Roman"/>
                <w:sz w:val="14"/>
                <w:szCs w:val="14"/>
                <w:color w:val="auto"/>
                <w:w w:val="99"/>
              </w:rPr>
              <w:t>2015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6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profit</w:t>
            </w:r>
          </w:p>
        </w:tc>
        <w:tc>
          <w:tcPr>
            <w:tcW w:w="26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640" w:type="dxa"/>
            <w:vAlign w:val="bottom"/>
            <w:gridSpan w:val="5"/>
          </w:tcPr>
          <w:p>
            <w:pPr>
              <w:jc w:val="center"/>
              <w:ind w:left="1615"/>
              <w:spacing w:after="0"/>
              <w:rPr>
                <w:sz w:val="20"/>
                <w:szCs w:val="20"/>
                <w:color w:val="auto"/>
              </w:rPr>
            </w:pPr>
            <w:r>
              <w:rPr>
                <w:rFonts w:ascii="Times New Roman" w:cs="Times New Roman" w:eastAsia="Times New Roman" w:hAnsi="Times New Roman"/>
                <w:sz w:val="14"/>
                <w:szCs w:val="14"/>
                <w:color w:val="auto"/>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w w:val="98"/>
              </w:rPr>
              <w:t>2015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July 23,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2520" w:type="dxa"/>
            <w:vAlign w:val="bottom"/>
            <w:gridSpan w:val="3"/>
          </w:tcPr>
          <w:p>
            <w:pPr>
              <w:jc w:val="center"/>
              <w:ind w:left="1735"/>
              <w:spacing w:after="0"/>
              <w:rPr>
                <w:sz w:val="20"/>
                <w:szCs w:val="20"/>
                <w:color w:val="auto"/>
              </w:rPr>
            </w:pPr>
            <w:r>
              <w:rPr>
                <w:rFonts w:ascii="Times New Roman" w:cs="Times New Roman" w:eastAsia="Times New Roman" w:hAnsi="Times New Roman"/>
                <w:sz w:val="14"/>
                <w:szCs w:val="14"/>
                <w:color w:val="auto"/>
              </w:rPr>
              <w:t>2015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activity</w:t>
            </w:r>
          </w:p>
        </w:tc>
        <w:tc>
          <w:tcPr>
            <w:tcW w:w="1820" w:type="dxa"/>
            <w:vAlign w:val="bottom"/>
          </w:tcPr>
          <w:p>
            <w:pPr>
              <w:spacing w:after="0"/>
              <w:rPr>
                <w:sz w:val="19"/>
                <w:szCs w:val="19"/>
                <w:color w:val="auto"/>
              </w:rPr>
            </w:pPr>
          </w:p>
        </w:tc>
        <w:tc>
          <w:tcPr>
            <w:tcW w:w="8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accordance with the VIE arrangements, the Group has power to direct activities of OptAim VIE, and can have assets transferred out of OptAim VIE.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Therefore, the Group considers that there is no assets of OptAim VIE can be used only to settle their obligations.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F-139</w:t>
      </w:r>
    </w:p>
    <w:p>
      <w:pPr>
        <w:sectPr>
          <w:pgSz w:w="11900" w:h="16838" w:orient="portrait"/>
          <w:cols w:equalWidth="0" w:num="1">
            <w:col w:w="11400"/>
          </w:cols>
          <w:pgMar w:left="240" w:top="456" w:right="259" w:bottom="1440" w:gutter="0" w:footer="0" w:header="0"/>
        </w:sectPr>
      </w:pPr>
    </w:p>
    <w:bookmarkStart w:id="360" w:name="page361"/>
    <w:bookmarkEnd w:id="3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exchange risk</w:t>
      </w:r>
    </w:p>
    <w:p>
      <w:pPr>
        <w:spacing w:after="0" w:line="121" w:lineRule="exact"/>
        <w:rPr>
          <w:rFonts w:ascii="Times New Roman" w:cs="Times New Roman" w:eastAsia="Times New Roman" w:hAnsi="Times New Roman"/>
          <w:sz w:val="18"/>
          <w:szCs w:val="18"/>
          <w:b w:val="1"/>
          <w:bCs w:val="1"/>
          <w:color w:val="auto"/>
        </w:rPr>
      </w:pPr>
    </w:p>
    <w:p>
      <w:pPr>
        <w:ind w:left="460"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Assets and liabilities of non-US dollar functional currency entities are translated into US$ using the applicable exchange rates at the balance sheet date. Items in the statements of comprehensive income are translated into US$ using the average exchange rate during the period. Equity accounts were translated at their historical exchange rates. The resulting translation adjustments are accumulated as a component of accumulated other comprehensive income on the consolidated statement of shareholders’ deficit.</w:t>
      </w:r>
    </w:p>
    <w:p>
      <w:pPr>
        <w:spacing w:after="0" w:line="71" w:lineRule="exact"/>
        <w:rPr>
          <w:rFonts w:ascii="Times New Roman" w:cs="Times New Roman" w:eastAsia="Times New Roman" w:hAnsi="Times New Roman"/>
          <w:sz w:val="18"/>
          <w:szCs w:val="18"/>
          <w:b w:val="1"/>
          <w:bCs w:val="1"/>
          <w:color w:val="auto"/>
        </w:rPr>
      </w:pPr>
    </w:p>
    <w:p>
      <w:pPr>
        <w:ind w:left="460" w:right="3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Certain of the Group’s operating activities are transacted in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68" w:lineRule="exact"/>
        <w:rPr>
          <w:rFonts w:ascii="Times New Roman" w:cs="Times New Roman" w:eastAsia="Times New Roman" w:hAnsi="Times New Roman"/>
          <w:sz w:val="18"/>
          <w:szCs w:val="18"/>
          <w:b w:val="1"/>
          <w:bCs w:val="1"/>
          <w:color w:val="auto"/>
        </w:rPr>
      </w:pPr>
    </w:p>
    <w:p>
      <w:pPr>
        <w:ind w:left="460" w:right="1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revenues and expenses of the Group’s subsidiary and the VIE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333"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risk</w:t>
      </w:r>
    </w:p>
    <w:p>
      <w:pPr>
        <w:spacing w:after="0" w:line="131" w:lineRule="exact"/>
        <w:rPr>
          <w:sz w:val="20"/>
          <w:szCs w:val="20"/>
          <w:color w:val="auto"/>
        </w:rPr>
      </w:pPr>
    </w:p>
    <w:p>
      <w:pPr>
        <w:ind w:left="900" w:hanging="446"/>
        <w:spacing w:after="0"/>
        <w:tabs>
          <w:tab w:leader="none" w:pos="900" w:val="left"/>
        </w:tabs>
        <w:numPr>
          <w:ilvl w:val="0"/>
          <w:numId w:val="3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revenues</w:t>
      </w:r>
    </w:p>
    <w:p>
      <w:pPr>
        <w:spacing w:after="0" w:line="121" w:lineRule="exact"/>
        <w:rPr>
          <w:sz w:val="20"/>
          <w:szCs w:val="20"/>
          <w:color w:val="auto"/>
        </w:rPr>
      </w:pPr>
    </w:p>
    <w:p>
      <w:pPr>
        <w:ind w:left="920" w:right="240"/>
        <w:spacing w:after="0" w:line="261" w:lineRule="auto"/>
        <w:rPr>
          <w:sz w:val="20"/>
          <w:szCs w:val="20"/>
          <w:color w:val="auto"/>
        </w:rPr>
      </w:pPr>
      <w:r>
        <w:rPr>
          <w:rFonts w:ascii="Times New Roman" w:cs="Times New Roman" w:eastAsia="Times New Roman" w:hAnsi="Times New Roman"/>
          <w:sz w:val="18"/>
          <w:szCs w:val="18"/>
          <w:color w:val="auto"/>
        </w:rPr>
        <w:t>The top 10 customers accounted for 55% of the net revenues for the period from January 1, 2015 to July 23, 2015 and there was one customer with net revenues accounted for 11% of the total net revenues for the period from January 1, 2015 to July 23, 2015. Prior to entering into sales agreements, the Group performs credit assessments of its customers to assess the credit history of its customers. Further, the Group has not experienced any significant bad debts with respect to its accounts receivable.</w:t>
      </w:r>
    </w:p>
    <w:p>
      <w:pPr>
        <w:spacing w:after="0" w:line="325" w:lineRule="exact"/>
        <w:rPr>
          <w:sz w:val="20"/>
          <w:szCs w:val="20"/>
          <w:color w:val="auto"/>
        </w:rPr>
      </w:pPr>
    </w:p>
    <w:p>
      <w:pPr>
        <w:ind w:left="900" w:hanging="446"/>
        <w:spacing w:after="0"/>
        <w:tabs>
          <w:tab w:leader="none" w:pos="900" w:val="left"/>
        </w:tabs>
        <w:numPr>
          <w:ilvl w:val="0"/>
          <w:numId w:val="3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accounts receivable</w:t>
      </w:r>
    </w:p>
    <w:p>
      <w:pPr>
        <w:spacing w:after="0" w:line="121" w:lineRule="exact"/>
        <w:rPr>
          <w:sz w:val="20"/>
          <w:szCs w:val="20"/>
          <w:color w:val="auto"/>
        </w:rPr>
      </w:pPr>
    </w:p>
    <w:p>
      <w:pPr>
        <w:ind w:left="920" w:right="200"/>
        <w:spacing w:after="0" w:line="266" w:lineRule="auto"/>
        <w:rPr>
          <w:sz w:val="20"/>
          <w:szCs w:val="20"/>
          <w:color w:val="auto"/>
        </w:rPr>
      </w:pPr>
      <w:r>
        <w:rPr>
          <w:rFonts w:ascii="Times New Roman" w:cs="Times New Roman" w:eastAsia="Times New Roman" w:hAnsi="Times New Roman"/>
          <w:sz w:val="18"/>
          <w:szCs w:val="18"/>
          <w:color w:val="auto"/>
        </w:rPr>
        <w:t>The Group conducts credit evaluations on its customers and generally does not require collateral or other security from such customers. The Group periodically evaluates the creditworthiness of the existing customers in determining an allowance for doubtful accounts primarily based upon the age of the receivables and factors surrounding the credit risk of specific customers.</w:t>
      </w:r>
    </w:p>
    <w:p>
      <w:pPr>
        <w:spacing w:after="0" w:line="68" w:lineRule="exact"/>
        <w:rPr>
          <w:sz w:val="20"/>
          <w:szCs w:val="20"/>
          <w:color w:val="auto"/>
        </w:rPr>
      </w:pPr>
    </w:p>
    <w:p>
      <w:pPr>
        <w:ind w:left="920"/>
        <w:spacing w:after="0" w:line="266" w:lineRule="auto"/>
        <w:rPr>
          <w:sz w:val="20"/>
          <w:szCs w:val="20"/>
          <w:color w:val="auto"/>
        </w:rPr>
      </w:pPr>
      <w:r>
        <w:rPr>
          <w:rFonts w:ascii="Times New Roman" w:cs="Times New Roman" w:eastAsia="Times New Roman" w:hAnsi="Times New Roman"/>
          <w:sz w:val="18"/>
          <w:szCs w:val="18"/>
          <w:color w:val="auto"/>
        </w:rPr>
        <w:t>As of July 23, 2015, one customer accounted for 38% of the consolidated accounts receivable. The top 10 accounts receivable accounted for 85% of the total accounts receivable as of July 23, 2015. The following table summarizes the percentage of accounts receivable from third party advertisers and third party advertising agencies with over 10% of total accounts receivable:</w:t>
      </w:r>
    </w:p>
    <w:p>
      <w:pPr>
        <w:spacing w:after="0" w:line="203"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6100" w:type="dxa"/>
            <w:vAlign w:val="bottom"/>
          </w:tcPr>
          <w:p>
            <w:pPr>
              <w:spacing w:after="0"/>
              <w:rPr>
                <w:sz w:val="20"/>
                <w:szCs w:val="20"/>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July 23, 2015</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party advertisers and third party advertising agencies</w:t>
            </w:r>
          </w:p>
        </w:tc>
        <w:tc>
          <w:tcPr>
            <w:tcW w:w="258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A1</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A2</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A3</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346"/>
        </w:trPr>
        <w:tc>
          <w:tcPr>
            <w:tcW w:w="6100" w:type="dxa"/>
            <w:vAlign w:val="bottom"/>
          </w:tcPr>
          <w:p>
            <w:pPr>
              <w:ind w:left="4120"/>
              <w:spacing w:after="0"/>
              <w:rPr>
                <w:sz w:val="20"/>
                <w:szCs w:val="20"/>
                <w:color w:val="auto"/>
              </w:rPr>
            </w:pPr>
            <w:r>
              <w:rPr>
                <w:rFonts w:ascii="Times New Roman" w:cs="Times New Roman" w:eastAsia="Times New Roman" w:hAnsi="Times New Roman"/>
                <w:sz w:val="18"/>
                <w:szCs w:val="18"/>
                <w:color w:val="auto"/>
              </w:rPr>
              <w:t>F-140</w:t>
            </w:r>
          </w:p>
        </w:tc>
        <w:tc>
          <w:tcPr>
            <w:tcW w:w="2580" w:type="dxa"/>
            <w:vAlign w:val="bottom"/>
          </w:tcPr>
          <w:p>
            <w:pPr>
              <w:spacing w:after="0"/>
              <w:rPr>
                <w:sz w:val="24"/>
                <w:szCs w:val="24"/>
                <w:color w:val="auto"/>
              </w:rPr>
            </w:pPr>
          </w:p>
        </w:tc>
      </w:tr>
    </w:tbl>
    <w:p>
      <w:pPr>
        <w:sectPr>
          <w:pgSz w:w="11900" w:h="16838" w:orient="portrait"/>
          <w:cols w:equalWidth="0" w:num="1">
            <w:col w:w="11400"/>
          </w:cols>
          <w:pgMar w:left="240" w:top="455" w:right="259" w:bottom="1440" w:gutter="0" w:footer="0" w:header="0"/>
        </w:sectPr>
      </w:pPr>
    </w:p>
    <w:bookmarkStart w:id="361" w:name="page362"/>
    <w:bookmarkEnd w:id="3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hanging="452"/>
        <w:spacing w:after="0"/>
        <w:tabs>
          <w:tab w:leader="none" w:pos="460" w:val="left"/>
        </w:tabs>
        <w:numPr>
          <w:ilvl w:val="0"/>
          <w:numId w:val="3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risks and concentration (Continued)</w:t>
      </w:r>
    </w:p>
    <w:p>
      <w:pPr>
        <w:spacing w:after="0" w:line="131" w:lineRule="exact"/>
        <w:rPr>
          <w:sz w:val="20"/>
          <w:szCs w:val="20"/>
          <w:color w:val="auto"/>
        </w:rPr>
      </w:pPr>
    </w:p>
    <w:p>
      <w:pPr>
        <w:ind w:left="460" w:hanging="452"/>
        <w:spacing w:after="0"/>
        <w:tabs>
          <w:tab w:leader="none" w:pos="460" w:val="left"/>
        </w:tabs>
        <w:numPr>
          <w:ilvl w:val="0"/>
          <w:numId w:val="3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risk (Continued)</w:t>
      </w:r>
    </w:p>
    <w:p>
      <w:pPr>
        <w:spacing w:after="0" w:line="131"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(iii)</w:t>
      </w:r>
      <w:r>
        <w:rPr>
          <w:sz w:val="20"/>
          <w:szCs w:val="20"/>
          <w:color w:val="auto"/>
        </w:rPr>
        <w:tab/>
      </w:r>
      <w:r>
        <w:rPr>
          <w:rFonts w:ascii="Times New Roman" w:cs="Times New Roman" w:eastAsia="Times New Roman" w:hAnsi="Times New Roman"/>
          <w:sz w:val="17"/>
          <w:szCs w:val="17"/>
          <w:b w:val="1"/>
          <w:bCs w:val="1"/>
          <w:color w:val="auto"/>
        </w:rPr>
        <w:t>Credit risk</w:t>
      </w:r>
    </w:p>
    <w:p>
      <w:pPr>
        <w:spacing w:after="0" w:line="121" w:lineRule="exact"/>
        <w:rPr>
          <w:sz w:val="20"/>
          <w:szCs w:val="20"/>
          <w:color w:val="auto"/>
        </w:rPr>
      </w:pPr>
    </w:p>
    <w:p>
      <w:pPr>
        <w:ind w:left="920"/>
        <w:spacing w:after="0" w:line="253" w:lineRule="auto"/>
        <w:rPr>
          <w:sz w:val="20"/>
          <w:szCs w:val="20"/>
          <w:color w:val="auto"/>
        </w:rPr>
      </w:pPr>
      <w:r>
        <w:rPr>
          <w:rFonts w:ascii="Times New Roman" w:cs="Times New Roman" w:eastAsia="Times New Roman" w:hAnsi="Times New Roman"/>
          <w:sz w:val="18"/>
          <w:szCs w:val="18"/>
          <w:color w:val="auto"/>
        </w:rPr>
        <w:t>As of July 23, 2015,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deposits of cash and cash equivalents during the period from January 1, 2015 to July 23, 2015 and believes that its credit risk to be minimal.</w:t>
      </w:r>
    </w:p>
    <w:p>
      <w:pPr>
        <w:spacing w:after="0" w:line="337" w:lineRule="exact"/>
        <w:rPr>
          <w:sz w:val="20"/>
          <w:szCs w:val="20"/>
          <w:color w:val="auto"/>
        </w:rPr>
      </w:pPr>
    </w:p>
    <w:p>
      <w:pPr>
        <w:ind w:left="460" w:hanging="452"/>
        <w:spacing w:after="0"/>
        <w:tabs>
          <w:tab w:leader="none" w:pos="460" w:val="left"/>
        </w:tabs>
        <w:numPr>
          <w:ilvl w:val="0"/>
          <w:numId w:val="3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rFonts w:ascii="Times New Roman" w:cs="Times New Roman" w:eastAsia="Times New Roman" w:hAnsi="Times New Roman"/>
          <w:sz w:val="18"/>
          <w:szCs w:val="18"/>
          <w:b w:val="1"/>
          <w:bCs w:val="1"/>
          <w:color w:val="auto"/>
        </w:rPr>
      </w:pPr>
    </w:p>
    <w:p>
      <w:pPr>
        <w:ind w:left="460"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and cash equivalents represent cash on hand and cash held at bank. Cash on hand and cash held at bank balance as of July 23, 2015 primarily consist of the following currencies:</w:t>
      </w:r>
    </w:p>
    <w:p>
      <w:pPr>
        <w:spacing w:after="0" w:line="184"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4"/>
          <w:szCs w:val="14"/>
          <w:color w:val="auto"/>
        </w:rPr>
        <w:t>As of July 23, 2015</w:t>
      </w:r>
    </w:p>
    <w:p>
      <w:pPr>
        <w:ind w:left="9440"/>
        <w:spacing w:after="0" w:line="226" w:lineRule="auto"/>
        <w:rPr>
          <w:sz w:val="20"/>
          <w:szCs w:val="20"/>
          <w:color w:val="auto"/>
        </w:rPr>
      </w:pPr>
      <w:r>
        <w:rPr>
          <w:rFonts w:ascii="Times New Roman" w:cs="Times New Roman" w:eastAsia="Times New Roman" w:hAnsi="Times New Roman"/>
          <w:sz w:val="14"/>
          <w:szCs w:val="14"/>
          <w:color w:val="auto"/>
        </w:rPr>
        <w:t>US$’000</w:t>
      </w:r>
    </w:p>
    <w:p>
      <w:pPr>
        <w:spacing w:after="0" w:line="1" w:lineRule="exact"/>
        <w:rPr>
          <w:sz w:val="20"/>
          <w:szCs w:val="20"/>
          <w:color w:val="auto"/>
        </w:rPr>
      </w:pPr>
    </w:p>
    <w:p>
      <w:pPr>
        <w:ind w:left="8340"/>
        <w:spacing w:after="0"/>
        <w:tabs>
          <w:tab w:leader="none" w:pos="9380" w:val="left"/>
        </w:tabs>
        <w:rPr>
          <w:sz w:val="20"/>
          <w:szCs w:val="20"/>
          <w:color w:val="auto"/>
        </w:rPr>
      </w:pPr>
      <w:r>
        <w:rPr>
          <w:rFonts w:ascii="Times New Roman" w:cs="Times New Roman" w:eastAsia="Times New Roman" w:hAnsi="Times New Roman"/>
          <w:sz w:val="14"/>
          <w:szCs w:val="14"/>
          <w:color w:val="auto"/>
        </w:rPr>
        <w:t>Amount</w:t>
      </w:r>
      <w:r>
        <w:rPr>
          <w:sz w:val="20"/>
          <w:szCs w:val="20"/>
          <w:color w:val="auto"/>
        </w:rPr>
        <w:tab/>
      </w:r>
      <w:r>
        <w:rPr>
          <w:rFonts w:ascii="Times New Roman" w:cs="Times New Roman" w:eastAsia="Times New Roman" w:hAnsi="Times New Roman"/>
          <w:sz w:val="14"/>
          <w:szCs w:val="14"/>
          <w:color w:val="auto"/>
        </w:rPr>
        <w:t>equivalent</w:t>
      </w:r>
    </w:p>
    <w:p>
      <w:pPr>
        <w:spacing w:after="0" w:line="17"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RMB</w:t>
            </w:r>
          </w:p>
        </w:tc>
        <w:tc>
          <w:tcPr>
            <w:tcW w:w="43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7,782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43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48</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3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8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200" w:type="dxa"/>
            <w:vAlign w:val="bottom"/>
          </w:tcPr>
          <w:p>
            <w:pPr>
              <w:spacing w:after="0"/>
              <w:rPr>
                <w:sz w:val="21"/>
                <w:szCs w:val="21"/>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As of</w:t>
            </w:r>
          </w:p>
        </w:tc>
      </w:tr>
      <w:tr>
        <w:trPr>
          <w:trHeight w:val="149"/>
        </w:trPr>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9"/>
              </w:rPr>
              <w:t>July 23,</w:t>
            </w:r>
          </w:p>
        </w:tc>
      </w:tr>
      <w:tr>
        <w:trPr>
          <w:trHeight w:val="185"/>
        </w:trPr>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80" w:type="dxa"/>
            <w:vAlign w:val="bottom"/>
          </w:tcPr>
          <w:p>
            <w:pPr>
              <w:spacing w:after="0"/>
              <w:rPr>
                <w:sz w:val="16"/>
                <w:szCs w:val="16"/>
                <w:color w:val="auto"/>
              </w:rPr>
            </w:pPr>
          </w:p>
        </w:tc>
      </w:tr>
      <w:tr>
        <w:trPr>
          <w:trHeight w:val="216"/>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8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w:t>
            </w:r>
          </w:p>
        </w:tc>
        <w:tc>
          <w:tcPr>
            <w:tcW w:w="80" w:type="dxa"/>
            <w:vAlign w:val="bottom"/>
            <w:shd w:val="clear" w:color="auto" w:fill="CCEEFF"/>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movement in the allowance for doubtful accounts:</w:t>
      </w:r>
    </w:p>
    <w:p>
      <w:pPr>
        <w:spacing w:after="0" w:line="248"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color w:val="auto"/>
        </w:rPr>
        <w:t>Period from</w:t>
      </w:r>
    </w:p>
    <w:p>
      <w:pPr>
        <w:jc w:val="center"/>
        <w:ind w:left="6760"/>
        <w:spacing w:after="0" w:line="226" w:lineRule="auto"/>
        <w:rPr>
          <w:sz w:val="20"/>
          <w:szCs w:val="20"/>
          <w:color w:val="auto"/>
        </w:rPr>
      </w:pPr>
      <w:r>
        <w:rPr>
          <w:rFonts w:ascii="Times New Roman" w:cs="Times New Roman" w:eastAsia="Times New Roman" w:hAnsi="Times New Roman"/>
          <w:sz w:val="14"/>
          <w:szCs w:val="14"/>
          <w:color w:val="auto"/>
        </w:rPr>
        <w:t>January 1,</w:t>
      </w:r>
    </w:p>
    <w:p>
      <w:pPr>
        <w:jc w:val="center"/>
        <w:ind w:left="6760"/>
        <w:spacing w:after="0" w:line="222" w:lineRule="auto"/>
        <w:rPr>
          <w:sz w:val="20"/>
          <w:szCs w:val="20"/>
          <w:color w:val="auto"/>
        </w:rPr>
      </w:pPr>
      <w:r>
        <w:rPr>
          <w:rFonts w:ascii="Times New Roman" w:cs="Times New Roman" w:eastAsia="Times New Roman" w:hAnsi="Times New Roman"/>
          <w:sz w:val="14"/>
          <w:szCs w:val="14"/>
          <w:color w:val="auto"/>
        </w:rPr>
        <w:t>2015 to</w:t>
      </w:r>
    </w:p>
    <w:p>
      <w:pPr>
        <w:jc w:val="center"/>
        <w:ind w:left="6760"/>
        <w:spacing w:after="0"/>
        <w:rPr>
          <w:sz w:val="20"/>
          <w:szCs w:val="20"/>
          <w:color w:val="auto"/>
        </w:rPr>
      </w:pPr>
      <w:r>
        <w:rPr>
          <w:rFonts w:ascii="Times New Roman" w:cs="Times New Roman" w:eastAsia="Times New Roman" w:hAnsi="Times New Roman"/>
          <w:sz w:val="14"/>
          <w:szCs w:val="14"/>
          <w:color w:val="auto"/>
        </w:rPr>
        <w:t>July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5080</wp:posOffset>
            </wp:positionV>
            <wp:extent cx="4922520" cy="13716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Balance at the beginning of year</w:t>
      </w:r>
    </w:p>
    <w:p>
      <w:pPr>
        <w:spacing w:after="0" w:line="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Additions for the year</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Accounts receivable written 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Balance at the end of year</w:t>
      </w:r>
    </w:p>
    <w:p>
      <w:pPr>
        <w:spacing w:after="0" w:line="212" w:lineRule="exact"/>
        <w:rPr>
          <w:sz w:val="20"/>
          <w:szCs w:val="20"/>
          <w:color w:val="auto"/>
        </w:rPr>
      </w:pPr>
    </w:p>
    <w:p>
      <w:pPr>
        <w:jc w:val="right"/>
        <w:ind w:right="2520"/>
        <w:spacing w:after="0"/>
        <w:rPr>
          <w:sz w:val="20"/>
          <w:szCs w:val="20"/>
          <w:color w:val="auto"/>
        </w:rPr>
      </w:pPr>
      <w:r>
        <w:rPr>
          <w:rFonts w:ascii="Times New Roman" w:cs="Times New Roman" w:eastAsia="Times New Roman" w:hAnsi="Times New Roman"/>
          <w:sz w:val="18"/>
          <w:szCs w:val="18"/>
          <w:color w:val="auto"/>
        </w:rPr>
        <w:t>F-141</w:t>
      </w:r>
    </w:p>
    <w:p>
      <w:pPr>
        <w:spacing w:after="0" w:line="20" w:lineRule="exact"/>
        <w:rPr>
          <w:sz w:val="20"/>
          <w:szCs w:val="20"/>
          <w:color w:val="auto"/>
        </w:rPr>
      </w:pPr>
      <w:r>
        <w:rPr>
          <w:sz w:val="20"/>
          <w:szCs w:val="20"/>
          <w:color w:val="auto"/>
        </w:rPr>
        <w:br w:type="column"/>
      </w:r>
    </w:p>
    <w:p>
      <w:pPr>
        <w:ind w:left="140"/>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wp:posOffset>
            </wp:positionV>
            <wp:extent cx="49720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49720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34290</wp:posOffset>
            </wp:positionV>
            <wp:extent cx="49720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ectPr>
          <w:pgSz w:w="11900" w:h="16838" w:orient="portrait"/>
          <w:cols w:equalWidth="0" w:num="2">
            <w:col w:w="8440" w:space="720"/>
            <w:col w:w="2260"/>
          </w:cols>
          <w:pgMar w:left="240" w:top="455" w:right="239" w:bottom="1440" w:gutter="0" w:footer="0" w:header="0"/>
          <w:type w:val="continuous"/>
        </w:sectPr>
      </w:pPr>
    </w:p>
    <w:bookmarkStart w:id="362" w:name="page363"/>
    <w:bookmarkEnd w:id="3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right="308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NOTES TO THE CONSOLIDATED FINANCIAL STATEMENTS </w:t>
      </w:r>
      <w:r>
        <w:rPr>
          <w:rFonts w:ascii="Times New Roman" w:cs="Times New Roman" w:eastAsia="Times New Roman" w:hAnsi="Times New Roman"/>
          <w:sz w:val="17"/>
          <w:szCs w:val="17"/>
          <w:color w:val="auto"/>
        </w:rPr>
        <w:t>(US$’000, except share data and per share data, or otherwise noted)</w:t>
      </w:r>
    </w:p>
    <w:p>
      <w:pPr>
        <w:spacing w:after="0" w:line="200" w:lineRule="exact"/>
        <w:rPr>
          <w:sz w:val="20"/>
          <w:szCs w:val="20"/>
          <w:color w:val="auto"/>
        </w:rPr>
      </w:pPr>
    </w:p>
    <w:p>
      <w:pPr>
        <w:spacing w:after="0" w:line="229" w:lineRule="exact"/>
        <w:rPr>
          <w:sz w:val="20"/>
          <w:szCs w:val="20"/>
          <w:color w:val="auto"/>
        </w:rPr>
      </w:pPr>
    </w:p>
    <w:p>
      <w:pPr>
        <w:ind w:left="460" w:hanging="452"/>
        <w:spacing w:after="0"/>
        <w:tabs>
          <w:tab w:leader="none" w:pos="460" w:val="left"/>
        </w:tabs>
        <w:numPr>
          <w:ilvl w:val="0"/>
          <w:numId w:val="3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current assets</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current assets consist of the following: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-116840</wp:posOffset>
            </wp:positionV>
            <wp:extent cx="4922520" cy="13716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VAT receivables</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Advances to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Rental deposits</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Prepayments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24" w:lineRule="exact"/>
        <w:rPr>
          <w:sz w:val="20"/>
          <w:szCs w:val="20"/>
          <w:color w:val="auto"/>
        </w:rPr>
      </w:pPr>
    </w:p>
    <w:p>
      <w:pPr>
        <w:ind w:left="460" w:hanging="452"/>
        <w:spacing w:after="0"/>
        <w:tabs>
          <w:tab w:leader="none" w:pos="460" w:val="left"/>
        </w:tabs>
        <w:numPr>
          <w:ilvl w:val="0"/>
          <w:numId w:val="3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 of the following: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Office equipment</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Less: Accumulated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Depreciation expense recognized for the period from January 1, 2015 to July 23, 2015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24" w:lineRule="exact"/>
        <w:rPr>
          <w:sz w:val="20"/>
          <w:szCs w:val="20"/>
          <w:color w:val="auto"/>
        </w:rPr>
      </w:pPr>
    </w:p>
    <w:p>
      <w:pPr>
        <w:ind w:left="460" w:hanging="452"/>
        <w:spacing w:after="0"/>
        <w:tabs>
          <w:tab w:leader="none" w:pos="460" w:val="left"/>
        </w:tabs>
        <w:numPr>
          <w:ilvl w:val="0"/>
          <w:numId w:val="3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Customer deposits</w:t>
      </w:r>
    </w:p>
    <w:p>
      <w:pPr>
        <w:spacing w:after="0" w:line="200" w:lineRule="exact"/>
        <w:rPr>
          <w:sz w:val="20"/>
          <w:szCs w:val="20"/>
          <w:color w:val="auto"/>
        </w:rPr>
      </w:pPr>
    </w:p>
    <w:p>
      <w:pPr>
        <w:spacing w:after="0" w:line="39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Customer deposits,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-119380</wp:posOffset>
            </wp:positionV>
            <wp:extent cx="4922520" cy="13716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9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As of</w:t>
      </w:r>
    </w:p>
    <w:p>
      <w:pPr>
        <w:jc w:val="center"/>
        <w:ind w:right="439"/>
        <w:spacing w:after="0" w:line="226" w:lineRule="auto"/>
        <w:rPr>
          <w:sz w:val="20"/>
          <w:szCs w:val="20"/>
          <w:color w:val="auto"/>
        </w:rPr>
      </w:pPr>
      <w:r>
        <w:rPr>
          <w:rFonts w:ascii="Times New Roman" w:cs="Times New Roman" w:eastAsia="Times New Roman" w:hAnsi="Times New Roman"/>
          <w:sz w:val="14"/>
          <w:szCs w:val="14"/>
          <w:color w:val="auto"/>
        </w:rPr>
        <w:t>July 23,</w:t>
      </w:r>
    </w:p>
    <w:p>
      <w:pPr>
        <w:spacing w:after="0" w:line="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2015</w:t>
      </w:r>
    </w:p>
    <w:p>
      <w:pPr>
        <w:spacing w:after="0" w:line="206"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color w:val="auto"/>
        </w:rPr>
        <w:t>366</w:t>
      </w:r>
    </w:p>
    <w:p>
      <w:pPr>
        <w:spacing w:after="0" w:line="27"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color w:val="auto"/>
        </w:rPr>
        <w:t>194</w:t>
      </w:r>
    </w:p>
    <w:p>
      <w:pPr>
        <w:spacing w:after="0" w:line="9"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color w:val="auto"/>
        </w:rPr>
        <w:t>80</w:t>
      </w:r>
    </w:p>
    <w:p>
      <w:pPr>
        <w:spacing w:after="0" w:line="9"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5715</wp:posOffset>
            </wp:positionV>
            <wp:extent cx="29146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jc w:val="right"/>
        <w:ind w:right="679"/>
        <w:spacing w:after="0"/>
        <w:rPr>
          <w:sz w:val="20"/>
          <w:szCs w:val="20"/>
          <w:color w:val="auto"/>
        </w:rPr>
      </w:pPr>
      <w:r>
        <w:rPr>
          <w:rFonts w:ascii="Times New Roman" w:cs="Times New Roman" w:eastAsia="Times New Roman" w:hAnsi="Times New Roman"/>
          <w:sz w:val="18"/>
          <w:szCs w:val="18"/>
          <w:color w:val="auto"/>
        </w:rPr>
        <w:t>664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17145</wp:posOffset>
            </wp:positionV>
            <wp:extent cx="29146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34290</wp:posOffset>
            </wp:positionV>
            <wp:extent cx="29146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4"/>
          <w:szCs w:val="14"/>
          <w:color w:val="auto"/>
        </w:rPr>
        <w:t>As of</w:t>
      </w:r>
    </w:p>
    <w:p>
      <w:pPr>
        <w:jc w:val="center"/>
        <w:ind w:right="559"/>
        <w:spacing w:after="0" w:line="226" w:lineRule="auto"/>
        <w:rPr>
          <w:sz w:val="20"/>
          <w:szCs w:val="20"/>
          <w:color w:val="auto"/>
        </w:rPr>
      </w:pPr>
      <w:r>
        <w:rPr>
          <w:rFonts w:ascii="Times New Roman" w:cs="Times New Roman" w:eastAsia="Times New Roman" w:hAnsi="Times New Roman"/>
          <w:sz w:val="14"/>
          <w:szCs w:val="14"/>
          <w:color w:val="auto"/>
        </w:rPr>
        <w:t>July 23,</w:t>
      </w:r>
    </w:p>
    <w:p>
      <w:pPr>
        <w:spacing w:after="0" w:line="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4"/>
          <w:szCs w:val="14"/>
          <w:color w:val="auto"/>
        </w:rPr>
        <w:t>2015</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105</w:t>
      </w:r>
    </w:p>
    <w:p>
      <w:pPr>
        <w:spacing w:after="0" w:line="27"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5715</wp:posOffset>
            </wp:positionV>
            <wp:extent cx="29146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17145</wp:posOffset>
            </wp:positionV>
            <wp:extent cx="29146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34290</wp:posOffset>
            </wp:positionV>
            <wp:extent cx="29146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4"/>
          <w:szCs w:val="14"/>
          <w:color w:val="auto"/>
        </w:rPr>
        <w:t>Period from</w:t>
      </w:r>
    </w:p>
    <w:p>
      <w:pPr>
        <w:jc w:val="center"/>
        <w:ind w:right="679"/>
        <w:spacing w:after="0" w:line="226" w:lineRule="auto"/>
        <w:rPr>
          <w:sz w:val="20"/>
          <w:szCs w:val="20"/>
          <w:color w:val="auto"/>
        </w:rPr>
      </w:pPr>
      <w:r>
        <w:rPr>
          <w:rFonts w:ascii="Times New Roman" w:cs="Times New Roman" w:eastAsia="Times New Roman" w:hAnsi="Times New Roman"/>
          <w:sz w:val="14"/>
          <w:szCs w:val="14"/>
          <w:color w:val="auto"/>
        </w:rPr>
        <w:t>January 1,</w:t>
      </w:r>
    </w:p>
    <w:p>
      <w:pPr>
        <w:jc w:val="center"/>
        <w:ind w:right="679"/>
        <w:spacing w:after="0" w:line="222" w:lineRule="auto"/>
        <w:rPr>
          <w:sz w:val="20"/>
          <w:szCs w:val="20"/>
          <w:color w:val="auto"/>
        </w:rPr>
      </w:pPr>
      <w:r>
        <w:rPr>
          <w:rFonts w:ascii="Times New Roman" w:cs="Times New Roman" w:eastAsia="Times New Roman" w:hAnsi="Times New Roman"/>
          <w:sz w:val="14"/>
          <w:szCs w:val="14"/>
          <w:color w:val="auto"/>
        </w:rPr>
        <w:t>2015 to</w:t>
      </w:r>
    </w:p>
    <w:p>
      <w:pPr>
        <w:jc w:val="center"/>
        <w:ind w:right="679"/>
        <w:spacing w:after="0" w:line="221" w:lineRule="auto"/>
        <w:rPr>
          <w:sz w:val="20"/>
          <w:szCs w:val="20"/>
          <w:color w:val="auto"/>
        </w:rPr>
      </w:pPr>
      <w:r>
        <w:rPr>
          <w:rFonts w:ascii="Times New Roman" w:cs="Times New Roman" w:eastAsia="Times New Roman" w:hAnsi="Times New Roman"/>
          <w:sz w:val="14"/>
          <w:szCs w:val="14"/>
          <w:color w:val="auto"/>
        </w:rPr>
        <w:t>July 23,</w:t>
      </w:r>
    </w:p>
    <w:p>
      <w:pPr>
        <w:jc w:val="center"/>
        <w:ind w:right="679"/>
        <w:spacing w:after="0"/>
        <w:rPr>
          <w:sz w:val="20"/>
          <w:szCs w:val="20"/>
          <w:color w:val="auto"/>
        </w:rPr>
      </w:pPr>
      <w:r>
        <w:rPr>
          <w:rFonts w:ascii="Times New Roman" w:cs="Times New Roman" w:eastAsia="Times New Roman" w:hAnsi="Times New Roman"/>
          <w:sz w:val="14"/>
          <w:szCs w:val="14"/>
          <w:color w:val="auto"/>
        </w:rPr>
        <w:t>2015</w:t>
      </w:r>
    </w:p>
    <w:p>
      <w:pPr>
        <w:spacing w:after="0" w:line="9"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color w:val="auto"/>
        </w:rPr>
        <w:t>1</w:t>
      </w:r>
    </w:p>
    <w:p>
      <w:pPr>
        <w:spacing w:after="0" w:line="9"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4577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44577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44577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4"/>
          <w:szCs w:val="14"/>
          <w:color w:val="auto"/>
        </w:rPr>
        <w:t>As of</w:t>
      </w:r>
    </w:p>
    <w:p>
      <w:pPr>
        <w:jc w:val="center"/>
        <w:ind w:right="499"/>
        <w:spacing w:after="0" w:line="226" w:lineRule="auto"/>
        <w:rPr>
          <w:sz w:val="20"/>
          <w:szCs w:val="20"/>
          <w:color w:val="auto"/>
        </w:rPr>
      </w:pPr>
      <w:r>
        <w:rPr>
          <w:rFonts w:ascii="Times New Roman" w:cs="Times New Roman" w:eastAsia="Times New Roman" w:hAnsi="Times New Roman"/>
          <w:sz w:val="14"/>
          <w:szCs w:val="14"/>
          <w:color w:val="auto"/>
        </w:rPr>
        <w:t>July 23,</w:t>
      </w:r>
    </w:p>
    <w:p>
      <w:pPr>
        <w:spacing w:after="0" w:line="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4"/>
          <w:szCs w:val="14"/>
          <w:color w:val="auto"/>
        </w:rPr>
        <w:t>2015</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5,240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4445</wp:posOffset>
            </wp:positionV>
            <wp:extent cx="30861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21590</wp:posOffset>
            </wp:positionV>
            <wp:extent cx="30861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ectPr>
          <w:pgSz w:w="11900" w:h="16838" w:orient="portrait"/>
          <w:cols w:equalWidth="0" w:num="2">
            <w:col w:w="8680" w:space="160"/>
            <w:col w:w="1379"/>
          </w:cols>
          <w:pgMar w:left="240" w:top="455" w:right="1440" w:bottom="1440" w:gutter="0" w:footer="0" w:header="0"/>
        </w:sectPr>
      </w:pPr>
    </w:p>
    <w:bookmarkStart w:id="363" w:name="page364"/>
    <w:bookmarkEnd w:id="3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200" w:lineRule="exact"/>
        <w:rPr>
          <w:sz w:val="20"/>
          <w:szCs w:val="20"/>
          <w:color w:val="auto"/>
        </w:rPr>
      </w:pPr>
    </w:p>
    <w:p>
      <w:pPr>
        <w:spacing w:after="0" w:line="300" w:lineRule="exact"/>
        <w:rPr>
          <w:sz w:val="20"/>
          <w:szCs w:val="20"/>
          <w:color w:val="auto"/>
        </w:rPr>
      </w:pPr>
    </w:p>
    <w:p>
      <w:pPr>
        <w:ind w:left="460" w:hanging="452"/>
        <w:spacing w:after="0"/>
        <w:tabs>
          <w:tab w:leader="none" w:pos="460" w:val="left"/>
        </w:tabs>
        <w:numPr>
          <w:ilvl w:val="0"/>
          <w:numId w:val="3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 and other current liabilities</w:t>
      </w:r>
    </w:p>
    <w:p>
      <w:pPr>
        <w:spacing w:after="0" w:line="11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As of</w:t>
            </w:r>
          </w:p>
        </w:tc>
      </w:tr>
      <w:tr>
        <w:trPr>
          <w:trHeight w:val="149"/>
        </w:trPr>
        <w:tc>
          <w:tcPr>
            <w:tcW w:w="4660" w:type="dxa"/>
            <w:vAlign w:val="bottom"/>
          </w:tcPr>
          <w:p>
            <w:pPr>
              <w:spacing w:after="0"/>
              <w:rPr>
                <w:sz w:val="12"/>
                <w:szCs w:val="12"/>
                <w:color w:val="auto"/>
              </w:rPr>
            </w:pPr>
          </w:p>
        </w:tc>
        <w:tc>
          <w:tcPr>
            <w:tcW w:w="3100" w:type="dxa"/>
            <w:vAlign w:val="bottom"/>
            <w:gridSpan w:val="3"/>
          </w:tcPr>
          <w:p>
            <w:pPr>
              <w:jc w:val="center"/>
              <w:ind w:left="2437"/>
              <w:spacing w:after="0" w:line="149" w:lineRule="exact"/>
              <w:rPr>
                <w:sz w:val="20"/>
                <w:szCs w:val="20"/>
                <w:color w:val="auto"/>
              </w:rPr>
            </w:pPr>
            <w:r>
              <w:rPr>
                <w:rFonts w:ascii="Times New Roman" w:cs="Times New Roman" w:eastAsia="Times New Roman" w:hAnsi="Times New Roman"/>
                <w:sz w:val="14"/>
                <w:szCs w:val="14"/>
                <w:color w:val="auto"/>
              </w:rPr>
              <w:t>July 23,</w:t>
            </w:r>
          </w:p>
        </w:tc>
      </w:tr>
      <w:tr>
        <w:trPr>
          <w:trHeight w:val="185"/>
        </w:trPr>
        <w:tc>
          <w:tcPr>
            <w:tcW w:w="4660" w:type="dxa"/>
            <w:vAlign w:val="bottom"/>
          </w:tcPr>
          <w:p>
            <w:pPr>
              <w:spacing w:after="0"/>
              <w:rPr>
                <w:sz w:val="16"/>
                <w:szCs w:val="16"/>
                <w:color w:val="auto"/>
              </w:rPr>
            </w:pPr>
          </w:p>
        </w:tc>
        <w:tc>
          <w:tcPr>
            <w:tcW w:w="3040" w:type="dxa"/>
            <w:vAlign w:val="bottom"/>
            <w:gridSpan w:val="2"/>
          </w:tcPr>
          <w:p>
            <w:pPr>
              <w:jc w:val="center"/>
              <w:ind w:left="2497"/>
              <w:spacing w:after="0"/>
              <w:rPr>
                <w:sz w:val="20"/>
                <w:szCs w:val="20"/>
                <w:color w:val="auto"/>
              </w:rPr>
            </w:pPr>
            <w:r>
              <w:rPr>
                <w:rFonts w:ascii="Times New Roman" w:cs="Times New Roman" w:eastAsia="Times New Roman" w:hAnsi="Times New Roman"/>
                <w:sz w:val="14"/>
                <w:szCs w:val="14"/>
                <w:color w:val="auto"/>
              </w:rPr>
              <w:t>2015</w:t>
            </w:r>
          </w:p>
        </w:tc>
        <w:tc>
          <w:tcPr>
            <w:tcW w:w="60" w:type="dxa"/>
            <w:vAlign w:val="bottom"/>
          </w:tcPr>
          <w:p>
            <w:pPr>
              <w:spacing w:after="0"/>
              <w:rPr>
                <w:sz w:val="16"/>
                <w:szCs w:val="16"/>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benefits</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VAT and other taxes payable</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shd w:val="clear" w:color="auto" w:fill="CCEEFF"/>
          </w:tcPr>
          <w:p>
            <w:pPr>
              <w:spacing w:after="0"/>
              <w:rPr>
                <w:sz w:val="18"/>
                <w:szCs w:val="18"/>
                <w:color w:val="auto"/>
              </w:rPr>
            </w:pPr>
          </w:p>
        </w:tc>
      </w:tr>
      <w:tr>
        <w:trPr>
          <w:trHeight w:val="22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5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60" w:type="dxa"/>
            <w:vAlign w:val="bottom"/>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ind w:left="460" w:hanging="452"/>
        <w:spacing w:after="0"/>
        <w:tabs>
          <w:tab w:leader="none" w:pos="460" w:val="left"/>
        </w:tabs>
        <w:numPr>
          <w:ilvl w:val="0"/>
          <w:numId w:val="3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preference shares</w:t>
      </w:r>
    </w:p>
    <w:p>
      <w:pPr>
        <w:spacing w:after="0" w:line="121" w:lineRule="exact"/>
        <w:rPr>
          <w:rFonts w:ascii="Times New Roman" w:cs="Times New Roman" w:eastAsia="Times New Roman" w:hAnsi="Times New Roman"/>
          <w:sz w:val="18"/>
          <w:szCs w:val="18"/>
          <w:b w:val="1"/>
          <w:bCs w:val="1"/>
          <w:color w:val="auto"/>
        </w:rPr>
      </w:pPr>
    </w:p>
    <w:p>
      <w:pPr>
        <w:ind w:left="460" w:right="4320"/>
        <w:spacing w:after="0" w:line="40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July 23, 2015, the Company had 25,000,000 Series A-1 preferred shares outstanding. The key terms of Series A-1 preferred shares are as follows:</w:t>
      </w:r>
    </w:p>
    <w:p>
      <w:pPr>
        <w:spacing w:after="0" w:line="160"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Dividend rights</w:t>
      </w:r>
    </w:p>
    <w:p>
      <w:pPr>
        <w:spacing w:after="0" w:line="119" w:lineRule="exact"/>
        <w:rPr>
          <w:rFonts w:ascii="Times New Roman" w:cs="Times New Roman" w:eastAsia="Times New Roman" w:hAnsi="Times New Roman"/>
          <w:sz w:val="18"/>
          <w:szCs w:val="18"/>
          <w:b w:val="1"/>
          <w:bCs w:val="1"/>
          <w:color w:val="auto"/>
        </w:rPr>
      </w:pPr>
    </w:p>
    <w:p>
      <w:pPr>
        <w:ind w:left="460" w:right="6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of Series A-1 preferred shares is entitled to participate in any dividend pari passu with ordinary shareholders of the Company on an as-converted basis.</w:t>
      </w:r>
    </w:p>
    <w:p>
      <w:pPr>
        <w:spacing w:after="0" w:line="267"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Voting rights</w:t>
      </w:r>
    </w:p>
    <w:p>
      <w:pPr>
        <w:spacing w:after="0" w:line="119" w:lineRule="exact"/>
        <w:rPr>
          <w:rFonts w:ascii="Times New Roman" w:cs="Times New Roman" w:eastAsia="Times New Roman" w:hAnsi="Times New Roman"/>
          <w:sz w:val="18"/>
          <w:szCs w:val="18"/>
          <w:b w:val="1"/>
          <w:bCs w:val="1"/>
          <w:color w:val="auto"/>
        </w:rPr>
      </w:pPr>
    </w:p>
    <w:p>
      <w:pPr>
        <w:ind w:left="46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of the Series A-1 preferred shares shall be entitled to such number of votes equal to the whole number of ordinary shares into which such Series A-1 preferred shares are convertible.</w:t>
      </w:r>
    </w:p>
    <w:p>
      <w:pPr>
        <w:spacing w:after="0" w:line="267"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Liquidation preference</w:t>
      </w:r>
    </w:p>
    <w:p>
      <w:pPr>
        <w:spacing w:after="0" w:line="119" w:lineRule="exact"/>
        <w:rPr>
          <w:rFonts w:ascii="Times New Roman" w:cs="Times New Roman" w:eastAsia="Times New Roman" w:hAnsi="Times New Roman"/>
          <w:sz w:val="18"/>
          <w:szCs w:val="18"/>
          <w:b w:val="1"/>
          <w:bCs w:val="1"/>
          <w:color w:val="auto"/>
        </w:rPr>
      </w:pPr>
    </w:p>
    <w:p>
      <w:pPr>
        <w:ind w:left="4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any liquidation, dissolution or winding up of the Company, either voluntary or involuntary, after the payment of Series A-2 Preference Amount has been made in full, the holders of the Series A-1 preferred shares shall be entitled to receive, prior and in preference to the remaining assets and funds of the Company available for distribution to the holders of ordinary shares by reason of their ownership of such shares, the amount equal to 100% of the Series A-1 preferred shares issue price for each Series A-1 preferred shares (adjusted for share splits, share dividends, combinations, recapitalizations and similar events with respect to such shares), plus all declared but unpaid dividends and distributions on such Series A-1 preferred shares (collectively, the “Series A-1 Preference Amount”). If the remaining assets and funds thus distributed to the holder of the Series A-1 preferred shares shall be insufficient to permit the payment to such holders of the full Series A-1 Preference Amount, then the entire remaining assets and funds of the Company legally available for distribution shall be distributed ratably to the holder of the Series A-1 preferred shares in proportion to the Series A-1 Preference Amount that such holder is otherwise entitled to receive.</w:t>
      </w:r>
    </w:p>
    <w:p>
      <w:pPr>
        <w:spacing w:after="0" w:line="81" w:lineRule="exact"/>
        <w:rPr>
          <w:rFonts w:ascii="Times New Roman" w:cs="Times New Roman" w:eastAsia="Times New Roman" w:hAnsi="Times New Roman"/>
          <w:sz w:val="18"/>
          <w:szCs w:val="18"/>
          <w:b w:val="1"/>
          <w:bCs w:val="1"/>
          <w:color w:val="auto"/>
        </w:rPr>
      </w:pPr>
    </w:p>
    <w:p>
      <w:pPr>
        <w:ind w:left="460" w:right="2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the payment of Series A-2 Preference Amount and Series A-1 Preference mount have been made in full, the remaining assets and funds of the Company available for distribution shall be distributed among all holders of ordinary shares and Series A-1 preferred shares on a pro rata and as-converted basis.</w:t>
      </w:r>
    </w:p>
    <w:p>
      <w:pPr>
        <w:spacing w:after="0" w:line="1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F-143</w:t>
      </w:r>
    </w:p>
    <w:p>
      <w:pPr>
        <w:sectPr>
          <w:pgSz w:w="11900" w:h="16838" w:orient="portrait"/>
          <w:cols w:equalWidth="0" w:num="1">
            <w:col w:w="11360"/>
          </w:cols>
          <w:pgMar w:left="240" w:top="455" w:right="299" w:bottom="1440" w:gutter="0" w:footer="0" w:header="0"/>
        </w:sectPr>
      </w:pPr>
    </w:p>
    <w:bookmarkStart w:id="364" w:name="page365"/>
    <w:bookmarkEnd w:id="3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right="7680" w:hanging="452"/>
        <w:spacing w:after="0" w:line="385" w:lineRule="auto"/>
        <w:tabs>
          <w:tab w:leader="none" w:pos="449" w:val="left"/>
        </w:tabs>
        <w:numPr>
          <w:ilvl w:val="0"/>
          <w:numId w:val="3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Convertible preference shares (Continued) </w:t>
      </w:r>
      <w:r>
        <w:rPr>
          <w:rFonts w:ascii="Times New Roman" w:cs="Times New Roman" w:eastAsia="Times New Roman" w:hAnsi="Times New Roman"/>
          <w:sz w:val="18"/>
          <w:szCs w:val="18"/>
          <w:i w:val="1"/>
          <w:iCs w:val="1"/>
          <w:color w:val="auto"/>
        </w:rPr>
        <w:t>Conversion rights</w:t>
      </w:r>
    </w:p>
    <w:p>
      <w:pPr>
        <w:spacing w:after="0" w:line="1" w:lineRule="exact"/>
        <w:rPr>
          <w:rFonts w:ascii="Times New Roman" w:cs="Times New Roman" w:eastAsia="Times New Roman" w:hAnsi="Times New Roman"/>
          <w:sz w:val="18"/>
          <w:szCs w:val="18"/>
          <w:b w:val="1"/>
          <w:bCs w:val="1"/>
          <w:color w:val="auto"/>
        </w:rPr>
      </w:pPr>
    </w:p>
    <w:p>
      <w:pPr>
        <w:ind w:left="4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share of the Series A-1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75" w:lineRule="exact"/>
        <w:rPr>
          <w:rFonts w:ascii="Times New Roman" w:cs="Times New Roman" w:eastAsia="Times New Roman" w:hAnsi="Times New Roman"/>
          <w:sz w:val="18"/>
          <w:szCs w:val="18"/>
          <w:b w:val="1"/>
          <w:bCs w:val="1"/>
          <w:color w:val="auto"/>
        </w:rPr>
      </w:pPr>
    </w:p>
    <w:p>
      <w:pPr>
        <w:ind w:left="4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each share of the Series A-1 preferred shares would automatically be converted into ordinary shares of the Company (i) upon the closing of an initial public offering of the Company’s shares or (ii) upon the election of holders of at least a majority of the then issued and outstanding preferred shares, voting together as a single class on an as-if-converted basis.</w:t>
      </w:r>
    </w:p>
    <w:p>
      <w:pPr>
        <w:spacing w:after="0" w:line="68" w:lineRule="exact"/>
        <w:rPr>
          <w:rFonts w:ascii="Times New Roman" w:cs="Times New Roman" w:eastAsia="Times New Roman" w:hAnsi="Times New Roman"/>
          <w:sz w:val="18"/>
          <w:szCs w:val="18"/>
          <w:b w:val="1"/>
          <w:bCs w:val="1"/>
          <w:color w:val="auto"/>
        </w:rPr>
      </w:pPr>
    </w:p>
    <w:p>
      <w:pPr>
        <w:ind w:left="460" w:right="1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the Series A-1 preferred shares did not contain any redemption feature, they would be classified within permanent equity. Furthermore, at the time of issuance, the Series A-1 preferred shares contained a beneficial conversion feature of US$7,125 and the amount was charged to additional paid-in capital as a deemed dividend.</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121" w:lineRule="exact"/>
        <w:rPr>
          <w:rFonts w:ascii="Times New Roman" w:cs="Times New Roman" w:eastAsia="Times New Roman" w:hAnsi="Times New Roman"/>
          <w:sz w:val="18"/>
          <w:szCs w:val="18"/>
          <w:b w:val="1"/>
          <w:bCs w:val="1"/>
          <w:color w:val="auto"/>
        </w:rPr>
      </w:pPr>
    </w:p>
    <w:p>
      <w:pPr>
        <w:ind w:left="460" w:right="1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Memorandum and Articles of Association authorizes the Company to issue 250,000,000 shares of US$0.0002 par value per ordinary share as of July 23, 2015.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the Series A-1 and A-2 preferred shares representing a majority of the aggregate voting power of all outstanding shares. As of July 23, 2015, there were 55,000,000 ordinary shares outstanding, respectively.</w:t>
      </w:r>
    </w:p>
    <w:p>
      <w:pPr>
        <w:spacing w:after="0" w:line="328"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shares</w:t>
      </w:r>
    </w:p>
    <w:p>
      <w:pPr>
        <w:spacing w:after="0" w:line="121" w:lineRule="exact"/>
        <w:rPr>
          <w:rFonts w:ascii="Times New Roman" w:cs="Times New Roman" w:eastAsia="Times New Roman" w:hAnsi="Times New Roman"/>
          <w:sz w:val="18"/>
          <w:szCs w:val="18"/>
          <w:b w:val="1"/>
          <w:bCs w:val="1"/>
          <w:color w:val="auto"/>
        </w:rPr>
      </w:pPr>
    </w:p>
    <w:p>
      <w:pPr>
        <w:jc w:val="both"/>
        <w:ind w:left="4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16, 2015, the Company entered into an agreement (“Series A-2 Agreement”) to issue Series A-2 preferred shares to a third-party investor (“Investor A-2”) for a total cash consideration of US$3,500. Accordingly, the Company issued 15,909,091 Series A-2 preferred shares at US$0.22 per share.</w:t>
      </w:r>
    </w:p>
    <w:p>
      <w:pPr>
        <w:spacing w:after="0" w:line="68"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key terms of the Series A-2 are as follows:</w:t>
      </w:r>
    </w:p>
    <w:p>
      <w:pPr>
        <w:spacing w:after="0" w:line="33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Dividend rights</w:t>
      </w:r>
    </w:p>
    <w:p>
      <w:pPr>
        <w:spacing w:after="0" w:line="119"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the Series A-2 are entitled to participate in any dividend pari passu with ordinary shareholders of the Company on an as-converted basis.</w:t>
      </w:r>
    </w:p>
    <w:p>
      <w:pPr>
        <w:spacing w:after="0" w:line="33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Voting rights</w:t>
      </w:r>
    </w:p>
    <w:p>
      <w:pPr>
        <w:spacing w:after="0" w:line="119" w:lineRule="exact"/>
        <w:rPr>
          <w:rFonts w:ascii="Times New Roman" w:cs="Times New Roman" w:eastAsia="Times New Roman" w:hAnsi="Times New Roman"/>
          <w:sz w:val="18"/>
          <w:szCs w:val="18"/>
          <w:b w:val="1"/>
          <w:bCs w:val="1"/>
          <w:color w:val="auto"/>
        </w:rPr>
      </w:pPr>
    </w:p>
    <w:p>
      <w:pPr>
        <w:ind w:left="46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the Series A-2 preferred shares shall be entitled to such number of votes equal to the whole number of ordinary shares into which such Series A-2 preferred shares are convertible.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F-144</w:t>
      </w:r>
    </w:p>
    <w:p>
      <w:pPr>
        <w:sectPr>
          <w:pgSz w:w="11900" w:h="16838" w:orient="portrait"/>
          <w:cols w:equalWidth="0" w:num="1">
            <w:col w:w="11400"/>
          </w:cols>
          <w:pgMar w:left="240" w:top="456" w:right="259" w:bottom="1440" w:gutter="0" w:footer="0" w:header="0"/>
        </w:sectPr>
      </w:pPr>
    </w:p>
    <w:bookmarkStart w:id="365" w:name="page366"/>
    <w:bookmarkEnd w:id="3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right="6800" w:hanging="452"/>
        <w:spacing w:after="0" w:line="385" w:lineRule="auto"/>
        <w:tabs>
          <w:tab w:leader="none" w:pos="449" w:val="left"/>
        </w:tabs>
        <w:numPr>
          <w:ilvl w:val="0"/>
          <w:numId w:val="3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Liquidation preference</w:t>
      </w:r>
    </w:p>
    <w:p>
      <w:pPr>
        <w:spacing w:after="0" w:line="1" w:lineRule="exact"/>
        <w:rPr>
          <w:rFonts w:ascii="Times New Roman" w:cs="Times New Roman" w:eastAsia="Times New Roman" w:hAnsi="Times New Roman"/>
          <w:sz w:val="18"/>
          <w:szCs w:val="18"/>
          <w:b w:val="1"/>
          <w:bCs w:val="1"/>
          <w:color w:val="auto"/>
        </w:rPr>
      </w:pPr>
    </w:p>
    <w:p>
      <w:pPr>
        <w:ind w:left="46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liquidating transaction as defined in the Company’s Memorandum and Articles of Association, the holders of Series A-2 preferred shares are entitled to receive an amount equal to 120% of the issue price as defined in the Company’s Memorandum and Articles of Association (adjusted for share splits, share dividends, combinations, recapitalizations and similar events with respect to such shares), plus all declared but unpaid dividend and distributions on such Series A-2 preferred shares. If the assets of the Company shall be insufficient to make the payment of the amount in full, then the assets of the Company shall be distributed ratably to the holders of preferred shares in proportion to the amount each holder would otherwise be entitled to receive.</w:t>
      </w:r>
    </w:p>
    <w:p>
      <w:pPr>
        <w:spacing w:after="0" w:line="79" w:lineRule="exact"/>
        <w:rPr>
          <w:rFonts w:ascii="Times New Roman" w:cs="Times New Roman" w:eastAsia="Times New Roman" w:hAnsi="Times New Roman"/>
          <w:sz w:val="18"/>
          <w:szCs w:val="18"/>
          <w:b w:val="1"/>
          <w:bCs w:val="1"/>
          <w:color w:val="auto"/>
        </w:rPr>
      </w:pPr>
    </w:p>
    <w:p>
      <w:pPr>
        <w:ind w:lef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the full amount has been paid to holders of Series A-1 and Series A-2, any remaining funds or assets of the Company legally available for distribution shall be distributed pro rata among the holders of preferred shares on an as-converted basis together with the holders of the ordinary shares.</w:t>
      </w:r>
    </w:p>
    <w:p>
      <w:pPr>
        <w:spacing w:after="0" w:line="267"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Conversion rights</w:t>
      </w:r>
    </w:p>
    <w:p>
      <w:pPr>
        <w:spacing w:after="0" w:line="119" w:lineRule="exact"/>
        <w:rPr>
          <w:rFonts w:ascii="Times New Roman" w:cs="Times New Roman" w:eastAsia="Times New Roman" w:hAnsi="Times New Roman"/>
          <w:sz w:val="18"/>
          <w:szCs w:val="18"/>
          <w:b w:val="1"/>
          <w:bCs w:val="1"/>
          <w:color w:val="auto"/>
        </w:rPr>
      </w:pPr>
    </w:p>
    <w:p>
      <w:pPr>
        <w:ind w:left="4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share of the Series A-2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75" w:lineRule="exact"/>
        <w:rPr>
          <w:rFonts w:ascii="Times New Roman" w:cs="Times New Roman" w:eastAsia="Times New Roman" w:hAnsi="Times New Roman"/>
          <w:sz w:val="18"/>
          <w:szCs w:val="18"/>
          <w:b w:val="1"/>
          <w:bCs w:val="1"/>
          <w:color w:val="auto"/>
        </w:rPr>
      </w:pPr>
    </w:p>
    <w:p>
      <w:pPr>
        <w:ind w:lef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each share of the Series A-2 preferred shares would automatically be converted into ordinary shares of the Company (i) upon the closing of an initial public offering of the Company’s shares or (ii) upon the election of holders of at least a majority of Series A-2 preferred shares.</w:t>
      </w:r>
    </w:p>
    <w:p>
      <w:pPr>
        <w:spacing w:after="0" w:line="267"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Redemption right</w:t>
      </w:r>
    </w:p>
    <w:p>
      <w:pPr>
        <w:spacing w:after="0" w:line="119" w:lineRule="exact"/>
        <w:rPr>
          <w:rFonts w:ascii="Times New Roman" w:cs="Times New Roman" w:eastAsia="Times New Roman" w:hAnsi="Times New Roman"/>
          <w:sz w:val="18"/>
          <w:szCs w:val="18"/>
          <w:b w:val="1"/>
          <w:bCs w:val="1"/>
          <w:color w:val="auto"/>
        </w:rPr>
      </w:pPr>
    </w:p>
    <w:p>
      <w:pPr>
        <w:ind w:left="46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Series A-2 preferred shares are redeemable at any time after the 7th anniversary of the closing of sale and purchase of the Series A-2 Agreement. The redemption price for Series A-2 shares is equal to 150% of the original issue price (plus all declared but unpaid dividends).</w:t>
      </w:r>
    </w:p>
    <w:p>
      <w:pPr>
        <w:spacing w:after="0" w:line="53" w:lineRule="exact"/>
        <w:rPr>
          <w:rFonts w:ascii="Times New Roman" w:cs="Times New Roman" w:eastAsia="Times New Roman" w:hAnsi="Times New Roman"/>
          <w:sz w:val="18"/>
          <w:szCs w:val="18"/>
          <w:b w:val="1"/>
          <w:bCs w:val="1"/>
          <w:color w:val="auto"/>
        </w:rPr>
      </w:pPr>
    </w:p>
    <w:p>
      <w:pPr>
        <w:ind w:left="460" w:right="6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determined that the Series A-2 preferred shares should be classified as mezzanine equity after considering the features of the preferred shares as described above.</w:t>
      </w:r>
    </w:p>
    <w:p>
      <w:pPr>
        <w:spacing w:after="0" w:line="53" w:lineRule="exact"/>
        <w:rPr>
          <w:rFonts w:ascii="Times New Roman" w:cs="Times New Roman" w:eastAsia="Times New Roman" w:hAnsi="Times New Roman"/>
          <w:sz w:val="18"/>
          <w:szCs w:val="18"/>
          <w:b w:val="1"/>
          <w:bCs w:val="1"/>
          <w:color w:val="auto"/>
        </w:rPr>
      </w:pPr>
    </w:p>
    <w:p>
      <w:pPr>
        <w:ind w:left="46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also determined that conversion and redemption features embedded in the preferred shares are not required to be bifurcated and accounted for as derivatives, as the economic characteristics and risks of the embedded conversion and redemption features are clearly and closely related to that of the preferred shares. The preferred shares are not readily convertible into cash as there is not a market mechanism in place for trading of the Company’s shares.</w:t>
      </w:r>
    </w:p>
    <w:p>
      <w:pPr>
        <w:spacing w:after="0" w:line="71" w:lineRule="exact"/>
        <w:rPr>
          <w:rFonts w:ascii="Times New Roman" w:cs="Times New Roman" w:eastAsia="Times New Roman" w:hAnsi="Times New Roman"/>
          <w:sz w:val="18"/>
          <w:szCs w:val="18"/>
          <w:b w:val="1"/>
          <w:bCs w:val="1"/>
          <w:color w:val="auto"/>
        </w:rPr>
      </w:pPr>
    </w:p>
    <w:p>
      <w:pPr>
        <w:ind w:left="460"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Due to the redemption features described above with respect to Series A-2 preferred shares, the Company recognizes the changes in the redemption value immediately as they occur by way of accreting 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F-145</w:t>
      </w:r>
    </w:p>
    <w:p>
      <w:pPr>
        <w:sectPr>
          <w:pgSz w:w="11900" w:h="16838" w:orient="portrait"/>
          <w:cols w:equalWidth="0" w:num="1">
            <w:col w:w="11380"/>
          </w:cols>
          <w:pgMar w:left="240" w:top="455" w:right="279" w:bottom="1440" w:gutter="0" w:footer="0" w:header="0"/>
        </w:sectPr>
      </w:pPr>
    </w:p>
    <w:bookmarkStart w:id="366" w:name="page367"/>
    <w:bookmarkEnd w:id="3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ind w:left="460" w:right="6720" w:hanging="452"/>
        <w:spacing w:after="0" w:line="391" w:lineRule="auto"/>
        <w:tabs>
          <w:tab w:leader="none" w:pos="449" w:val="left"/>
        </w:tabs>
        <w:numPr>
          <w:ilvl w:val="0"/>
          <w:numId w:val="3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shares (Continued) </w:t>
      </w:r>
      <w:r>
        <w:rPr>
          <w:rFonts w:ascii="Times New Roman" w:cs="Times New Roman" w:eastAsia="Times New Roman" w:hAnsi="Times New Roman"/>
          <w:sz w:val="18"/>
          <w:szCs w:val="18"/>
          <w:i w:val="1"/>
          <w:iCs w:val="1"/>
          <w:color w:val="auto"/>
        </w:rPr>
        <w:t>Series A-2</w:t>
      </w:r>
    </w:p>
    <w:tbl>
      <w:tblPr>
        <w:tblLayout w:type="fixed"/>
        <w:tblInd w:w="18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260" w:type="dxa"/>
            <w:vAlign w:val="bottom"/>
            <w:gridSpan w:val="3"/>
          </w:tcPr>
          <w:p>
            <w:pPr>
              <w:jc w:val="center"/>
              <w:ind w:left="2362"/>
              <w:spacing w:after="0" w:line="149" w:lineRule="exact"/>
              <w:rPr>
                <w:sz w:val="20"/>
                <w:szCs w:val="20"/>
                <w:color w:val="auto"/>
              </w:rPr>
            </w:pPr>
            <w:r>
              <w:rPr>
                <w:rFonts w:ascii="Times New Roman" w:cs="Times New Roman" w:eastAsia="Times New Roman" w:hAnsi="Times New Roman"/>
                <w:sz w:val="14"/>
                <w:szCs w:val="14"/>
                <w:color w:val="auto"/>
              </w:rPr>
              <w:t>Period from</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January 1,</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2015 to</w:t>
            </w: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July 23,</w:t>
            </w:r>
          </w:p>
        </w:tc>
      </w:tr>
      <w:tr>
        <w:trPr>
          <w:trHeight w:val="185"/>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200" w:type="dxa"/>
            <w:vAlign w:val="bottom"/>
            <w:gridSpan w:val="2"/>
          </w:tcPr>
          <w:p>
            <w:pPr>
              <w:jc w:val="center"/>
              <w:ind w:left="2402"/>
              <w:spacing w:after="0"/>
              <w:rPr>
                <w:sz w:val="20"/>
                <w:szCs w:val="20"/>
                <w:color w:val="auto"/>
              </w:rPr>
            </w:pPr>
            <w:r>
              <w:rPr>
                <w:rFonts w:ascii="Times New Roman" w:cs="Times New Roman" w:eastAsia="Times New Roman" w:hAnsi="Times New Roman"/>
                <w:sz w:val="14"/>
                <w:szCs w:val="14"/>
                <w:color w:val="auto"/>
                <w:w w:val="99"/>
              </w:rPr>
              <w:t>2015</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preferred shares</w:t>
            </w:r>
          </w:p>
        </w:tc>
        <w:tc>
          <w:tcPr>
            <w:tcW w:w="2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right="20"/>
        <w:spacing w:after="0" w:line="277" w:lineRule="auto"/>
        <w:rPr>
          <w:sz w:val="20"/>
          <w:szCs w:val="20"/>
          <w:color w:val="auto"/>
        </w:rPr>
      </w:pPr>
      <w:r>
        <w:rPr>
          <w:rFonts w:ascii="Times New Roman" w:cs="Times New Roman" w:eastAsia="Times New Roman" w:hAnsi="Times New Roman"/>
          <w:sz w:val="17"/>
          <w:szCs w:val="17"/>
          <w:color w:val="auto"/>
        </w:rPr>
        <w:t>The Company assessed beneficial conversion feature attributable to the Series A-2 preferred shares and determined that there was a beneficial conversion feature with an amount of US$1,973, which was bifurcated from the carrying value of Series A-2 preferred shares as a contribution to additional paid-in capital upon issuance of Series A-2 preferred shares. The discount of US$1,973 resulting from the recognition of the beneficial conversion feature will be amortized from the date of the issuance to the first redemption date of the Series A-2 preferred shares as a deemed dividend to preferred shareholders and charged against retained earnings, and in the absence of retained earnings, a charge to additional paid-in capital.</w:t>
      </w:r>
    </w:p>
    <w:p>
      <w:pPr>
        <w:spacing w:after="0" w:line="31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tab/>
        <w:t>Share-based compensation</w:t>
      </w:r>
    </w:p>
    <w:p>
      <w:pPr>
        <w:spacing w:after="0" w:line="135" w:lineRule="exact"/>
        <w:rPr>
          <w:sz w:val="20"/>
          <w:szCs w:val="20"/>
          <w:color w:val="auto"/>
        </w:rPr>
      </w:pPr>
    </w:p>
    <w:p>
      <w:pPr>
        <w:ind w:left="460" w:hanging="452"/>
        <w:spacing w:after="0"/>
        <w:tabs>
          <w:tab w:leader="none" w:pos="46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plan</w:t>
      </w:r>
    </w:p>
    <w:p>
      <w:pPr>
        <w:spacing w:after="0" w:line="117" w:lineRule="exact"/>
        <w:rPr>
          <w:rFonts w:ascii="Times New Roman" w:cs="Times New Roman" w:eastAsia="Times New Roman" w:hAnsi="Times New Roman"/>
          <w:sz w:val="18"/>
          <w:szCs w:val="18"/>
          <w:color w:val="auto"/>
        </w:rPr>
      </w:pPr>
    </w:p>
    <w:p>
      <w:pPr>
        <w:ind w:left="4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 option plan provides for the grant of incentive share options to the Company’s employees, officers, directors or consultants. The Company’s board of directors administers the share option plan, selects the individuals to whom options will be granted, determines the number of options to be granted, and the term and exercise price of each option.</w:t>
      </w:r>
    </w:p>
    <w:p>
      <w:pPr>
        <w:spacing w:after="0" w:line="68" w:lineRule="exact"/>
        <w:rPr>
          <w:rFonts w:ascii="Times New Roman" w:cs="Times New Roman" w:eastAsia="Times New Roman" w:hAnsi="Times New Roman"/>
          <w:sz w:val="18"/>
          <w:szCs w:val="18"/>
          <w:color w:val="auto"/>
        </w:rPr>
      </w:pPr>
    </w:p>
    <w:p>
      <w:pPr>
        <w:ind w:left="4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January 1, 2015 to July 23, 2015, the Company granted share options to employees, officers and directors of the Group. These options were granted with exercise prices denominated in the US$ , which is the functional currency of the Company. The table below sets forth information regarding share options granted over the years:</w:t>
      </w:r>
    </w:p>
    <w:p>
      <w:pPr>
        <w:spacing w:after="0" w:line="1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color w:val="auto"/>
              </w:rPr>
              <w:t>Vesting</w:t>
            </w:r>
          </w:p>
        </w:tc>
        <w:tc>
          <w:tcPr>
            <w:tcW w:w="820" w:type="dxa"/>
            <w:vAlign w:val="bottom"/>
          </w:tcPr>
          <w:p>
            <w:pPr>
              <w:jc w:val="center"/>
              <w:ind w:left="35"/>
              <w:spacing w:after="0"/>
              <w:rPr>
                <w:sz w:val="20"/>
                <w:szCs w:val="20"/>
                <w:color w:val="auto"/>
              </w:rPr>
            </w:pPr>
            <w:r>
              <w:rPr>
                <w:rFonts w:ascii="Times New Roman" w:cs="Times New Roman" w:eastAsia="Times New Roman" w:hAnsi="Times New Roman"/>
                <w:sz w:val="14"/>
                <w:szCs w:val="14"/>
                <w:color w:val="auto"/>
              </w:rPr>
              <w:t>Exercise</w:t>
            </w:r>
          </w:p>
        </w:tc>
        <w:tc>
          <w:tcPr>
            <w:tcW w:w="0" w:type="dxa"/>
            <w:vAlign w:val="bottom"/>
          </w:tcPr>
          <w:p>
            <w:pPr>
              <w:spacing w:after="0"/>
              <w:rPr>
                <w:sz w:val="1"/>
                <w:szCs w:val="1"/>
                <w:color w:val="auto"/>
              </w:rPr>
            </w:pPr>
          </w:p>
        </w:tc>
      </w:tr>
      <w:tr>
        <w:trPr>
          <w:trHeight w:val="144"/>
        </w:trPr>
        <w:tc>
          <w:tcPr>
            <w:tcW w:w="3540" w:type="dxa"/>
            <w:vAlign w:val="bottom"/>
          </w:tcPr>
          <w:p>
            <w:pPr>
              <w:spacing w:after="0"/>
              <w:rPr>
                <w:sz w:val="12"/>
                <w:szCs w:val="12"/>
                <w:color w:val="auto"/>
              </w:rPr>
            </w:pPr>
          </w:p>
        </w:tc>
        <w:tc>
          <w:tcPr>
            <w:tcW w:w="464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color w:val="auto"/>
              </w:rPr>
              <w:t>Number of</w:t>
            </w:r>
          </w:p>
        </w:tc>
        <w:tc>
          <w:tcPr>
            <w:tcW w:w="7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color w:val="auto"/>
              </w:rPr>
              <w:t>Term</w:t>
            </w:r>
          </w:p>
        </w:tc>
        <w:tc>
          <w:tcPr>
            <w:tcW w:w="800" w:type="dxa"/>
            <w:vAlign w:val="bottom"/>
            <w:vMerge w:val="continue"/>
          </w:tcPr>
          <w:p>
            <w:pPr>
              <w:spacing w:after="0"/>
              <w:rPr>
                <w:sz w:val="12"/>
                <w:szCs w:val="12"/>
                <w:color w:val="auto"/>
              </w:rPr>
            </w:pPr>
          </w:p>
        </w:tc>
        <w:tc>
          <w:tcPr>
            <w:tcW w:w="820" w:type="dxa"/>
            <w:vAlign w:val="bottom"/>
          </w:tcPr>
          <w:p>
            <w:pPr>
              <w:jc w:val="center"/>
              <w:ind w:left="55"/>
              <w:spacing w:after="0" w:line="145" w:lineRule="exact"/>
              <w:rPr>
                <w:sz w:val="20"/>
                <w:szCs w:val="20"/>
                <w:color w:val="auto"/>
              </w:rPr>
            </w:pPr>
            <w:r>
              <w:rPr>
                <w:rFonts w:ascii="Times New Roman" w:cs="Times New Roman" w:eastAsia="Times New Roman" w:hAnsi="Times New Roman"/>
                <w:sz w:val="14"/>
                <w:szCs w:val="14"/>
                <w:color w:val="auto"/>
              </w:rPr>
              <w:t>price at</w:t>
            </w:r>
          </w:p>
        </w:tc>
        <w:tc>
          <w:tcPr>
            <w:tcW w:w="0" w:type="dxa"/>
            <w:vAlign w:val="bottom"/>
          </w:tcPr>
          <w:p>
            <w:pPr>
              <w:spacing w:after="0"/>
              <w:rPr>
                <w:sz w:val="1"/>
                <w:szCs w:val="1"/>
                <w:color w:val="auto"/>
              </w:rPr>
            </w:pPr>
          </w:p>
        </w:tc>
      </w:tr>
      <w:tr>
        <w:trPr>
          <w:trHeight w:val="149"/>
        </w:trPr>
        <w:tc>
          <w:tcPr>
            <w:tcW w:w="3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Grant Date</w:t>
            </w:r>
          </w:p>
        </w:tc>
        <w:tc>
          <w:tcPr>
            <w:tcW w:w="46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0" w:type="dxa"/>
            <w:vAlign w:val="bottom"/>
          </w:tcPr>
          <w:p>
            <w:pPr>
              <w:jc w:val="right"/>
              <w:ind w:right="134"/>
              <w:spacing w:after="0" w:line="149" w:lineRule="exact"/>
              <w:rPr>
                <w:sz w:val="20"/>
                <w:szCs w:val="20"/>
                <w:color w:val="auto"/>
              </w:rPr>
            </w:pPr>
            <w:r>
              <w:rPr>
                <w:rFonts w:ascii="Times New Roman" w:cs="Times New Roman" w:eastAsia="Times New Roman" w:hAnsi="Times New Roman"/>
                <w:sz w:val="14"/>
                <w:szCs w:val="14"/>
                <w:color w:val="auto"/>
              </w:rPr>
              <w:t>period</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grant date</w:t>
            </w:r>
          </w:p>
        </w:tc>
        <w:tc>
          <w:tcPr>
            <w:tcW w:w="0" w:type="dxa"/>
            <w:vAlign w:val="bottom"/>
          </w:tcPr>
          <w:p>
            <w:pPr>
              <w:spacing w:after="0"/>
              <w:rPr>
                <w:sz w:val="1"/>
                <w:szCs w:val="1"/>
                <w:color w:val="auto"/>
              </w:rPr>
            </w:pPr>
          </w:p>
        </w:tc>
      </w:tr>
      <w:tr>
        <w:trPr>
          <w:trHeight w:val="176"/>
        </w:trPr>
        <w:tc>
          <w:tcPr>
            <w:tcW w:w="3540" w:type="dxa"/>
            <w:vAlign w:val="bottom"/>
            <w:vMerge w:val="continue"/>
          </w:tcPr>
          <w:p>
            <w:pPr>
              <w:spacing w:after="0"/>
              <w:rPr>
                <w:sz w:val="15"/>
                <w:szCs w:val="15"/>
                <w:color w:val="auto"/>
              </w:rPr>
            </w:pPr>
          </w:p>
        </w:tc>
        <w:tc>
          <w:tcPr>
            <w:tcW w:w="4640" w:type="dxa"/>
            <w:vAlign w:val="bottom"/>
          </w:tcPr>
          <w:p>
            <w:pPr>
              <w:jc w:val="right"/>
              <w:ind w:right="313"/>
              <w:spacing w:after="0"/>
              <w:rPr>
                <w:sz w:val="20"/>
                <w:szCs w:val="20"/>
                <w:color w:val="auto"/>
              </w:rPr>
            </w:pPr>
            <w:r>
              <w:rPr>
                <w:rFonts w:ascii="Times New Roman" w:cs="Times New Roman" w:eastAsia="Times New Roman" w:hAnsi="Times New Roman"/>
                <w:sz w:val="14"/>
                <w:szCs w:val="14"/>
                <w:color w:val="auto"/>
              </w:rPr>
              <w:t>shares</w:t>
            </w: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4"/>
                <w:szCs w:val="14"/>
                <w:color w:val="auto"/>
              </w:rPr>
              <w:t>(year)</w:t>
            </w: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(year)</w:t>
            </w:r>
          </w:p>
        </w:tc>
        <w:tc>
          <w:tcPr>
            <w:tcW w:w="820" w:type="dxa"/>
            <w:vAlign w:val="bottom"/>
          </w:tcPr>
          <w:p>
            <w:pPr>
              <w:jc w:val="center"/>
              <w:ind w:left="55"/>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16, 2015 (Note i)</w:t>
            </w:r>
          </w:p>
        </w:tc>
        <w:tc>
          <w:tcPr>
            <w:tcW w:w="46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290,000</w:t>
            </w:r>
          </w:p>
        </w:tc>
        <w:tc>
          <w:tcPr>
            <w:tcW w:w="7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4.00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January 16, 2015 (Note i)</w:t>
            </w:r>
          </w:p>
        </w:tc>
        <w:tc>
          <w:tcPr>
            <w:tcW w:w="46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300,000</w:t>
            </w: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4.00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0.010</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2015 (Note ii)</w:t>
            </w:r>
          </w:p>
        </w:tc>
        <w:tc>
          <w:tcPr>
            <w:tcW w:w="46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1,760,000</w:t>
            </w:r>
          </w:p>
        </w:tc>
        <w:tc>
          <w:tcPr>
            <w:tcW w:w="7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4.00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2015 (Note iii)</w:t>
            </w:r>
          </w:p>
        </w:tc>
        <w:tc>
          <w:tcPr>
            <w:tcW w:w="46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550,000</w:t>
            </w: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2.00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2015 (Note iv)</w:t>
            </w:r>
          </w:p>
        </w:tc>
        <w:tc>
          <w:tcPr>
            <w:tcW w:w="46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220,000</w:t>
            </w:r>
          </w:p>
        </w:tc>
        <w:tc>
          <w:tcPr>
            <w:tcW w:w="7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2.25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2015 (Note v)</w:t>
            </w:r>
          </w:p>
        </w:tc>
        <w:tc>
          <w:tcPr>
            <w:tcW w:w="46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40,000</w:t>
            </w: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2.42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2015 (Note v)</w:t>
            </w:r>
          </w:p>
        </w:tc>
        <w:tc>
          <w:tcPr>
            <w:tcW w:w="46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150,000</w:t>
            </w:r>
          </w:p>
        </w:tc>
        <w:tc>
          <w:tcPr>
            <w:tcW w:w="7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2.42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2015 (Note vi)</w:t>
            </w:r>
          </w:p>
        </w:tc>
        <w:tc>
          <w:tcPr>
            <w:tcW w:w="46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250,000</w:t>
            </w: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2.50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0.016</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2015 (Note vii)</w:t>
            </w:r>
          </w:p>
        </w:tc>
        <w:tc>
          <w:tcPr>
            <w:tcW w:w="46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100,000</w:t>
            </w:r>
          </w:p>
        </w:tc>
        <w:tc>
          <w:tcPr>
            <w:tcW w:w="7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2.75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0.032</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2015 (Note viii)</w:t>
            </w:r>
          </w:p>
        </w:tc>
        <w:tc>
          <w:tcPr>
            <w:tcW w:w="46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100,000</w:t>
            </w: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2.83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2015 (Note viii)</w:t>
            </w:r>
          </w:p>
        </w:tc>
        <w:tc>
          <w:tcPr>
            <w:tcW w:w="46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640,000</w:t>
            </w:r>
          </w:p>
        </w:tc>
        <w:tc>
          <w:tcPr>
            <w:tcW w:w="7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2.83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0.040</w:t>
            </w:r>
          </w:p>
        </w:tc>
        <w:tc>
          <w:tcPr>
            <w:tcW w:w="0" w:type="dxa"/>
            <w:vAlign w:val="bottom"/>
          </w:tcPr>
          <w:p>
            <w:pPr>
              <w:spacing w:after="0"/>
              <w:rPr>
                <w:sz w:val="1"/>
                <w:szCs w:val="1"/>
                <w:color w:val="auto"/>
              </w:rPr>
            </w:pPr>
          </w:p>
        </w:tc>
      </w:tr>
      <w:tr>
        <w:trPr>
          <w:trHeight w:val="365"/>
        </w:trPr>
        <w:tc>
          <w:tcPr>
            <w:tcW w:w="3540" w:type="dxa"/>
            <w:vAlign w:val="bottom"/>
          </w:tcPr>
          <w:p>
            <w:pPr>
              <w:spacing w:after="0"/>
              <w:rPr>
                <w:sz w:val="24"/>
                <w:szCs w:val="24"/>
                <w:color w:val="auto"/>
              </w:rPr>
            </w:pPr>
          </w:p>
        </w:tc>
        <w:tc>
          <w:tcPr>
            <w:tcW w:w="4640" w:type="dxa"/>
            <w:vAlign w:val="bottom"/>
          </w:tcPr>
          <w:p>
            <w:pPr>
              <w:jc w:val="right"/>
              <w:ind w:right="2633"/>
              <w:spacing w:after="0"/>
              <w:rPr>
                <w:sz w:val="20"/>
                <w:szCs w:val="20"/>
                <w:color w:val="auto"/>
              </w:rPr>
            </w:pPr>
            <w:r>
              <w:rPr>
                <w:rFonts w:ascii="Times New Roman" w:cs="Times New Roman" w:eastAsia="Times New Roman" w:hAnsi="Times New Roman"/>
                <w:sz w:val="18"/>
                <w:szCs w:val="18"/>
                <w:color w:val="auto"/>
              </w:rPr>
              <w:t>F-146</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5" w:right="359" w:bottom="1440" w:gutter="0" w:footer="0" w:header="0"/>
        </w:sectPr>
      </w:pPr>
    </w:p>
    <w:bookmarkStart w:id="367" w:name="page368"/>
    <w:bookmarkEnd w:id="3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plan (Continued)</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color w:val="auto"/>
              </w:rPr>
              <w:t>Vesting</w:t>
            </w:r>
          </w:p>
        </w:tc>
        <w:tc>
          <w:tcPr>
            <w:tcW w:w="820" w:type="dxa"/>
            <w:vAlign w:val="bottom"/>
          </w:tcPr>
          <w:p>
            <w:pPr>
              <w:jc w:val="center"/>
              <w:ind w:left="34"/>
              <w:spacing w:after="0"/>
              <w:rPr>
                <w:sz w:val="20"/>
                <w:szCs w:val="20"/>
                <w:color w:val="auto"/>
              </w:rPr>
            </w:pPr>
            <w:r>
              <w:rPr>
                <w:rFonts w:ascii="Times New Roman" w:cs="Times New Roman" w:eastAsia="Times New Roman" w:hAnsi="Times New Roman"/>
                <w:sz w:val="14"/>
                <w:szCs w:val="14"/>
                <w:color w:val="auto"/>
              </w:rPr>
              <w:t>Exercise</w:t>
            </w:r>
          </w:p>
        </w:tc>
        <w:tc>
          <w:tcPr>
            <w:tcW w:w="0" w:type="dxa"/>
            <w:vAlign w:val="bottom"/>
          </w:tcPr>
          <w:p>
            <w:pPr>
              <w:spacing w:after="0"/>
              <w:rPr>
                <w:sz w:val="1"/>
                <w:szCs w:val="1"/>
                <w:color w:val="auto"/>
              </w:rPr>
            </w:pPr>
          </w:p>
        </w:tc>
      </w:tr>
      <w:tr>
        <w:trPr>
          <w:trHeight w:val="144"/>
        </w:trPr>
        <w:tc>
          <w:tcPr>
            <w:tcW w:w="4720" w:type="dxa"/>
            <w:vAlign w:val="bottom"/>
          </w:tcPr>
          <w:p>
            <w:pPr>
              <w:spacing w:after="0"/>
              <w:rPr>
                <w:sz w:val="12"/>
                <w:szCs w:val="12"/>
                <w:color w:val="auto"/>
              </w:rPr>
            </w:pPr>
          </w:p>
        </w:tc>
        <w:tc>
          <w:tcPr>
            <w:tcW w:w="34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color w:val="auto"/>
              </w:rPr>
              <w:t>Number of</w:t>
            </w:r>
          </w:p>
        </w:tc>
        <w:tc>
          <w:tcPr>
            <w:tcW w:w="70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color w:val="auto"/>
              </w:rPr>
              <w:t>Term</w:t>
            </w:r>
          </w:p>
        </w:tc>
        <w:tc>
          <w:tcPr>
            <w:tcW w:w="800" w:type="dxa"/>
            <w:vAlign w:val="bottom"/>
            <w:vMerge w:val="continue"/>
          </w:tcPr>
          <w:p>
            <w:pPr>
              <w:spacing w:after="0"/>
              <w:rPr>
                <w:sz w:val="12"/>
                <w:szCs w:val="12"/>
                <w:color w:val="auto"/>
              </w:rPr>
            </w:pPr>
          </w:p>
        </w:tc>
        <w:tc>
          <w:tcPr>
            <w:tcW w:w="820" w:type="dxa"/>
            <w:vAlign w:val="bottom"/>
          </w:tcPr>
          <w:p>
            <w:pPr>
              <w:jc w:val="center"/>
              <w:ind w:left="54"/>
              <w:spacing w:after="0" w:line="145" w:lineRule="exact"/>
              <w:rPr>
                <w:sz w:val="20"/>
                <w:szCs w:val="20"/>
                <w:color w:val="auto"/>
              </w:rPr>
            </w:pPr>
            <w:r>
              <w:rPr>
                <w:rFonts w:ascii="Times New Roman" w:cs="Times New Roman" w:eastAsia="Times New Roman" w:hAnsi="Times New Roman"/>
                <w:sz w:val="14"/>
                <w:szCs w:val="14"/>
                <w:color w:val="auto"/>
              </w:rPr>
              <w:t>price at</w:t>
            </w:r>
          </w:p>
        </w:tc>
        <w:tc>
          <w:tcPr>
            <w:tcW w:w="0" w:type="dxa"/>
            <w:vAlign w:val="bottom"/>
          </w:tcPr>
          <w:p>
            <w:pPr>
              <w:spacing w:after="0"/>
              <w:rPr>
                <w:sz w:val="1"/>
                <w:szCs w:val="1"/>
                <w:color w:val="auto"/>
              </w:rPr>
            </w:pPr>
          </w:p>
        </w:tc>
      </w:tr>
      <w:tr>
        <w:trPr>
          <w:trHeight w:val="149"/>
        </w:trPr>
        <w:tc>
          <w:tcPr>
            <w:tcW w:w="4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Grant Date</w:t>
            </w:r>
          </w:p>
        </w:tc>
        <w:tc>
          <w:tcPr>
            <w:tcW w:w="346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800" w:type="dxa"/>
            <w:vAlign w:val="bottom"/>
          </w:tcPr>
          <w:p>
            <w:pPr>
              <w:jc w:val="right"/>
              <w:ind w:right="133"/>
              <w:spacing w:after="0" w:line="149" w:lineRule="exact"/>
              <w:rPr>
                <w:sz w:val="20"/>
                <w:szCs w:val="20"/>
                <w:color w:val="auto"/>
              </w:rPr>
            </w:pPr>
            <w:r>
              <w:rPr>
                <w:rFonts w:ascii="Times New Roman" w:cs="Times New Roman" w:eastAsia="Times New Roman" w:hAnsi="Times New Roman"/>
                <w:sz w:val="14"/>
                <w:szCs w:val="14"/>
                <w:color w:val="auto"/>
              </w:rPr>
              <w:t>period</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grant date</w:t>
            </w:r>
          </w:p>
        </w:tc>
        <w:tc>
          <w:tcPr>
            <w:tcW w:w="0" w:type="dxa"/>
            <w:vAlign w:val="bottom"/>
          </w:tcPr>
          <w:p>
            <w:pPr>
              <w:spacing w:after="0"/>
              <w:rPr>
                <w:sz w:val="1"/>
                <w:szCs w:val="1"/>
                <w:color w:val="auto"/>
              </w:rPr>
            </w:pPr>
          </w:p>
        </w:tc>
      </w:tr>
      <w:tr>
        <w:trPr>
          <w:trHeight w:val="176"/>
        </w:trPr>
        <w:tc>
          <w:tcPr>
            <w:tcW w:w="4720" w:type="dxa"/>
            <w:vAlign w:val="bottom"/>
            <w:vMerge w:val="continue"/>
          </w:tcPr>
          <w:p>
            <w:pPr>
              <w:spacing w:after="0"/>
              <w:rPr>
                <w:sz w:val="15"/>
                <w:szCs w:val="15"/>
                <w:color w:val="auto"/>
              </w:rPr>
            </w:pPr>
          </w:p>
        </w:tc>
        <w:tc>
          <w:tcPr>
            <w:tcW w:w="3460" w:type="dxa"/>
            <w:vAlign w:val="bottom"/>
          </w:tcPr>
          <w:p>
            <w:pPr>
              <w:jc w:val="right"/>
              <w:ind w:right="312"/>
              <w:spacing w:after="0"/>
              <w:rPr>
                <w:sz w:val="20"/>
                <w:szCs w:val="20"/>
                <w:color w:val="auto"/>
              </w:rPr>
            </w:pPr>
            <w:r>
              <w:rPr>
                <w:rFonts w:ascii="Times New Roman" w:cs="Times New Roman" w:eastAsia="Times New Roman" w:hAnsi="Times New Roman"/>
                <w:sz w:val="14"/>
                <w:szCs w:val="14"/>
                <w:color w:val="auto"/>
              </w:rPr>
              <w:t>shares</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(year)</w:t>
            </w:r>
          </w:p>
        </w:tc>
        <w:tc>
          <w:tcPr>
            <w:tcW w:w="800" w:type="dxa"/>
            <w:vAlign w:val="bottom"/>
          </w:tcPr>
          <w:p>
            <w:pPr>
              <w:jc w:val="right"/>
              <w:ind w:right="133"/>
              <w:spacing w:after="0"/>
              <w:rPr>
                <w:sz w:val="20"/>
                <w:szCs w:val="20"/>
                <w:color w:val="auto"/>
              </w:rPr>
            </w:pPr>
            <w:r>
              <w:rPr>
                <w:rFonts w:ascii="Times New Roman" w:cs="Times New Roman" w:eastAsia="Times New Roman" w:hAnsi="Times New Roman"/>
                <w:sz w:val="14"/>
                <w:szCs w:val="14"/>
                <w:color w:val="auto"/>
              </w:rPr>
              <w:t>(year)</w:t>
            </w:r>
          </w:p>
        </w:tc>
        <w:tc>
          <w:tcPr>
            <w:tcW w:w="820" w:type="dxa"/>
            <w:vAlign w:val="bottom"/>
          </w:tcPr>
          <w:p>
            <w:pPr>
              <w:jc w:val="center"/>
              <w:ind w:left="54"/>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2015 (Note ix)</w:t>
            </w:r>
          </w:p>
        </w:tc>
        <w:tc>
          <w:tcPr>
            <w:tcW w:w="34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700,000</w:t>
            </w: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2.92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2015 (Note x)</w:t>
            </w:r>
          </w:p>
        </w:tc>
        <w:tc>
          <w:tcPr>
            <w:tcW w:w="34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30,000</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3.17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0.016</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2015 (Note x)</w:t>
            </w:r>
          </w:p>
        </w:tc>
        <w:tc>
          <w:tcPr>
            <w:tcW w:w="34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320,000</w:t>
            </w: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3.17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0.048</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2015 (Note xi)</w:t>
            </w:r>
          </w:p>
        </w:tc>
        <w:tc>
          <w:tcPr>
            <w:tcW w:w="34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970,000</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3.25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0.012</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2015 (Note xi)</w:t>
            </w:r>
          </w:p>
        </w:tc>
        <w:tc>
          <w:tcPr>
            <w:tcW w:w="34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250,000</w:t>
            </w: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3.25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2015 (Note xii)</w:t>
            </w:r>
          </w:p>
        </w:tc>
        <w:tc>
          <w:tcPr>
            <w:tcW w:w="34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240,000</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3.33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2015 (Note xiii)</w:t>
            </w:r>
          </w:p>
        </w:tc>
        <w:tc>
          <w:tcPr>
            <w:tcW w:w="34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40,000</w:t>
            </w: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3.50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2015 (Note xiv)</w:t>
            </w:r>
          </w:p>
        </w:tc>
        <w:tc>
          <w:tcPr>
            <w:tcW w:w="34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40,000</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3.83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15, 2015 (Note xv)</w:t>
            </w:r>
          </w:p>
        </w:tc>
        <w:tc>
          <w:tcPr>
            <w:tcW w:w="34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60,000</w:t>
            </w: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2.25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February 15, 2015 (Note xvi)</w:t>
            </w:r>
          </w:p>
        </w:tc>
        <w:tc>
          <w:tcPr>
            <w:tcW w:w="34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320,000</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3.17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15, 2015 (Note xvii)</w:t>
            </w:r>
          </w:p>
        </w:tc>
        <w:tc>
          <w:tcPr>
            <w:tcW w:w="34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80,000</w:t>
            </w: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3.67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March 15, 2015 (Note xviii)</w:t>
            </w:r>
          </w:p>
        </w:tc>
        <w:tc>
          <w:tcPr>
            <w:tcW w:w="34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20,000</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4.00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 2015 (Note xix)</w:t>
            </w:r>
          </w:p>
        </w:tc>
        <w:tc>
          <w:tcPr>
            <w:tcW w:w="34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2,100,000</w:t>
            </w: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4.00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June 1, 2015 (Note xx)</w:t>
            </w:r>
          </w:p>
        </w:tc>
        <w:tc>
          <w:tcPr>
            <w:tcW w:w="34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3,950,000</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4.00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2015 (Note xxi)</w:t>
            </w:r>
          </w:p>
        </w:tc>
        <w:tc>
          <w:tcPr>
            <w:tcW w:w="34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553,000</w:t>
            </w: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4.00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0.200</w:t>
            </w:r>
          </w:p>
        </w:tc>
        <w:tc>
          <w:tcPr>
            <w:tcW w:w="0" w:type="dxa"/>
            <w:vAlign w:val="bottom"/>
          </w:tcPr>
          <w:p>
            <w:pPr>
              <w:spacing w:after="0"/>
              <w:rPr>
                <w:sz w:val="1"/>
                <w:szCs w:val="1"/>
                <w:color w:val="auto"/>
              </w:rPr>
            </w:pP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July 1, 2015 (Note xxii)</w:t>
            </w:r>
          </w:p>
        </w:tc>
        <w:tc>
          <w:tcPr>
            <w:tcW w:w="34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35,000</w:t>
            </w:r>
          </w:p>
        </w:tc>
        <w:tc>
          <w:tcPr>
            <w:tcW w:w="7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4.08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120" w:right="80" w:hanging="666"/>
        <w:spacing w:after="0" w:line="266" w:lineRule="auto"/>
        <w:tabs>
          <w:tab w:leader="none" w:pos="112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January 1, 2016 and the remaining 75% of the options are vested over a 3-year period starting from January 1, 2016 to January 15, 2019. The holders of the options are entitled to exercise the vested options until the expiration date — January 15, 2025 of the share options.</w:t>
      </w:r>
    </w:p>
    <w:p>
      <w:pPr>
        <w:spacing w:after="0" w:line="81" w:lineRule="exact"/>
        <w:rPr>
          <w:rFonts w:ascii="Times New Roman" w:cs="Times New Roman" w:eastAsia="Times New Roman" w:hAnsi="Times New Roman"/>
          <w:sz w:val="18"/>
          <w:szCs w:val="18"/>
          <w:color w:val="auto"/>
        </w:rPr>
      </w:pPr>
    </w:p>
    <w:p>
      <w:pPr>
        <w:jc w:val="both"/>
        <w:ind w:left="1120" w:hanging="666"/>
        <w:spacing w:after="0" w:line="266" w:lineRule="auto"/>
        <w:tabs>
          <w:tab w:leader="none" w:pos="112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February 1, 2016 and the remaining 75% of the options are vested over a 3-year period starting February 1, 2016 to January 31, 2019. The holders of the options are entitled to exercise the vested options until the expiration date — January 31, 2025 of the share options.</w:t>
      </w:r>
    </w:p>
    <w:p>
      <w:pPr>
        <w:spacing w:after="0" w:line="81" w:lineRule="exact"/>
        <w:rPr>
          <w:rFonts w:ascii="Times New Roman" w:cs="Times New Roman" w:eastAsia="Times New Roman" w:hAnsi="Times New Roman"/>
          <w:sz w:val="18"/>
          <w:szCs w:val="18"/>
          <w:color w:val="auto"/>
        </w:rPr>
      </w:pPr>
    </w:p>
    <w:p>
      <w:pPr>
        <w:jc w:val="both"/>
        <w:ind w:left="1120" w:hanging="666"/>
        <w:spacing w:after="0" w:line="266" w:lineRule="auto"/>
        <w:tabs>
          <w:tab w:leader="none" w:pos="112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options were vested on February 1, 2015 and the remaining 50% of the options are vested over a 2-year period starting February 1, 2015 to January 31, 2017. The holders of the options are entitled to exercise the vested options until the expiration date — January 31, 2025 of the share options.</w:t>
      </w:r>
    </w:p>
    <w:p>
      <w:pPr>
        <w:spacing w:after="0" w:line="81" w:lineRule="exact"/>
        <w:rPr>
          <w:rFonts w:ascii="Times New Roman" w:cs="Times New Roman" w:eastAsia="Times New Roman" w:hAnsi="Times New Roman"/>
          <w:sz w:val="18"/>
          <w:szCs w:val="18"/>
          <w:color w:val="auto"/>
        </w:rPr>
      </w:pPr>
    </w:p>
    <w:p>
      <w:pPr>
        <w:jc w:val="both"/>
        <w:ind w:left="1120" w:right="180" w:hanging="666"/>
        <w:spacing w:after="0" w:line="266" w:lineRule="auto"/>
        <w:tabs>
          <w:tab w:leader="none" w:pos="112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43.75% of the options were vested on February 1, 2016 and the remaining 56.25% of the options are vested over a 2.25-year period starting February 1, 2016 to April 30, 2018. The holders of the options are entitled to exercise the vested options until the expiration date — January 31, 2025 of the share options.</w:t>
      </w:r>
    </w:p>
    <w:p>
      <w:pPr>
        <w:spacing w:after="0" w:line="81" w:lineRule="exact"/>
        <w:rPr>
          <w:rFonts w:ascii="Times New Roman" w:cs="Times New Roman" w:eastAsia="Times New Roman" w:hAnsi="Times New Roman"/>
          <w:sz w:val="18"/>
          <w:szCs w:val="18"/>
          <w:color w:val="auto"/>
        </w:rPr>
      </w:pPr>
    </w:p>
    <w:p>
      <w:pPr>
        <w:ind w:left="1120" w:right="220" w:hanging="666"/>
        <w:spacing w:after="0" w:line="266" w:lineRule="auto"/>
        <w:tabs>
          <w:tab w:leader="none" w:pos="112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39.6% of the options were vested on February 1, 2015 and the remaining 60.4% of the options are vested over a 2.42-year period starting February 1, 2015 to June 30, 2017. The holders of the options are entitled to exercise the vested options until the expiration date — January 31, 2025 of the share options.</w:t>
      </w:r>
    </w:p>
    <w:p>
      <w:pPr>
        <w:spacing w:after="0" w:line="81" w:lineRule="exact"/>
        <w:rPr>
          <w:rFonts w:ascii="Times New Roman" w:cs="Times New Roman" w:eastAsia="Times New Roman" w:hAnsi="Times New Roman"/>
          <w:sz w:val="18"/>
          <w:szCs w:val="18"/>
          <w:color w:val="auto"/>
        </w:rPr>
      </w:pPr>
    </w:p>
    <w:p>
      <w:pPr>
        <w:ind w:left="1120" w:right="240" w:hanging="666"/>
        <w:spacing w:after="0" w:line="266" w:lineRule="auto"/>
        <w:tabs>
          <w:tab w:leader="none" w:pos="112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37.5% of the options were vested on February 1, 2015 and the remaining 62.5% of the options are vested over a 2.50-year period starting February 1, 2015 to July 31, 2017. The holders of the options are entitled to exercise the vested options until the expiration date — January 31, 2025 of the share options.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F-147</w:t>
      </w:r>
    </w:p>
    <w:p>
      <w:pPr>
        <w:sectPr>
          <w:pgSz w:w="11900" w:h="16838" w:orient="portrait"/>
          <w:cols w:equalWidth="0" w:num="1">
            <w:col w:w="11400"/>
          </w:cols>
          <w:pgMar w:left="240" w:top="455" w:right="259" w:bottom="1440" w:gutter="0" w:footer="0" w:header="0"/>
        </w:sectPr>
      </w:pPr>
    </w:p>
    <w:bookmarkStart w:id="368" w:name="page369"/>
    <w:bookmarkEnd w:id="3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plan (Continued)</w:t>
      </w:r>
    </w:p>
    <w:p>
      <w:pPr>
        <w:spacing w:after="0" w:line="130" w:lineRule="exact"/>
        <w:rPr>
          <w:rFonts w:ascii="Times New Roman" w:cs="Times New Roman" w:eastAsia="Times New Roman" w:hAnsi="Times New Roman"/>
          <w:sz w:val="18"/>
          <w:szCs w:val="18"/>
          <w:color w:val="auto"/>
        </w:rPr>
      </w:pPr>
    </w:p>
    <w:p>
      <w:pPr>
        <w:ind w:left="1120" w:right="240" w:hanging="666"/>
        <w:spacing w:after="0" w:line="266" w:lineRule="auto"/>
        <w:tabs>
          <w:tab w:leader="none" w:pos="112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31.25% of the options were vested on February 1, 2015 and the remaining 68.75% of the options are vested over a 2.75-year period starting February 1, 2015 to October 31, 2017. The holders of the options are entitled to exercise the vested options until the expiration date — January 31, 2025 of the share options.</w:t>
      </w:r>
    </w:p>
    <w:p>
      <w:pPr>
        <w:spacing w:after="0" w:line="81" w:lineRule="exact"/>
        <w:rPr>
          <w:rFonts w:ascii="Times New Roman" w:cs="Times New Roman" w:eastAsia="Times New Roman" w:hAnsi="Times New Roman"/>
          <w:sz w:val="18"/>
          <w:szCs w:val="18"/>
          <w:color w:val="auto"/>
        </w:rPr>
      </w:pPr>
    </w:p>
    <w:p>
      <w:pPr>
        <w:jc w:val="both"/>
        <w:ind w:left="1120" w:right="420" w:hanging="666"/>
        <w:spacing w:after="0" w:line="266" w:lineRule="auto"/>
        <w:tabs>
          <w:tab w:leader="none" w:pos="112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29.2% of the options were vested on February 1, 2015 and the remaining 70.8% of the options are vested over a 2.83-year period starting February 1, 2015 to November 30, 2017. The holders of the options are entitled to exercise the vested options until the expiration date — January 31, 2025 of the share options.</w:t>
      </w:r>
    </w:p>
    <w:p>
      <w:pPr>
        <w:spacing w:after="0" w:line="81" w:lineRule="exact"/>
        <w:rPr>
          <w:rFonts w:ascii="Times New Roman" w:cs="Times New Roman" w:eastAsia="Times New Roman" w:hAnsi="Times New Roman"/>
          <w:sz w:val="18"/>
          <w:szCs w:val="18"/>
          <w:color w:val="auto"/>
        </w:rPr>
      </w:pPr>
    </w:p>
    <w:p>
      <w:pPr>
        <w:ind w:left="1120" w:right="440" w:hanging="666"/>
        <w:spacing w:after="0" w:line="266" w:lineRule="auto"/>
        <w:tabs>
          <w:tab w:leader="none" w:pos="112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of the options were vested on February 1, 2015 and the remaining 73% of the options are vested over a 2.92-year period starting February 1, 2015 to December 31, 2017. The holders of the options are entitled to exercise the vested options until the expiration date — January 31, 2025 of the share options.</w:t>
      </w:r>
    </w:p>
    <w:p>
      <w:pPr>
        <w:spacing w:after="0" w:line="81" w:lineRule="exact"/>
        <w:rPr>
          <w:rFonts w:ascii="Times New Roman" w:cs="Times New Roman" w:eastAsia="Times New Roman" w:hAnsi="Times New Roman"/>
          <w:sz w:val="18"/>
          <w:szCs w:val="18"/>
          <w:color w:val="auto"/>
        </w:rPr>
      </w:pPr>
    </w:p>
    <w:p>
      <w:pPr>
        <w:ind w:left="1120" w:right="180" w:hanging="666"/>
        <w:spacing w:after="0" w:line="266" w:lineRule="auto"/>
        <w:tabs>
          <w:tab w:leader="none" w:pos="112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April 1, 2015 and the remaining 75% of the options are vested over a 3-year period starting April 1, 2015 to March 31, 2018. The holders of the options are entitled to exercise the vested options until the expiration date — January 31, 2025 of the share options.</w:t>
      </w:r>
    </w:p>
    <w:p>
      <w:pPr>
        <w:spacing w:after="0" w:line="81" w:lineRule="exact"/>
        <w:rPr>
          <w:rFonts w:ascii="Times New Roman" w:cs="Times New Roman" w:eastAsia="Times New Roman" w:hAnsi="Times New Roman"/>
          <w:sz w:val="18"/>
          <w:szCs w:val="18"/>
          <w:color w:val="auto"/>
        </w:rPr>
      </w:pPr>
    </w:p>
    <w:p>
      <w:pPr>
        <w:jc w:val="both"/>
        <w:ind w:left="1120" w:right="80" w:hanging="666"/>
        <w:spacing w:after="0" w:line="266" w:lineRule="auto"/>
        <w:tabs>
          <w:tab w:leader="none" w:pos="112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May 1, 2015 and the remaining 75% of the options are vested over a 3-year period starting May 1, 2015 to April 30, 2018. The holders of the options are entitled to exercise the vested options until the expiration date — January 31, 2025 of the share options.</w:t>
      </w:r>
    </w:p>
    <w:p>
      <w:pPr>
        <w:spacing w:after="0" w:line="81" w:lineRule="exact"/>
        <w:rPr>
          <w:rFonts w:ascii="Times New Roman" w:cs="Times New Roman" w:eastAsia="Times New Roman" w:hAnsi="Times New Roman"/>
          <w:sz w:val="18"/>
          <w:szCs w:val="18"/>
          <w:color w:val="auto"/>
        </w:rPr>
      </w:pPr>
    </w:p>
    <w:p>
      <w:pPr>
        <w:jc w:val="both"/>
        <w:ind w:left="1120" w:right="80" w:hanging="666"/>
        <w:spacing w:after="0" w:line="266" w:lineRule="auto"/>
        <w:tabs>
          <w:tab w:leader="none" w:pos="112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June 1, 2015 and the remaining 75% of the options are vested over a 3-year period starting June 1, 2015 to May 31, 2018. The holders of the options are entitled to exercise the vested options until the expiration date — January 31, 2025 of the share options.</w:t>
      </w:r>
    </w:p>
    <w:p>
      <w:pPr>
        <w:spacing w:after="0" w:line="81" w:lineRule="exact"/>
        <w:rPr>
          <w:rFonts w:ascii="Times New Roman" w:cs="Times New Roman" w:eastAsia="Times New Roman" w:hAnsi="Times New Roman"/>
          <w:sz w:val="18"/>
          <w:szCs w:val="18"/>
          <w:color w:val="auto"/>
        </w:rPr>
      </w:pPr>
    </w:p>
    <w:p>
      <w:pPr>
        <w:ind w:left="1120" w:hanging="666"/>
        <w:spacing w:after="0" w:line="266" w:lineRule="auto"/>
        <w:tabs>
          <w:tab w:leader="none" w:pos="112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August 1, 2015 and the remaining 75% of the options are vested over a 3-year period starting August 1, 2015 to July 31, 2018. The holders of the options are entitled to exercise the vested options until the expiration date — January 31, 2025 of the share options.</w:t>
      </w:r>
    </w:p>
    <w:p>
      <w:pPr>
        <w:spacing w:after="0" w:line="81" w:lineRule="exact"/>
        <w:rPr>
          <w:rFonts w:ascii="Times New Roman" w:cs="Times New Roman" w:eastAsia="Times New Roman" w:hAnsi="Times New Roman"/>
          <w:sz w:val="18"/>
          <w:szCs w:val="18"/>
          <w:color w:val="auto"/>
        </w:rPr>
      </w:pPr>
    </w:p>
    <w:p>
      <w:pPr>
        <w:ind w:left="1120" w:right="320" w:hanging="666"/>
        <w:spacing w:after="0" w:line="266" w:lineRule="auto"/>
        <w:tabs>
          <w:tab w:leader="none" w:pos="112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December 1, 2015 and the remaining 75% of the options are vested over a 3-year period starting December 1, 2015 to November 30, 2018. The holders of the options are entitled to exercise the vested options until the expiration date — January 31, 2025 of the share options.</w:t>
      </w:r>
    </w:p>
    <w:p>
      <w:pPr>
        <w:spacing w:after="0" w:line="81" w:lineRule="exact"/>
        <w:rPr>
          <w:rFonts w:ascii="Times New Roman" w:cs="Times New Roman" w:eastAsia="Times New Roman" w:hAnsi="Times New Roman"/>
          <w:sz w:val="18"/>
          <w:szCs w:val="18"/>
          <w:color w:val="auto"/>
        </w:rPr>
      </w:pPr>
    </w:p>
    <w:p>
      <w:pPr>
        <w:ind w:left="1120" w:right="60" w:hanging="666"/>
        <w:spacing w:after="0" w:line="266" w:lineRule="auto"/>
        <w:tabs>
          <w:tab w:leader="none" w:pos="112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43.75% of the options were vested on February 15, 2015 and the remaining 56.25% of the options are vested over a 2.25-year period starting February 15, 2015 to May 14, 2017. The holders of the options are entitled to exercise the vested options until the expiration date — February 14, 2025 of the share options.</w:t>
      </w:r>
    </w:p>
    <w:p>
      <w:pPr>
        <w:spacing w:after="0" w:line="81" w:lineRule="exact"/>
        <w:rPr>
          <w:rFonts w:ascii="Times New Roman" w:cs="Times New Roman" w:eastAsia="Times New Roman" w:hAnsi="Times New Roman"/>
          <w:sz w:val="18"/>
          <w:szCs w:val="18"/>
          <w:color w:val="auto"/>
        </w:rPr>
      </w:pPr>
    </w:p>
    <w:p>
      <w:pPr>
        <w:ind w:left="1120" w:right="100" w:hanging="666"/>
        <w:spacing w:after="0" w:line="266" w:lineRule="auto"/>
        <w:tabs>
          <w:tab w:leader="none" w:pos="112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April 15, 2015 and the remaining 75% of the options are vested over a 3-year period starting April 15, 2015 to April 14, 2018. The holders of the options are entitled to exercise the vested options until the expiration date — February 14, 2025 of the share options.</w:t>
      </w:r>
    </w:p>
    <w:p>
      <w:pPr>
        <w:spacing w:after="0" w:line="81" w:lineRule="exact"/>
        <w:rPr>
          <w:rFonts w:ascii="Times New Roman" w:cs="Times New Roman" w:eastAsia="Times New Roman" w:hAnsi="Times New Roman"/>
          <w:sz w:val="18"/>
          <w:szCs w:val="18"/>
          <w:color w:val="auto"/>
        </w:rPr>
      </w:pPr>
    </w:p>
    <w:p>
      <w:pPr>
        <w:ind w:left="1120" w:right="580" w:hanging="666"/>
        <w:spacing w:after="0" w:line="266" w:lineRule="auto"/>
        <w:tabs>
          <w:tab w:leader="none" w:pos="1120"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October 15, 2015 and the remaining 75% of the options are vested over a 3-year period starting October 15, 2015 to October 14, 2018. The holders of the options are entitled to exercise the vested options until the expiration date — February 14, 2025 of the share options.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F-148</w:t>
      </w:r>
    </w:p>
    <w:p>
      <w:pPr>
        <w:sectPr>
          <w:pgSz w:w="11900" w:h="16838" w:orient="portrait"/>
          <w:cols w:equalWidth="0" w:num="1">
            <w:col w:w="11420"/>
          </w:cols>
          <w:pgMar w:left="240" w:top="455" w:right="239" w:bottom="1440" w:gutter="0" w:footer="0" w:header="0"/>
        </w:sectPr>
      </w:pPr>
    </w:p>
    <w:bookmarkStart w:id="369" w:name="page370"/>
    <w:bookmarkEnd w:id="3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plan (Continued)</w:t>
      </w:r>
    </w:p>
    <w:p>
      <w:pPr>
        <w:spacing w:after="0" w:line="130" w:lineRule="exact"/>
        <w:rPr>
          <w:rFonts w:ascii="Times New Roman" w:cs="Times New Roman" w:eastAsia="Times New Roman" w:hAnsi="Times New Roman"/>
          <w:sz w:val="18"/>
          <w:szCs w:val="18"/>
          <w:color w:val="auto"/>
        </w:rPr>
      </w:pPr>
    </w:p>
    <w:p>
      <w:pPr>
        <w:jc w:val="both"/>
        <w:ind w:left="1120" w:right="120" w:hanging="666"/>
        <w:spacing w:after="0" w:line="266" w:lineRule="auto"/>
        <w:tabs>
          <w:tab w:leader="none" w:pos="1120"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March 15, 2016 and the remaining 75% of the options are vested over a 3-year period starting March 15, 2016 to March 14, 2019. The holders of the options are entitled to exercise the vested options until the expiration date — March 14, 2025 of the share options.</w:t>
      </w:r>
    </w:p>
    <w:p>
      <w:pPr>
        <w:spacing w:after="0" w:line="81" w:lineRule="exact"/>
        <w:rPr>
          <w:rFonts w:ascii="Times New Roman" w:cs="Times New Roman" w:eastAsia="Times New Roman" w:hAnsi="Times New Roman"/>
          <w:sz w:val="18"/>
          <w:szCs w:val="18"/>
          <w:color w:val="auto"/>
        </w:rPr>
      </w:pPr>
    </w:p>
    <w:p>
      <w:pPr>
        <w:ind w:left="1120" w:right="100" w:hanging="666"/>
        <w:spacing w:after="0" w:line="266" w:lineRule="auto"/>
        <w:tabs>
          <w:tab w:leader="none" w:pos="1120"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April 2, 2016 and the remaining 75% of the options are vested over a 3-year period starting April 2, 2016 to April 1, 2019. The holders of the options are entitled to exercise the vested options until the expiration date — April 1, 2025 of the share options.</w:t>
      </w:r>
    </w:p>
    <w:p>
      <w:pPr>
        <w:spacing w:after="0" w:line="81" w:lineRule="exact"/>
        <w:rPr>
          <w:rFonts w:ascii="Times New Roman" w:cs="Times New Roman" w:eastAsia="Times New Roman" w:hAnsi="Times New Roman"/>
          <w:sz w:val="18"/>
          <w:szCs w:val="18"/>
          <w:color w:val="auto"/>
        </w:rPr>
      </w:pPr>
    </w:p>
    <w:p>
      <w:pPr>
        <w:ind w:left="1120" w:hanging="666"/>
        <w:spacing w:after="0" w:line="266" w:lineRule="auto"/>
        <w:tabs>
          <w:tab w:leader="none" w:pos="1120"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June 1, 2016 and the remaining 75% of the options are vested over a 3-year period starting June 1, 2016 to May 31, 2019. The holders of the options are entitled to exercise the vested options until the expiration date — May 31, 2025 of the share options.</w:t>
      </w:r>
    </w:p>
    <w:p>
      <w:pPr>
        <w:spacing w:after="0" w:line="81" w:lineRule="exact"/>
        <w:rPr>
          <w:rFonts w:ascii="Times New Roman" w:cs="Times New Roman" w:eastAsia="Times New Roman" w:hAnsi="Times New Roman"/>
          <w:sz w:val="18"/>
          <w:szCs w:val="18"/>
          <w:color w:val="auto"/>
        </w:rPr>
      </w:pPr>
    </w:p>
    <w:p>
      <w:pPr>
        <w:ind w:left="1120" w:right="60" w:hanging="666"/>
        <w:spacing w:after="0" w:line="266" w:lineRule="auto"/>
        <w:tabs>
          <w:tab w:leader="none" w:pos="1120"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July 1, 2016 and the remaining 75% of the options are vested over a 3-year period starting July 1, 2016 to June 30, 2019. The holders of the options are entitled to exercise the vested options until the expiration date — June 30, 2025 of the share options.</w:t>
      </w:r>
    </w:p>
    <w:p>
      <w:pPr>
        <w:spacing w:after="0" w:line="81" w:lineRule="exact"/>
        <w:rPr>
          <w:rFonts w:ascii="Times New Roman" w:cs="Times New Roman" w:eastAsia="Times New Roman" w:hAnsi="Times New Roman"/>
          <w:sz w:val="18"/>
          <w:szCs w:val="18"/>
          <w:color w:val="auto"/>
        </w:rPr>
      </w:pPr>
    </w:p>
    <w:p>
      <w:pPr>
        <w:jc w:val="both"/>
        <w:ind w:left="1120" w:right="160" w:hanging="666"/>
        <w:spacing w:after="0" w:line="266" w:lineRule="auto"/>
        <w:tabs>
          <w:tab w:leader="none" w:pos="1120"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options were vested on August 1, 2016 and the remaining 75% of the options are vested over a 3-year period starting August 1, 2016 to July 31, 2019. The holders of the options are entitled to exercise the vested options until the expiration date — June 30, 2025 of the share options.</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share option activity for the period from January 1, 2015 to July 23, 2015:</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color w:val="auto"/>
              </w:rPr>
              <w:t>Weighted</w:t>
            </w: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Weighted</w:t>
            </w: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Weighted</w:t>
            </w:r>
          </w:p>
        </w:tc>
        <w:tc>
          <w:tcPr>
            <w:tcW w:w="6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Aggregate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2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color w:val="auto"/>
              </w:rPr>
              <w:t>average</w:t>
            </w:r>
          </w:p>
        </w:tc>
        <w:tc>
          <w:tcPr>
            <w:tcW w:w="100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rPr>
              <w:t>average</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color w:val="auto"/>
              </w:rPr>
              <w:t>Number of</w:t>
            </w: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grant date</w:t>
            </w: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exercise</w:t>
            </w: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fair value</w:t>
            </w: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w w:val="99"/>
              </w:rPr>
              <w:t>contractual</w:t>
            </w:r>
          </w:p>
        </w:tc>
        <w:tc>
          <w:tcPr>
            <w:tcW w:w="6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shares</w:t>
            </w: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price (US$)</w:t>
            </w: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(US$)</w:t>
            </w: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life (years)</w:t>
            </w: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January 1, 2015</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14,108,000</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0.085</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0.3455</w:t>
            </w: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July 23, 2015</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14,108,000</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0.0850</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0.3455</w:t>
            </w:r>
          </w:p>
        </w:tc>
        <w:tc>
          <w:tcPr>
            <w:tcW w:w="1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9.67</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line="266" w:lineRule="auto"/>
        <w:rPr>
          <w:sz w:val="20"/>
          <w:szCs w:val="20"/>
          <w:color w:val="auto"/>
        </w:rPr>
      </w:pPr>
      <w:r>
        <w:rPr>
          <w:rFonts w:ascii="Times New Roman" w:cs="Times New Roman" w:eastAsia="Times New Roman" w:hAnsi="Times New Roman"/>
          <w:sz w:val="18"/>
          <w:szCs w:val="18"/>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0% for employees and 0% for senior management during the period.</w:t>
      </w:r>
    </w:p>
    <w:p>
      <w:pPr>
        <w:spacing w:after="0" w:line="68" w:lineRule="exact"/>
        <w:rPr>
          <w:sz w:val="20"/>
          <w:szCs w:val="20"/>
          <w:color w:val="auto"/>
        </w:rPr>
      </w:pPr>
    </w:p>
    <w:p>
      <w:pPr>
        <w:ind w:left="460" w:right="420"/>
        <w:spacing w:after="0" w:line="282"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difference between the estimated fair value of the Company’s ordinary shares as of July 23, 2015 and the exercise price.</w:t>
      </w:r>
    </w:p>
    <w:p>
      <w:pPr>
        <w:spacing w:after="0" w:line="54" w:lineRule="exact"/>
        <w:rPr>
          <w:sz w:val="20"/>
          <w:szCs w:val="20"/>
          <w:color w:val="auto"/>
        </w:rPr>
      </w:pPr>
    </w:p>
    <w:p>
      <w:pPr>
        <w:ind w:left="460" w:right="120"/>
        <w:spacing w:after="0" w:line="282" w:lineRule="auto"/>
        <w:rPr>
          <w:sz w:val="20"/>
          <w:szCs w:val="20"/>
          <w:color w:val="auto"/>
        </w:rPr>
      </w:pPr>
      <w:r>
        <w:rPr>
          <w:rFonts w:ascii="Times New Roman" w:cs="Times New Roman" w:eastAsia="Times New Roman" w:hAnsi="Times New Roman"/>
          <w:sz w:val="18"/>
          <w:szCs w:val="18"/>
          <w:color w:val="auto"/>
        </w:rPr>
        <w:t>All share-based payments to employees are measured based on their grant-date fair values. Compensation expense is recognized based on the vesting schedule over the requisite service period. Total fair values of options vested and recognized as expenses as of July 23, 2015 were US$597.</w:t>
      </w:r>
    </w:p>
    <w:p>
      <w:pPr>
        <w:spacing w:after="0" w:line="54" w:lineRule="exact"/>
        <w:rPr>
          <w:sz w:val="20"/>
          <w:szCs w:val="20"/>
          <w:color w:val="auto"/>
        </w:rPr>
      </w:pPr>
    </w:p>
    <w:p>
      <w:pPr>
        <w:ind w:left="460" w:right="120"/>
        <w:spacing w:after="0" w:line="266" w:lineRule="auto"/>
        <w:rPr>
          <w:sz w:val="20"/>
          <w:szCs w:val="20"/>
          <w:color w:val="auto"/>
        </w:rPr>
      </w:pPr>
      <w:r>
        <w:rPr>
          <w:rFonts w:ascii="Times New Roman" w:cs="Times New Roman" w:eastAsia="Times New Roman" w:hAnsi="Times New Roman"/>
          <w:sz w:val="18"/>
          <w:szCs w:val="18"/>
          <w:color w:val="auto"/>
        </w:rPr>
        <w:t>As of July 23, 2015, there were US$4,296 of unrecognized share-based compensation expenses related to share options, which were expected to be recognized over a weighted-average vesting period of 3.27 years. To the extent the actual forfeiture rate is different from the Company’s estimate, the actual share-based compensation related to these awards may be different from the expectation.</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F-149</w:t>
      </w:r>
    </w:p>
    <w:p>
      <w:pPr>
        <w:sectPr>
          <w:pgSz w:w="11900" w:h="16838" w:orient="portrait"/>
          <w:cols w:equalWidth="0" w:num="1">
            <w:col w:w="11340"/>
          </w:cols>
          <w:pgMar w:left="240" w:top="455" w:right="319" w:bottom="1440" w:gutter="0" w:footer="0" w:header="0"/>
        </w:sectPr>
      </w:pPr>
    </w:p>
    <w:bookmarkStart w:id="370" w:name="page371"/>
    <w:bookmarkEnd w:id="3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13</w:t>
        <w:tab/>
        <w:t>Share-based compensation (Continued)</w:t>
      </w:r>
    </w:p>
    <w:p>
      <w:pPr>
        <w:spacing w:after="0" w:line="135" w:lineRule="exact"/>
        <w:rPr>
          <w:sz w:val="20"/>
          <w:szCs w:val="20"/>
          <w:color w:val="auto"/>
        </w:rPr>
      </w:pPr>
    </w:p>
    <w:p>
      <w:pPr>
        <w:ind w:left="460" w:hanging="452"/>
        <w:spacing w:after="0"/>
        <w:tabs>
          <w:tab w:leader="none" w:pos="46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plan (Continued)</w:t>
      </w:r>
    </w:p>
    <w:p>
      <w:pPr>
        <w:spacing w:after="0" w:line="130" w:lineRule="exact"/>
        <w:rPr>
          <w:rFonts w:ascii="Times New Roman" w:cs="Times New Roman" w:eastAsia="Times New Roman" w:hAnsi="Times New Roman"/>
          <w:sz w:val="18"/>
          <w:szCs w:val="18"/>
          <w:color w:val="auto"/>
        </w:rPr>
      </w:pPr>
    </w:p>
    <w:p>
      <w:pPr>
        <w:ind w:left="4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binomial option pricing model is used to determine the fair value of the share options granted to employees and non-employees. The fair values of share options granted during the period from January 1, 2015 to July 23, 2015 were estimated using the following assumptions: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3440" w:type="dxa"/>
            <w:vAlign w:val="bottom"/>
            <w:vMerge w:val="restart"/>
          </w:tcPr>
          <w:p>
            <w:pPr>
              <w:jc w:val="center"/>
              <w:ind w:left="1815"/>
              <w:spacing w:after="0"/>
              <w:rPr>
                <w:sz w:val="20"/>
                <w:szCs w:val="20"/>
                <w:color w:val="auto"/>
              </w:rPr>
            </w:pPr>
            <w:r>
              <w:rPr>
                <w:rFonts w:ascii="Times New Roman" w:cs="Times New Roman" w:eastAsia="Times New Roman" w:hAnsi="Times New Roman"/>
                <w:sz w:val="14"/>
                <w:szCs w:val="14"/>
                <w:color w:val="auto"/>
              </w:rPr>
              <w:t>Risk-free</w:t>
            </w:r>
          </w:p>
        </w:tc>
        <w:tc>
          <w:tcPr>
            <w:tcW w:w="126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color w:val="auto"/>
              </w:rPr>
              <w:t>Dividend</w:t>
            </w:r>
          </w:p>
        </w:tc>
        <w:tc>
          <w:tcPr>
            <w:tcW w:w="12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color w:val="auto"/>
              </w:rPr>
              <w:t>Volatility</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Expected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344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880" w:type="dxa"/>
            <w:vAlign w:val="bottom"/>
          </w:tcPr>
          <w:p>
            <w:pPr>
              <w:jc w:val="right"/>
              <w:ind w:right="117"/>
              <w:spacing w:after="0" w:line="149" w:lineRule="exact"/>
              <w:rPr>
                <w:sz w:val="20"/>
                <w:szCs w:val="20"/>
                <w:color w:val="auto"/>
              </w:rPr>
            </w:pPr>
            <w:r>
              <w:rPr>
                <w:rFonts w:ascii="Times New Roman" w:cs="Times New Roman" w:eastAsia="Times New Roman" w:hAnsi="Times New Roman"/>
                <w:sz w:val="14"/>
                <w:szCs w:val="14"/>
                <w:color w:val="auto"/>
              </w:rPr>
              <w:t>term</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3440" w:type="dxa"/>
            <w:vAlign w:val="bottom"/>
          </w:tcPr>
          <w:p>
            <w:pPr>
              <w:jc w:val="center"/>
              <w:ind w:left="1815"/>
              <w:spacing w:after="0" w:line="149" w:lineRule="exact"/>
              <w:rPr>
                <w:sz w:val="20"/>
                <w:szCs w:val="20"/>
                <w:color w:val="auto"/>
              </w:rPr>
            </w:pPr>
            <w:r>
              <w:rPr>
                <w:rFonts w:ascii="Times New Roman" w:cs="Times New Roman" w:eastAsia="Times New Roman" w:hAnsi="Times New Roman"/>
                <w:sz w:val="14"/>
                <w:szCs w:val="14"/>
                <w:color w:val="auto"/>
              </w:rPr>
              <w:t>interest rate</w:t>
            </w:r>
          </w:p>
        </w:tc>
        <w:tc>
          <w:tcPr>
            <w:tcW w:w="126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color w:val="auto"/>
              </w:rPr>
              <w:t>yield</w:t>
            </w:r>
          </w:p>
        </w:tc>
        <w:tc>
          <w:tcPr>
            <w:tcW w:w="12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rPr>
              <w:t>rate</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(in years)</w:t>
            </w:r>
          </w:p>
        </w:tc>
        <w:tc>
          <w:tcPr>
            <w:tcW w:w="0" w:type="dxa"/>
            <w:vAlign w:val="bottom"/>
          </w:tcPr>
          <w:p>
            <w:pPr>
              <w:spacing w:after="0"/>
              <w:rPr>
                <w:sz w:val="1"/>
                <w:szCs w:val="1"/>
                <w:color w:val="auto"/>
              </w:rPr>
            </w:pPr>
          </w:p>
        </w:tc>
      </w:tr>
      <w:tr>
        <w:trPr>
          <w:trHeight w:val="185"/>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Grant Date</w:t>
            </w:r>
          </w:p>
        </w:tc>
        <w:tc>
          <w:tcPr>
            <w:tcW w:w="3440" w:type="dxa"/>
            <w:vAlign w:val="bottom"/>
          </w:tcPr>
          <w:p>
            <w:pPr>
              <w:jc w:val="center"/>
              <w:ind w:left="1815"/>
              <w:spacing w:after="0"/>
              <w:rPr>
                <w:sz w:val="20"/>
                <w:szCs w:val="20"/>
                <w:color w:val="auto"/>
              </w:rPr>
            </w:pPr>
            <w:r>
              <w:rPr>
                <w:rFonts w:ascii="Times New Roman" w:cs="Times New Roman" w:eastAsia="Times New Roman" w:hAnsi="Times New Roman"/>
                <w:sz w:val="14"/>
                <w:szCs w:val="14"/>
                <w:color w:val="auto"/>
              </w:rPr>
              <w:t>(Note i)</w:t>
            </w:r>
          </w:p>
        </w:tc>
        <w:tc>
          <w:tcPr>
            <w:tcW w:w="1260" w:type="dxa"/>
            <w:vAlign w:val="bottom"/>
          </w:tcPr>
          <w:p>
            <w:pPr>
              <w:jc w:val="center"/>
              <w:ind w:right="75"/>
              <w:spacing w:after="0"/>
              <w:rPr>
                <w:sz w:val="20"/>
                <w:szCs w:val="20"/>
                <w:color w:val="auto"/>
              </w:rPr>
            </w:pPr>
            <w:r>
              <w:rPr>
                <w:rFonts w:ascii="Times New Roman" w:cs="Times New Roman" w:eastAsia="Times New Roman" w:hAnsi="Times New Roman"/>
                <w:sz w:val="14"/>
                <w:szCs w:val="14"/>
                <w:color w:val="auto"/>
              </w:rPr>
              <w:t>(Note ii)</w:t>
            </w:r>
          </w:p>
        </w:tc>
        <w:tc>
          <w:tcPr>
            <w:tcW w:w="12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(Note iii)</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(Note iv)</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16, 2015</w:t>
            </w:r>
          </w:p>
        </w:tc>
        <w:tc>
          <w:tcPr>
            <w:tcW w:w="34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3.570%</w:t>
            </w:r>
          </w:p>
        </w:tc>
        <w:tc>
          <w:tcPr>
            <w:tcW w:w="12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53.45%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2015</w:t>
            </w:r>
          </w:p>
        </w:tc>
        <w:tc>
          <w:tcPr>
            <w:tcW w:w="34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3.510%</w:t>
            </w:r>
          </w:p>
        </w:tc>
        <w:tc>
          <w:tcPr>
            <w:tcW w:w="12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53.39%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15, 2015</w:t>
            </w:r>
          </w:p>
        </w:tc>
        <w:tc>
          <w:tcPr>
            <w:tcW w:w="34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3.380%</w:t>
            </w:r>
          </w:p>
        </w:tc>
        <w:tc>
          <w:tcPr>
            <w:tcW w:w="12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53.40%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March 15, 2015</w:t>
            </w:r>
          </w:p>
        </w:tc>
        <w:tc>
          <w:tcPr>
            <w:tcW w:w="34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3.450%</w:t>
            </w:r>
          </w:p>
        </w:tc>
        <w:tc>
          <w:tcPr>
            <w:tcW w:w="12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53.31%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 2015</w:t>
            </w:r>
          </w:p>
        </w:tc>
        <w:tc>
          <w:tcPr>
            <w:tcW w:w="34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3.630%</w:t>
            </w:r>
          </w:p>
        </w:tc>
        <w:tc>
          <w:tcPr>
            <w:tcW w:w="12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53.22%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June 1, 2015</w:t>
            </w:r>
          </w:p>
        </w:tc>
        <w:tc>
          <w:tcPr>
            <w:tcW w:w="34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3.640%</w:t>
            </w:r>
          </w:p>
        </w:tc>
        <w:tc>
          <w:tcPr>
            <w:tcW w:w="12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52.98%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2015</w:t>
            </w:r>
          </w:p>
        </w:tc>
        <w:tc>
          <w:tcPr>
            <w:tcW w:w="34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3.630%</w:t>
            </w:r>
          </w:p>
        </w:tc>
        <w:tc>
          <w:tcPr>
            <w:tcW w:w="12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52.86%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Notes:</w:t>
      </w:r>
    </w:p>
    <w:p>
      <w:pPr>
        <w:spacing w:after="0" w:line="27" w:lineRule="exact"/>
        <w:rPr>
          <w:sz w:val="20"/>
          <w:szCs w:val="20"/>
          <w:color w:val="auto"/>
        </w:rPr>
      </w:pPr>
    </w:p>
    <w:p>
      <w:pPr>
        <w:ind w:left="900" w:right="400" w:hanging="446"/>
        <w:spacing w:after="0" w:line="250" w:lineRule="auto"/>
        <w:tabs>
          <w:tab w:leader="none" w:pos="90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of periods within the contractual life of the share option is based on the yield of US Treasury Strips sourced from Bloomberg as of the valuation dates.</w:t>
      </w:r>
    </w:p>
    <w:p>
      <w:pPr>
        <w:ind w:left="900" w:hanging="446"/>
        <w:spacing w:after="0"/>
        <w:tabs>
          <w:tab w:leader="none" w:pos="90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history or expectation of paying dividends on its ordinary shares.</w:t>
      </w:r>
    </w:p>
    <w:p>
      <w:pPr>
        <w:spacing w:after="0" w:line="9" w:lineRule="exact"/>
        <w:rPr>
          <w:rFonts w:ascii="Times New Roman" w:cs="Times New Roman" w:eastAsia="Times New Roman" w:hAnsi="Times New Roman"/>
          <w:sz w:val="18"/>
          <w:szCs w:val="18"/>
          <w:color w:val="auto"/>
        </w:rPr>
      </w:pPr>
    </w:p>
    <w:p>
      <w:pPr>
        <w:ind w:left="900" w:right="600" w:hanging="446"/>
        <w:spacing w:after="0" w:line="250" w:lineRule="auto"/>
        <w:tabs>
          <w:tab w:leader="none" w:pos="90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is estimated based on the average of historical volatilities of the comparable companies in the same industry as at the valuation dates.</w:t>
      </w:r>
    </w:p>
    <w:p>
      <w:pPr>
        <w:ind w:left="900" w:hanging="446"/>
        <w:spacing w:after="0"/>
        <w:tabs>
          <w:tab w:leader="none" w:pos="90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developed by assuming the share options will be exercised towards the end of maturity dates.</w:t>
      </w:r>
    </w:p>
    <w:p>
      <w:pPr>
        <w:spacing w:after="0" w:line="35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14</w:t>
        <w:tab/>
        <w:t>Income tax</w:t>
      </w:r>
    </w:p>
    <w:p>
      <w:pPr>
        <w:spacing w:after="0" w:line="135" w:lineRule="exact"/>
        <w:rPr>
          <w:sz w:val="20"/>
          <w:szCs w:val="20"/>
          <w:color w:val="auto"/>
        </w:rPr>
      </w:pPr>
    </w:p>
    <w:p>
      <w:pPr>
        <w:ind w:left="460" w:hanging="452"/>
        <w:spacing w:after="0"/>
        <w:tabs>
          <w:tab w:leader="none" w:pos="46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117" w:lineRule="exact"/>
        <w:rPr>
          <w:rFonts w:ascii="Times New Roman" w:cs="Times New Roman" w:eastAsia="Times New Roman" w:hAnsi="Times New Roman"/>
          <w:sz w:val="18"/>
          <w:szCs w:val="18"/>
          <w:color w:val="auto"/>
        </w:rPr>
      </w:pPr>
    </w:p>
    <w:p>
      <w:pPr>
        <w:ind w:left="460" w:right="5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31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profits tax</w:t>
      </w:r>
    </w:p>
    <w:p>
      <w:pPr>
        <w:spacing w:after="0" w:line="117" w:lineRule="exact"/>
        <w:rPr>
          <w:rFonts w:ascii="Times New Roman" w:cs="Times New Roman" w:eastAsia="Times New Roman" w:hAnsi="Times New Roman"/>
          <w:sz w:val="18"/>
          <w:szCs w:val="18"/>
          <w:color w:val="auto"/>
        </w:rPr>
      </w:pPr>
    </w:p>
    <w:p>
      <w:pPr>
        <w:ind w:left="460" w:right="4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incorporated in Hong Kong are subject to Hong Kong profits tax at a rate of 16.5% on the estimated assessable profit for the period from January 1, 2015 to July 23, 2015.</w:t>
      </w:r>
    </w:p>
    <w:p>
      <w:pPr>
        <w:spacing w:after="0" w:line="310"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Enterprise Income Tax (“EIT”)</w:t>
      </w:r>
    </w:p>
    <w:p>
      <w:pPr>
        <w:spacing w:after="0" w:line="117" w:lineRule="exact"/>
        <w:rPr>
          <w:rFonts w:ascii="Times New Roman" w:cs="Times New Roman" w:eastAsia="Times New Roman" w:hAnsi="Times New Roman"/>
          <w:sz w:val="18"/>
          <w:szCs w:val="18"/>
          <w:color w:val="auto"/>
        </w:rPr>
      </w:pPr>
    </w:p>
    <w:p>
      <w:pPr>
        <w:ind w:left="460" w:right="5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subsidiaries and VIEs in China are governed by the Enterprise Income Tax Law (“EIT Law”). Pursuant to the EIT Law and its implementation rules, enterprises in China are generally subjected to tax at a statutory rate of 25%.</w:t>
      </w:r>
    </w:p>
    <w:p>
      <w:pPr>
        <w:spacing w:after="0" w:line="53" w:lineRule="exact"/>
        <w:rPr>
          <w:rFonts w:ascii="Times New Roman" w:cs="Times New Roman" w:eastAsia="Times New Roman" w:hAnsi="Times New Roman"/>
          <w:sz w:val="18"/>
          <w:szCs w:val="18"/>
          <w:color w:val="auto"/>
        </w:rPr>
      </w:pPr>
    </w:p>
    <w:p>
      <w:pPr>
        <w:ind w:left="460" w:right="2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F-150</w:t>
      </w:r>
    </w:p>
    <w:p>
      <w:pPr>
        <w:sectPr>
          <w:pgSz w:w="11900" w:h="16838" w:orient="portrait"/>
          <w:cols w:equalWidth="0" w:num="1">
            <w:col w:w="11320"/>
          </w:cols>
          <w:pgMar w:left="240" w:top="455" w:right="339" w:bottom="1440" w:gutter="0" w:footer="0" w:header="0"/>
        </w:sectPr>
      </w:pPr>
    </w:p>
    <w:bookmarkStart w:id="371" w:name="page372"/>
    <w:bookmarkEnd w:id="3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14</w:t>
        <w:tab/>
        <w:t>Income tax (Continued)</w:t>
      </w:r>
    </w:p>
    <w:p>
      <w:pPr>
        <w:spacing w:after="0" w:line="135" w:lineRule="exact"/>
        <w:rPr>
          <w:sz w:val="20"/>
          <w:szCs w:val="20"/>
          <w:color w:val="auto"/>
        </w:rPr>
      </w:pPr>
    </w:p>
    <w:p>
      <w:pPr>
        <w:ind w:left="460" w:hanging="452"/>
        <w:spacing w:after="0"/>
        <w:tabs>
          <w:tab w:leader="none" w:pos="46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Enterprise Income Tax (“EIT”) (Continued)</w:t>
      </w:r>
    </w:p>
    <w:p>
      <w:pPr>
        <w:spacing w:after="0" w:line="130" w:lineRule="exact"/>
        <w:rPr>
          <w:rFonts w:ascii="Times New Roman" w:cs="Times New Roman" w:eastAsia="Times New Roman" w:hAnsi="Times New Roman"/>
          <w:sz w:val="18"/>
          <w:szCs w:val="18"/>
          <w:color w:val="auto"/>
        </w:rPr>
      </w:pPr>
    </w:p>
    <w:p>
      <w:pPr>
        <w:jc w:val="both"/>
        <w:ind w:left="460"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68" w:lineRule="exact"/>
        <w:rPr>
          <w:rFonts w:ascii="Times New Roman" w:cs="Times New Roman" w:eastAsia="Times New Roman" w:hAnsi="Times New Roman"/>
          <w:sz w:val="18"/>
          <w:szCs w:val="18"/>
          <w:color w:val="auto"/>
        </w:rPr>
      </w:pPr>
    </w:p>
    <w:p>
      <w:pPr>
        <w:ind w:left="460"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there are undistributed earnings of the Company’s subsidiary located in the PRC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July 23, 2015.</w:t>
      </w:r>
    </w:p>
    <w:p>
      <w:pPr>
        <w:spacing w:after="0" w:line="290"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Composition of income tax expense</w:t>
      </w:r>
    </w:p>
    <w:p>
      <w:pPr>
        <w:spacing w:after="0" w:line="119" w:lineRule="exact"/>
        <w:rPr>
          <w:rFonts w:ascii="Times New Roman" w:cs="Times New Roman" w:eastAsia="Times New Roman" w:hAnsi="Times New Roman"/>
          <w:sz w:val="18"/>
          <w:szCs w:val="18"/>
          <w:color w:val="auto"/>
        </w:rPr>
      </w:pPr>
    </w:p>
    <w:p>
      <w:pPr>
        <w:ind w:left="4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deferred portions of income tax expense included in the consolidated statement of comprehensive loss are nil as of July 23, 2015 are as follows:</w:t>
      </w:r>
    </w:p>
    <w:p>
      <w:pPr>
        <w:spacing w:after="0" w:line="17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3260" w:type="dxa"/>
            <w:vAlign w:val="bottom"/>
            <w:gridSpan w:val="3"/>
          </w:tcPr>
          <w:p>
            <w:pPr>
              <w:jc w:val="center"/>
              <w:ind w:left="2359"/>
              <w:spacing w:after="0"/>
              <w:rPr>
                <w:sz w:val="20"/>
                <w:szCs w:val="20"/>
                <w:color w:val="auto"/>
              </w:rPr>
            </w:pPr>
            <w:r>
              <w:rPr>
                <w:rFonts w:ascii="Times New Roman" w:cs="Times New Roman" w:eastAsia="Times New Roman" w:hAnsi="Times New Roman"/>
                <w:sz w:val="14"/>
                <w:szCs w:val="14"/>
                <w:color w:val="auto"/>
              </w:rPr>
              <w:t>Period from</w:t>
            </w:r>
          </w:p>
        </w:tc>
      </w:tr>
      <w:tr>
        <w:trPr>
          <w:trHeight w:val="149"/>
        </w:trPr>
        <w:tc>
          <w:tcPr>
            <w:tcW w:w="4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January 1,</w:t>
            </w:r>
          </w:p>
        </w:tc>
      </w:tr>
      <w:tr>
        <w:trPr>
          <w:trHeight w:val="149"/>
        </w:trPr>
        <w:tc>
          <w:tcPr>
            <w:tcW w:w="4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2015 to</w:t>
            </w:r>
          </w:p>
        </w:tc>
      </w:tr>
      <w:tr>
        <w:trPr>
          <w:trHeight w:val="149"/>
        </w:trPr>
        <w:tc>
          <w:tcPr>
            <w:tcW w:w="45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July 23,</w:t>
            </w:r>
          </w:p>
        </w:tc>
      </w:tr>
      <w:tr>
        <w:trPr>
          <w:trHeight w:val="162"/>
        </w:trPr>
        <w:tc>
          <w:tcPr>
            <w:tcW w:w="4500" w:type="dxa"/>
            <w:vAlign w:val="bottom"/>
          </w:tcPr>
          <w:p>
            <w:pPr>
              <w:spacing w:after="0"/>
              <w:rPr>
                <w:sz w:val="14"/>
                <w:szCs w:val="14"/>
                <w:color w:val="auto"/>
              </w:rPr>
            </w:pPr>
          </w:p>
        </w:tc>
        <w:tc>
          <w:tcPr>
            <w:tcW w:w="3200" w:type="dxa"/>
            <w:vAlign w:val="bottom"/>
            <w:gridSpan w:val="2"/>
          </w:tcPr>
          <w:p>
            <w:pPr>
              <w:jc w:val="center"/>
              <w:ind w:left="2399"/>
              <w:spacing w:after="0"/>
              <w:rPr>
                <w:sz w:val="20"/>
                <w:szCs w:val="20"/>
                <w:color w:val="auto"/>
              </w:rPr>
            </w:pPr>
            <w:r>
              <w:rPr>
                <w:rFonts w:ascii="Times New Roman" w:cs="Times New Roman" w:eastAsia="Times New Roman" w:hAnsi="Times New Roman"/>
                <w:sz w:val="14"/>
                <w:szCs w:val="14"/>
                <w:color w:val="auto"/>
                <w:w w:val="99"/>
              </w:rPr>
              <w:t>2015</w:t>
            </w:r>
          </w:p>
        </w:tc>
        <w:tc>
          <w:tcPr>
            <w:tcW w:w="60" w:type="dxa"/>
            <w:vAlign w:val="bottom"/>
          </w:tcPr>
          <w:p>
            <w:pPr>
              <w:spacing w:after="0"/>
              <w:rPr>
                <w:sz w:val="14"/>
                <w:szCs w:val="14"/>
                <w:color w:val="auto"/>
              </w:rPr>
            </w:pPr>
          </w:p>
        </w:tc>
      </w:tr>
      <w:tr>
        <w:trPr>
          <w:trHeight w:val="171"/>
        </w:trPr>
        <w:tc>
          <w:tcPr>
            <w:tcW w:w="45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US$‘000</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shd w:val="clear" w:color="auto" w:fill="CCEEFF"/>
          </w:tcPr>
          <w:p>
            <w:pPr>
              <w:spacing w:after="0"/>
              <w:rPr>
                <w:sz w:val="18"/>
                <w:szCs w:val="18"/>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expense</w:t>
            </w:r>
          </w:p>
        </w:tc>
        <w:tc>
          <w:tcPr>
            <w:tcW w:w="2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450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shd w:val="clear" w:color="auto" w:fill="CCEEFF"/>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Deferred tax assets and liabilities</w:t>
      </w:r>
    </w:p>
    <w:p>
      <w:pPr>
        <w:spacing w:after="0" w:line="119" w:lineRule="exact"/>
        <w:rPr>
          <w:sz w:val="20"/>
          <w:szCs w:val="20"/>
          <w:color w:val="auto"/>
        </w:rPr>
      </w:pPr>
    </w:p>
    <w:p>
      <w:pPr>
        <w:ind w:left="460" w:right="520"/>
        <w:spacing w:after="0" w:line="282" w:lineRule="auto"/>
        <w:rPr>
          <w:sz w:val="20"/>
          <w:szCs w:val="20"/>
          <w:color w:val="auto"/>
        </w:rPr>
      </w:pPr>
      <w:r>
        <w:rPr>
          <w:rFonts w:ascii="Times New Roman" w:cs="Times New Roman" w:eastAsia="Times New Roman" w:hAnsi="Times New Roman"/>
          <w:sz w:val="18"/>
          <w:szCs w:val="18"/>
          <w:color w:val="auto"/>
        </w:rPr>
        <w:t>Deferred taxes were measured using the enacted tax rates for the periods in which they are expected to be reversed. The tax effects of temporary differences that give rise to the deferred tax asset balances as of July 23, 2015 are as follows:</w:t>
      </w:r>
    </w:p>
    <w:p>
      <w:pPr>
        <w:sectPr>
          <w:pgSz w:w="11900" w:h="16838" w:orient="portrait"/>
          <w:cols w:equalWidth="0" w:num="1">
            <w:col w:w="11380"/>
          </w:cols>
          <w:pgMar w:left="240" w:top="45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Deferred tax assets,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-116840</wp:posOffset>
            </wp:positionV>
            <wp:extent cx="6080125" cy="13716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Customer deposits</w:t>
      </w:r>
    </w:p>
    <w:p>
      <w:pPr>
        <w:spacing w:after="0" w:line="9" w:lineRule="exact"/>
        <w:rPr>
          <w:sz w:val="20"/>
          <w:szCs w:val="20"/>
          <w:color w:val="auto"/>
        </w:rPr>
      </w:pPr>
    </w:p>
    <w:p>
      <w:pPr>
        <w:ind w:left="920" w:right="3260"/>
        <w:spacing w:after="0" w:line="263" w:lineRule="auto"/>
        <w:rPr>
          <w:sz w:val="20"/>
          <w:szCs w:val="20"/>
          <w:color w:val="auto"/>
        </w:rPr>
      </w:pPr>
      <w:r>
        <w:rPr>
          <w:rFonts w:ascii="Times New Roman" w:cs="Times New Roman" w:eastAsia="Times New Roman" w:hAnsi="Times New Roman"/>
          <w:sz w:val="18"/>
          <w:szCs w:val="18"/>
          <w:color w:val="auto"/>
        </w:rPr>
        <w:t>Accrued expense and others not currently deductible for tax purposes Valuation allowance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-278765</wp:posOffset>
            </wp:positionV>
            <wp:extent cx="6080125" cy="13716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8"/>
          <w:szCs w:val="18"/>
          <w:color w:val="auto"/>
        </w:rPr>
        <w:t>Total current deferred tax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-119380</wp:posOffset>
            </wp:positionV>
            <wp:extent cx="6080125" cy="13716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Deferred tax assets, non-current:</w:t>
      </w:r>
    </w:p>
    <w:p>
      <w:pPr>
        <w:spacing w:after="0" w:line="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Tax loss carried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-130810</wp:posOffset>
            </wp:positionV>
            <wp:extent cx="6080125" cy="13716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8"/>
          <w:szCs w:val="18"/>
          <w:color w:val="auto"/>
        </w:rPr>
        <w:t>Valuation allowance (a)</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Total non-current deferred tax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-119380</wp:posOffset>
            </wp:positionV>
            <wp:extent cx="6080125" cy="13716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92" w:lineRule="exact"/>
        <w:rPr>
          <w:sz w:val="20"/>
          <w:szCs w:val="20"/>
          <w:color w:val="auto"/>
        </w:rPr>
      </w:pPr>
    </w:p>
    <w:p>
      <w:pPr>
        <w:jc w:val="right"/>
        <w:ind w:right="3260"/>
        <w:spacing w:after="0"/>
        <w:rPr>
          <w:sz w:val="20"/>
          <w:szCs w:val="20"/>
          <w:color w:val="auto"/>
        </w:rPr>
      </w:pPr>
      <w:r>
        <w:rPr>
          <w:rFonts w:ascii="Times New Roman" w:cs="Times New Roman" w:eastAsia="Times New Roman" w:hAnsi="Times New Roman"/>
          <w:sz w:val="18"/>
          <w:szCs w:val="18"/>
          <w:color w:val="auto"/>
        </w:rPr>
        <w:t>F-151</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4"/>
          <w:szCs w:val="14"/>
          <w:color w:val="auto"/>
        </w:rPr>
        <w:t>As of</w:t>
      </w:r>
    </w:p>
    <w:p>
      <w:pPr>
        <w:jc w:val="center"/>
        <w:ind w:right="1020"/>
        <w:spacing w:after="0" w:line="226" w:lineRule="auto"/>
        <w:rPr>
          <w:sz w:val="20"/>
          <w:szCs w:val="20"/>
          <w:color w:val="auto"/>
        </w:rPr>
      </w:pPr>
      <w:r>
        <w:rPr>
          <w:rFonts w:ascii="Times New Roman" w:cs="Times New Roman" w:eastAsia="Times New Roman" w:hAnsi="Times New Roman"/>
          <w:sz w:val="14"/>
          <w:szCs w:val="14"/>
          <w:color w:val="auto"/>
        </w:rPr>
        <w:t>July 23,</w:t>
      </w:r>
    </w:p>
    <w:p>
      <w:pPr>
        <w:spacing w:after="0" w:line="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4"/>
          <w:szCs w:val="14"/>
          <w:color w:val="auto"/>
        </w:rPr>
        <w:t>2015</w:t>
      </w:r>
    </w:p>
    <w:p>
      <w:pPr>
        <w:spacing w:after="0" w:line="219"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1,310</w:t>
      </w:r>
    </w:p>
    <w:p>
      <w:pPr>
        <w:spacing w:after="0" w:line="27"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97</w:t>
      </w:r>
    </w:p>
    <w:p>
      <w:pPr>
        <w:spacing w:after="0" w:line="9" w:lineRule="exact"/>
        <w:rPr>
          <w:sz w:val="20"/>
          <w:szCs w:val="20"/>
          <w:color w:val="auto"/>
        </w:rPr>
      </w:pPr>
    </w:p>
    <w:p>
      <w:pPr>
        <w:jc w:val="right"/>
        <w:ind w:right="920"/>
        <w:spacing w:after="0"/>
        <w:rPr>
          <w:sz w:val="20"/>
          <w:szCs w:val="20"/>
          <w:color w:val="auto"/>
        </w:rPr>
      </w:pPr>
      <w:r>
        <w:rPr>
          <w:rFonts w:ascii="Times New Roman" w:cs="Times New Roman" w:eastAsia="Times New Roman" w:hAnsi="Times New Roman"/>
          <w:sz w:val="18"/>
          <w:szCs w:val="18"/>
          <w:u w:val="single" w:color="auto"/>
          <w:color w:val="auto"/>
        </w:rPr>
        <w:t>(1,407</w:t>
      </w:r>
      <w:r>
        <w:rPr>
          <w:rFonts w:ascii="Times New Roman" w:cs="Times New Roman" w:eastAsia="Times New Roman" w:hAnsi="Times New Roman"/>
          <w:sz w:val="18"/>
          <w:szCs w:val="18"/>
          <w:color w:val="auto"/>
        </w:rPr>
        <w:t>)</w:t>
      </w:r>
    </w:p>
    <w:p>
      <w:pPr>
        <w:spacing w:after="0" w:line="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17145</wp:posOffset>
            </wp:positionV>
            <wp:extent cx="33464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34290</wp:posOffset>
            </wp:positionV>
            <wp:extent cx="33464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575</w:t>
      </w:r>
    </w:p>
    <w:p>
      <w:pPr>
        <w:spacing w:after="0" w:line="27" w:lineRule="exact"/>
        <w:rPr>
          <w:sz w:val="20"/>
          <w:szCs w:val="20"/>
          <w:color w:val="auto"/>
        </w:rPr>
      </w:pPr>
    </w:p>
    <w:p>
      <w:pPr>
        <w:jc w:val="right"/>
        <w:ind w:right="920"/>
        <w:spacing w:after="0"/>
        <w:rPr>
          <w:sz w:val="20"/>
          <w:szCs w:val="20"/>
          <w:color w:val="auto"/>
        </w:rPr>
      </w:pPr>
      <w:r>
        <w:rPr>
          <w:rFonts w:ascii="Times New Roman" w:cs="Times New Roman" w:eastAsia="Times New Roman" w:hAnsi="Times New Roman"/>
          <w:sz w:val="18"/>
          <w:szCs w:val="18"/>
          <w:color w:val="auto"/>
        </w:rPr>
        <w:t>(575)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5715</wp:posOffset>
            </wp:positionV>
            <wp:extent cx="33464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17145</wp:posOffset>
            </wp:positionV>
            <wp:extent cx="33464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34290</wp:posOffset>
            </wp:positionV>
            <wp:extent cx="33464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ectPr>
          <w:pgSz w:w="11900" w:h="16838" w:orient="portrait"/>
          <w:cols w:equalWidth="0" w:num="2">
            <w:col w:w="9180" w:space="720"/>
            <w:col w:w="1480"/>
          </w:cols>
          <w:pgMar w:left="240" w:top="455" w:right="279" w:bottom="1440" w:gutter="0" w:footer="0" w:header="0"/>
          <w:type w:val="continuous"/>
        </w:sectPr>
      </w:pPr>
    </w:p>
    <w:bookmarkStart w:id="372" w:name="page373"/>
    <w:bookmarkEnd w:id="3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14</w:t>
        <w:tab/>
        <w:t>Income tax (Continued)</w:t>
      </w:r>
    </w:p>
    <w:p>
      <w:pPr>
        <w:spacing w:after="0" w:line="135" w:lineRule="exact"/>
        <w:rPr>
          <w:sz w:val="20"/>
          <w:szCs w:val="20"/>
          <w:color w:val="auto"/>
        </w:rPr>
      </w:pPr>
    </w:p>
    <w:p>
      <w:pPr>
        <w:ind w:left="460" w:right="7360" w:hanging="452"/>
        <w:spacing w:after="0" w:line="406" w:lineRule="auto"/>
        <w:tabs>
          <w:tab w:leader="none" w:pos="449" w:val="left"/>
        </w:tabs>
        <w:numPr>
          <w:ilvl w:val="0"/>
          <w:numId w:val="3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PRC Enterprise Income Tax (“EIT”) (Continued) </w:t>
      </w:r>
      <w:r>
        <w:rPr>
          <w:rFonts w:ascii="Times New Roman" w:cs="Times New Roman" w:eastAsia="Times New Roman" w:hAnsi="Times New Roman"/>
          <w:sz w:val="17"/>
          <w:szCs w:val="17"/>
          <w:i w:val="1"/>
          <w:iCs w:val="1"/>
          <w:color w:val="auto"/>
        </w:rPr>
        <w:t>Deferred tax assets and liabilities (Continued)</w:t>
      </w:r>
    </w:p>
    <w:p>
      <w:pPr>
        <w:ind w:left="900" w:right="100" w:hanging="446"/>
        <w:spacing w:after="0" w:line="256" w:lineRule="auto"/>
        <w:tabs>
          <w:tab w:leader="none" w:pos="900"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 forwards. Valuation allowance was provided for net operating loss carryforwards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Movement of valuation allowance is as follows:</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As of</w:t>
            </w: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9"/>
              </w:rPr>
              <w:t>July 23,</w:t>
            </w:r>
          </w:p>
        </w:tc>
      </w:tr>
      <w:tr>
        <w:trPr>
          <w:trHeight w:val="185"/>
        </w:trPr>
        <w:tc>
          <w:tcPr>
            <w:tcW w:w="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Tax loss carryforwards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July 23, 2015, the Group had tax loss carryforwards of approximately US$2,301, which can be carried forward to offset future taxable income.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net operating tax loss carry forwards will begin to expire as follows:</w:t>
      </w:r>
    </w:p>
    <w:p>
      <w:pPr>
        <w:spacing w:after="0" w:line="21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As of</w:t>
            </w: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w w:val="99"/>
              </w:rPr>
              <w:t>July 23,</w:t>
            </w:r>
          </w:p>
        </w:tc>
      </w:tr>
      <w:tr>
        <w:trPr>
          <w:trHeight w:val="185"/>
        </w:trPr>
        <w:tc>
          <w:tcPr>
            <w:tcW w:w="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line="261" w:lineRule="auto"/>
        <w:rPr>
          <w:sz w:val="20"/>
          <w:szCs w:val="20"/>
          <w:color w:val="auto"/>
        </w:rPr>
      </w:pPr>
      <w:r>
        <w:rPr>
          <w:rFonts w:ascii="Times New Roman" w:cs="Times New Roman" w:eastAsia="Times New Roman" w:hAnsi="Times New Roman"/>
          <w:sz w:val="18"/>
          <w:szCs w:val="18"/>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2010 to 2016 remain subject to examination by the tax authorities. There were no ongoing examinations by tax authorities as of July 23, 2015.</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F-152</w:t>
      </w:r>
    </w:p>
    <w:p>
      <w:pPr>
        <w:sectPr>
          <w:pgSz w:w="11900" w:h="16838" w:orient="portrait"/>
          <w:cols w:equalWidth="0" w:num="1">
            <w:col w:w="11360"/>
          </w:cols>
          <w:pgMar w:left="240" w:top="455" w:right="299" w:bottom="1440" w:gutter="0" w:footer="0" w:header="0"/>
        </w:sectPr>
      </w:pPr>
    </w:p>
    <w:bookmarkStart w:id="373" w:name="page374"/>
    <w:bookmarkEnd w:id="3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14</w:t>
        <w:tab/>
        <w:t>Income tax (Continued)</w:t>
      </w:r>
    </w:p>
    <w:p>
      <w:pPr>
        <w:spacing w:after="0" w:line="135" w:lineRule="exact"/>
        <w:rPr>
          <w:sz w:val="20"/>
          <w:szCs w:val="20"/>
          <w:color w:val="auto"/>
        </w:rPr>
      </w:pPr>
    </w:p>
    <w:p>
      <w:pPr>
        <w:ind w:left="460" w:right="7180" w:hanging="452"/>
        <w:spacing w:after="0" w:line="383" w:lineRule="auto"/>
        <w:tabs>
          <w:tab w:leader="none" w:pos="449"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PRC Enterprise Income Tax (“EIT”) (Continued) </w:t>
      </w:r>
      <w:r>
        <w:rPr>
          <w:rFonts w:ascii="Times New Roman" w:cs="Times New Roman" w:eastAsia="Times New Roman" w:hAnsi="Times New Roman"/>
          <w:sz w:val="18"/>
          <w:szCs w:val="18"/>
          <w:i w:val="1"/>
          <w:iCs w:val="1"/>
          <w:color w:val="auto"/>
        </w:rPr>
        <w:t>Tax loss carryforwards (Continued)</w:t>
      </w:r>
    </w:p>
    <w:p>
      <w:pPr>
        <w:spacing w:after="0" w:line="1" w:lineRule="exact"/>
        <w:rPr>
          <w:rFonts w:ascii="Times New Roman" w:cs="Times New Roman" w:eastAsia="Times New Roman" w:hAnsi="Times New Roman"/>
          <w:sz w:val="18"/>
          <w:szCs w:val="18"/>
          <w:color w:val="auto"/>
        </w:rPr>
      </w:pPr>
    </w:p>
    <w:p>
      <w:pPr>
        <w:ind w:left="4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 between the expense of income taxes computed by applying the statutory tax rate to loss before income taxes and the actual provision for income taxes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8780" w:type="dxa"/>
            <w:vAlign w:val="bottom"/>
          </w:tcPr>
          <w:p>
            <w:pPr>
              <w:spacing w:after="0"/>
              <w:rPr>
                <w:sz w:val="13"/>
                <w:szCs w:val="13"/>
                <w:color w:val="auto"/>
              </w:rPr>
            </w:pPr>
          </w:p>
        </w:tc>
        <w:tc>
          <w:tcPr>
            <w:tcW w:w="8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color w:val="auto"/>
              </w:rPr>
              <w:t>Period from</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January 1,</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0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2015 to</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80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July 23,</w:t>
            </w:r>
          </w:p>
        </w:tc>
        <w:tc>
          <w:tcPr>
            <w:tcW w:w="0" w:type="dxa"/>
            <w:vAlign w:val="bottom"/>
          </w:tcPr>
          <w:p>
            <w:pPr>
              <w:spacing w:after="0"/>
              <w:rPr>
                <w:sz w:val="1"/>
                <w:szCs w:val="1"/>
                <w:color w:val="auto"/>
              </w:rPr>
            </w:pPr>
          </w:p>
        </w:tc>
      </w:tr>
      <w:tr>
        <w:trPr>
          <w:trHeight w:val="185"/>
        </w:trPr>
        <w:tc>
          <w:tcPr>
            <w:tcW w:w="920" w:type="dxa"/>
            <w:vAlign w:val="bottom"/>
          </w:tcPr>
          <w:p>
            <w:pPr>
              <w:spacing w:after="0"/>
              <w:rPr>
                <w:sz w:val="16"/>
                <w:szCs w:val="16"/>
                <w:color w:val="auto"/>
              </w:rPr>
            </w:pPr>
          </w:p>
        </w:tc>
        <w:tc>
          <w:tcPr>
            <w:tcW w:w="8780" w:type="dxa"/>
            <w:vAlign w:val="bottom"/>
          </w:tcPr>
          <w:p>
            <w:pPr>
              <w:spacing w:after="0"/>
              <w:rPr>
                <w:sz w:val="16"/>
                <w:szCs w:val="16"/>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2015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before provision for income tax</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PRC statutory tax rate at 25%</w:t>
            </w:r>
          </w:p>
        </w:tc>
        <w:tc>
          <w:tcPr>
            <w:tcW w:w="28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at statutory tax rate</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Expenses not deductible for tax purposes</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Effect of income tax rate difference in other jurisdictions</w:t>
            </w:r>
          </w:p>
        </w:tc>
        <w:tc>
          <w:tcPr>
            <w:tcW w:w="8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97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As of July 23, 2015, the amount due to a related party was as follows:</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color w:val="auto"/>
              </w:rPr>
              <w:t>As of</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99"/>
              </w:rPr>
              <w:t>July 23,</w:t>
            </w:r>
          </w:p>
        </w:tc>
        <w:tc>
          <w:tcPr>
            <w:tcW w:w="0" w:type="dxa"/>
            <w:vAlign w:val="bottom"/>
          </w:tcPr>
          <w:p>
            <w:pPr>
              <w:spacing w:after="0"/>
              <w:rPr>
                <w:sz w:val="1"/>
                <w:szCs w:val="1"/>
                <w:color w:val="auto"/>
              </w:rPr>
            </w:pPr>
          </w:p>
        </w:tc>
      </w:tr>
      <w:tr>
        <w:trPr>
          <w:trHeight w:val="185"/>
        </w:trPr>
        <w:tc>
          <w:tcPr>
            <w:tcW w:w="920" w:type="dxa"/>
            <w:vAlign w:val="bottom"/>
          </w:tcPr>
          <w:p>
            <w:pPr>
              <w:spacing w:after="0"/>
              <w:rPr>
                <w:sz w:val="16"/>
                <w:szCs w:val="16"/>
                <w:color w:val="auto"/>
              </w:rPr>
            </w:pPr>
          </w:p>
        </w:tc>
        <w:tc>
          <w:tcPr>
            <w:tcW w:w="8780" w:type="dxa"/>
            <w:vAlign w:val="bottom"/>
          </w:tcPr>
          <w:p>
            <w:pPr>
              <w:spacing w:after="0"/>
              <w:rPr>
                <w:sz w:val="16"/>
                <w:szCs w:val="16"/>
                <w:color w:val="auto"/>
              </w:rPr>
            </w:pPr>
          </w:p>
        </w:tc>
        <w:tc>
          <w:tcPr>
            <w:tcW w:w="700" w:type="dxa"/>
            <w:vAlign w:val="bottom"/>
            <w:gridSpan w:val="2"/>
          </w:tcPr>
          <w:p>
            <w:pPr>
              <w:jc w:val="center"/>
              <w:ind w:left="258"/>
              <w:spacing w:after="0"/>
              <w:rPr>
                <w:sz w:val="20"/>
                <w:szCs w:val="20"/>
                <w:color w:val="auto"/>
              </w:rPr>
            </w:pPr>
            <w:r>
              <w:rPr>
                <w:rFonts w:ascii="Times New Roman" w:cs="Times New Roman" w:eastAsia="Times New Roman" w:hAnsi="Times New Roman"/>
                <w:sz w:val="14"/>
                <w:szCs w:val="14"/>
                <w:color w:val="auto"/>
                <w:w w:val="99"/>
              </w:rPr>
              <w:t>2015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 due to a related party</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 due to a director</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amount due to a director represents cash advances from a director which was unsecured, interest-free and with no fixed repayment terms.</w:t>
      </w:r>
    </w:p>
    <w:p>
      <w:pPr>
        <w:spacing w:after="0" w:line="37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16</w:t>
        <w:tab/>
        <w:t>Commitments and contingencies</w:t>
      </w:r>
    </w:p>
    <w:p>
      <w:pPr>
        <w:spacing w:after="0" w:line="131" w:lineRule="exact"/>
        <w:rPr>
          <w:sz w:val="20"/>
          <w:szCs w:val="20"/>
          <w:color w:val="auto"/>
        </w:rPr>
      </w:pPr>
    </w:p>
    <w:p>
      <w:pPr>
        <w:ind w:left="460" w:hanging="452"/>
        <w:spacing w:after="0"/>
        <w:tabs>
          <w:tab w:leader="none" w:pos="460" w:val="left"/>
        </w:tabs>
        <w:numPr>
          <w:ilvl w:val="0"/>
          <w:numId w:val="3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 commitments</w:t>
      </w:r>
    </w:p>
    <w:p>
      <w:pPr>
        <w:spacing w:after="0" w:line="121" w:lineRule="exact"/>
        <w:rPr>
          <w:rFonts w:ascii="Times New Roman" w:cs="Times New Roman" w:eastAsia="Times New Roman" w:hAnsi="Times New Roman"/>
          <w:sz w:val="18"/>
          <w:szCs w:val="18"/>
          <w:b w:val="1"/>
          <w:bCs w:val="1"/>
          <w:color w:val="auto"/>
        </w:rPr>
      </w:pPr>
    </w:p>
    <w:p>
      <w:pPr>
        <w:ind w:left="46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leases facilities under non-cancellable operating leases expiring on different dates. The terms of substantially all of these leases are two years or less. Payments under operating leases are expensed on a straight-line basis over the periods of the respective leases.</w:t>
      </w:r>
    </w:p>
    <w:p>
      <w:pPr>
        <w:spacing w:after="0" w:line="53"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office rental expenses under all operating leases were US$74 for the period from January 1, 2015 to July 23, 2015.</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F-153</w:t>
      </w:r>
    </w:p>
    <w:p>
      <w:pPr>
        <w:sectPr>
          <w:pgSz w:w="11900" w:h="16838" w:orient="portrait"/>
          <w:cols w:equalWidth="0" w:num="1">
            <w:col w:w="11180"/>
          </w:cols>
          <w:pgMar w:left="240" w:top="455" w:right="479" w:bottom="1440" w:gutter="0" w:footer="0" w:header="0"/>
        </w:sectPr>
      </w:pPr>
    </w:p>
    <w:bookmarkStart w:id="374" w:name="page375"/>
    <w:bookmarkEnd w:id="3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OPTAIM LIMITED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(US$’000, except share data and per share data, or otherwise noted)</w:t>
      </w:r>
    </w:p>
    <w:p>
      <w:pPr>
        <w:spacing w:after="0" w:line="13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16</w:t>
        <w:tab/>
        <w:t>Commitments and contingencies (Continued)</w:t>
      </w:r>
    </w:p>
    <w:p>
      <w:pPr>
        <w:spacing w:after="0" w:line="131" w:lineRule="exact"/>
        <w:rPr>
          <w:sz w:val="20"/>
          <w:szCs w:val="20"/>
          <w:color w:val="auto"/>
        </w:rPr>
      </w:pPr>
    </w:p>
    <w:p>
      <w:pPr>
        <w:ind w:left="460" w:hanging="452"/>
        <w:spacing w:after="0"/>
        <w:tabs>
          <w:tab w:leader="none" w:pos="460" w:val="left"/>
        </w:tabs>
        <w:numPr>
          <w:ilvl w:val="0"/>
          <w:numId w:val="3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 commitments (Continued)</w:t>
      </w:r>
    </w:p>
    <w:p>
      <w:pPr>
        <w:spacing w:after="0" w:line="134"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July 23, 2015, future minimum payments under non-cancellable operating leases for office rental consist of the following:</w:t>
      </w:r>
    </w:p>
    <w:p>
      <w:pPr>
        <w:spacing w:after="0" w:line="23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As of</w:t>
            </w:r>
          </w:p>
        </w:tc>
      </w:tr>
      <w:tr>
        <w:trPr>
          <w:trHeight w:val="149"/>
        </w:trPr>
        <w:tc>
          <w:tcPr>
            <w:tcW w:w="4320" w:type="dxa"/>
            <w:vAlign w:val="bottom"/>
          </w:tcPr>
          <w:p>
            <w:pPr>
              <w:spacing w:after="0"/>
              <w:rPr>
                <w:sz w:val="12"/>
                <w:szCs w:val="12"/>
                <w:color w:val="auto"/>
              </w:rPr>
            </w:pPr>
          </w:p>
        </w:tc>
        <w:tc>
          <w:tcPr>
            <w:tcW w:w="34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July 23,</w:t>
            </w:r>
          </w:p>
        </w:tc>
      </w:tr>
      <w:tr>
        <w:trPr>
          <w:trHeight w:val="185"/>
        </w:trPr>
        <w:tc>
          <w:tcPr>
            <w:tcW w:w="4320" w:type="dxa"/>
            <w:vAlign w:val="bottom"/>
          </w:tcPr>
          <w:p>
            <w:pPr>
              <w:spacing w:after="0"/>
              <w:rPr>
                <w:sz w:val="16"/>
                <w:szCs w:val="16"/>
                <w:color w:val="auto"/>
              </w:rPr>
            </w:pP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60" w:type="dxa"/>
            <w:vAlign w:val="bottom"/>
          </w:tcPr>
          <w:p>
            <w:pPr>
              <w:spacing w:after="0"/>
              <w:rPr>
                <w:sz w:val="16"/>
                <w:szCs w:val="16"/>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2015</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2016</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w:t>
            </w:r>
          </w:p>
        </w:tc>
        <w:tc>
          <w:tcPr>
            <w:tcW w:w="3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ind w:left="460" w:hanging="452"/>
        <w:spacing w:after="0"/>
        <w:tabs>
          <w:tab w:leader="none" w:pos="460" w:val="left"/>
        </w:tabs>
        <w:numPr>
          <w:ilvl w:val="0"/>
          <w:numId w:val="3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commitments</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July 23, 2015, there were no purchase commitments.</w:t>
      </w:r>
    </w:p>
    <w:p>
      <w:pPr>
        <w:spacing w:after="0" w:line="369"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Litigation</w:t>
      </w:r>
    </w:p>
    <w:p>
      <w:pPr>
        <w:spacing w:after="0" w:line="121" w:lineRule="exact"/>
        <w:rPr>
          <w:rFonts w:ascii="Times New Roman" w:cs="Times New Roman" w:eastAsia="Times New Roman" w:hAnsi="Times New Roman"/>
          <w:sz w:val="18"/>
          <w:szCs w:val="18"/>
          <w:b w:val="1"/>
          <w:bCs w:val="1"/>
          <w:color w:val="auto"/>
        </w:rPr>
      </w:pPr>
    </w:p>
    <w:p>
      <w:pPr>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ordinary course of the business, the Group is subject to periodic legal or administrative proceedings. As of July 23, 2015, the Group is not a party to any legal or administrative proceedings which will have a material adverse effect on the Group’s business, financial condition and each of the consolidated financial statements.</w:t>
      </w:r>
    </w:p>
    <w:p>
      <w:pPr>
        <w:spacing w:after="0" w:line="321" w:lineRule="exact"/>
        <w:rPr>
          <w:sz w:val="20"/>
          <w:szCs w:val="20"/>
          <w:color w:val="auto"/>
        </w:rPr>
      </w:pPr>
    </w:p>
    <w:p>
      <w:pPr>
        <w:ind w:left="460" w:hanging="452"/>
        <w:spacing w:after="0"/>
        <w:tabs>
          <w:tab w:leader="none" w:pos="460" w:val="left"/>
        </w:tabs>
        <w:numPr>
          <w:ilvl w:val="0"/>
          <w:numId w:val="3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net assets</w:t>
      </w:r>
    </w:p>
    <w:p>
      <w:pPr>
        <w:spacing w:after="0" w:line="121" w:lineRule="exact"/>
        <w:rPr>
          <w:rFonts w:ascii="Times New Roman" w:cs="Times New Roman" w:eastAsia="Times New Roman" w:hAnsi="Times New Roman"/>
          <w:sz w:val="18"/>
          <w:szCs w:val="18"/>
          <w:b w:val="1"/>
          <w:bCs w:val="1"/>
          <w:color w:val="auto"/>
        </w:rPr>
      </w:pPr>
    </w:p>
    <w:p>
      <w:pPr>
        <w:ind w:left="460" w:right="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Relevant PRC laws and regulations permit payments of dividends by the Group’s subsidiary and the VIE incorporated in the PRC only out of their retained earnings, if any, as determined in accordance with PRC accounting standards and regulations. In addition, the Group’s subsidiary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subsidiary and the VIE subsidiary incorporated in the PRC are restricted in their ability to transfer a portion of their net assets to the Company either in the form of dividends, loans or advances. There are no significant differences between US GAAP and PRC accounting standards in connection with the reported net assets of the legally owned subsidiary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subsidiary and the VIE to satisfy any obligations of the Company.</w:t>
      </w:r>
    </w:p>
    <w:p>
      <w:pPr>
        <w:spacing w:after="0" w:line="337"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rFonts w:ascii="Times New Roman" w:cs="Times New Roman" w:eastAsia="Times New Roman" w:hAnsi="Times New Roman"/>
          <w:sz w:val="18"/>
          <w:szCs w:val="18"/>
          <w:b w:val="1"/>
          <w:bCs w:val="1"/>
          <w:color w:val="auto"/>
        </w:rPr>
      </w:pPr>
    </w:p>
    <w:p>
      <w:pPr>
        <w:ind w:left="4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Optimix acquired 100% equity interest of the Company on July 24, 2015 at a consideration of approximately US$67,620 in the form of cash and shares of Optimix.</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F-154</w:t>
      </w:r>
    </w:p>
    <w:p>
      <w:pPr>
        <w:sectPr>
          <w:pgSz w:w="11900" w:h="16838" w:orient="portrait"/>
          <w:cols w:equalWidth="0" w:num="1">
            <w:col w:w="11400"/>
          </w:cols>
          <w:pgMar w:left="240" w:top="455" w:right="259" w:bottom="1440" w:gutter="0" w:footer="0" w:header="0"/>
        </w:sectPr>
      </w:pPr>
    </w:p>
    <w:bookmarkStart w:id="375" w:name="page376"/>
    <w:bookmarkEnd w:id="3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The new articles of association that we expect to adopt to become effective upon the completion of this offering provide for indemnification of officers and directors for losses, damages, costs and expenses incurred in their capacities as such only if they acted honestly and in good faith with a view to the best interests of our company and, in the case of criminal proceedings, only if they had no reasonable cause to believe that their conduct was unlawful.</w:t>
      </w:r>
    </w:p>
    <w:p>
      <w:pPr>
        <w:spacing w:after="0" w:line="188" w:lineRule="exact"/>
        <w:rPr>
          <w:sz w:val="20"/>
          <w:szCs w:val="20"/>
          <w:color w:val="auto"/>
        </w:rPr>
      </w:pPr>
    </w:p>
    <w:p>
      <w:pPr>
        <w:ind w:right="280" w:firstLine="456"/>
        <w:spacing w:after="0" w:line="313" w:lineRule="auto"/>
        <w:rPr>
          <w:sz w:val="20"/>
          <w:szCs w:val="20"/>
          <w:color w:val="auto"/>
        </w:rPr>
      </w:pPr>
      <w:r>
        <w:rPr>
          <w:rFonts w:ascii="Times New Roman" w:cs="Times New Roman" w:eastAsia="Times New Roman" w:hAnsi="Times New Roman"/>
          <w:sz w:val="17"/>
          <w:szCs w:val="17"/>
          <w:color w:val="auto"/>
        </w:rPr>
        <w:t>Pursuant to the form of indemnification agreement filed as Exhibit 10.9 to this registration statement, we will agree to indemnify our directors and officers against certain liabilities and expenses incurred by such persons in connection with claims made by reason of their being such a director or officer.</w:t>
      </w:r>
    </w:p>
    <w:p>
      <w:pPr>
        <w:spacing w:after="0" w:line="138" w:lineRule="exact"/>
        <w:rPr>
          <w:sz w:val="20"/>
          <w:szCs w:val="20"/>
          <w:color w:val="auto"/>
        </w:rPr>
      </w:pPr>
    </w:p>
    <w:p>
      <w:pPr>
        <w:ind w:right="160" w:firstLine="456"/>
        <w:spacing w:after="0" w:line="282" w:lineRule="auto"/>
        <w:rPr>
          <w:sz w:val="20"/>
          <w:szCs w:val="20"/>
          <w:color w:val="auto"/>
        </w:rPr>
      </w:pPr>
      <w:r>
        <w:rPr>
          <w:rFonts w:ascii="Times New Roman" w:cs="Times New Roman" w:eastAsia="Times New Roman" w:hAnsi="Times New Roman"/>
          <w:sz w:val="18"/>
          <w:szCs w:val="18"/>
          <w:color w:val="auto"/>
        </w:rPr>
        <w:t>The Underwriting Agreement, the form of which will be filed as Exhibit 1.1 to this registration statement, will also provide for indemnification by the underwriters of us and our officers and directors for certain liabilities.</w:t>
      </w:r>
    </w:p>
    <w:p>
      <w:pPr>
        <w:spacing w:after="0" w:line="162"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Securities and Exchange Commission such indemnification is against public policy as expressed in the Securities Act and is therefore unenforceable.</w:t>
      </w:r>
    </w:p>
    <w:p>
      <w:pPr>
        <w:spacing w:after="0" w:line="280"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tab/>
        <w:t>RECENT SALES OF UNREGISTERED SECURITIES.</w:t>
      </w:r>
    </w:p>
    <w:p>
      <w:pPr>
        <w:spacing w:after="0" w:line="121"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During the past three years, we have issued the following securities. We believe that each of the following issuances was exempt from registration under the Securities Act in reliance on Regulation S under the Securities Act regarding sales by an issuer in offshore transactions or pursuant to Section 4(a)</w:t>
      </w:r>
    </w:p>
    <w:p>
      <w:pPr>
        <w:jc w:val="both"/>
        <w:ind w:firstLine="8"/>
        <w:spacing w:after="0" w:line="255" w:lineRule="auto"/>
        <w:tabs>
          <w:tab w:leader="none" w:pos="255"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regarding transactions not involving a public offering. No underwriters were involved in these issuances of securities. We believe that our issuances of share awards to our employees, officers and consultants were exempt from registration under the Securities Act in reliance on Rule 701 under the Securities Act.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Purchaser</w:t>
            </w:r>
          </w:p>
        </w:tc>
        <w:tc>
          <w:tcPr>
            <w:tcW w:w="194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20" w:type="dxa"/>
            <w:vAlign w:val="bottom"/>
          </w:tcPr>
          <w:p>
            <w:pPr>
              <w:spacing w:after="0"/>
              <w:rPr>
                <w:sz w:val="13"/>
                <w:szCs w:val="13"/>
                <w:color w:val="auto"/>
              </w:rPr>
            </w:pPr>
          </w:p>
        </w:tc>
        <w:tc>
          <w:tcPr>
            <w:tcW w:w="252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00" w:type="dxa"/>
            <w:vAlign w:val="bottom"/>
          </w:tcPr>
          <w:p>
            <w:pPr>
              <w:spacing w:after="0"/>
              <w:rPr>
                <w:sz w:val="13"/>
                <w:szCs w:val="13"/>
                <w:color w:val="auto"/>
              </w:rPr>
            </w:pPr>
          </w:p>
        </w:tc>
        <w:tc>
          <w:tcPr>
            <w:tcW w:w="17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9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Underwriting Discounts</w:t>
            </w:r>
          </w:p>
        </w:tc>
        <w:tc>
          <w:tcPr>
            <w:tcW w:w="0" w:type="dxa"/>
            <w:vAlign w:val="bottom"/>
          </w:tcPr>
          <w:p>
            <w:pPr>
              <w:spacing w:after="0"/>
              <w:rPr>
                <w:sz w:val="1"/>
                <w:szCs w:val="1"/>
                <w:color w:val="auto"/>
              </w:rPr>
            </w:pPr>
          </w:p>
        </w:tc>
      </w:tr>
      <w:tr>
        <w:trPr>
          <w:trHeight w:val="187"/>
        </w:trPr>
        <w:tc>
          <w:tcPr>
            <w:tcW w:w="3100" w:type="dxa"/>
            <w:vAlign w:val="bottom"/>
            <w:gridSpan w:val="2"/>
            <w:vMerge w:val="continue"/>
          </w:tcPr>
          <w:p>
            <w:pPr>
              <w:spacing w:after="0"/>
              <w:rPr>
                <w:sz w:val="16"/>
                <w:szCs w:val="16"/>
                <w:color w:val="auto"/>
              </w:rPr>
            </w:pPr>
          </w:p>
        </w:tc>
        <w:tc>
          <w:tcPr>
            <w:tcW w:w="194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120" w:type="dxa"/>
            <w:vAlign w:val="bottom"/>
          </w:tcPr>
          <w:p>
            <w:pPr>
              <w:spacing w:after="0"/>
              <w:rPr>
                <w:sz w:val="16"/>
                <w:szCs w:val="16"/>
                <w:color w:val="auto"/>
              </w:rPr>
            </w:pPr>
          </w:p>
        </w:tc>
        <w:tc>
          <w:tcPr>
            <w:tcW w:w="2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9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and Commissions</w:t>
            </w:r>
          </w:p>
        </w:tc>
        <w:tc>
          <w:tcPr>
            <w:tcW w:w="0" w:type="dxa"/>
            <w:vAlign w:val="bottom"/>
          </w:tcPr>
          <w:p>
            <w:pPr>
              <w:spacing w:after="0"/>
              <w:rPr>
                <w:sz w:val="1"/>
                <w:szCs w:val="1"/>
                <w:color w:val="auto"/>
              </w:rPr>
            </w:pPr>
          </w:p>
        </w:tc>
      </w:tr>
      <w:tr>
        <w:trPr>
          <w:trHeight w:val="223"/>
        </w:trPr>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Maestro</w:t>
            </w:r>
          </w:p>
        </w:tc>
        <w:tc>
          <w:tcPr>
            <w:tcW w:w="2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Holdings Limited</w:t>
            </w:r>
          </w:p>
        </w:tc>
        <w:tc>
          <w:tcPr>
            <w:tcW w:w="1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2014</w:t>
            </w:r>
          </w:p>
        </w:tc>
        <w:tc>
          <w:tcPr>
            <w:tcW w:w="12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1,740,653 ordinary shares</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1</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Big Tooth Corporation</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December 22, 2014</w:t>
            </w:r>
          </w:p>
        </w:tc>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274,752 ordinary shares</w:t>
            </w: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Note 2</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Arda Holdings Limited</w:t>
            </w: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23, 2014</w:t>
            </w:r>
          </w:p>
        </w:tc>
        <w:tc>
          <w:tcPr>
            <w:tcW w:w="2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255,033 ordinary shares</w:t>
            </w:r>
          </w:p>
        </w:tc>
        <w:tc>
          <w:tcPr>
            <w:tcW w:w="1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 3</w:t>
            </w: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BlueFocus International Limited</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December 30, 2014</w:t>
            </w:r>
          </w:p>
        </w:tc>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742,320 ordinary shares</w:t>
            </w: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US$12.0 million</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198"/>
        </w:trPr>
        <w:tc>
          <w:tcPr>
            <w:tcW w:w="3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BlueFocus International Limited</w:t>
            </w:r>
          </w:p>
        </w:tc>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December 30, 2014</w:t>
            </w:r>
          </w:p>
        </w:tc>
        <w:tc>
          <w:tcPr>
            <w:tcW w:w="264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2,493,018 series D preferred</w:t>
            </w:r>
          </w:p>
        </w:tc>
        <w:tc>
          <w:tcPr>
            <w:tcW w:w="180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US$48.0 million</w:t>
            </w:r>
          </w:p>
        </w:tc>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48"/>
        </w:trPr>
        <w:tc>
          <w:tcPr>
            <w:tcW w:w="640" w:type="dxa"/>
            <w:vAlign w:val="bottom"/>
            <w:shd w:val="clear" w:color="auto" w:fill="CCEEFF"/>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2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Bondwa Enterprise Limited</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February 13, 2015</w:t>
            </w:r>
          </w:p>
        </w:tc>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71,076 ordinary shares</w:t>
            </w: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Note 4</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Triwin Holdings Limited</w:t>
            </w: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13, 2015</w:t>
            </w:r>
          </w:p>
        </w:tc>
        <w:tc>
          <w:tcPr>
            <w:tcW w:w="2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71,075 ordinary shares</w:t>
            </w:r>
          </w:p>
        </w:tc>
        <w:tc>
          <w:tcPr>
            <w:tcW w:w="1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 4</w:t>
            </w: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365"/>
        </w:trPr>
        <w:tc>
          <w:tcPr>
            <w:tcW w:w="6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II-1</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376" w:name="page377"/>
    <w:bookmarkEnd w:id="3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Purchaser</w:t>
            </w:r>
          </w:p>
        </w:tc>
        <w:tc>
          <w:tcPr>
            <w:tcW w:w="194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20" w:type="dxa"/>
            <w:vAlign w:val="bottom"/>
          </w:tcPr>
          <w:p>
            <w:pPr>
              <w:spacing w:after="0"/>
              <w:rPr>
                <w:sz w:val="13"/>
                <w:szCs w:val="13"/>
                <w:color w:val="auto"/>
              </w:rPr>
            </w:pPr>
          </w:p>
        </w:tc>
        <w:tc>
          <w:tcPr>
            <w:tcW w:w="2520" w:type="dxa"/>
            <w:vAlign w:val="bottom"/>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00" w:type="dxa"/>
            <w:vAlign w:val="bottom"/>
          </w:tcPr>
          <w:p>
            <w:pPr>
              <w:spacing w:after="0"/>
              <w:rPr>
                <w:sz w:val="13"/>
                <w:szCs w:val="13"/>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Consideration in</w:t>
            </w:r>
          </w:p>
        </w:tc>
        <w:tc>
          <w:tcPr>
            <w:tcW w:w="19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Underwriting Discounts</w:t>
            </w:r>
          </w:p>
        </w:tc>
        <w:tc>
          <w:tcPr>
            <w:tcW w:w="0" w:type="dxa"/>
            <w:vAlign w:val="bottom"/>
          </w:tcPr>
          <w:p>
            <w:pPr>
              <w:spacing w:after="0"/>
              <w:rPr>
                <w:sz w:val="1"/>
                <w:szCs w:val="1"/>
                <w:color w:val="auto"/>
              </w:rPr>
            </w:pPr>
          </w:p>
        </w:tc>
      </w:tr>
      <w:tr>
        <w:trPr>
          <w:trHeight w:val="187"/>
        </w:trPr>
        <w:tc>
          <w:tcPr>
            <w:tcW w:w="3100" w:type="dxa"/>
            <w:vAlign w:val="bottom"/>
            <w:gridSpan w:val="2"/>
            <w:vMerge w:val="continue"/>
          </w:tcPr>
          <w:p>
            <w:pPr>
              <w:spacing w:after="0"/>
              <w:rPr>
                <w:sz w:val="16"/>
                <w:szCs w:val="16"/>
                <w:color w:val="auto"/>
              </w:rPr>
            </w:pPr>
          </w:p>
        </w:tc>
        <w:tc>
          <w:tcPr>
            <w:tcW w:w="194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120" w:type="dxa"/>
            <w:vAlign w:val="bottom"/>
          </w:tcPr>
          <w:p>
            <w:pPr>
              <w:spacing w:after="0"/>
              <w:rPr>
                <w:sz w:val="16"/>
                <w:szCs w:val="16"/>
                <w:color w:val="auto"/>
              </w:rPr>
            </w:pPr>
          </w:p>
        </w:tc>
        <w:tc>
          <w:tcPr>
            <w:tcW w:w="2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 Dollars</w:t>
            </w:r>
          </w:p>
        </w:tc>
        <w:tc>
          <w:tcPr>
            <w:tcW w:w="19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and Commissions</w:t>
            </w:r>
          </w:p>
        </w:tc>
        <w:tc>
          <w:tcPr>
            <w:tcW w:w="0" w:type="dxa"/>
            <w:vAlign w:val="bottom"/>
          </w:tcPr>
          <w:p>
            <w:pPr>
              <w:spacing w:after="0"/>
              <w:rPr>
                <w:sz w:val="1"/>
                <w:szCs w:val="1"/>
                <w:color w:val="auto"/>
              </w:rPr>
            </w:pPr>
          </w:p>
        </w:tc>
      </w:tr>
      <w:tr>
        <w:trPr>
          <w:trHeight w:val="223"/>
        </w:trPr>
        <w:tc>
          <w:tcPr>
            <w:tcW w:w="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Igomax</w:t>
            </w:r>
          </w:p>
        </w:tc>
        <w:tc>
          <w:tcPr>
            <w:tcW w:w="2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w:t>
            </w:r>
          </w:p>
        </w:tc>
        <w:tc>
          <w:tcPr>
            <w:tcW w:w="1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24, 2015</w:t>
            </w:r>
          </w:p>
        </w:tc>
        <w:tc>
          <w:tcPr>
            <w:tcW w:w="120" w:type="dxa"/>
            <w:vAlign w:val="bottom"/>
            <w:tcBorders>
              <w:top w:val="single" w:sz="8" w:color="CCEEFF"/>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1,496,399 ordinary shares</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5</w:t>
            </w:r>
          </w:p>
        </w:tc>
        <w:tc>
          <w:tcPr>
            <w:tcW w:w="1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Zaffre Investments, Inc.</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July 24, 2015</w:t>
            </w:r>
          </w:p>
        </w:tc>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446,604 ordinary shares</w:t>
            </w: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Note 5</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BAI GmbH</w:t>
            </w: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24, 2015</w:t>
            </w:r>
          </w:p>
        </w:tc>
        <w:tc>
          <w:tcPr>
            <w:tcW w:w="2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592,088 ordinary shares</w:t>
            </w:r>
          </w:p>
        </w:tc>
        <w:tc>
          <w:tcPr>
            <w:tcW w:w="1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 5</w:t>
            </w: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Arda Holdings Limited</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July 24, 2015</w:t>
            </w:r>
          </w:p>
        </w:tc>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632,581 ordinary shares</w:t>
            </w: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Note 3</w:t>
            </w:r>
          </w:p>
        </w:tc>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Arda Holdings Limited</w:t>
            </w: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14, 2015</w:t>
            </w:r>
          </w:p>
        </w:tc>
        <w:tc>
          <w:tcPr>
            <w:tcW w:w="2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945,663 ordinary shares</w:t>
            </w:r>
          </w:p>
        </w:tc>
        <w:tc>
          <w:tcPr>
            <w:tcW w:w="18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 3</w:t>
            </w:r>
          </w:p>
        </w:tc>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198"/>
        </w:trPr>
        <w:tc>
          <w:tcPr>
            <w:tcW w:w="31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Shenwan Hongyuan Goldspring Fund I</w:t>
            </w:r>
          </w:p>
        </w:tc>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December 28, 2016</w:t>
            </w:r>
          </w:p>
        </w:tc>
        <w:tc>
          <w:tcPr>
            <w:tcW w:w="264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1,068,114 series E preferred</w:t>
            </w:r>
          </w:p>
        </w:tc>
        <w:tc>
          <w:tcPr>
            <w:tcW w:w="180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US$20.0 million</w:t>
            </w:r>
          </w:p>
        </w:tc>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460" w:right="220" w:hanging="452"/>
        <w:spacing w:after="0" w:line="261" w:lineRule="auto"/>
        <w:tabs>
          <w:tab w:leader="none" w:pos="46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ordinary shares were issued to Maestro Investment Holdings Limited in consideration for our acquisition of 49% shares in Harmanttan Capital Holdings Corporation.</w:t>
      </w:r>
    </w:p>
    <w:p>
      <w:pPr>
        <w:ind w:left="460" w:hanging="452"/>
        <w:spacing w:after="0"/>
        <w:tabs>
          <w:tab w:leader="none" w:pos="46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ordinary shares were issued to Blue Tooth Corporation in recognition of Mr. Robert Tran’s consulting services to us.</w:t>
      </w:r>
    </w:p>
    <w:p>
      <w:pPr>
        <w:spacing w:after="0" w:line="9" w:lineRule="exact"/>
        <w:rPr>
          <w:sz w:val="20"/>
          <w:szCs w:val="20"/>
          <w:color w:val="auto"/>
        </w:rPr>
      </w:pPr>
    </w:p>
    <w:p>
      <w:pPr>
        <w:ind w:left="460" w:hanging="452"/>
        <w:spacing w:after="0"/>
        <w:tabs>
          <w:tab w:leader="none" w:pos="46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ordinary shares were issued to Arda Holdings Limited to reserve for future grant and exercise of options under the 2010 Plan.</w:t>
      </w:r>
    </w:p>
    <w:p>
      <w:pPr>
        <w:spacing w:after="0" w:line="9" w:lineRule="exact"/>
        <w:rPr>
          <w:sz w:val="20"/>
          <w:szCs w:val="20"/>
          <w:color w:val="auto"/>
        </w:rPr>
      </w:pPr>
    </w:p>
    <w:p>
      <w:pPr>
        <w:ind w:left="460" w:right="160" w:hanging="452"/>
        <w:spacing w:after="0" w:line="250" w:lineRule="auto"/>
        <w:tabs>
          <w:tab w:leader="none" w:pos="46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ordinary shares were issued to Bondwa Enterprise Limited and Triwin Holdings Limited, then-shareholders of Buzzinate as share consideration for our acquisition of Buzzinate.</w:t>
      </w:r>
    </w:p>
    <w:p>
      <w:pPr>
        <w:spacing w:after="0" w:line="1" w:lineRule="exact"/>
        <w:rPr>
          <w:sz w:val="20"/>
          <w:szCs w:val="20"/>
          <w:color w:val="auto"/>
        </w:rPr>
      </w:pPr>
    </w:p>
    <w:p>
      <w:pPr>
        <w:ind w:left="460" w:right="40" w:hanging="452"/>
        <w:spacing w:after="0" w:line="261" w:lineRule="auto"/>
        <w:tabs>
          <w:tab w:leader="none" w:pos="46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ordinary shares were issued to Igomax Inc., Zaffre Investment, Inc., and BAI GmbH, then-shareholders of OptAim as share consideration for our acquisition of OptAim.</w:t>
      </w:r>
    </w:p>
    <w:p>
      <w:pPr>
        <w:spacing w:after="0" w:line="28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See Exhibit Index beginning on page II-7 of this registration statement.</w:t>
      </w:r>
    </w:p>
    <w:p>
      <w:pPr>
        <w:spacing w:after="0" w:line="225"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88" w:lineRule="exact"/>
        <w:rPr>
          <w:sz w:val="20"/>
          <w:szCs w:val="20"/>
          <w:color w:val="auto"/>
        </w:rPr>
      </w:pPr>
    </w:p>
    <w:p>
      <w:pPr>
        <w:jc w:val="both"/>
        <w:ind w:right="420" w:firstLine="456"/>
        <w:spacing w:after="0" w:line="266" w:lineRule="auto"/>
        <w:rPr>
          <w:sz w:val="20"/>
          <w:szCs w:val="20"/>
          <w:color w:val="auto"/>
        </w:rPr>
      </w:pPr>
      <w:r>
        <w:rPr>
          <w:rFonts w:ascii="Times New Roman" w:cs="Times New Roman" w:eastAsia="Times New Roman" w:hAnsi="Times New Roman"/>
          <w:sz w:val="18"/>
          <w:szCs w:val="18"/>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Financial Statement Schedules</w:t>
      </w:r>
    </w:p>
    <w:p>
      <w:pPr>
        <w:spacing w:after="0" w:line="121" w:lineRule="exact"/>
        <w:rPr>
          <w:sz w:val="20"/>
          <w:szCs w:val="20"/>
          <w:color w:val="auto"/>
        </w:rPr>
      </w:pPr>
    </w:p>
    <w:p>
      <w:pPr>
        <w:ind w:right="140" w:firstLine="456"/>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shown in the Consolidated Financial Statements and the Notes thereto.</w:t>
      </w:r>
    </w:p>
    <w:p>
      <w:pPr>
        <w:spacing w:after="0" w:line="26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121"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420"/>
          </w:cols>
          <w:pgMar w:left="240" w:top="456" w:right="239" w:bottom="1440" w:gutter="0" w:footer="0" w:header="0"/>
        </w:sectPr>
      </w:pPr>
    </w:p>
    <w:bookmarkStart w:id="377" w:name="page378"/>
    <w:bookmarkEnd w:id="3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225" w:lineRule="exact"/>
        <w:rPr>
          <w:sz w:val="20"/>
          <w:szCs w:val="20"/>
          <w:color w:val="auto"/>
        </w:rPr>
      </w:pPr>
    </w:p>
    <w:p>
      <w:pPr>
        <w:ind w:left="720" w:hanging="256"/>
        <w:spacing w:after="0"/>
        <w:tabs>
          <w:tab w:leader="none" w:pos="72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w:t>
      </w:r>
    </w:p>
    <w:p>
      <w:pPr>
        <w:spacing w:after="0" w:line="27" w:lineRule="exact"/>
        <w:rPr>
          <w:rFonts w:ascii="Times New Roman" w:cs="Times New Roman" w:eastAsia="Times New Roman" w:hAnsi="Times New Roman"/>
          <w:sz w:val="18"/>
          <w:szCs w:val="18"/>
          <w:color w:val="auto"/>
        </w:rPr>
      </w:pPr>
    </w:p>
    <w:p>
      <w:pPr>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in reliance upon Rule 430A and contained in a form of prospectus filed by the registrant under Rule 424(b)(1) or (4) or 497(h) under the Securities Act shall be deemed to be part of this registration statement as of the time it was declared effective.</w:t>
      </w:r>
    </w:p>
    <w:p>
      <w:pPr>
        <w:spacing w:after="0" w:line="179" w:lineRule="exact"/>
        <w:rPr>
          <w:rFonts w:ascii="Times New Roman" w:cs="Times New Roman" w:eastAsia="Times New Roman" w:hAnsi="Times New Roman"/>
          <w:sz w:val="18"/>
          <w:szCs w:val="18"/>
          <w:color w:val="auto"/>
        </w:rPr>
      </w:pPr>
    </w:p>
    <w:p>
      <w:pPr>
        <w:ind w:right="260" w:firstLine="464"/>
        <w:spacing w:after="0" w:line="266" w:lineRule="auto"/>
        <w:tabs>
          <w:tab w:leader="none" w:pos="711"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420"/>
          </w:cols>
          <w:pgMar w:left="240" w:top="455" w:right="239" w:bottom="1440" w:gutter="0" w:footer="0" w:header="0"/>
        </w:sectPr>
      </w:pPr>
    </w:p>
    <w:bookmarkStart w:id="378" w:name="page379"/>
    <w:bookmarkEnd w:id="3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firstLine="456"/>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w:t>
      </w: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in Hong Kong, on</w:t>
            </w:r>
          </w:p>
        </w:tc>
        <w:tc>
          <w:tcPr>
            <w:tcW w:w="5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2017.</w:t>
            </w:r>
          </w:p>
        </w:tc>
        <w:tc>
          <w:tcPr>
            <w:tcW w:w="3880" w:type="dxa"/>
            <w:vAlign w:val="bottom"/>
          </w:tcPr>
          <w:p>
            <w:pPr>
              <w:spacing w:after="0"/>
              <w:rPr>
                <w:sz w:val="20"/>
                <w:szCs w:val="20"/>
                <w:color w:val="auto"/>
              </w:rPr>
            </w:pPr>
          </w:p>
        </w:tc>
      </w:tr>
      <w:tr>
        <w:trPr>
          <w:trHeight w:val="441"/>
        </w:trPr>
        <w:tc>
          <w:tcPr>
            <w:tcW w:w="1700" w:type="dxa"/>
            <w:vAlign w:val="bottom"/>
          </w:tcPr>
          <w:p>
            <w:pPr>
              <w:spacing w:after="0"/>
              <w:rPr>
                <w:sz w:val="24"/>
                <w:szCs w:val="24"/>
                <w:color w:val="auto"/>
              </w:rPr>
            </w:pPr>
          </w:p>
        </w:tc>
        <w:tc>
          <w:tcPr>
            <w:tcW w:w="9720" w:type="dxa"/>
            <w:vAlign w:val="bottom"/>
            <w:gridSpan w:val="2"/>
          </w:tcPr>
          <w:p>
            <w:pPr>
              <w:ind w:left="51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tc>
      </w:tr>
      <w:tr>
        <w:trPr>
          <w:trHeight w:val="432"/>
        </w:trPr>
        <w:tc>
          <w:tcPr>
            <w:tcW w:w="1700" w:type="dxa"/>
            <w:vAlign w:val="bottom"/>
          </w:tcPr>
          <w:p>
            <w:pPr>
              <w:spacing w:after="0"/>
              <w:rPr>
                <w:sz w:val="24"/>
                <w:szCs w:val="24"/>
                <w:color w:val="auto"/>
              </w:rPr>
            </w:pPr>
          </w:p>
        </w:tc>
        <w:tc>
          <w:tcPr>
            <w:tcW w:w="584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spacing w:after="0"/>
              <w:rPr>
                <w:sz w:val="24"/>
                <w:szCs w:val="24"/>
                <w:color w:val="auto"/>
              </w:rPr>
            </w:pPr>
          </w:p>
        </w:tc>
      </w:tr>
      <w:tr>
        <w:trPr>
          <w:trHeight w:val="201"/>
        </w:trPr>
        <w:tc>
          <w:tcPr>
            <w:tcW w:w="1700" w:type="dxa"/>
            <w:vAlign w:val="bottom"/>
          </w:tcPr>
          <w:p>
            <w:pPr>
              <w:spacing w:after="0"/>
              <w:rPr>
                <w:sz w:val="17"/>
                <w:szCs w:val="17"/>
                <w:color w:val="auto"/>
              </w:rPr>
            </w:pPr>
          </w:p>
        </w:tc>
        <w:tc>
          <w:tcPr>
            <w:tcW w:w="5840" w:type="dxa"/>
            <w:vAlign w:val="bottom"/>
          </w:tcPr>
          <w:p>
            <w:pPr>
              <w:ind w:left="5160"/>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Wing Hong Sammy Hsieh</w:t>
            </w:r>
          </w:p>
        </w:tc>
      </w:tr>
      <w:tr>
        <w:trPr>
          <w:trHeight w:val="216"/>
        </w:trPr>
        <w:tc>
          <w:tcPr>
            <w:tcW w:w="1700" w:type="dxa"/>
            <w:vAlign w:val="bottom"/>
          </w:tcPr>
          <w:p>
            <w:pPr>
              <w:spacing w:after="0"/>
              <w:rPr>
                <w:sz w:val="18"/>
                <w:szCs w:val="18"/>
                <w:color w:val="auto"/>
              </w:rPr>
            </w:pPr>
          </w:p>
        </w:tc>
        <w:tc>
          <w:tcPr>
            <w:tcW w:w="5840" w:type="dxa"/>
            <w:vAlign w:val="bottom"/>
          </w:tcPr>
          <w:p>
            <w:pPr>
              <w:ind w:left="516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 and Chairman of the</w:t>
            </w:r>
          </w:p>
        </w:tc>
      </w:tr>
      <w:tr>
        <w:trPr>
          <w:trHeight w:val="238"/>
        </w:trPr>
        <w:tc>
          <w:tcPr>
            <w:tcW w:w="170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Board</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420"/>
          </w:cols>
          <w:pgMar w:left="240" w:top="455" w:right="239" w:bottom="1440" w:gutter="0" w:footer="0" w:header="0"/>
        </w:sectPr>
      </w:pPr>
    </w:p>
    <w:bookmarkStart w:id="379" w:name="page380"/>
    <w:bookmarkEnd w:id="3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each of Wing Hong Sammy Hsieh and Jie Jiao as attorneys-in-fact with full power of substitution, for him or her in any and all capacities, to do any and all acts and all things and to execute any and all instruments which said attorney and agent may deem necessary or desirable to enable the registrant to comply with the Securities Act of 1933, as amended (the “Securities Act”), and any rules, regulations and requirements of the Securities and Exchange Commission thereunder, in connection with the registration under the Securities Act of ordinary shares of the registrant (the “Shares”), including, without limitation, the power and authority to sign the name of each of the undersigned in the capacities indicated below to the Registration Statement on Form F-1 to be filed with the Securities and Exchange Commission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spacing w:after="0" w:line="193"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p>
      <w:pPr>
        <w:ind w:left="2240"/>
        <w:spacing w:after="0"/>
        <w:tabs>
          <w:tab w:leader="none" w:pos="6980" w:val="left"/>
          <w:tab w:leader="none" w:pos="1020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Borders>
              <w:bottom w:val="single" w:sz="8" w:color="auto"/>
            </w:tcBorders>
          </w:tcPr>
          <w:p>
            <w:pPr>
              <w:spacing w:after="0"/>
              <w:rPr>
                <w:sz w:val="20"/>
                <w:szCs w:val="20"/>
                <w:color w:val="auto"/>
              </w:rPr>
            </w:pPr>
          </w:p>
        </w:tc>
        <w:tc>
          <w:tcPr>
            <w:tcW w:w="39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Chief Executive Officer and Executive Chairman of</w:t>
            </w:r>
          </w:p>
        </w:tc>
      </w:tr>
      <w:tr>
        <w:trPr>
          <w:trHeight w:val="178"/>
        </w:trPr>
        <w:tc>
          <w:tcPr>
            <w:tcW w:w="508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w w:val="98"/>
              </w:rPr>
              <w:t>Wing Hong Sammy Hsieh</w:t>
            </w:r>
          </w:p>
        </w:tc>
        <w:tc>
          <w:tcPr>
            <w:tcW w:w="3960" w:type="dxa"/>
            <w:vAlign w:val="bottom"/>
          </w:tcPr>
          <w:p>
            <w:pPr>
              <w:jc w:val="center"/>
              <w:ind w:left="90"/>
              <w:spacing w:after="0" w:line="178" w:lineRule="exact"/>
              <w:rPr>
                <w:sz w:val="20"/>
                <w:szCs w:val="20"/>
                <w:color w:val="auto"/>
              </w:rPr>
            </w:pPr>
            <w:r>
              <w:rPr>
                <w:rFonts w:ascii="Times New Roman" w:cs="Times New Roman" w:eastAsia="Times New Roman" w:hAnsi="Times New Roman"/>
                <w:sz w:val="18"/>
                <w:szCs w:val="18"/>
                <w:color w:val="auto"/>
                <w:w w:val="99"/>
              </w:rPr>
              <w:t>the Board</w:t>
            </w:r>
          </w:p>
        </w:tc>
      </w:tr>
      <w:tr>
        <w:trPr>
          <w:trHeight w:val="234"/>
        </w:trPr>
        <w:tc>
          <w:tcPr>
            <w:tcW w:w="5080" w:type="dxa"/>
            <w:vAlign w:val="bottom"/>
          </w:tcPr>
          <w:p>
            <w:pPr>
              <w:spacing w:after="0"/>
              <w:rPr>
                <w:sz w:val="20"/>
                <w:szCs w:val="20"/>
                <w:color w:val="auto"/>
              </w:rPr>
            </w:pPr>
          </w:p>
        </w:tc>
        <w:tc>
          <w:tcPr>
            <w:tcW w:w="39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38"/>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28"/>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Jie Jiao</w:t>
            </w:r>
          </w:p>
        </w:tc>
        <w:tc>
          <w:tcPr>
            <w:tcW w:w="39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(principal financial and principal accounting officer)</w:t>
            </w:r>
          </w:p>
        </w:tc>
      </w:tr>
      <w:tr>
        <w:trPr>
          <w:trHeight w:val="319"/>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Jian Tang</w:t>
            </w:r>
          </w:p>
        </w:tc>
        <w:tc>
          <w:tcPr>
            <w:tcW w:w="3960" w:type="dxa"/>
            <w:vAlign w:val="bottom"/>
          </w:tcPr>
          <w:p>
            <w:pPr>
              <w:spacing w:after="0"/>
              <w:rPr>
                <w:sz w:val="19"/>
                <w:szCs w:val="19"/>
                <w:color w:val="auto"/>
              </w:rPr>
            </w:pPr>
          </w:p>
        </w:tc>
      </w:tr>
      <w:tr>
        <w:trPr>
          <w:trHeight w:val="319"/>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Yau Ping Ricky Ng</w:t>
            </w:r>
          </w:p>
        </w:tc>
        <w:tc>
          <w:tcPr>
            <w:tcW w:w="3960" w:type="dxa"/>
            <w:vAlign w:val="bottom"/>
          </w:tcPr>
          <w:p>
            <w:pPr>
              <w:spacing w:after="0"/>
              <w:rPr>
                <w:sz w:val="19"/>
                <w:szCs w:val="19"/>
                <w:color w:val="auto"/>
              </w:rPr>
            </w:pPr>
          </w:p>
        </w:tc>
      </w:tr>
      <w:tr>
        <w:trPr>
          <w:trHeight w:val="319"/>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Francis Hun Ming Wong</w:t>
            </w:r>
          </w:p>
        </w:tc>
        <w:tc>
          <w:tcPr>
            <w:tcW w:w="3960" w:type="dxa"/>
            <w:vAlign w:val="bottom"/>
          </w:tcPr>
          <w:p>
            <w:pPr>
              <w:spacing w:after="0"/>
              <w:rPr>
                <w:sz w:val="19"/>
                <w:szCs w:val="19"/>
                <w:color w:val="auto"/>
              </w:rPr>
            </w:pPr>
          </w:p>
        </w:tc>
      </w:tr>
      <w:tr>
        <w:trPr>
          <w:trHeight w:val="319"/>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Yu Long</w:t>
            </w:r>
          </w:p>
        </w:tc>
        <w:tc>
          <w:tcPr>
            <w:tcW w:w="3960" w:type="dxa"/>
            <w:vAlign w:val="bottom"/>
          </w:tcPr>
          <w:p>
            <w:pPr>
              <w:spacing w:after="0"/>
              <w:rPr>
                <w:sz w:val="19"/>
                <w:szCs w:val="19"/>
                <w:color w:val="auto"/>
              </w:rPr>
            </w:pPr>
          </w:p>
        </w:tc>
      </w:tr>
      <w:tr>
        <w:trPr>
          <w:trHeight w:val="319"/>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Antares Au</w:t>
            </w:r>
          </w:p>
        </w:tc>
        <w:tc>
          <w:tcPr>
            <w:tcW w:w="3960" w:type="dxa"/>
            <w:vAlign w:val="bottom"/>
          </w:tcPr>
          <w:p>
            <w:pPr>
              <w:spacing w:after="0"/>
              <w:rPr>
                <w:sz w:val="19"/>
                <w:szCs w:val="19"/>
                <w:color w:val="auto"/>
              </w:rPr>
            </w:pPr>
          </w:p>
        </w:tc>
      </w:tr>
      <w:tr>
        <w:trPr>
          <w:trHeight w:val="319"/>
        </w:trPr>
        <w:tc>
          <w:tcPr>
            <w:tcW w:w="5080" w:type="dxa"/>
            <w:vAlign w:val="bottom"/>
            <w:tcBorders>
              <w:bottom w:val="single" w:sz="8" w:color="auto"/>
            </w:tcBorders>
          </w:tcPr>
          <w:p>
            <w:pPr>
              <w:spacing w:after="0"/>
              <w:rPr>
                <w:sz w:val="24"/>
                <w:szCs w:val="24"/>
                <w:color w:val="auto"/>
              </w:rPr>
            </w:pPr>
          </w:p>
        </w:tc>
        <w:tc>
          <w:tcPr>
            <w:tcW w:w="39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5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Anmin Pan</w:t>
            </w:r>
          </w:p>
        </w:tc>
        <w:tc>
          <w:tcPr>
            <w:tcW w:w="3960" w:type="dxa"/>
            <w:vAlign w:val="bottom"/>
          </w:tcPr>
          <w:p>
            <w:pPr>
              <w:spacing w:after="0"/>
              <w:rPr>
                <w:sz w:val="19"/>
                <w:szCs w:val="19"/>
                <w:color w:val="auto"/>
              </w:rPr>
            </w:pPr>
          </w:p>
        </w:tc>
      </w:tr>
      <w:tr>
        <w:trPr>
          <w:trHeight w:val="360"/>
        </w:trPr>
        <w:tc>
          <w:tcPr>
            <w:tcW w:w="5080" w:type="dxa"/>
            <w:vAlign w:val="bottom"/>
          </w:tcPr>
          <w:p>
            <w:pPr>
              <w:spacing w:after="0"/>
              <w:rPr>
                <w:sz w:val="24"/>
                <w:szCs w:val="24"/>
                <w:color w:val="auto"/>
              </w:rPr>
            </w:pPr>
          </w:p>
        </w:tc>
        <w:tc>
          <w:tcPr>
            <w:tcW w:w="3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II-5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ind w:left="90" w:hanging="90"/>
        <w:spacing w:after="0"/>
        <w:tabs>
          <w:tab w:leader="none" w:pos="9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2017</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90" w:hanging="90"/>
        <w:spacing w:after="0"/>
        <w:tabs>
          <w:tab w:leader="none" w:pos="9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2017</w:t>
      </w:r>
    </w:p>
    <w:p>
      <w:pPr>
        <w:spacing w:after="0" w:line="360" w:lineRule="exact"/>
        <w:rPr>
          <w:rFonts w:ascii="Times New Roman" w:cs="Times New Roman" w:eastAsia="Times New Roman" w:hAnsi="Times New Roman"/>
          <w:sz w:val="18"/>
          <w:szCs w:val="18"/>
          <w:color w:val="auto"/>
        </w:rPr>
      </w:pPr>
    </w:p>
    <w:p>
      <w:pPr>
        <w:ind w:left="90" w:hanging="90"/>
        <w:spacing w:after="0"/>
        <w:tabs>
          <w:tab w:leader="none" w:pos="9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2017</w:t>
      </w:r>
    </w:p>
    <w:p>
      <w:pPr>
        <w:spacing w:after="0" w:line="360" w:lineRule="exact"/>
        <w:rPr>
          <w:rFonts w:ascii="Times New Roman" w:cs="Times New Roman" w:eastAsia="Times New Roman" w:hAnsi="Times New Roman"/>
          <w:sz w:val="18"/>
          <w:szCs w:val="18"/>
          <w:color w:val="auto"/>
        </w:rPr>
      </w:pPr>
    </w:p>
    <w:p>
      <w:pPr>
        <w:ind w:left="90" w:hanging="90"/>
        <w:spacing w:after="0"/>
        <w:tabs>
          <w:tab w:leader="none" w:pos="9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2017</w:t>
      </w:r>
    </w:p>
    <w:p>
      <w:pPr>
        <w:spacing w:after="0" w:line="360" w:lineRule="exact"/>
        <w:rPr>
          <w:rFonts w:ascii="Times New Roman" w:cs="Times New Roman" w:eastAsia="Times New Roman" w:hAnsi="Times New Roman"/>
          <w:sz w:val="18"/>
          <w:szCs w:val="18"/>
          <w:color w:val="auto"/>
        </w:rPr>
      </w:pPr>
    </w:p>
    <w:p>
      <w:pPr>
        <w:ind w:left="90" w:hanging="90"/>
        <w:spacing w:after="0"/>
        <w:tabs>
          <w:tab w:leader="none" w:pos="9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2017</w:t>
      </w:r>
    </w:p>
    <w:p>
      <w:pPr>
        <w:spacing w:after="0" w:line="360" w:lineRule="exact"/>
        <w:rPr>
          <w:rFonts w:ascii="Times New Roman" w:cs="Times New Roman" w:eastAsia="Times New Roman" w:hAnsi="Times New Roman"/>
          <w:sz w:val="18"/>
          <w:szCs w:val="18"/>
          <w:color w:val="auto"/>
        </w:rPr>
      </w:pPr>
    </w:p>
    <w:p>
      <w:pPr>
        <w:ind w:left="90" w:hanging="90"/>
        <w:spacing w:after="0"/>
        <w:tabs>
          <w:tab w:leader="none" w:pos="9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2017</w:t>
      </w:r>
    </w:p>
    <w:p>
      <w:pPr>
        <w:spacing w:after="0" w:line="360" w:lineRule="exact"/>
        <w:rPr>
          <w:rFonts w:ascii="Times New Roman" w:cs="Times New Roman" w:eastAsia="Times New Roman" w:hAnsi="Times New Roman"/>
          <w:sz w:val="18"/>
          <w:szCs w:val="18"/>
          <w:color w:val="auto"/>
        </w:rPr>
      </w:pPr>
    </w:p>
    <w:p>
      <w:pPr>
        <w:ind w:left="90" w:hanging="90"/>
        <w:spacing w:after="0"/>
        <w:tabs>
          <w:tab w:leader="none" w:pos="9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2017</w:t>
      </w:r>
    </w:p>
    <w:p>
      <w:pPr>
        <w:spacing w:after="0" w:line="360" w:lineRule="exact"/>
        <w:rPr>
          <w:rFonts w:ascii="Times New Roman" w:cs="Times New Roman" w:eastAsia="Times New Roman" w:hAnsi="Times New Roman"/>
          <w:sz w:val="18"/>
          <w:szCs w:val="18"/>
          <w:color w:val="auto"/>
        </w:rPr>
      </w:pPr>
    </w:p>
    <w:p>
      <w:pPr>
        <w:ind w:left="90" w:hanging="90"/>
        <w:spacing w:after="0"/>
        <w:tabs>
          <w:tab w:leader="none" w:pos="9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2017</w:t>
      </w:r>
    </w:p>
    <w:p>
      <w:pPr>
        <w:sectPr>
          <w:pgSz w:w="11900" w:h="16838" w:orient="portrait"/>
          <w:cols w:equalWidth="0" w:num="2">
            <w:col w:w="10250" w:space="720"/>
            <w:col w:w="450"/>
          </w:cols>
          <w:pgMar w:left="240" w:top="455" w:right="239" w:bottom="1440" w:gutter="0" w:footer="0" w:header="0"/>
          <w:type w:val="continuous"/>
        </w:sectPr>
      </w:pPr>
    </w:p>
    <w:bookmarkStart w:id="380" w:name="page381"/>
    <w:bookmarkEnd w:id="3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iClick Interactive Asia Group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Limited, has signed this registration statement or amendment thereto in the</w:t>
            </w:r>
          </w:p>
        </w:tc>
        <w:tc>
          <w:tcPr>
            <w:tcW w:w="1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on</w:t>
            </w:r>
          </w:p>
        </w:tc>
        <w:tc>
          <w:tcPr>
            <w:tcW w:w="1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2017.</w:t>
            </w:r>
          </w:p>
        </w:tc>
        <w:tc>
          <w:tcPr>
            <w:tcW w:w="3340" w:type="dxa"/>
            <w:vAlign w:val="bottom"/>
          </w:tcPr>
          <w:p>
            <w:pPr>
              <w:spacing w:after="0"/>
              <w:rPr>
                <w:sz w:val="20"/>
                <w:szCs w:val="20"/>
                <w:color w:val="auto"/>
              </w:rPr>
            </w:pPr>
          </w:p>
        </w:tc>
      </w:tr>
      <w:tr>
        <w:trPr>
          <w:trHeight w:val="441"/>
        </w:trPr>
        <w:tc>
          <w:tcPr>
            <w:tcW w:w="5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tc>
      </w:tr>
      <w:tr>
        <w:trPr>
          <w:trHeight w:val="473"/>
        </w:trPr>
        <w:tc>
          <w:tcPr>
            <w:tcW w:w="5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5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ind w:left="2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340" w:type="dxa"/>
            <w:vAlign w:val="bottom"/>
            <w:tcBorders>
              <w:top w:val="single" w:sz="8" w:color="auto"/>
            </w:tcBorders>
          </w:tcPr>
          <w:p>
            <w:pPr>
              <w:spacing w:after="0"/>
              <w:rPr>
                <w:sz w:val="17"/>
                <w:szCs w:val="17"/>
                <w:color w:val="auto"/>
              </w:rPr>
            </w:pPr>
          </w:p>
        </w:tc>
      </w:tr>
      <w:tr>
        <w:trPr>
          <w:trHeight w:val="234"/>
        </w:trPr>
        <w:tc>
          <w:tcPr>
            <w:tcW w:w="5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Title:</w:t>
            </w:r>
          </w:p>
        </w:tc>
      </w:tr>
      <w:tr>
        <w:trPr>
          <w:trHeight w:val="365"/>
        </w:trPr>
        <w:tc>
          <w:tcPr>
            <w:tcW w:w="5500" w:type="dxa"/>
            <w:vAlign w:val="bottom"/>
          </w:tcPr>
          <w:p>
            <w:pPr>
              <w:spacing w:after="0"/>
              <w:rPr>
                <w:sz w:val="24"/>
                <w:szCs w:val="24"/>
                <w:color w:val="auto"/>
              </w:rPr>
            </w:pPr>
          </w:p>
        </w:tc>
        <w:tc>
          <w:tcPr>
            <w:tcW w:w="1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II-6</w:t>
            </w:r>
          </w:p>
        </w:tc>
        <w:tc>
          <w:tcPr>
            <w:tcW w:w="1460" w:type="dxa"/>
            <w:vAlign w:val="bottom"/>
          </w:tcPr>
          <w:p>
            <w:pPr>
              <w:spacing w:after="0"/>
              <w:rPr>
                <w:sz w:val="24"/>
                <w:szCs w:val="24"/>
                <w:color w:val="auto"/>
              </w:rPr>
            </w:pPr>
          </w:p>
        </w:tc>
        <w:tc>
          <w:tcPr>
            <w:tcW w:w="334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381" w:name="page382"/>
    <w:bookmarkEnd w:id="38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420" w:type="dxa"/>
            <w:vAlign w:val="bottom"/>
            <w:gridSpan w:val="3"/>
          </w:tcPr>
          <w:p>
            <w:pPr>
              <w:spacing w:after="0"/>
              <w:rPr>
                <w:rFonts w:ascii="Times New Roman" w:cs="Times New Roman" w:eastAsia="Times New Roman" w:hAnsi="Times New Roman"/>
                <w:sz w:val="18"/>
                <w:szCs w:val="18"/>
                <w:b w:val="1"/>
                <w:bCs w:val="1"/>
                <w:color w:val="0000EE"/>
              </w:rPr>
            </w:pPr>
            <w:hyperlink w:anchor="page5">
              <w:r>
                <w:rPr>
                  <w:rFonts w:ascii="Times New Roman" w:cs="Times New Roman" w:eastAsia="Times New Roman" w:hAnsi="Times New Roman"/>
                  <w:sz w:val="18"/>
                  <w:szCs w:val="18"/>
                  <w:b w:val="1"/>
                  <w:bCs w:val="1"/>
                  <w:color w:val="0000EE"/>
                </w:rPr>
                <w:t>Table of Contents</w:t>
              </w:r>
            </w:hyperlink>
          </w:p>
        </w:tc>
        <w:tc>
          <w:tcPr>
            <w:tcW w:w="6740" w:type="dxa"/>
            <w:vAlign w:val="bottom"/>
          </w:tcPr>
          <w:p>
            <w:pPr>
              <w:spacing w:after="0"/>
              <w:rPr>
                <w:sz w:val="17"/>
                <w:szCs w:val="17"/>
                <w:color w:val="auto"/>
              </w:rPr>
            </w:pPr>
          </w:p>
        </w:tc>
      </w:tr>
      <w:tr>
        <w:trPr>
          <w:trHeight w:val="534"/>
        </w:trPr>
        <w:tc>
          <w:tcPr>
            <w:tcW w:w="8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060" w:type="dxa"/>
            <w:vAlign w:val="bottom"/>
          </w:tcPr>
          <w:p>
            <w:pPr>
              <w:spacing w:after="0"/>
              <w:rPr>
                <w:sz w:val="24"/>
                <w:szCs w:val="24"/>
                <w:color w:val="auto"/>
              </w:rPr>
            </w:pPr>
          </w:p>
        </w:tc>
        <w:tc>
          <w:tcPr>
            <w:tcW w:w="674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67"/>
        </w:trPr>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1.1*</w:t>
            </w:r>
          </w:p>
        </w:tc>
        <w:tc>
          <w:tcPr>
            <w:tcW w:w="3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6740" w:type="dxa"/>
            <w:vAlign w:val="bottom"/>
          </w:tcPr>
          <w:p>
            <w:pPr>
              <w:spacing w:after="0"/>
              <w:rPr>
                <w:sz w:val="24"/>
                <w:szCs w:val="24"/>
                <w:color w:val="auto"/>
              </w:rPr>
            </w:pPr>
          </w:p>
        </w:tc>
      </w:tr>
      <w:tr>
        <w:trPr>
          <w:trHeight w:val="324"/>
        </w:trPr>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c>
          <w:tcPr>
            <w:tcW w:w="10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Seventh Amended and Restated Memorandum and Articles of Association of the Registrant, as currently in effect</w:t>
            </w:r>
          </w:p>
        </w:tc>
      </w:tr>
      <w:tr>
        <w:trPr>
          <w:trHeight w:val="324"/>
        </w:trPr>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c>
          <w:tcPr>
            <w:tcW w:w="10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Eighth Amended and Restated Memorandum and Articles of Association of the Registrant, effective upon completion of this offering</w:t>
            </w:r>
          </w:p>
        </w:tc>
      </w:tr>
      <w:tr>
        <w:trPr>
          <w:trHeight w:val="324"/>
        </w:trPr>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4.1*</w:t>
            </w:r>
          </w:p>
        </w:tc>
        <w:tc>
          <w:tcPr>
            <w:tcW w:w="10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Registrant’s Specimen American Depositary Receipt (included in Exhibit 4.3)</w:t>
            </w:r>
          </w:p>
        </w:tc>
      </w:tr>
      <w:tr>
        <w:trPr>
          <w:trHeight w:val="324"/>
        </w:trPr>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4.2*</w:t>
            </w:r>
          </w:p>
        </w:tc>
        <w:tc>
          <w:tcPr>
            <w:tcW w:w="10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Registrant’s Specimen Certificate for Class A Ordinary Shares</w:t>
            </w:r>
          </w:p>
        </w:tc>
      </w:tr>
      <w:tr>
        <w:trPr>
          <w:trHeight w:val="306"/>
        </w:trPr>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4.3*</w:t>
            </w:r>
          </w:p>
        </w:tc>
        <w:tc>
          <w:tcPr>
            <w:tcW w:w="3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Form of Deposit Agreement, dated as of</w:t>
            </w:r>
          </w:p>
        </w:tc>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2017 among the Registrant, the Depositary and Beneficial Owners of the American</w:t>
            </w:r>
          </w:p>
        </w:tc>
      </w:tr>
      <w:tr>
        <w:trPr>
          <w:trHeight w:val="234"/>
        </w:trPr>
        <w:tc>
          <w:tcPr>
            <w:tcW w:w="820" w:type="dxa"/>
            <w:vAlign w:val="bottom"/>
          </w:tcPr>
          <w:p>
            <w:pPr>
              <w:spacing w:after="0"/>
              <w:rPr>
                <w:sz w:val="20"/>
                <w:szCs w:val="20"/>
                <w:color w:val="auto"/>
              </w:rPr>
            </w:pPr>
          </w:p>
        </w:tc>
        <w:tc>
          <w:tcPr>
            <w:tcW w:w="3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Depositary Receipts</w:t>
            </w:r>
          </w:p>
        </w:tc>
        <w:tc>
          <w:tcPr>
            <w:tcW w:w="6740" w:type="dxa"/>
            <w:vAlign w:val="bottom"/>
          </w:tcPr>
          <w:p>
            <w:pPr>
              <w:spacing w:after="0"/>
              <w:rPr>
                <w:sz w:val="20"/>
                <w:szCs w:val="20"/>
                <w:color w:val="auto"/>
              </w:rPr>
            </w:pPr>
          </w:p>
        </w:tc>
      </w:tr>
      <w:tr>
        <w:trPr>
          <w:trHeight w:val="306"/>
        </w:trPr>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5.1*</w:t>
            </w:r>
          </w:p>
        </w:tc>
        <w:tc>
          <w:tcPr>
            <w:tcW w:w="10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Opinion of Travers Thorp Alberga Attorneys at Law regarding the validity of the ordinary shares being registered and certain other legal</w:t>
            </w:r>
          </w:p>
        </w:tc>
      </w:tr>
      <w:tr>
        <w:trPr>
          <w:trHeight w:val="234"/>
        </w:trPr>
        <w:tc>
          <w:tcPr>
            <w:tcW w:w="820" w:type="dxa"/>
            <w:vAlign w:val="bottom"/>
          </w:tcPr>
          <w:p>
            <w:pPr>
              <w:spacing w:after="0"/>
              <w:rPr>
                <w:sz w:val="20"/>
                <w:szCs w:val="20"/>
                <w:color w:val="auto"/>
              </w:rPr>
            </w:pPr>
          </w:p>
        </w:tc>
        <w:tc>
          <w:tcPr>
            <w:tcW w:w="3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matters</w:t>
            </w:r>
          </w:p>
        </w:tc>
        <w:tc>
          <w:tcPr>
            <w:tcW w:w="6740" w:type="dxa"/>
            <w:vAlign w:val="bottom"/>
          </w:tcPr>
          <w:p>
            <w:pPr>
              <w:spacing w:after="0"/>
              <w:rPr>
                <w:sz w:val="20"/>
                <w:szCs w:val="20"/>
                <w:color w:val="auto"/>
              </w:rPr>
            </w:pPr>
          </w:p>
        </w:tc>
      </w:tr>
      <w:tr>
        <w:trPr>
          <w:trHeight w:val="324"/>
        </w:trPr>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8.1*</w:t>
            </w:r>
          </w:p>
        </w:tc>
        <w:tc>
          <w:tcPr>
            <w:tcW w:w="10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Opinion of Travers Thorp Alberga Attorneys at Law regarding certain Cayman Islands tax matters</w:t>
            </w:r>
          </w:p>
        </w:tc>
      </w:tr>
      <w:tr>
        <w:trPr>
          <w:trHeight w:val="324"/>
        </w:trPr>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8.2†</w:t>
            </w:r>
          </w:p>
        </w:tc>
        <w:tc>
          <w:tcPr>
            <w:tcW w:w="10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Opinion of Jingtian &amp; Gongcheng regarding certain PRC tax matters (included in Exhibit 99.2)</w:t>
            </w:r>
          </w:p>
        </w:tc>
      </w:tr>
      <w:tr>
        <w:trPr>
          <w:trHeight w:val="324"/>
        </w:trPr>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8"/>
              </w:rPr>
              <w:t>10.1†</w:t>
            </w:r>
          </w:p>
        </w:tc>
        <w:tc>
          <w:tcPr>
            <w:tcW w:w="10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Series E Share Subscription Agreement dated December 19, 2016</w:t>
            </w:r>
          </w:p>
        </w:tc>
      </w:tr>
      <w:tr>
        <w:trPr>
          <w:trHeight w:val="324"/>
        </w:trPr>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8"/>
              </w:rPr>
              <w:t>10.2†</w:t>
            </w:r>
          </w:p>
        </w:tc>
        <w:tc>
          <w:tcPr>
            <w:tcW w:w="10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Fourth Amended and Restated Shareholders Agreement dated December 28, 2016</w:t>
            </w:r>
          </w:p>
        </w:tc>
      </w:tr>
      <w:tr>
        <w:trPr>
          <w:trHeight w:val="306"/>
        </w:trPr>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8"/>
              </w:rPr>
              <w:t>10.3†</w:t>
            </w:r>
          </w:p>
        </w:tc>
        <w:tc>
          <w:tcPr>
            <w:tcW w:w="10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English translation of Exclusive Business Cooperation Agreement between OptAim Beijing, OptAim Network and Zhiyunzhong dated</w:t>
            </w:r>
          </w:p>
        </w:tc>
      </w:tr>
      <w:tr>
        <w:trPr>
          <w:trHeight w:val="234"/>
        </w:trPr>
        <w:tc>
          <w:tcPr>
            <w:tcW w:w="820" w:type="dxa"/>
            <w:vAlign w:val="bottom"/>
          </w:tcPr>
          <w:p>
            <w:pPr>
              <w:spacing w:after="0"/>
              <w:rPr>
                <w:sz w:val="20"/>
                <w:szCs w:val="20"/>
                <w:color w:val="auto"/>
              </w:rPr>
            </w:pPr>
          </w:p>
        </w:tc>
        <w:tc>
          <w:tcPr>
            <w:tcW w:w="3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January 16, 2015</w:t>
            </w:r>
          </w:p>
        </w:tc>
        <w:tc>
          <w:tcPr>
            <w:tcW w:w="6740" w:type="dxa"/>
            <w:vAlign w:val="bottom"/>
          </w:tcPr>
          <w:p>
            <w:pPr>
              <w:spacing w:after="0"/>
              <w:rPr>
                <w:sz w:val="20"/>
                <w:szCs w:val="20"/>
                <w:color w:val="auto"/>
              </w:rPr>
            </w:pPr>
          </w:p>
        </w:tc>
      </w:tr>
      <w:tr>
        <w:trPr>
          <w:trHeight w:val="306"/>
        </w:trPr>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8"/>
              </w:rPr>
              <w:t>10.4†</w:t>
            </w:r>
          </w:p>
        </w:tc>
        <w:tc>
          <w:tcPr>
            <w:tcW w:w="10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9"/>
              </w:rPr>
              <w:t>English translation of Second Amended and Restated Exclusive Call Option Agreement among OptAim Beijing, OptAim Network and the</w:t>
            </w:r>
          </w:p>
        </w:tc>
      </w:tr>
      <w:tr>
        <w:trPr>
          <w:trHeight w:val="234"/>
        </w:trPr>
        <w:tc>
          <w:tcPr>
            <w:tcW w:w="820" w:type="dxa"/>
            <w:vAlign w:val="bottom"/>
          </w:tcPr>
          <w:p>
            <w:pPr>
              <w:spacing w:after="0"/>
              <w:rPr>
                <w:sz w:val="20"/>
                <w:szCs w:val="20"/>
                <w:color w:val="auto"/>
              </w:rPr>
            </w:pPr>
          </w:p>
        </w:tc>
        <w:tc>
          <w:tcPr>
            <w:tcW w:w="10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shareholders of OptAim Network dated May 26, 2017</w:t>
            </w:r>
          </w:p>
        </w:tc>
      </w:tr>
      <w:tr>
        <w:trPr>
          <w:trHeight w:val="306"/>
        </w:trPr>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8"/>
              </w:rPr>
              <w:t>10.5†</w:t>
            </w:r>
          </w:p>
        </w:tc>
        <w:tc>
          <w:tcPr>
            <w:tcW w:w="10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English translation of Second Amended and Restated Equity Pledge Agreement among OptAim Beijing, OptAim Network and the</w:t>
            </w:r>
          </w:p>
        </w:tc>
      </w:tr>
      <w:tr>
        <w:trPr>
          <w:trHeight w:val="234"/>
        </w:trPr>
        <w:tc>
          <w:tcPr>
            <w:tcW w:w="820" w:type="dxa"/>
            <w:vAlign w:val="bottom"/>
          </w:tcPr>
          <w:p>
            <w:pPr>
              <w:spacing w:after="0"/>
              <w:rPr>
                <w:sz w:val="20"/>
                <w:szCs w:val="20"/>
                <w:color w:val="auto"/>
              </w:rPr>
            </w:pPr>
          </w:p>
        </w:tc>
        <w:tc>
          <w:tcPr>
            <w:tcW w:w="10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shareholders of OptAim Network dated May 26, 2017</w:t>
            </w:r>
          </w:p>
        </w:tc>
      </w:tr>
      <w:tr>
        <w:trPr>
          <w:trHeight w:val="324"/>
        </w:trPr>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8"/>
              </w:rPr>
              <w:t>10.6†</w:t>
            </w:r>
          </w:p>
        </w:tc>
        <w:tc>
          <w:tcPr>
            <w:tcW w:w="10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English translation of Irrevocable Powers of Attorney granted by the Jian Tang and Jie Jiao dated May 26, 2017</w:t>
            </w:r>
          </w:p>
        </w:tc>
      </w:tr>
      <w:tr>
        <w:trPr>
          <w:trHeight w:val="324"/>
        </w:trPr>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8"/>
              </w:rPr>
              <w:t>10.7†</w:t>
            </w:r>
          </w:p>
        </w:tc>
        <w:tc>
          <w:tcPr>
            <w:tcW w:w="10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English translation of Spousal Consents granted by Xinyu Fan dated May 26, 2017</w:t>
            </w:r>
          </w:p>
        </w:tc>
      </w:tr>
      <w:tr>
        <w:trPr>
          <w:trHeight w:val="324"/>
        </w:trPr>
        <w:tc>
          <w:tcPr>
            <w:tcW w:w="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5"/>
              </w:rPr>
              <w:t>10.8</w:t>
            </w:r>
          </w:p>
        </w:tc>
        <w:tc>
          <w:tcPr>
            <w:tcW w:w="10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2010 Share Option Incentive Scheme of the Registrant</w:t>
            </w:r>
          </w:p>
        </w:tc>
      </w:tr>
      <w:tr>
        <w:trPr>
          <w:trHeight w:val="324"/>
        </w:trPr>
        <w:tc>
          <w:tcPr>
            <w:tcW w:w="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95"/>
              </w:rPr>
              <w:t>10.9</w:t>
            </w:r>
          </w:p>
        </w:tc>
        <w:tc>
          <w:tcPr>
            <w:tcW w:w="10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Form of Indemnification Agreement with Executive Officers and Directors</w:t>
            </w:r>
          </w:p>
        </w:tc>
      </w:tr>
      <w:tr>
        <w:trPr>
          <w:trHeight w:val="324"/>
        </w:trPr>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6"/>
              </w:rPr>
              <w:t>10.10†</w:t>
            </w:r>
          </w:p>
        </w:tc>
        <w:tc>
          <w:tcPr>
            <w:tcW w:w="10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Form of Employment Agreement and One Way Non-disclosure Agreement with Executive Officers</w:t>
            </w:r>
          </w:p>
        </w:tc>
      </w:tr>
      <w:tr>
        <w:trPr>
          <w:trHeight w:val="324"/>
        </w:trPr>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96"/>
              </w:rPr>
              <w:t>10.11*</w:t>
            </w:r>
          </w:p>
        </w:tc>
        <w:tc>
          <w:tcPr>
            <w:tcW w:w="3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2017 Share Incentive Plan</w:t>
            </w:r>
          </w:p>
        </w:tc>
        <w:tc>
          <w:tcPr>
            <w:tcW w:w="6740" w:type="dxa"/>
            <w:vAlign w:val="bottom"/>
          </w:tcPr>
          <w:p>
            <w:pPr>
              <w:spacing w:after="0"/>
              <w:rPr>
                <w:sz w:val="24"/>
                <w:szCs w:val="24"/>
                <w:color w:val="auto"/>
              </w:rPr>
            </w:pPr>
          </w:p>
        </w:tc>
      </w:tr>
      <w:tr>
        <w:trPr>
          <w:trHeight w:val="324"/>
        </w:trPr>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8"/>
              </w:rPr>
              <w:t>21.1†</w:t>
            </w:r>
          </w:p>
        </w:tc>
        <w:tc>
          <w:tcPr>
            <w:tcW w:w="3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List of Subsidiaries of the Registrant</w:t>
            </w:r>
          </w:p>
        </w:tc>
        <w:tc>
          <w:tcPr>
            <w:tcW w:w="6740" w:type="dxa"/>
            <w:vAlign w:val="bottom"/>
          </w:tcPr>
          <w:p>
            <w:pPr>
              <w:spacing w:after="0"/>
              <w:rPr>
                <w:sz w:val="24"/>
                <w:szCs w:val="24"/>
                <w:color w:val="auto"/>
              </w:rPr>
            </w:pPr>
          </w:p>
        </w:tc>
      </w:tr>
      <w:tr>
        <w:trPr>
          <w:trHeight w:val="324"/>
        </w:trPr>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8"/>
              </w:rPr>
              <w:t>23.1*</w:t>
            </w:r>
          </w:p>
        </w:tc>
        <w:tc>
          <w:tcPr>
            <w:tcW w:w="3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Consent of PricewaterhouseCoopers</w:t>
            </w:r>
          </w:p>
        </w:tc>
        <w:tc>
          <w:tcPr>
            <w:tcW w:w="6740" w:type="dxa"/>
            <w:vAlign w:val="bottom"/>
          </w:tcPr>
          <w:p>
            <w:pPr>
              <w:spacing w:after="0"/>
              <w:rPr>
                <w:sz w:val="24"/>
                <w:szCs w:val="24"/>
                <w:color w:val="auto"/>
              </w:rPr>
            </w:pPr>
          </w:p>
        </w:tc>
      </w:tr>
      <w:tr>
        <w:trPr>
          <w:trHeight w:val="324"/>
        </w:trPr>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8"/>
              </w:rPr>
              <w:t>23.2*</w:t>
            </w:r>
          </w:p>
        </w:tc>
        <w:tc>
          <w:tcPr>
            <w:tcW w:w="10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Consent of Travers Thorp Alberga Attorneys at Law</w:t>
            </w:r>
          </w:p>
        </w:tc>
      </w:tr>
      <w:tr>
        <w:trPr>
          <w:trHeight w:val="324"/>
        </w:trPr>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8"/>
              </w:rPr>
              <w:t>23.3†</w:t>
            </w:r>
          </w:p>
        </w:tc>
        <w:tc>
          <w:tcPr>
            <w:tcW w:w="10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Consent of Jingtian &amp; Gongcheng (included in Exhibit 99.2)</w:t>
            </w:r>
          </w:p>
        </w:tc>
      </w:tr>
      <w:tr>
        <w:trPr>
          <w:trHeight w:val="324"/>
        </w:trPr>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8"/>
              </w:rPr>
              <w:t>24.1*</w:t>
            </w:r>
          </w:p>
        </w:tc>
        <w:tc>
          <w:tcPr>
            <w:tcW w:w="10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Powers of Attorney (included on signature page in Part II of the registration statement)</w:t>
            </w:r>
          </w:p>
        </w:tc>
      </w:tr>
      <w:tr>
        <w:trPr>
          <w:trHeight w:val="324"/>
        </w:trPr>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8"/>
              </w:rPr>
              <w:t>99.1*</w:t>
            </w:r>
          </w:p>
        </w:tc>
        <w:tc>
          <w:tcPr>
            <w:tcW w:w="10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Code of Business Conduct and Ethics of the Registrant</w:t>
            </w:r>
          </w:p>
        </w:tc>
      </w:tr>
      <w:tr>
        <w:trPr>
          <w:trHeight w:val="324"/>
        </w:trPr>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8"/>
              </w:rPr>
              <w:t>99.2†</w:t>
            </w:r>
          </w:p>
        </w:tc>
        <w:tc>
          <w:tcPr>
            <w:tcW w:w="10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Opinion of Jingtian &amp; Gongcheng regarding certain PRC law matters</w:t>
            </w:r>
          </w:p>
        </w:tc>
      </w:tr>
      <w:tr>
        <w:trPr>
          <w:trHeight w:val="324"/>
        </w:trPr>
        <w:tc>
          <w:tcPr>
            <w:tcW w:w="8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8"/>
              </w:rPr>
              <w:t>99.3†</w:t>
            </w:r>
          </w:p>
        </w:tc>
        <w:tc>
          <w:tcPr>
            <w:tcW w:w="3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Consent of Frost &amp; Sullivan</w:t>
            </w:r>
          </w:p>
        </w:tc>
        <w:tc>
          <w:tcPr>
            <w:tcW w:w="6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Previously filed.</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1160"/>
          </w:cols>
          <w:pgMar w:left="240" w:top="446" w:right="499" w:bottom="1440" w:gutter="0" w:footer="0" w:header="0"/>
        </w:sectPr>
      </w:pPr>
    </w:p>
    <w:bookmarkStart w:id="382" w:name="page383"/>
    <w:bookmarkEnd w:id="382"/>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OPTIMIX GROUP</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TERMS AND CONDITIONS OF</w:t>
      </w:r>
    </w:p>
    <w:p>
      <w:pPr>
        <w:spacing w:after="0" w:line="22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SHARE OPTION INCENTIVE SCHEME</w:t>
      </w:r>
    </w:p>
    <w:p>
      <w:pPr>
        <w:sectPr>
          <w:pgSz w:w="11900" w:h="16838" w:orient="portrait"/>
          <w:cols w:equalWidth="0" w:num="1">
            <w:col w:w="10220"/>
          </w:cols>
          <w:pgMar w:left="1440" w:top="117" w:right="23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Terms and Conditions of the Share Option Incentive Scheme</w:t>
      </w:r>
    </w:p>
    <w:p>
      <w:pPr>
        <w:spacing w:after="0" w:line="131" w:lineRule="exact"/>
        <w:rPr>
          <w:sz w:val="20"/>
          <w:szCs w:val="20"/>
          <w:color w:val="auto"/>
        </w:rPr>
      </w:pPr>
    </w:p>
    <w:p>
      <w:pPr>
        <w:ind w:left="680" w:hanging="672"/>
        <w:spacing w:after="0"/>
        <w:tabs>
          <w:tab w:leader="none" w:pos="680" w:val="left"/>
        </w:tabs>
        <w:numPr>
          <w:ilvl w:val="0"/>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2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Board</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means the board of directors of The Grantor;</w:t>
            </w:r>
          </w:p>
        </w:tc>
      </w:tr>
      <w:tr>
        <w:trPr>
          <w:trHeight w:val="324"/>
        </w:trPr>
        <w:tc>
          <w:tcPr>
            <w:tcW w:w="420" w:type="dxa"/>
            <w:vAlign w:val="bottom"/>
          </w:tcPr>
          <w:p>
            <w:pPr>
              <w:spacing w:after="0"/>
              <w:rPr>
                <w:sz w:val="24"/>
                <w:szCs w:val="24"/>
                <w:color w:val="auto"/>
              </w:rPr>
            </w:pPr>
          </w:p>
        </w:tc>
        <w:tc>
          <w:tcPr>
            <w:tcW w:w="2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Invitation</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means the invitation letter by the Board to the Grantee to subscribe for the Option;</w:t>
            </w:r>
          </w:p>
        </w:tc>
      </w:tr>
      <w:tr>
        <w:trPr>
          <w:trHeight w:val="324"/>
        </w:trPr>
        <w:tc>
          <w:tcPr>
            <w:tcW w:w="420" w:type="dxa"/>
            <w:vAlign w:val="bottom"/>
          </w:tcPr>
          <w:p>
            <w:pPr>
              <w:spacing w:after="0"/>
              <w:rPr>
                <w:sz w:val="24"/>
                <w:szCs w:val="24"/>
                <w:color w:val="auto"/>
              </w:rPr>
            </w:pPr>
          </w:p>
        </w:tc>
        <w:tc>
          <w:tcPr>
            <w:tcW w:w="2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Employer</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means the subsidiary of The Grantor with whom the Grantee is employed by;</w:t>
            </w:r>
          </w:p>
        </w:tc>
      </w:tr>
      <w:tr>
        <w:trPr>
          <w:trHeight w:val="324"/>
        </w:trPr>
        <w:tc>
          <w:tcPr>
            <w:tcW w:w="420" w:type="dxa"/>
            <w:vAlign w:val="bottom"/>
          </w:tcPr>
          <w:p>
            <w:pPr>
              <w:spacing w:after="0"/>
              <w:rPr>
                <w:sz w:val="24"/>
                <w:szCs w:val="24"/>
                <w:color w:val="auto"/>
              </w:rPr>
            </w:pPr>
          </w:p>
        </w:tc>
        <w:tc>
          <w:tcPr>
            <w:tcW w:w="2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Entitlement Date</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means the Entitlement Date set out in Appendix I of the Invitation;</w:t>
            </w:r>
          </w:p>
        </w:tc>
      </w:tr>
      <w:tr>
        <w:trPr>
          <w:trHeight w:val="306"/>
        </w:trPr>
        <w:tc>
          <w:tcPr>
            <w:tcW w:w="420" w:type="dxa"/>
            <w:vAlign w:val="bottom"/>
          </w:tcPr>
          <w:p>
            <w:pPr>
              <w:spacing w:after="0"/>
              <w:rPr>
                <w:sz w:val="24"/>
                <w:szCs w:val="24"/>
                <w:color w:val="auto"/>
              </w:rPr>
            </w:pPr>
          </w:p>
        </w:tc>
        <w:tc>
          <w:tcPr>
            <w:tcW w:w="2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Exercise Price</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means the price per share payable by the Grantee on exercise of the Option to purchase the Shares set out in</w:t>
            </w:r>
          </w:p>
        </w:tc>
      </w:tr>
      <w:tr>
        <w:trPr>
          <w:trHeight w:val="234"/>
        </w:trPr>
        <w:tc>
          <w:tcPr>
            <w:tcW w:w="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paragraph 6;</w:t>
            </w:r>
          </w:p>
        </w:tc>
      </w:tr>
      <w:tr>
        <w:trPr>
          <w:trHeight w:val="306"/>
        </w:trPr>
        <w:tc>
          <w:tcPr>
            <w:tcW w:w="420" w:type="dxa"/>
            <w:vAlign w:val="bottom"/>
          </w:tcPr>
          <w:p>
            <w:pPr>
              <w:spacing w:after="0"/>
              <w:rPr>
                <w:sz w:val="24"/>
                <w:szCs w:val="24"/>
                <w:color w:val="auto"/>
              </w:rPr>
            </w:pPr>
          </w:p>
        </w:tc>
        <w:tc>
          <w:tcPr>
            <w:tcW w:w="2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Grantor</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means Optimix Media Asia Limited, a company incorporated in the Cayman Islands and having its registered</w:t>
            </w:r>
          </w:p>
        </w:tc>
      </w:tr>
      <w:tr>
        <w:trPr>
          <w:trHeight w:val="216"/>
        </w:trPr>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office at Floor 4, Willow House, Cricket Square, PO Box 2804, Grand Cayman KY1-1112, Cayman Islands and its</w:t>
            </w:r>
          </w:p>
        </w:tc>
      </w:tr>
      <w:tr>
        <w:trPr>
          <w:trHeight w:val="216"/>
        </w:trPr>
        <w:tc>
          <w:tcPr>
            <w:tcW w:w="4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correspondence address in Hong Kong at 1508 Prosperity Millennia Plaza, 663 King’s Road, Quarry Bay, Hong</w:t>
            </w:r>
          </w:p>
        </w:tc>
      </w:tr>
      <w:tr>
        <w:trPr>
          <w:trHeight w:val="234"/>
        </w:trPr>
        <w:tc>
          <w:tcPr>
            <w:tcW w:w="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Kong;</w:t>
            </w:r>
          </w:p>
        </w:tc>
      </w:tr>
      <w:tr>
        <w:trPr>
          <w:trHeight w:val="324"/>
        </w:trPr>
        <w:tc>
          <w:tcPr>
            <w:tcW w:w="420" w:type="dxa"/>
            <w:vAlign w:val="bottom"/>
          </w:tcPr>
          <w:p>
            <w:pPr>
              <w:spacing w:after="0"/>
              <w:rPr>
                <w:sz w:val="24"/>
                <w:szCs w:val="24"/>
                <w:color w:val="auto"/>
              </w:rPr>
            </w:pPr>
          </w:p>
        </w:tc>
        <w:tc>
          <w:tcPr>
            <w:tcW w:w="2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Grantee</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person named in the Invitation letter sent by the Board to subscribe for an Option;</w:t>
            </w:r>
          </w:p>
        </w:tc>
      </w:tr>
      <w:tr>
        <w:trPr>
          <w:trHeight w:val="306"/>
        </w:trPr>
        <w:tc>
          <w:tcPr>
            <w:tcW w:w="420" w:type="dxa"/>
            <w:vAlign w:val="bottom"/>
          </w:tcPr>
          <w:p>
            <w:pPr>
              <w:spacing w:after="0"/>
              <w:rPr>
                <w:sz w:val="24"/>
                <w:szCs w:val="24"/>
                <w:color w:val="auto"/>
              </w:rPr>
            </w:pPr>
          </w:p>
        </w:tc>
        <w:tc>
          <w:tcPr>
            <w:tcW w:w="2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Option</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means the option to purchase Shares upon the price and upon the terms and conditions contained in the Invitation</w:t>
            </w:r>
          </w:p>
        </w:tc>
      </w:tr>
      <w:tr>
        <w:trPr>
          <w:trHeight w:val="234"/>
        </w:trPr>
        <w:tc>
          <w:tcPr>
            <w:tcW w:w="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 the terms and conditions contained herein;</w:t>
            </w:r>
          </w:p>
        </w:tc>
      </w:tr>
      <w:tr>
        <w:trPr>
          <w:trHeight w:val="324"/>
        </w:trPr>
        <w:tc>
          <w:tcPr>
            <w:tcW w:w="420" w:type="dxa"/>
            <w:vAlign w:val="bottom"/>
          </w:tcPr>
          <w:p>
            <w:pPr>
              <w:spacing w:after="0"/>
              <w:rPr>
                <w:sz w:val="24"/>
                <w:szCs w:val="24"/>
                <w:color w:val="auto"/>
              </w:rPr>
            </w:pPr>
          </w:p>
        </w:tc>
        <w:tc>
          <w:tcPr>
            <w:tcW w:w="2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Optimix</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means The Grantor;</w:t>
            </w:r>
          </w:p>
        </w:tc>
      </w:tr>
      <w:tr>
        <w:trPr>
          <w:trHeight w:val="324"/>
        </w:trPr>
        <w:tc>
          <w:tcPr>
            <w:tcW w:w="420" w:type="dxa"/>
            <w:vAlign w:val="bottom"/>
          </w:tcPr>
          <w:p>
            <w:pPr>
              <w:spacing w:after="0"/>
              <w:rPr>
                <w:sz w:val="24"/>
                <w:szCs w:val="24"/>
                <w:color w:val="auto"/>
              </w:rPr>
            </w:pPr>
          </w:p>
        </w:tc>
        <w:tc>
          <w:tcPr>
            <w:tcW w:w="2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Group</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means The Grantor and its subsidiaries;</w:t>
            </w:r>
          </w:p>
        </w:tc>
      </w:tr>
      <w:tr>
        <w:trPr>
          <w:trHeight w:val="306"/>
        </w:trPr>
        <w:tc>
          <w:tcPr>
            <w:tcW w:w="420" w:type="dxa"/>
            <w:vAlign w:val="bottom"/>
          </w:tcPr>
          <w:p>
            <w:pPr>
              <w:spacing w:after="0"/>
              <w:rPr>
                <w:sz w:val="24"/>
                <w:szCs w:val="24"/>
                <w:color w:val="auto"/>
              </w:rPr>
            </w:pPr>
          </w:p>
        </w:tc>
        <w:tc>
          <w:tcPr>
            <w:tcW w:w="2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Option Exercise</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means the proforma option exercise notice set out in Schedule I;</w:t>
            </w:r>
          </w:p>
        </w:tc>
      </w:tr>
      <w:tr>
        <w:trPr>
          <w:trHeight w:val="234"/>
        </w:trPr>
        <w:tc>
          <w:tcPr>
            <w:tcW w:w="420" w:type="dxa"/>
            <w:vAlign w:val="bottom"/>
          </w:tcPr>
          <w:p>
            <w:pPr>
              <w:spacing w:after="0"/>
              <w:rPr>
                <w:sz w:val="20"/>
                <w:szCs w:val="20"/>
                <w:color w:val="auto"/>
              </w:rPr>
            </w:pPr>
          </w:p>
        </w:tc>
        <w:tc>
          <w:tcPr>
            <w:tcW w:w="2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Notice</w:t>
            </w:r>
          </w:p>
        </w:tc>
        <w:tc>
          <w:tcPr>
            <w:tcW w:w="8740" w:type="dxa"/>
            <w:vAlign w:val="bottom"/>
          </w:tcPr>
          <w:p>
            <w:pPr>
              <w:spacing w:after="0"/>
              <w:rPr>
                <w:sz w:val="20"/>
                <w:szCs w:val="20"/>
                <w:color w:val="auto"/>
              </w:rPr>
            </w:pPr>
          </w:p>
        </w:tc>
      </w:tr>
      <w:tr>
        <w:trPr>
          <w:trHeight w:val="338"/>
        </w:trPr>
        <w:tc>
          <w:tcPr>
            <w:tcW w:w="420" w:type="dxa"/>
            <w:vAlign w:val="bottom"/>
          </w:tcPr>
          <w:p>
            <w:pPr>
              <w:spacing w:after="0"/>
              <w:rPr>
                <w:sz w:val="24"/>
                <w:szCs w:val="24"/>
                <w:color w:val="auto"/>
              </w:rPr>
            </w:pPr>
          </w:p>
        </w:tc>
        <w:tc>
          <w:tcPr>
            <w:tcW w:w="22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Shares</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means ordinary shares of US$0.001 each in the share capital of The Grantor.</w:t>
            </w:r>
          </w:p>
        </w:tc>
      </w:tr>
      <w:tr>
        <w:trPr>
          <w:trHeight w:val="324"/>
        </w:trPr>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Grant of Option</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Upon acceptance of the Invitation by the Grantee, the Grantee shall be granted the Option.</w:t>
            </w:r>
          </w:p>
        </w:tc>
      </w:tr>
      <w:tr>
        <w:trPr>
          <w:trHeight w:val="324"/>
        </w:trPr>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Exercise Period</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Option may be exercised during the Period set out in Appendix I of the Invitation.</w:t>
            </w:r>
          </w:p>
        </w:tc>
      </w:tr>
      <w:tr>
        <w:trPr>
          <w:trHeight w:val="306"/>
        </w:trPr>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Exercise of Option</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The Grantee may exercise the Option either in full or in part during the Exercise Period upon delivery of the Option</w:t>
            </w:r>
          </w:p>
        </w:tc>
      </w:tr>
      <w:tr>
        <w:trPr>
          <w:trHeight w:val="234"/>
        </w:trPr>
        <w:tc>
          <w:tcPr>
            <w:tcW w:w="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Exercise Notice and payment of the Exercise Price.</w:t>
            </w:r>
          </w:p>
        </w:tc>
      </w:tr>
      <w:tr>
        <w:trPr>
          <w:trHeight w:val="302"/>
        </w:trPr>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Allocation of Shares</w:t>
            </w:r>
          </w:p>
        </w:tc>
        <w:tc>
          <w:tcPr>
            <w:tcW w:w="8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  the Grantee shall be granted the number of Share set out in Appendix I of the Invitation to him/her.</w:t>
            </w:r>
          </w:p>
        </w:tc>
      </w:tr>
      <w:tr>
        <w:trPr>
          <w:trHeight w:val="238"/>
        </w:trPr>
        <w:tc>
          <w:tcPr>
            <w:tcW w:w="420" w:type="dxa"/>
            <w:vAlign w:val="bottom"/>
          </w:tcPr>
          <w:p>
            <w:pPr>
              <w:spacing w:after="0"/>
              <w:rPr>
                <w:sz w:val="20"/>
                <w:szCs w:val="20"/>
                <w:color w:val="auto"/>
              </w:rPr>
            </w:pPr>
          </w:p>
        </w:tc>
        <w:tc>
          <w:tcPr>
            <w:tcW w:w="22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 the Grantor</w:t>
            </w:r>
          </w:p>
        </w:tc>
        <w:tc>
          <w:tcPr>
            <w:tcW w:w="87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Page 1</w:t>
      </w:r>
    </w:p>
    <w:p>
      <w:pPr>
        <w:spacing w:after="0" w:line="12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i w:val="1"/>
          <w:iCs w:val="1"/>
          <w:color w:val="auto"/>
        </w:rPr>
        <w:t>Please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4907915</wp:posOffset>
            </wp:positionH>
            <wp:positionV relativeFrom="paragraph">
              <wp:posOffset>-6350</wp:posOffset>
            </wp:positionV>
            <wp:extent cx="5715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384" w:name="page385"/>
    <w:bookmarkEnd w:id="384"/>
    <w:p>
      <w:pPr>
        <w:ind w:left="3340" w:right="680" w:hanging="279"/>
        <w:spacing w:after="0" w:line="282" w:lineRule="auto"/>
        <w:tabs>
          <w:tab w:leader="none" w:pos="33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w:t>
        <w:tab/>
        <w:t>the total of shares under the Option which may be offered to a Grantee shall be at the sole and absolute discretion of the Board.</w:t>
      </w:r>
    </w:p>
    <w:p>
      <w:pPr>
        <w:spacing w:after="0" w:line="54" w:lineRule="exact"/>
        <w:rPr>
          <w:sz w:val="20"/>
          <w:szCs w:val="20"/>
          <w:color w:val="auto"/>
        </w:rPr>
      </w:pPr>
    </w:p>
    <w:p>
      <w:pPr>
        <w:ind w:left="3340" w:right="100" w:hanging="279"/>
        <w:spacing w:after="0" w:line="266" w:lineRule="auto"/>
        <w:tabs>
          <w:tab w:leader="none" w:pos="3320" w:val="left"/>
        </w:tabs>
        <w:rPr>
          <w:sz w:val="20"/>
          <w:szCs w:val="20"/>
          <w:color w:val="auto"/>
        </w:rPr>
      </w:pPr>
      <w:r>
        <w:rPr>
          <w:rFonts w:ascii="Times New Roman" w:cs="Times New Roman" w:eastAsia="Times New Roman" w:hAnsi="Times New Roman"/>
          <w:sz w:val="18"/>
          <w:szCs w:val="18"/>
          <w:color w:val="auto"/>
        </w:rPr>
        <w:t>c)</w:t>
        <w:tab/>
        <w:t>subject to discretion of the Grantor, the Option shall automatically lapse and be null and void in the event of death of the Grantee prior to the Grantee having exercised the Option, or in the event the Grantee ceasing to be employed by the Employer for any reason whatsoever prior to the Grantee having exercised the Option.</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20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Eligibility and</w:t>
            </w:r>
          </w:p>
        </w:tc>
        <w:tc>
          <w:tcPr>
            <w:tcW w:w="900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This Option is granted to the Grantee in consideration of the Grantee’s devotion to his/her Employer and exercise of</w:t>
            </w:r>
          </w:p>
        </w:tc>
      </w:tr>
      <w:tr>
        <w:trPr>
          <w:trHeight w:val="220"/>
        </w:trPr>
        <w:tc>
          <w:tcPr>
            <w:tcW w:w="400" w:type="dxa"/>
            <w:vAlign w:val="bottom"/>
          </w:tcPr>
          <w:p>
            <w:pPr>
              <w:spacing w:after="0"/>
              <w:rPr>
                <w:sz w:val="19"/>
                <w:szCs w:val="19"/>
                <w:color w:val="auto"/>
              </w:rPr>
            </w:pPr>
          </w:p>
        </w:tc>
        <w:tc>
          <w:tcPr>
            <w:tcW w:w="20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90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Option is subject to the Grantee continuing to be employed by the Employer and providing their services in a</w:t>
            </w:r>
          </w:p>
        </w:tc>
      </w:tr>
      <w:tr>
        <w:trPr>
          <w:trHeight w:val="234"/>
        </w:trPr>
        <w:tc>
          <w:tcPr>
            <w:tcW w:w="4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90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devoted manner.</w:t>
            </w:r>
          </w:p>
        </w:tc>
      </w:tr>
    </w:tbl>
    <w:p>
      <w:pPr>
        <w:spacing w:after="0" w:line="1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Exercise Price shall be the price set out in Appendix I of the Invitation.</w:t>
      </w:r>
    </w:p>
    <w:p>
      <w:pPr>
        <w:spacing w:after="0" w:line="127" w:lineRule="exact"/>
        <w:rPr>
          <w:sz w:val="20"/>
          <w:szCs w:val="20"/>
          <w:color w:val="auto"/>
        </w:rPr>
      </w:pPr>
    </w:p>
    <w:p>
      <w:pPr>
        <w:ind w:left="3060" w:right="260" w:hanging="3052"/>
        <w:spacing w:after="0" w:line="286" w:lineRule="auto"/>
        <w:tabs>
          <w:tab w:leader="none" w:pos="670" w:val="left"/>
        </w:tabs>
        <w:numPr>
          <w:ilvl w:val="0"/>
          <w:numId w:val="4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Incorporation of Invitation </w:t>
      </w:r>
      <w:r>
        <w:rPr>
          <w:rFonts w:ascii="Times New Roman" w:cs="Times New Roman" w:eastAsia="Times New Roman" w:hAnsi="Times New Roman"/>
          <w:sz w:val="18"/>
          <w:szCs w:val="18"/>
          <w:color w:val="auto"/>
        </w:rPr>
        <w:t>The terms and conditions contained in the Invitation together with the Appendices shall be incorporated into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part of the terms and conditions herein contained upon which the Option is granted to the Grantee.</w:t>
      </w:r>
    </w:p>
    <w:p>
      <w:pPr>
        <w:spacing w:after="0" w:line="5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The Invitation and these terms and conditions shall be viewed as one single document.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22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Non-Transferability</w:t>
            </w:r>
          </w:p>
        </w:tc>
        <w:tc>
          <w:tcPr>
            <w:tcW w:w="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w:t>
            </w:r>
          </w:p>
        </w:tc>
        <w:tc>
          <w:tcPr>
            <w:tcW w:w="8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This Option is personal to the Grantee and is exercisable only by the Grantee personally during his/her lifetime</w:t>
            </w:r>
          </w:p>
        </w:tc>
      </w:tr>
      <w:tr>
        <w:trPr>
          <w:trHeight w:val="234"/>
        </w:trPr>
        <w:tc>
          <w:tcPr>
            <w:tcW w:w="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whilst he/she is in the employment of his/her Employer.</w:t>
            </w:r>
          </w:p>
        </w:tc>
      </w:tr>
      <w:tr>
        <w:trPr>
          <w:trHeight w:val="306"/>
        </w:trPr>
        <w:tc>
          <w:tcPr>
            <w:tcW w:w="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w:t>
            </w:r>
          </w:p>
        </w:tc>
        <w:tc>
          <w:tcPr>
            <w:tcW w:w="8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This Option is non-transferable, non assignable and non-disposable and the Grantee may not at any time create</w:t>
            </w:r>
          </w:p>
        </w:tc>
      </w:tr>
      <w:tr>
        <w:trPr>
          <w:trHeight w:val="234"/>
        </w:trPr>
        <w:tc>
          <w:tcPr>
            <w:tcW w:w="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or purport to create any encumbrances over the Option.</w:t>
            </w:r>
          </w:p>
        </w:tc>
      </w:tr>
      <w:tr>
        <w:trPr>
          <w:trHeight w:val="306"/>
        </w:trPr>
        <w:tc>
          <w:tcPr>
            <w:tcW w:w="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w:t>
            </w:r>
          </w:p>
        </w:tc>
        <w:tc>
          <w:tcPr>
            <w:tcW w:w="8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Any such transfer, assignment, disposal or encumbrance or purported encumbrance shall result in the automatic</w:t>
            </w:r>
          </w:p>
        </w:tc>
      </w:tr>
      <w:tr>
        <w:trPr>
          <w:trHeight w:val="234"/>
        </w:trPr>
        <w:tc>
          <w:tcPr>
            <w:tcW w:w="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cancellation of the Option rendering the Option void.</w:t>
            </w:r>
          </w:p>
        </w:tc>
      </w:tr>
      <w:tr>
        <w:trPr>
          <w:trHeight w:val="302"/>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22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Exercise of the</w:t>
            </w:r>
          </w:p>
        </w:tc>
        <w:tc>
          <w:tcPr>
            <w:tcW w:w="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w:t>
            </w:r>
          </w:p>
        </w:tc>
        <w:tc>
          <w:tcPr>
            <w:tcW w:w="8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 Grantee shall be allowed to exercise the Options granted to him/her either in full or in part during the</w:t>
            </w:r>
          </w:p>
        </w:tc>
      </w:tr>
      <w:tr>
        <w:trPr>
          <w:trHeight w:val="238"/>
        </w:trPr>
        <w:tc>
          <w:tcPr>
            <w:tcW w:w="400" w:type="dxa"/>
            <w:vAlign w:val="bottom"/>
          </w:tcPr>
          <w:p>
            <w:pPr>
              <w:spacing w:after="0"/>
              <w:rPr>
                <w:sz w:val="20"/>
                <w:szCs w:val="20"/>
                <w:color w:val="auto"/>
              </w:rPr>
            </w:pPr>
          </w:p>
        </w:tc>
        <w:tc>
          <w:tcPr>
            <w:tcW w:w="22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640" w:type="dxa"/>
            <w:vAlign w:val="bottom"/>
          </w:tcPr>
          <w:p>
            <w:pPr>
              <w:spacing w:after="0"/>
              <w:rPr>
                <w:sz w:val="20"/>
                <w:szCs w:val="20"/>
                <w:color w:val="auto"/>
              </w:rPr>
            </w:pPr>
          </w:p>
        </w:tc>
        <w:tc>
          <w:tcPr>
            <w:tcW w:w="8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Exercise Period in such manner and subject to such conditions as stipulated here and in the Invitation (if any).</w:t>
            </w:r>
          </w:p>
        </w:tc>
      </w:tr>
      <w:tr>
        <w:trPr>
          <w:trHeight w:val="319"/>
        </w:trPr>
        <w:tc>
          <w:tcPr>
            <w:tcW w:w="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w:t>
            </w:r>
          </w:p>
        </w:tc>
        <w:tc>
          <w:tcPr>
            <w:tcW w:w="8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The Grantee shall notify the Grantor in writing of his/her intention to exercise the Option by using the Option</w:t>
            </w:r>
          </w:p>
        </w:tc>
      </w:tr>
      <w:tr>
        <w:trPr>
          <w:trHeight w:val="216"/>
        </w:trPr>
        <w:tc>
          <w:tcPr>
            <w:tcW w:w="4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Exercise Notice, or such other form of notice as may be prescribed by the Grantor from time to time during the</w:t>
            </w:r>
          </w:p>
        </w:tc>
      </w:tr>
      <w:tr>
        <w:trPr>
          <w:trHeight w:val="216"/>
        </w:trPr>
        <w:tc>
          <w:tcPr>
            <w:tcW w:w="4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Option Period in respect of all or any part of the Shares comprised in the Option. Any partial exercise of the</w:t>
            </w:r>
          </w:p>
        </w:tc>
      </w:tr>
      <w:tr>
        <w:trPr>
          <w:trHeight w:val="216"/>
        </w:trPr>
        <w:tc>
          <w:tcPr>
            <w:tcW w:w="4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Option shall not preclude the Grantee from exercising the Option as to the balance thereof, if any, at any time in</w:t>
            </w:r>
          </w:p>
        </w:tc>
      </w:tr>
      <w:tr>
        <w:trPr>
          <w:trHeight w:val="234"/>
        </w:trPr>
        <w:tc>
          <w:tcPr>
            <w:tcW w:w="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the future but within the Exercise Period.</w:t>
            </w:r>
          </w:p>
        </w:tc>
      </w:tr>
      <w:tr>
        <w:trPr>
          <w:trHeight w:val="324"/>
        </w:trPr>
        <w:tc>
          <w:tcPr>
            <w:tcW w:w="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w:t>
            </w:r>
          </w:p>
        </w:tc>
        <w:tc>
          <w:tcPr>
            <w:tcW w:w="8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The Option shall automatically lapse and become null and void upon the expiry of the Exercise Period.</w:t>
            </w:r>
          </w:p>
        </w:tc>
      </w:tr>
      <w:tr>
        <w:trPr>
          <w:trHeight w:val="162"/>
        </w:trPr>
        <w:tc>
          <w:tcPr>
            <w:tcW w:w="4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r>
      <w:tr>
        <w:trPr>
          <w:trHeight w:val="250"/>
        </w:trPr>
        <w:tc>
          <w:tcPr>
            <w:tcW w:w="4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 Page 2</w:t>
            </w:r>
          </w:p>
        </w:tc>
      </w:tr>
      <w:tr>
        <w:trPr>
          <w:trHeight w:val="297"/>
        </w:trPr>
        <w:tc>
          <w:tcPr>
            <w:tcW w:w="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40" w:type="dxa"/>
            <w:vAlign w:val="bottom"/>
          </w:tcPr>
          <w:p>
            <w:pPr>
              <w:ind w:left="3440"/>
              <w:spacing w:after="0"/>
              <w:rPr>
                <w:sz w:val="20"/>
                <w:szCs w:val="20"/>
                <w:color w:val="auto"/>
              </w:rPr>
            </w:pPr>
            <w:r>
              <w:rPr>
                <w:rFonts w:ascii="Times New Roman" w:cs="Times New Roman" w:eastAsia="Times New Roman" w:hAnsi="Times New Roman"/>
                <w:sz w:val="18"/>
                <w:szCs w:val="18"/>
                <w:i w:val="1"/>
                <w:iCs w:val="1"/>
                <w:color w:val="auto"/>
              </w:rPr>
              <w:t>Please initial</w:t>
            </w:r>
          </w:p>
        </w:tc>
        <w:tc>
          <w:tcPr>
            <w:tcW w:w="900" w:type="dxa"/>
            <w:vAlign w:val="bottom"/>
            <w:tcBorders>
              <w:bottom w:val="single" w:sz="8" w:color="auto"/>
            </w:tcBorders>
          </w:tcPr>
          <w:p>
            <w:pPr>
              <w:spacing w:after="0"/>
              <w:rPr>
                <w:sz w:val="24"/>
                <w:szCs w:val="24"/>
                <w:color w:val="auto"/>
              </w:rPr>
            </w:pPr>
          </w:p>
        </w:tc>
        <w:tc>
          <w:tcPr>
            <w:tcW w:w="280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385" w:name="page386"/>
    <w:bookmarkEnd w:id="38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Notwithstanding anything to the contrary, the Grantor shall have the right to suspend, at its discretion, the right</w:t>
            </w:r>
          </w:p>
        </w:tc>
      </w:tr>
      <w:tr>
        <w:trPr>
          <w:trHeight w:val="216"/>
        </w:trPr>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any Grantee who is being subjected to disciplinary proceedings to exercise his/her Options pending the</w:t>
            </w:r>
          </w:p>
        </w:tc>
      </w:tr>
      <w:tr>
        <w:trPr>
          <w:trHeight w:val="216"/>
        </w:trPr>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outcome of such disciplinary proceedings, by serving on him/her of a notice to that effect. The right of</w:t>
            </w:r>
          </w:p>
        </w:tc>
      </w:tr>
      <w:tr>
        <w:trPr>
          <w:trHeight w:val="216"/>
        </w:trPr>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suspension herein, may be exercisable by the Grantor upon such terms and conditions as the Grantor shall</w:t>
            </w:r>
          </w:p>
        </w:tc>
      </w:tr>
      <w:tr>
        <w:trPr>
          <w:trHeight w:val="216"/>
        </w:trPr>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deemed appropriate having regard to the nature of the charges made or brought against such Grantee provided</w:t>
            </w:r>
          </w:p>
        </w:tc>
      </w:tr>
      <w:tr>
        <w:trPr>
          <w:trHeight w:val="216"/>
        </w:trPr>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always that in the event such Grantee is subsequently acquitted of the charges which gave rise to such</w:t>
            </w:r>
          </w:p>
        </w:tc>
      </w:tr>
      <w:tr>
        <w:trPr>
          <w:trHeight w:val="216"/>
        </w:trPr>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disciplinary proceedings, the Grantor shall reinstate the rights of such Grantee to exercise his/her Option.</w:t>
            </w:r>
          </w:p>
        </w:tc>
      </w:tr>
      <w:tr>
        <w:trPr>
          <w:trHeight w:val="216"/>
        </w:trPr>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Provided that the Grantor shall not be liable to the Grantee for any loss as a result of any delay in exercising the</w:t>
            </w:r>
          </w:p>
        </w:tc>
      </w:tr>
      <w:tr>
        <w:trPr>
          <w:trHeight w:val="234"/>
        </w:trPr>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Option.</w:t>
            </w:r>
          </w:p>
        </w:tc>
      </w:tr>
      <w:tr>
        <w:trPr>
          <w:trHeight w:val="302"/>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Rights attaching to</w:t>
            </w:r>
          </w:p>
        </w:tc>
        <w:tc>
          <w:tcPr>
            <w:tcW w:w="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Shares to be allotted upon the exercise of the Option will, rank pari passu in all respect with the then</w:t>
            </w:r>
          </w:p>
        </w:tc>
      </w:tr>
      <w:tr>
        <w:trPr>
          <w:trHeight w:val="220"/>
        </w:trPr>
        <w:tc>
          <w:tcPr>
            <w:tcW w:w="460" w:type="dxa"/>
            <w:vAlign w:val="bottom"/>
          </w:tcPr>
          <w:p>
            <w:pPr>
              <w:spacing w:after="0"/>
              <w:rPr>
                <w:sz w:val="19"/>
                <w:szCs w:val="19"/>
                <w:color w:val="auto"/>
              </w:rPr>
            </w:pPr>
          </w:p>
        </w:tc>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the Shares</w:t>
            </w:r>
          </w:p>
        </w:tc>
        <w:tc>
          <w:tcPr>
            <w:tcW w:w="580" w:type="dxa"/>
            <w:vAlign w:val="bottom"/>
          </w:tcPr>
          <w:p>
            <w:pPr>
              <w:spacing w:after="0"/>
              <w:rPr>
                <w:sz w:val="19"/>
                <w:szCs w:val="19"/>
                <w:color w:val="auto"/>
              </w:rPr>
            </w:pP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existing issued and paid-up ordinary Shares of the Grantor, except that Shares so allotted will not entitle their</w:t>
            </w:r>
          </w:p>
        </w:tc>
      </w:tr>
      <w:tr>
        <w:trPr>
          <w:trHeight w:val="216"/>
        </w:trPr>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holders to any right, dividend, and/or any other distributions which may have been declared, made or paid prior</w:t>
            </w:r>
          </w:p>
        </w:tc>
      </w:tr>
      <w:tr>
        <w:trPr>
          <w:trHeight w:val="216"/>
        </w:trPr>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the Entitlement Date or prior to the date of exercise of the Option by the Grantee. Shares issued, transferred</w:t>
            </w:r>
          </w:p>
        </w:tc>
      </w:tr>
      <w:tr>
        <w:trPr>
          <w:trHeight w:val="234"/>
        </w:trPr>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 allotted to the Grantee will be subjected to all the provisions of the Articles of Association of the Company.</w:t>
            </w:r>
          </w:p>
        </w:tc>
      </w:tr>
      <w:tr>
        <w:trPr>
          <w:trHeight w:val="306"/>
        </w:trPr>
        <w:tc>
          <w:tcPr>
            <w:tcW w:w="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 Shares issued, transferred or allotted to the Grantee will not be subject to any retention period but is subject</w:t>
            </w:r>
          </w:p>
        </w:tc>
      </w:tr>
      <w:tr>
        <w:trPr>
          <w:trHeight w:val="216"/>
        </w:trPr>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restriction on transfer. All transfer or sale of Shares, prior to the Grantor being listed on a stock exchange,</w:t>
            </w:r>
          </w:p>
        </w:tc>
      </w:tr>
      <w:tr>
        <w:trPr>
          <w:trHeight w:val="216"/>
        </w:trPr>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shall be restricted firstly to another shareholder of the Grantor, failing which to the Grantor. If the Grantee and</w:t>
            </w:r>
          </w:p>
        </w:tc>
      </w:tr>
      <w:tr>
        <w:trPr>
          <w:trHeight w:val="216"/>
        </w:trPr>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Grantor cannot come to agreement on the sale price, the sale price shall be independently evaluated by a</w:t>
            </w:r>
          </w:p>
        </w:tc>
      </w:tr>
      <w:tr>
        <w:trPr>
          <w:trHeight w:val="216"/>
        </w:trPr>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third party agreeable by both parties; or the offer price in the event of a take-over or divestment of the</w:t>
            </w:r>
          </w:p>
        </w:tc>
      </w:tr>
      <w:tr>
        <w:trPr>
          <w:trHeight w:val="216"/>
        </w:trPr>
        <w:tc>
          <w:tcPr>
            <w:tcW w:w="4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whichever is higher. Costs and expenses related to the valuation shall be shared equally between the</w:t>
            </w:r>
          </w:p>
        </w:tc>
      </w:tr>
      <w:tr>
        <w:trPr>
          <w:trHeight w:val="234"/>
        </w:trPr>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Grantor and the Grantee.</w:t>
            </w:r>
          </w:p>
        </w:tc>
      </w:tr>
      <w:tr>
        <w:trPr>
          <w:trHeight w:val="306"/>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22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Rights of the Grantee</w:t>
            </w:r>
          </w:p>
        </w:tc>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99"/>
              </w:rPr>
              <w:t>The Option shall not carry any right to vote at any general meeting of the Company. A Grantee shall not be entitled</w:t>
            </w:r>
          </w:p>
        </w:tc>
      </w:tr>
      <w:tr>
        <w:trPr>
          <w:trHeight w:val="234"/>
        </w:trPr>
        <w:tc>
          <w:tcPr>
            <w:tcW w:w="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8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 any dividend, rights allotment or other entitlements on his unexercised Option.</w:t>
            </w:r>
          </w:p>
        </w:tc>
      </w:tr>
    </w:tbl>
    <w:p>
      <w:pPr>
        <w:spacing w:after="0" w:line="86" w:lineRule="exact"/>
        <w:rPr>
          <w:sz w:val="20"/>
          <w:szCs w:val="20"/>
          <w:color w:val="auto"/>
        </w:rPr>
      </w:pPr>
    </w:p>
    <w:p>
      <w:pPr>
        <w:ind w:left="3060" w:right="20" w:hanging="3052"/>
        <w:spacing w:after="0" w:line="286" w:lineRule="auto"/>
        <w:tabs>
          <w:tab w:leader="none" w:pos="670" w:val="left"/>
        </w:tabs>
        <w:numPr>
          <w:ilvl w:val="0"/>
          <w:numId w:val="4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Employment </w:t>
      </w:r>
      <w:r>
        <w:rPr>
          <w:rFonts w:ascii="Times New Roman" w:cs="Times New Roman" w:eastAsia="Times New Roman" w:hAnsi="Times New Roman"/>
          <w:sz w:val="18"/>
          <w:szCs w:val="18"/>
          <w:color w:val="auto"/>
        </w:rPr>
        <w:t>Save as otherwise expressly provided, an Option which has not been exercised by a Grantee shall lapse and become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null and void and be of no further force and effect in any of the following circumstances:</w:t>
      </w:r>
    </w:p>
    <w:p>
      <w:pPr>
        <w:spacing w:after="0" w:line="50" w:lineRule="exact"/>
        <w:rPr>
          <w:rFonts w:ascii="Times New Roman" w:cs="Times New Roman" w:eastAsia="Times New Roman" w:hAnsi="Times New Roman"/>
          <w:sz w:val="18"/>
          <w:szCs w:val="18"/>
          <w:b w:val="1"/>
          <w:bCs w:val="1"/>
          <w:color w:val="auto"/>
        </w:rPr>
      </w:pPr>
    </w:p>
    <w:p>
      <w:pPr>
        <w:ind w:left="3340" w:right="260" w:hanging="280"/>
        <w:spacing w:after="0" w:line="282" w:lineRule="auto"/>
        <w:tabs>
          <w:tab w:leader="none" w:pos="3340"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Grantee ceasing to be employed by the Employer for any reason whatsoever, either before or during the Exercise Period; or</w:t>
      </w:r>
    </w:p>
    <w:p>
      <w:pPr>
        <w:spacing w:after="0" w:line="53" w:lineRule="exact"/>
        <w:rPr>
          <w:rFonts w:ascii="Times New Roman" w:cs="Times New Roman" w:eastAsia="Times New Roman" w:hAnsi="Times New Roman"/>
          <w:sz w:val="18"/>
          <w:szCs w:val="18"/>
          <w:color w:val="auto"/>
        </w:rPr>
      </w:pPr>
    </w:p>
    <w:p>
      <w:pPr>
        <w:ind w:left="3340" w:hanging="280"/>
        <w:spacing w:after="0"/>
        <w:tabs>
          <w:tab w:leader="none" w:pos="3340"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winding-up or liquidation of the Grantor or the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Page 3</w:t>
      </w:r>
    </w:p>
    <w:p>
      <w:pPr>
        <w:spacing w:after="0" w:line="12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i w:val="1"/>
          <w:iCs w:val="1"/>
          <w:color w:val="auto"/>
        </w:rPr>
        <w:t>Please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4907915</wp:posOffset>
            </wp:positionH>
            <wp:positionV relativeFrom="paragraph">
              <wp:posOffset>-6350</wp:posOffset>
            </wp:positionV>
            <wp:extent cx="5715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86" w:name="page387"/>
    <w:bookmarkEnd w:id="386"/>
    <w:p>
      <w:pPr>
        <w:ind w:left="3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termination of the Option pursuant to the above, the Grantee shall have no right to compensation or damages or any claim against the Company for any loss of any right or benefit or prospective right or benefit under this Option which he/she might otherwise have enjoyed, whether for wrongful dismissal or breach of contract or loss of office or otherwise howsoever arising from his/her ceasing to hold office or employment or from the suspension of his/her right to exercise his/her Options or his/her Options ceasing to be valid.</w:t>
      </w:r>
    </w:p>
    <w:p>
      <w:pPr>
        <w:spacing w:after="0" w:line="76" w:lineRule="exact"/>
        <w:rPr>
          <w:sz w:val="20"/>
          <w:szCs w:val="20"/>
          <w:color w:val="auto"/>
        </w:rPr>
      </w:pPr>
    </w:p>
    <w:p>
      <w:pPr>
        <w:ind w:left="3120" w:right="440"/>
        <w:spacing w:after="0" w:line="266" w:lineRule="auto"/>
        <w:rPr>
          <w:sz w:val="20"/>
          <w:szCs w:val="20"/>
          <w:color w:val="auto"/>
        </w:rPr>
      </w:pPr>
      <w:r>
        <w:rPr>
          <w:rFonts w:ascii="Times New Roman" w:cs="Times New Roman" w:eastAsia="Times New Roman" w:hAnsi="Times New Roman"/>
          <w:sz w:val="18"/>
          <w:szCs w:val="18"/>
          <w:color w:val="auto"/>
        </w:rPr>
        <w:t>Notwithstanding the above, the Grantor, may at its discretion, allow an Option to remain exercisable after the Exercise Period for such period of time and on such terms and conditions as the Board shall deem fit if the cessation of employment of the Grantee occurs as a result of the following:-</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w:t>
            </w: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retirement in accordance with the relevant scheme of service of the Company;</w:t>
            </w:r>
          </w:p>
        </w:tc>
      </w:tr>
      <w:tr>
        <w:trPr>
          <w:trHeight w:val="324"/>
        </w:trPr>
        <w:tc>
          <w:tcPr>
            <w:tcW w:w="4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ii)</w:t>
            </w: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ill-health, injury, physical or mental disability;</w:t>
            </w:r>
          </w:p>
        </w:tc>
      </w:tr>
      <w:tr>
        <w:trPr>
          <w:trHeight w:val="324"/>
        </w:trPr>
        <w:tc>
          <w:tcPr>
            <w:tcW w:w="4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iii)</w:t>
            </w: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retrenchment or redundancy;</w:t>
            </w:r>
          </w:p>
        </w:tc>
      </w:tr>
      <w:tr>
        <w:trPr>
          <w:trHeight w:val="324"/>
        </w:trPr>
        <w:tc>
          <w:tcPr>
            <w:tcW w:w="4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iv)</w:t>
            </w: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transfer to any company within the Group at the discretion of the Employer; or</w:t>
            </w:r>
          </w:p>
        </w:tc>
      </w:tr>
      <w:tr>
        <w:trPr>
          <w:trHeight w:val="324"/>
        </w:trPr>
        <w:tc>
          <w:tcPr>
            <w:tcW w:w="4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w:t>
            </w: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any other circumstances acceptable to the Grantor.</w:t>
            </w:r>
          </w:p>
        </w:tc>
      </w:tr>
      <w:tr>
        <w:trPr>
          <w:trHeight w:val="306"/>
        </w:trPr>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7"/>
              </w:rPr>
              <w:t>13.</w:t>
            </w:r>
          </w:p>
        </w:tc>
        <w:tc>
          <w:tcPr>
            <w:tcW w:w="22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Take-Over</w:t>
            </w:r>
          </w:p>
        </w:tc>
        <w:tc>
          <w:tcPr>
            <w:tcW w:w="8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9"/>
              </w:rPr>
              <w:t>In the event of a take-over offer being made for the Shares of the Grantor, the Grantor shall use its best endeavours</w:t>
            </w:r>
          </w:p>
        </w:tc>
      </w:tr>
      <w:tr>
        <w:trPr>
          <w:trHeight w:val="216"/>
        </w:trPr>
        <w:tc>
          <w:tcPr>
            <w:tcW w:w="4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 procure that such take-over offer be extended to any Shares that may be allotted pursuant to the exercise of</w:t>
            </w:r>
          </w:p>
        </w:tc>
      </w:tr>
      <w:tr>
        <w:trPr>
          <w:trHeight w:val="234"/>
        </w:trPr>
        <w:tc>
          <w:tcPr>
            <w:tcW w:w="4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unexercised Options.</w:t>
            </w:r>
          </w:p>
        </w:tc>
      </w:tr>
      <w:tr>
        <w:trPr>
          <w:trHeight w:val="306"/>
        </w:trPr>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7"/>
              </w:rPr>
              <w:t>14.</w:t>
            </w:r>
          </w:p>
        </w:tc>
        <w:tc>
          <w:tcPr>
            <w:tcW w:w="22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Winding Up</w:t>
            </w:r>
          </w:p>
        </w:tc>
        <w:tc>
          <w:tcPr>
            <w:tcW w:w="8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All unexercised or partially exercised Options shall be automatically terminated and shall be null and void in the</w:t>
            </w:r>
          </w:p>
        </w:tc>
      </w:tr>
      <w:tr>
        <w:trPr>
          <w:trHeight w:val="234"/>
        </w:trPr>
        <w:tc>
          <w:tcPr>
            <w:tcW w:w="4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event that a resolution is passed or a court order is made for the winding-up of the Employer or the Grantor.</w:t>
            </w:r>
          </w:p>
        </w:tc>
      </w:tr>
      <w:tr>
        <w:trPr>
          <w:trHeight w:val="302"/>
        </w:trPr>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7"/>
              </w:rPr>
              <w:t>15.</w:t>
            </w:r>
          </w:p>
        </w:tc>
        <w:tc>
          <w:tcPr>
            <w:tcW w:w="22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Modification and/or</w:t>
            </w:r>
          </w:p>
        </w:tc>
        <w:tc>
          <w:tcPr>
            <w:tcW w:w="8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Grantor may at any time and from time to time amend or delete, in its discretion provided that the</w:t>
            </w:r>
          </w:p>
        </w:tc>
      </w:tr>
      <w:tr>
        <w:trPr>
          <w:trHeight w:val="216"/>
        </w:trPr>
        <w:tc>
          <w:tcPr>
            <w:tcW w:w="480" w:type="dxa"/>
            <w:vAlign w:val="bottom"/>
          </w:tcPr>
          <w:p>
            <w:pPr>
              <w:spacing w:after="0"/>
              <w:rPr>
                <w:sz w:val="18"/>
                <w:szCs w:val="18"/>
                <w:color w:val="auto"/>
              </w:rPr>
            </w:pPr>
          </w:p>
        </w:tc>
        <w:tc>
          <w:tcPr>
            <w:tcW w:w="22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amendment to the</w:t>
            </w:r>
          </w:p>
        </w:tc>
        <w:tc>
          <w:tcPr>
            <w:tcW w:w="8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amendments and deletions made will not:-</w:t>
            </w:r>
          </w:p>
        </w:tc>
      </w:tr>
      <w:tr>
        <w:trPr>
          <w:trHeight w:val="238"/>
        </w:trPr>
        <w:tc>
          <w:tcPr>
            <w:tcW w:w="480" w:type="dxa"/>
            <w:vAlign w:val="bottom"/>
          </w:tcPr>
          <w:p>
            <w:pPr>
              <w:spacing w:after="0"/>
              <w:rPr>
                <w:sz w:val="20"/>
                <w:szCs w:val="20"/>
                <w:color w:val="auto"/>
              </w:rPr>
            </w:pPr>
          </w:p>
        </w:tc>
        <w:tc>
          <w:tcPr>
            <w:tcW w:w="22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Scheme</w:t>
            </w:r>
          </w:p>
        </w:tc>
        <w:tc>
          <w:tcPr>
            <w:tcW w:w="700" w:type="dxa"/>
            <w:vAlign w:val="bottom"/>
          </w:tcPr>
          <w:p>
            <w:pPr>
              <w:spacing w:after="0"/>
              <w:rPr>
                <w:sz w:val="20"/>
                <w:szCs w:val="20"/>
                <w:color w:val="auto"/>
              </w:rPr>
            </w:pPr>
          </w:p>
        </w:tc>
        <w:tc>
          <w:tcPr>
            <w:tcW w:w="8000" w:type="dxa"/>
            <w:vAlign w:val="bottom"/>
          </w:tcPr>
          <w:p>
            <w:pPr>
              <w:spacing w:after="0"/>
              <w:rPr>
                <w:sz w:val="20"/>
                <w:szCs w:val="20"/>
                <w:color w:val="auto"/>
              </w:rPr>
            </w:pPr>
          </w:p>
        </w:tc>
      </w:tr>
      <w:tr>
        <w:trPr>
          <w:trHeight w:val="338"/>
        </w:trPr>
        <w:tc>
          <w:tcPr>
            <w:tcW w:w="4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w:t>
            </w: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prejudice any rights then accrued to any Grantee without the prior consent or sanction of the Grantee;</w:t>
            </w:r>
          </w:p>
        </w:tc>
      </w:tr>
      <w:tr>
        <w:trPr>
          <w:trHeight w:val="306"/>
        </w:trPr>
        <w:tc>
          <w:tcPr>
            <w:tcW w:w="4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b)</w:t>
            </w: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prejudice any rights of the shareholders of the Grantor without the prior approval of the Grantor’s</w:t>
            </w:r>
          </w:p>
        </w:tc>
      </w:tr>
      <w:tr>
        <w:trPr>
          <w:trHeight w:val="234"/>
        </w:trPr>
        <w:tc>
          <w:tcPr>
            <w:tcW w:w="4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shareholders in a general meeting; and</w:t>
            </w:r>
          </w:p>
        </w:tc>
      </w:tr>
      <w:tr>
        <w:trPr>
          <w:trHeight w:val="324"/>
        </w:trPr>
        <w:tc>
          <w:tcPr>
            <w:tcW w:w="4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w:t>
            </w:r>
          </w:p>
        </w:tc>
        <w:tc>
          <w:tcPr>
            <w:tcW w:w="8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alter the benefit of the Grantee without the prior approval of the Grantor’s shareholders in a general meeting.</w:t>
            </w:r>
          </w:p>
        </w:tc>
      </w:tr>
      <w:tr>
        <w:trPr>
          <w:trHeight w:val="324"/>
        </w:trPr>
        <w:tc>
          <w:tcPr>
            <w:tcW w:w="4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On making such amendments, the Grantor shall as soon as practicable notify the Grantee of such changes.</w:t>
            </w:r>
          </w:p>
        </w:tc>
      </w:tr>
      <w:tr>
        <w:trPr>
          <w:trHeight w:val="306"/>
        </w:trPr>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7"/>
              </w:rPr>
              <w:t>16.</w:t>
            </w:r>
          </w:p>
        </w:tc>
        <w:tc>
          <w:tcPr>
            <w:tcW w:w="22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Buy Back</w:t>
            </w:r>
          </w:p>
        </w:tc>
        <w:tc>
          <w:tcPr>
            <w:tcW w:w="8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The Grantor may at any time offer to buy back any Option granted to the Grantee, whether or not vested, upon</w:t>
            </w:r>
          </w:p>
        </w:tc>
      </w:tr>
      <w:tr>
        <w:trPr>
          <w:trHeight w:val="234"/>
        </w:trPr>
        <w:tc>
          <w:tcPr>
            <w:tcW w:w="4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such terms, conditions and price as the Grantor may determine (“Offer”).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Page 4</w:t>
      </w:r>
    </w:p>
    <w:p>
      <w:pPr>
        <w:spacing w:after="0" w:line="12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i w:val="1"/>
          <w:iCs w:val="1"/>
          <w:color w:val="auto"/>
        </w:rPr>
        <w:t>Please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4907915</wp:posOffset>
            </wp:positionH>
            <wp:positionV relativeFrom="paragraph">
              <wp:posOffset>-6350</wp:posOffset>
            </wp:positionV>
            <wp:extent cx="5715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87" w:name="page388"/>
    <w:bookmarkEnd w:id="387"/>
    <w:p>
      <w:pPr>
        <w:spacing w:after="0" w:line="320" w:lineRule="exact"/>
        <w:rPr>
          <w:sz w:val="20"/>
          <w:szCs w:val="20"/>
          <w:color w:val="auto"/>
        </w:rPr>
      </w:pPr>
    </w:p>
    <w:p>
      <w:pPr>
        <w:ind w:left="652" w:right="240" w:hanging="652"/>
        <w:spacing w:after="0" w:line="317" w:lineRule="auto"/>
        <w:tabs>
          <w:tab w:leader="none" w:pos="652" w:val="left"/>
        </w:tabs>
        <w:numPr>
          <w:ilvl w:val="0"/>
          <w:numId w:val="4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Option not a Term of Employment</w:t>
      </w: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301" w:lineRule="exact"/>
        <w:rPr>
          <w:rFonts w:ascii="Times New Roman" w:cs="Times New Roman" w:eastAsia="Times New Roman" w:hAnsi="Times New Roman"/>
          <w:sz w:val="17"/>
          <w:szCs w:val="17"/>
          <w:b w:val="1"/>
          <w:bCs w:val="1"/>
          <w:color w:val="auto"/>
        </w:rPr>
      </w:pPr>
    </w:p>
    <w:p>
      <w:pPr>
        <w:ind w:left="652" w:right="300" w:hanging="652"/>
        <w:spacing w:after="0" w:line="286" w:lineRule="auto"/>
        <w:tabs>
          <w:tab w:leader="none" w:pos="652" w:val="left"/>
        </w:tabs>
        <w:numPr>
          <w:ilvl w:val="0"/>
          <w:numId w:val="4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Compensation for Termination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Grantee, may, if he desires, but is not obliged to, accept such Offer from the Grantor.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-213360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97" w:lineRule="exact"/>
        <w:rPr>
          <w:sz w:val="20"/>
          <w:szCs w:val="20"/>
          <w:color w:val="auto"/>
        </w:rPr>
      </w:pPr>
    </w:p>
    <w:p>
      <w:pPr>
        <w:ind w:left="280" w:right="420" w:hanging="280"/>
        <w:spacing w:after="0" w:line="282" w:lineRule="auto"/>
        <w:tabs>
          <w:tab w:leader="none" w:pos="28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shall not be confer or be construed to confer on a Grantee any special rights or privileges over his/her terms and conditions of employment with the Employer with whom the Grantee is employed.</w:t>
      </w:r>
    </w:p>
    <w:p>
      <w:pPr>
        <w:spacing w:after="0" w:line="67" w:lineRule="exact"/>
        <w:rPr>
          <w:rFonts w:ascii="Times New Roman" w:cs="Times New Roman" w:eastAsia="Times New Roman" w:hAnsi="Times New Roman"/>
          <w:sz w:val="18"/>
          <w:szCs w:val="18"/>
          <w:color w:val="auto"/>
        </w:rPr>
      </w:pPr>
    </w:p>
    <w:p>
      <w:pPr>
        <w:ind w:left="280" w:hanging="280"/>
        <w:spacing w:after="0"/>
        <w:tabs>
          <w:tab w:leader="none" w:pos="28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shall not constitute an employment with the Grantor or any member of the Group.</w:t>
      </w:r>
    </w:p>
    <w:p>
      <w:pPr>
        <w:spacing w:after="0" w:line="117" w:lineRule="exact"/>
        <w:rPr>
          <w:rFonts w:ascii="Times New Roman" w:cs="Times New Roman" w:eastAsia="Times New Roman" w:hAnsi="Times New Roman"/>
          <w:sz w:val="18"/>
          <w:szCs w:val="18"/>
          <w:color w:val="auto"/>
        </w:rPr>
      </w:pPr>
    </w:p>
    <w:p>
      <w:pPr>
        <w:ind w:left="280" w:right="620" w:hanging="280"/>
        <w:spacing w:after="0" w:line="282" w:lineRule="auto"/>
        <w:tabs>
          <w:tab w:leader="none" w:pos="28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does not grant any rights additional to any compensation for damages that the Grantee may normally be entitled to, arising from the cessation of such employment.</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No Grantee shall be entitled to any compensation for damages arising from the termination of any Option pursuant to the provisions of these conditions. Notwithstanding any provision of these conditions:-</w:t>
      </w:r>
    </w:p>
    <w:p>
      <w:pPr>
        <w:spacing w:after="0" w:line="67" w:lineRule="exact"/>
        <w:rPr>
          <w:sz w:val="20"/>
          <w:szCs w:val="20"/>
          <w:color w:val="auto"/>
        </w:rPr>
      </w:pPr>
    </w:p>
    <w:p>
      <w:pPr>
        <w:ind w:left="280" w:right="100" w:hanging="280"/>
        <w:spacing w:after="0" w:line="258" w:lineRule="auto"/>
        <w:tabs>
          <w:tab w:leader="none" w:pos="28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shall not form part of any contract of employment between the Grantor, the Employer or the Group and the Grantee. The rights of the Grantee under the terms of his/her office and/or employment with the Employer shall not be affected by his/her holding these Options, nor shall possession of the Option afford the Grantee any additional rights to compensation or damages in consequences of the termination of such office or employment for any reason;</w:t>
      </w:r>
    </w:p>
    <w:p>
      <w:pPr>
        <w:spacing w:after="0" w:line="75" w:lineRule="exact"/>
        <w:rPr>
          <w:rFonts w:ascii="Times New Roman" w:cs="Times New Roman" w:eastAsia="Times New Roman" w:hAnsi="Times New Roman"/>
          <w:sz w:val="18"/>
          <w:szCs w:val="18"/>
          <w:color w:val="auto"/>
        </w:rPr>
      </w:pPr>
    </w:p>
    <w:p>
      <w:pPr>
        <w:ind w:left="280" w:right="100" w:hanging="280"/>
        <w:spacing w:after="0" w:line="261" w:lineRule="auto"/>
        <w:tabs>
          <w:tab w:leader="none" w:pos="28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shall not confer on the Grantee any legal or equitable right or other rights under any other theory of law (other than those constituting the Options themselves) against the Employer or the Grantor, directly or indirectly, or give rise to any course of action in law or equity or under any other theory of law against the Employer, the Grantor or the Group;</w:t>
      </w:r>
    </w:p>
    <w:p>
      <w:pPr>
        <w:spacing w:after="0" w:line="71" w:lineRule="exact"/>
        <w:rPr>
          <w:rFonts w:ascii="Times New Roman" w:cs="Times New Roman" w:eastAsia="Times New Roman" w:hAnsi="Times New Roman"/>
          <w:sz w:val="18"/>
          <w:szCs w:val="18"/>
          <w:color w:val="auto"/>
        </w:rPr>
      </w:pPr>
    </w:p>
    <w:p>
      <w:pPr>
        <w:ind w:left="280" w:right="20" w:hanging="280"/>
        <w:spacing w:after="0" w:line="261" w:lineRule="auto"/>
        <w:tabs>
          <w:tab w:leader="none" w:pos="28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Grantee or his/her representatives shall bring any claim, action or proceeding against the Grantor or any other party for compensation, loss or damages whatsoever and howsoever arising from the suspension of his/her rights to exercise his/her Options or his/her Options ceasing to be valid pursuant to the provisions of the terms and conditions herein; and</w:t>
      </w:r>
    </w:p>
    <w:p>
      <w:pPr>
        <w:spacing w:after="0" w:line="71" w:lineRule="exact"/>
        <w:rPr>
          <w:rFonts w:ascii="Times New Roman" w:cs="Times New Roman" w:eastAsia="Times New Roman" w:hAnsi="Times New Roman"/>
          <w:sz w:val="18"/>
          <w:szCs w:val="18"/>
          <w:color w:val="auto"/>
        </w:rPr>
      </w:pPr>
    </w:p>
    <w:p>
      <w:pPr>
        <w:ind w:left="280" w:right="240" w:hanging="280"/>
        <w:spacing w:after="0" w:line="255" w:lineRule="auto"/>
        <w:tabs>
          <w:tab w:leader="none" w:pos="28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Grantor, the Employer or any member of the Group or any other party shall in no event be liable to the Grantee or representative or any other person or entity for any third party claim, loss of profits, loss of opportunity, loss of savings or any punitive, incidental or consequential damage, including performances of these terms and conditions or from any other cause whatsoever whether known or unknown, contingent, absolute or otherwise, whether based in contract, tort, equity, indemnity, breach of warranty or otherwise, whether pursuant to common law, statute, equity or otherwise even if the Grantor or any other party has been advised of the possibility of such damage and even if the limited remedy provided for is found to fail of essential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95250</wp:posOffset>
            </wp:positionV>
            <wp:extent cx="724662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2332" w:space="720"/>
            <w:col w:w="8360"/>
          </w:cols>
          <w:pgMar w:left="248" w:top="269" w:right="239" w:bottom="1440" w:gutter="0" w:footer="0" w:header="0"/>
        </w:sectPr>
      </w:pPr>
    </w:p>
    <w:p>
      <w:pPr>
        <w:jc w:val="right"/>
        <w:spacing w:after="0"/>
        <w:rPr>
          <w:sz w:val="20"/>
          <w:szCs w:val="20"/>
          <w:color w:val="auto"/>
        </w:rPr>
      </w:pPr>
      <w:r>
        <w:rPr>
          <w:rFonts w:ascii="Times New Roman" w:cs="Times New Roman" w:eastAsia="Times New Roman" w:hAnsi="Times New Roman"/>
          <w:sz w:val="18"/>
          <w:szCs w:val="18"/>
          <w:color w:val="auto"/>
        </w:rPr>
        <w:t>| Page 5</w:t>
      </w:r>
    </w:p>
    <w:p>
      <w:pPr>
        <w:spacing w:after="0" w:line="129" w:lineRule="exact"/>
        <w:rPr>
          <w:sz w:val="20"/>
          <w:szCs w:val="20"/>
          <w:color w:val="auto"/>
        </w:rPr>
      </w:pPr>
    </w:p>
    <w:p>
      <w:pPr>
        <w:ind w:left="6712"/>
        <w:spacing w:after="0"/>
        <w:rPr>
          <w:sz w:val="20"/>
          <w:szCs w:val="20"/>
          <w:color w:val="auto"/>
        </w:rPr>
      </w:pPr>
      <w:r>
        <w:rPr>
          <w:rFonts w:ascii="Times New Roman" w:cs="Times New Roman" w:eastAsia="Times New Roman" w:hAnsi="Times New Roman"/>
          <w:sz w:val="18"/>
          <w:szCs w:val="18"/>
          <w:i w:val="1"/>
          <w:iCs w:val="1"/>
          <w:color w:val="auto"/>
        </w:rPr>
        <w:t>Please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4902835</wp:posOffset>
            </wp:positionH>
            <wp:positionV relativeFrom="paragraph">
              <wp:posOffset>-6350</wp:posOffset>
            </wp:positionV>
            <wp:extent cx="5715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1412"/>
          </w:cols>
          <w:pgMar w:left="248" w:top="269" w:right="239" w:bottom="1440" w:gutter="0" w:footer="0" w:header="0"/>
          <w:type w:val="continuous"/>
        </w:sectPr>
      </w:pPr>
    </w:p>
    <w:bookmarkStart w:id="388" w:name="page389"/>
    <w:bookmarkEnd w:id="388"/>
    <w:tbl>
      <w:tblPr>
        <w:tblLayout w:type="fixed"/>
        <w:tblInd w:w="0" w:type="dxa"/>
        <w:tblCellMar>
          <w:top w:w="0" w:type="dxa"/>
          <w:left w:w="0" w:type="dxa"/>
          <w:bottom w:w="0" w:type="dxa"/>
          <w:right w:w="0" w:type="dxa"/>
        </w:tblCellMar>
      </w:tblPr>
      <w:tr>
        <w:trPr>
          <w:trHeight w:val="220"/>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19.</w:t>
            </w:r>
          </w:p>
        </w:tc>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Severability</w:t>
            </w:r>
          </w:p>
        </w:tc>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Any term, condition, stipulation or provision in these conditions which is illegal, void, prohibited or unenforceable</w:t>
            </w:r>
          </w:p>
        </w:tc>
      </w:tr>
      <w:tr>
        <w:trPr>
          <w:trHeight w:val="216"/>
        </w:trPr>
        <w:tc>
          <w:tcPr>
            <w:tcW w:w="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shall be ineffective to the extent of such illegality, voidness, prohibition or unenforceability without invalidating the</w:t>
            </w:r>
          </w:p>
        </w:tc>
      </w:tr>
      <w:tr>
        <w:trPr>
          <w:trHeight w:val="216"/>
        </w:trPr>
        <w:tc>
          <w:tcPr>
            <w:tcW w:w="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remaining provisions hereof, and any such illegality, voidness, prohibition or unenforceability shall not invalidate or</w:t>
            </w:r>
          </w:p>
        </w:tc>
      </w:tr>
      <w:tr>
        <w:trPr>
          <w:trHeight w:val="234"/>
        </w:trPr>
        <w:tc>
          <w:tcPr>
            <w:tcW w:w="4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render illegal, void or unenforceable any other term, condition, stipulation or provision herein contained.</w:t>
            </w:r>
          </w:p>
        </w:tc>
      </w:tr>
      <w:tr>
        <w:trPr>
          <w:trHeight w:val="302"/>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20.</w:t>
            </w:r>
          </w:p>
        </w:tc>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Governing Law and</w:t>
            </w:r>
          </w:p>
        </w:tc>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These conditions shall be governed and construed in accordance with the laws of Hong Kong and the parties agree to</w:t>
            </w:r>
          </w:p>
        </w:tc>
      </w:tr>
      <w:tr>
        <w:trPr>
          <w:trHeight w:val="220"/>
        </w:trPr>
        <w:tc>
          <w:tcPr>
            <w:tcW w:w="440" w:type="dxa"/>
            <w:vAlign w:val="bottom"/>
          </w:tcPr>
          <w:p>
            <w:pPr>
              <w:spacing w:after="0"/>
              <w:rPr>
                <w:sz w:val="19"/>
                <w:szCs w:val="19"/>
                <w:color w:val="auto"/>
              </w:rPr>
            </w:pPr>
          </w:p>
        </w:tc>
        <w:tc>
          <w:tcPr>
            <w:tcW w:w="2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exclusive jurisdiction of the Courts of Hong Kong in all matters connected with the obligations and liabilities of</w:t>
            </w:r>
          </w:p>
        </w:tc>
      </w:tr>
      <w:tr>
        <w:trPr>
          <w:trHeight w:val="234"/>
        </w:trPr>
        <w:tc>
          <w:tcPr>
            <w:tcW w:w="4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parties hereto under or arising out of this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Page 6</w:t>
      </w:r>
    </w:p>
    <w:p>
      <w:pPr>
        <w:spacing w:after="0" w:line="12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i w:val="1"/>
          <w:iCs w:val="1"/>
          <w:color w:val="auto"/>
        </w:rPr>
        <w:t>Please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4907915</wp:posOffset>
            </wp:positionH>
            <wp:positionV relativeFrom="paragraph">
              <wp:posOffset>-6350</wp:posOffset>
            </wp:positionV>
            <wp:extent cx="5715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389" w:name="page390"/>
    <w:bookmarkEnd w:id="389"/>
    <w:p>
      <w:pPr>
        <w:ind w:left="10480"/>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229" w:lineRule="exact"/>
        <w:rPr>
          <w:sz w:val="20"/>
          <w:szCs w:val="20"/>
          <w:color w:val="auto"/>
        </w:rPr>
      </w:pPr>
    </w:p>
    <w:p>
      <w:pPr>
        <w:ind w:left="460"/>
        <w:spacing w:after="0"/>
        <w:tabs>
          <w:tab w:leader="none" w:pos="6420" w:val="left"/>
        </w:tabs>
        <w:rPr>
          <w:sz w:val="20"/>
          <w:szCs w:val="20"/>
          <w:color w:val="auto"/>
        </w:rPr>
      </w:pPr>
      <w:r>
        <w:rPr>
          <w:rFonts w:ascii="Times New Roman" w:cs="Times New Roman" w:eastAsia="Times New Roman" w:hAnsi="Times New Roman"/>
          <w:sz w:val="18"/>
          <w:szCs w:val="18"/>
          <w:color w:val="auto"/>
        </w:rPr>
        <w:t>This Indemnification Agreement (the “Agreement”) is entered into as of</w:t>
      </w:r>
      <w:r>
        <w:rPr>
          <w:sz w:val="20"/>
          <w:szCs w:val="20"/>
          <w:color w:val="auto"/>
        </w:rPr>
        <w:tab/>
      </w:r>
      <w:r>
        <w:rPr>
          <w:rFonts w:ascii="Times New Roman" w:cs="Times New Roman" w:eastAsia="Times New Roman" w:hAnsi="Times New Roman"/>
          <w:sz w:val="18"/>
          <w:szCs w:val="18"/>
          <w:color w:val="auto"/>
        </w:rPr>
        <w:t>by and between iClick Interactive Asia Group Limited, a Cayman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Islands company (the “Company”) and the undersigned, a [director or officer] of the Company (“Indemnitee”).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120" w:firstLine="464"/>
        <w:spacing w:after="0" w:line="266" w:lineRule="auto"/>
        <w:tabs>
          <w:tab w:leader="none" w:pos="768"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that highly competent persons may be more reluctant to serve corporations as directors or in other capacities unless they are provided with adequate protection through insurance or adequate indemnification against risks of claims and actions against them arising out of their services to the corporation.</w:t>
      </w:r>
    </w:p>
    <w:p>
      <w:pPr>
        <w:spacing w:after="0" w:line="176" w:lineRule="exact"/>
        <w:rPr>
          <w:rFonts w:ascii="Times New Roman" w:cs="Times New Roman" w:eastAsia="Times New Roman" w:hAnsi="Times New Roman"/>
          <w:sz w:val="18"/>
          <w:szCs w:val="18"/>
          <w:color w:val="auto"/>
        </w:rPr>
      </w:pPr>
    </w:p>
    <w:p>
      <w:pPr>
        <w:ind w:right="40" w:firstLine="464"/>
        <w:spacing w:after="0" w:line="266" w:lineRule="auto"/>
        <w:tabs>
          <w:tab w:leader="none" w:pos="768"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(the “Board”) has determined that the inability to attract and retain highly competent persons to serve the Company is detrimental to the best interests of the Company and its shareholders and that it is reasonable and necessary for the Company to provide adequate protection to such persons against risks of claims and actions against them arising out of their services to the corporation.</w:t>
      </w:r>
    </w:p>
    <w:p>
      <w:pPr>
        <w:spacing w:after="0" w:line="176" w:lineRule="exact"/>
        <w:rPr>
          <w:rFonts w:ascii="Times New Roman" w:cs="Times New Roman" w:eastAsia="Times New Roman" w:hAnsi="Times New Roman"/>
          <w:sz w:val="18"/>
          <w:szCs w:val="18"/>
          <w:color w:val="auto"/>
        </w:rPr>
      </w:pPr>
    </w:p>
    <w:p>
      <w:pPr>
        <w:ind w:right="200" w:firstLine="464"/>
        <w:spacing w:after="0" w:line="282" w:lineRule="auto"/>
        <w:tabs>
          <w:tab w:leader="none" w:pos="768"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do not regard the indemnities available under the Company’s current memorandum and articles of association (the “Articles of Association”) as adequate to protect Indemnitee against the risks associated with his service to the Company.</w:t>
      </w:r>
    </w:p>
    <w:p>
      <w:pPr>
        <w:spacing w:after="0" w:line="161" w:lineRule="exact"/>
        <w:rPr>
          <w:rFonts w:ascii="Times New Roman" w:cs="Times New Roman" w:eastAsia="Times New Roman" w:hAnsi="Times New Roman"/>
          <w:sz w:val="18"/>
          <w:szCs w:val="18"/>
          <w:color w:val="auto"/>
        </w:rPr>
      </w:pPr>
    </w:p>
    <w:p>
      <w:pPr>
        <w:ind w:right="100" w:firstLine="464"/>
        <w:spacing w:after="0" w:line="282" w:lineRule="auto"/>
        <w:tabs>
          <w:tab w:leader="none" w:pos="768"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willing to indemnify Indemnitee to the fullest extent permitted by applicable law, and Indemnitee is willing to serve and continue to serve the Company on the condition that he be so indemnified.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consideration of the premises and the covenants contained herein, the Company and Indemnitee do hereby covenant and agree as follows:</w:t>
      </w:r>
    </w:p>
    <w:p>
      <w:pPr>
        <w:spacing w:after="0" w:line="370" w:lineRule="exact"/>
        <w:rPr>
          <w:sz w:val="20"/>
          <w:szCs w:val="20"/>
          <w:color w:val="auto"/>
        </w:rPr>
      </w:pPr>
    </w:p>
    <w:p>
      <w:pPr>
        <w:ind w:left="460" w:hanging="452"/>
        <w:spacing w:after="0"/>
        <w:tabs>
          <w:tab w:leader="none" w:pos="460" w:val="left"/>
        </w:tabs>
        <w:numPr>
          <w:ilvl w:val="0"/>
          <w:numId w:val="4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terms shall have the meanings defined below:</w:t>
      </w:r>
    </w:p>
    <w:p>
      <w:pPr>
        <w:spacing w:after="0" w:line="223" w:lineRule="exact"/>
        <w:rPr>
          <w:sz w:val="20"/>
          <w:szCs w:val="20"/>
          <w:color w:val="auto"/>
        </w:rPr>
      </w:pPr>
    </w:p>
    <w:p>
      <w:pPr>
        <w:ind w:right="60" w:firstLine="45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Disinterested Director </w:t>
      </w:r>
      <w:r>
        <w:rPr>
          <w:rFonts w:ascii="Times New Roman" w:cs="Times New Roman" w:eastAsia="Times New Roman" w:hAnsi="Times New Roman"/>
          <w:sz w:val="18"/>
          <w:szCs w:val="18"/>
          <w:color w:val="auto"/>
        </w:rPr>
        <w:t>means a director of the Company who is not and was not a party to the Proceeding in respect of which indemnification is sought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Indemnitee.</w:t>
      </w:r>
    </w:p>
    <w:p>
      <w:pPr>
        <w:sectPr>
          <w:pgSz w:w="11900" w:h="16838" w:orient="portrait"/>
          <w:cols w:equalWidth="0" w:num="1">
            <w:col w:w="11420"/>
          </w:cols>
          <w:pgMar w:left="240" w:top="117" w:right="239" w:bottom="1440" w:gutter="0" w:footer="0" w:header="0"/>
        </w:sectPr>
      </w:pPr>
    </w:p>
    <w:bookmarkStart w:id="390" w:name="page391"/>
    <w:bookmarkEnd w:id="390"/>
    <w:p>
      <w:pPr>
        <w:ind w:firstLine="456"/>
        <w:spacing w:after="0" w:line="252"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Change in Control </w:t>
      </w:r>
      <w:r>
        <w:rPr>
          <w:rFonts w:ascii="Times New Roman" w:cs="Times New Roman" w:eastAsia="Times New Roman" w:hAnsi="Times New Roman"/>
          <w:sz w:val="18"/>
          <w:szCs w:val="18"/>
          <w:color w:val="auto"/>
        </w:rPr>
        <w:t>shall be deemed to have occurred if, on or after the date of this Agreement, (i) any “person” (as such term is used in Sections 13(d)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14(d) of the Securities Exchange Act of 1934, as amended (the “Exchange Act”)), other than (a) a trustee or other fiduciary holding securities under an employee benefit plan of the Company acting in such capacity; (b) a corporation owned directly or indirectly by the shareholders of the Company in substantially the same proportions as their ownership of ordinary shares of the Company; or (c) any current beneficial shareholder or group, as defined by Rule 13d-5 of the Exchange Act, including the heirs, assigns and successors thereof, of beneficial ownership, within the meaning of Rule 13d-3 of the Exchange Act, of securities possessing more than 50% of the total combined voting power of the Company’s outstanding securities; hereafter becomes the “beneficial owner” (as defined in Rule 13d-3 under the Exchange Act), directly or indirectly, of securities of the Company representing more than 20% of the total combined voting power represented by the Company’s then outstanding ordinary shares, (ii) during any period of two consecutive years, individuals who at the beginning of such period constitute the Board and any new director whose election by the Board or nomination for election by the Company’s shareholders was approved by a vote of at least two thirds (2/3) of the directors then still in office who either were directors at the beginning of the period or whose election or nomination for election was previously so approved, cease for any reason to constitute a majority thereof, or (iii) the shareholders of the Company approve a merger or consolidation of the Company with any other corporation other than a merger or consolidation which would result in the ordinary shares of the Company outstanding immediately prior thereto continuing to represent (either by remaining outstanding or by being converted into ordinary shares of the surviving entity) at least 80% of the total voting power represented by the ordinary shares of the Company or such surviving entity outstanding immediately after such merger or consolidation, or the shareholders of the Company approve a plan of complete liquidation of the Company or an agreement for the sale or disposition by the Company of (in one transaction or a series of related transactions) all or substantially all of the Company’s assets.</w:t>
      </w:r>
    </w:p>
    <w:p>
      <w:pPr>
        <w:spacing w:after="0" w:line="196"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Expenses </w:t>
      </w:r>
      <w:r>
        <w:rPr>
          <w:rFonts w:ascii="Times New Roman" w:cs="Times New Roman" w:eastAsia="Times New Roman" w:hAnsi="Times New Roman"/>
          <w:sz w:val="18"/>
          <w:szCs w:val="18"/>
          <w:color w:val="auto"/>
        </w:rPr>
        <w:t>shall include damages, judgments, fines, penalties, settlements and costs, attorneys’ fees and disbursements and costs of attachment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bond, investigations, liabilities, losses, taxes, any expenses paid or incurred in connection with investigating, defending, being a witness in, participating in (including on appeal), or preparing for any of the foregoing in, any Proceeding, and any taxes, interests, assessments or other charges imposed as a result of the actual or deemed receipt of any payments under this Agreement.</w:t>
      </w:r>
    </w:p>
    <w:p>
      <w:pPr>
        <w:spacing w:after="0" w:line="180" w:lineRule="exact"/>
        <w:rPr>
          <w:sz w:val="20"/>
          <w:szCs w:val="20"/>
          <w:color w:val="auto"/>
        </w:rPr>
      </w:pPr>
    </w:p>
    <w:p>
      <w:pPr>
        <w:ind w:right="22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Indemnifiable Event </w:t>
      </w:r>
      <w:r>
        <w:rPr>
          <w:rFonts w:ascii="Times New Roman" w:cs="Times New Roman" w:eastAsia="Times New Roman" w:hAnsi="Times New Roman"/>
          <w:sz w:val="18"/>
          <w:szCs w:val="18"/>
          <w:color w:val="auto"/>
        </w:rPr>
        <w:t>means any event or occurrence that takes place either before or after the execution of this Agreement, related to the fact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Indemnitee is or was a director or an officer of the Company, or is or was serving at the request of the Company as a director, officer, employee or agent of another corporation, partnership, joint venture, trust or other entity, including services with respect to employee benefit plans, or was a director or officer of an entity that was a predecessor of the Company or another entity at the request of such predecessor entity, or related to anything done or not done by Indemnitee in any such capacity.</w:t>
      </w:r>
    </w:p>
    <w:p>
      <w:pPr>
        <w:spacing w:after="0" w:line="180"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Independent Counsel </w:t>
      </w:r>
      <w:r>
        <w:rPr>
          <w:rFonts w:ascii="Times New Roman" w:cs="Times New Roman" w:eastAsia="Times New Roman" w:hAnsi="Times New Roman"/>
          <w:sz w:val="18"/>
          <w:szCs w:val="18"/>
          <w:color w:val="auto"/>
        </w:rPr>
        <w:t>means a law firm, or a member of a law firm, that is experienced in matters of corporation law and neither presently is, nor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past five (5) years has been, retained to represent (i) the Company or Indemnitee in any matter material to either such party (other than with respect to matters concerning the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Participant </w:t>
      </w:r>
      <w:r>
        <w:rPr>
          <w:rFonts w:ascii="Times New Roman" w:cs="Times New Roman" w:eastAsia="Times New Roman" w:hAnsi="Times New Roman"/>
          <w:sz w:val="18"/>
          <w:szCs w:val="18"/>
          <w:color w:val="auto"/>
        </w:rPr>
        <w:t>means a person who is a party to, or witness or participant (including on appeal) in, a Proceeding.</w:t>
      </w:r>
    </w:p>
    <w:p>
      <w:pPr>
        <w:spacing w:after="0" w:line="225" w:lineRule="exact"/>
        <w:rPr>
          <w:sz w:val="20"/>
          <w:szCs w:val="20"/>
          <w:color w:val="auto"/>
        </w:rPr>
      </w:pPr>
    </w:p>
    <w:p>
      <w:pPr>
        <w:ind w:right="80" w:firstLine="456"/>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Proceeding </w:t>
      </w:r>
      <w:r>
        <w:rPr>
          <w:rFonts w:ascii="Times New Roman" w:cs="Times New Roman" w:eastAsia="Times New Roman" w:hAnsi="Times New Roman"/>
          <w:sz w:val="17"/>
          <w:szCs w:val="17"/>
          <w:color w:val="auto"/>
        </w:rPr>
        <w:t>means any threatened, pending, or completed action, suit or proceeding, or any inquiry, hearing or investigation, whether civil, criminal,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administrative, investigative or other, including any appeal thereof, in which Indemnitee may be or may have been involved as a party or otherwise by reason of an Indemnifiable Event, including, without limitation, any threatened, pending, or completed action, suit or proceeding by or in the right of the Company.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68" w:right="239" w:bottom="1440" w:gutter="0" w:footer="0" w:header="0"/>
        </w:sectPr>
      </w:pPr>
    </w:p>
    <w:bookmarkStart w:id="391" w:name="page392"/>
    <w:bookmarkEnd w:id="391"/>
    <w:p>
      <w:pPr>
        <w:ind w:right="120" w:firstLine="456"/>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Reviewing Party </w:t>
      </w:r>
      <w:r>
        <w:rPr>
          <w:rFonts w:ascii="Times New Roman" w:cs="Times New Roman" w:eastAsia="Times New Roman" w:hAnsi="Times New Roman"/>
          <w:sz w:val="18"/>
          <w:szCs w:val="18"/>
          <w:color w:val="auto"/>
        </w:rPr>
        <w:t>means (A) the Board by a majority vote of a quorum consisting of Disinterested Directors, or (B) if a quorum of the Board consisting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Disinterested Directors is not obtainable or, even if obtainable, said Disinterested Directors so direct, Independent Counsel in a written opinion to the Board, a copy of which shall be delivered to Indemnitee.</w:t>
      </w:r>
    </w:p>
    <w:p>
      <w:pPr>
        <w:spacing w:after="0" w:line="320" w:lineRule="exact"/>
        <w:rPr>
          <w:sz w:val="20"/>
          <w:szCs w:val="20"/>
          <w:color w:val="auto"/>
        </w:rPr>
      </w:pPr>
    </w:p>
    <w:p>
      <w:pPr>
        <w:ind w:left="460" w:hanging="452"/>
        <w:spacing w:after="0"/>
        <w:tabs>
          <w:tab w:leader="none" w:pos="460" w:val="left"/>
        </w:tabs>
        <w:numPr>
          <w:ilvl w:val="0"/>
          <w:numId w:val="4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 To Indemnify</w:t>
      </w:r>
    </w:p>
    <w:p>
      <w:pPr>
        <w:spacing w:after="0" w:line="121" w:lineRule="exact"/>
        <w:rPr>
          <w:rFonts w:ascii="Times New Roman" w:cs="Times New Roman" w:eastAsia="Times New Roman" w:hAnsi="Times New Roman"/>
          <w:sz w:val="18"/>
          <w:szCs w:val="18"/>
          <w:b w:val="1"/>
          <w:bCs w:val="1"/>
          <w:color w:val="auto"/>
        </w:rPr>
      </w:pPr>
    </w:p>
    <w:p>
      <w:pPr>
        <w:ind w:right="220" w:firstLine="464"/>
        <w:spacing w:after="0" w:line="266" w:lineRule="auto"/>
        <w:tabs>
          <w:tab w:leader="none" w:pos="771"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Agreement</w:t>
      </w:r>
      <w:r>
        <w:rPr>
          <w:rFonts w:ascii="Times New Roman" w:cs="Times New Roman" w:eastAsia="Times New Roman" w:hAnsi="Times New Roman"/>
          <w:sz w:val="18"/>
          <w:szCs w:val="18"/>
          <w:color w:val="auto"/>
        </w:rPr>
        <w:t>. In the event Indemnitee was, is, or becomes a Participant in, or is threatened to be made a Participant in, a Proceeding, the Company shall indemnify the Indemnitee from and against any and all Expenses which Indemnitee incurs or becomes obligated to incur in connection with such Proceeding, to the fullest extent permitted by applicable law.</w:t>
      </w:r>
    </w:p>
    <w:p>
      <w:pPr>
        <w:spacing w:after="0" w:line="176" w:lineRule="exact"/>
        <w:rPr>
          <w:rFonts w:ascii="Times New Roman" w:cs="Times New Roman" w:eastAsia="Times New Roman" w:hAnsi="Times New Roman"/>
          <w:sz w:val="18"/>
          <w:szCs w:val="18"/>
          <w:color w:val="auto"/>
        </w:rPr>
      </w:pPr>
    </w:p>
    <w:p>
      <w:pPr>
        <w:ind w:right="340" w:firstLine="464"/>
        <w:spacing w:after="0" w:line="266" w:lineRule="auto"/>
        <w:tabs>
          <w:tab w:leader="none" w:pos="771"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Indemnification</w:t>
      </w:r>
      <w:r>
        <w:rPr>
          <w:rFonts w:ascii="Times New Roman" w:cs="Times New Roman" w:eastAsia="Times New Roman" w:hAnsi="Times New Roman"/>
          <w:sz w:val="18"/>
          <w:szCs w:val="18"/>
          <w:color w:val="auto"/>
        </w:rPr>
        <w:t>. If Indemnitee is entitled under any provision of this Agreement to indemnification by the Company for a portion of Expenses, but not for the total amount of Expenses, the Company shall indemnify the Indemnitee for the portion of such Expenses to which Indemnitee is entitled.</w:t>
      </w:r>
    </w:p>
    <w:p>
      <w:pPr>
        <w:spacing w:after="0" w:line="176" w:lineRule="exact"/>
        <w:rPr>
          <w:rFonts w:ascii="Times New Roman" w:cs="Times New Roman" w:eastAsia="Times New Roman" w:hAnsi="Times New Roman"/>
          <w:sz w:val="18"/>
          <w:szCs w:val="18"/>
          <w:color w:val="auto"/>
        </w:rPr>
      </w:pPr>
    </w:p>
    <w:p>
      <w:pPr>
        <w:ind w:left="780" w:hanging="316"/>
        <w:spacing w:after="0"/>
        <w:tabs>
          <w:tab w:leader="none" w:pos="78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  Notwithstanding anything in this Agreement to the contrary, Indemnitee shall not be entitled to indemnification under this Agreement:</w:t>
      </w:r>
    </w:p>
    <w:p>
      <w:pPr>
        <w:spacing w:after="0" w:line="225" w:lineRule="exact"/>
        <w:rPr>
          <w:rFonts w:ascii="Times New Roman" w:cs="Times New Roman" w:eastAsia="Times New Roman" w:hAnsi="Times New Roman"/>
          <w:sz w:val="18"/>
          <w:szCs w:val="18"/>
          <w:color w:val="auto"/>
        </w:rPr>
      </w:pPr>
    </w:p>
    <w:p>
      <w:pPr>
        <w:ind w:left="1300" w:hanging="379"/>
        <w:spacing w:after="0"/>
        <w:tabs>
          <w:tab w:leader="none" w:pos="1300" w:val="left"/>
        </w:tabs>
        <w:numPr>
          <w:ilvl w:val="2"/>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payment is actually made to Indemnitee under a valid, enforceable and collectible insurance policy;</w:t>
      </w:r>
    </w:p>
    <w:p>
      <w:pPr>
        <w:spacing w:after="0" w:line="225" w:lineRule="exact"/>
        <w:rPr>
          <w:rFonts w:ascii="Times New Roman" w:cs="Times New Roman" w:eastAsia="Times New Roman" w:hAnsi="Times New Roman"/>
          <w:sz w:val="18"/>
          <w:szCs w:val="18"/>
          <w:color w:val="auto"/>
        </w:rPr>
      </w:pPr>
    </w:p>
    <w:p>
      <w:pPr>
        <w:ind w:left="1320" w:hanging="399"/>
        <w:spacing w:after="0"/>
        <w:tabs>
          <w:tab w:leader="none" w:pos="1320" w:val="left"/>
        </w:tabs>
        <w:numPr>
          <w:ilvl w:val="2"/>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Indemnitee is indemnified and actually paid other than pursuant to this Agreement;</w:t>
      </w:r>
    </w:p>
    <w:p>
      <w:pPr>
        <w:spacing w:after="0" w:line="225" w:lineRule="exact"/>
        <w:rPr>
          <w:rFonts w:ascii="Times New Roman" w:cs="Times New Roman" w:eastAsia="Times New Roman" w:hAnsi="Times New Roman"/>
          <w:sz w:val="18"/>
          <w:szCs w:val="18"/>
          <w:color w:val="auto"/>
        </w:rPr>
      </w:pPr>
    </w:p>
    <w:p>
      <w:pPr>
        <w:ind w:right="120" w:firstLine="921"/>
        <w:spacing w:after="0" w:line="266" w:lineRule="auto"/>
        <w:tabs>
          <w:tab w:leader="none" w:pos="1293" w:val="left"/>
        </w:tabs>
        <w:numPr>
          <w:ilvl w:val="2"/>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Proceeding initiated by Indemnitee against the Company, any director or officer of the Company or any other party, and not by way of defense, unless (i) the Company has joined in or the Reviewing Party (as hereinafter defined) has consented to the initiation of such Proceeding; or (ii) the Proceeding is one to enforce indemnification rights under this Agreement or any applicable law;</w:t>
      </w:r>
    </w:p>
    <w:p>
      <w:pPr>
        <w:spacing w:after="0" w:line="176" w:lineRule="exact"/>
        <w:rPr>
          <w:rFonts w:ascii="Times New Roman" w:cs="Times New Roman" w:eastAsia="Times New Roman" w:hAnsi="Times New Roman"/>
          <w:sz w:val="18"/>
          <w:szCs w:val="18"/>
          <w:color w:val="auto"/>
        </w:rPr>
      </w:pPr>
    </w:p>
    <w:p>
      <w:pPr>
        <w:ind w:right="280" w:firstLine="921"/>
        <w:spacing w:after="0" w:line="282" w:lineRule="auto"/>
        <w:tabs>
          <w:tab w:leader="none" w:pos="1303" w:val="left"/>
        </w:tabs>
        <w:numPr>
          <w:ilvl w:val="2"/>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disgorgement of profits made from the purchase and sale by the Indemnitee of securities pursuant to Section 16(b) of the Exchange Act or similar provisions of any applicable U.S. state statutory law or common law;</w:t>
      </w:r>
    </w:p>
    <w:p>
      <w:pPr>
        <w:spacing w:after="0" w:line="161" w:lineRule="exact"/>
        <w:rPr>
          <w:rFonts w:ascii="Times New Roman" w:cs="Times New Roman" w:eastAsia="Times New Roman" w:hAnsi="Times New Roman"/>
          <w:sz w:val="18"/>
          <w:szCs w:val="18"/>
          <w:color w:val="auto"/>
        </w:rPr>
      </w:pPr>
    </w:p>
    <w:p>
      <w:pPr>
        <w:ind w:left="1300" w:hanging="379"/>
        <w:spacing w:after="0"/>
        <w:tabs>
          <w:tab w:leader="none" w:pos="1300" w:val="left"/>
        </w:tabs>
        <w:numPr>
          <w:ilvl w:val="2"/>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Expenses that have been finally judicially determined to have resulted from fraud, gross negligence or willful misconduct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w:t>
      </w:r>
    </w:p>
    <w:p>
      <w:pPr>
        <w:spacing w:after="0" w:line="206" w:lineRule="exact"/>
        <w:rPr>
          <w:rFonts w:ascii="Times New Roman" w:cs="Times New Roman" w:eastAsia="Times New Roman" w:hAnsi="Times New Roman"/>
          <w:sz w:val="18"/>
          <w:szCs w:val="18"/>
          <w:color w:val="auto"/>
        </w:rPr>
      </w:pPr>
    </w:p>
    <w:p>
      <w:pPr>
        <w:ind w:left="1280" w:hanging="359"/>
        <w:spacing w:after="0"/>
        <w:tabs>
          <w:tab w:leader="none" w:pos="1280" w:val="left"/>
        </w:tabs>
        <w:numPr>
          <w:ilvl w:val="2"/>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judgment, fine or penalty which the Company is prohibited by applicable law from paying as indemnity;</w:t>
      </w:r>
    </w:p>
    <w:p>
      <w:pPr>
        <w:spacing w:after="0" w:line="225" w:lineRule="exact"/>
        <w:rPr>
          <w:rFonts w:ascii="Times New Roman" w:cs="Times New Roman" w:eastAsia="Times New Roman" w:hAnsi="Times New Roman"/>
          <w:sz w:val="18"/>
          <w:szCs w:val="18"/>
          <w:color w:val="auto"/>
        </w:rPr>
      </w:pPr>
    </w:p>
    <w:p>
      <w:pPr>
        <w:ind w:left="1320" w:hanging="399"/>
        <w:spacing w:after="0"/>
        <w:tabs>
          <w:tab w:leader="none" w:pos="1320" w:val="left"/>
        </w:tabs>
        <w:numPr>
          <w:ilvl w:val="2"/>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out of Indemnitee’s personal tax matter; or</w:t>
      </w:r>
    </w:p>
    <w:p>
      <w:pPr>
        <w:spacing w:after="0" w:line="225" w:lineRule="exact"/>
        <w:rPr>
          <w:rFonts w:ascii="Times New Roman" w:cs="Times New Roman" w:eastAsia="Times New Roman" w:hAnsi="Times New Roman"/>
          <w:sz w:val="18"/>
          <w:szCs w:val="18"/>
          <w:color w:val="auto"/>
        </w:rPr>
      </w:pPr>
    </w:p>
    <w:p>
      <w:pPr>
        <w:ind w:right="260" w:firstLine="921"/>
        <w:spacing w:after="0" w:line="282" w:lineRule="auto"/>
        <w:tabs>
          <w:tab w:leader="none" w:pos="1303" w:val="left"/>
        </w:tabs>
        <w:numPr>
          <w:ilvl w:val="2"/>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arising out of Indemnitee’s breach of an employment agreement with the Company (if any) or any other agreement with the Company or any of its subsidiaries.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68" w:right="239" w:bottom="1440" w:gutter="0" w:footer="0" w:header="0"/>
        </w:sectPr>
      </w:pPr>
    </w:p>
    <w:bookmarkStart w:id="392" w:name="page393"/>
    <w:bookmarkEnd w:id="392"/>
    <w:p>
      <w:pPr>
        <w:ind w:left="780" w:hanging="316"/>
        <w:spacing w:after="0"/>
        <w:tabs>
          <w:tab w:leader="none" w:pos="780"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Employment Rights</w:t>
      </w:r>
      <w:r>
        <w:rPr>
          <w:rFonts w:ascii="Times New Roman" w:cs="Times New Roman" w:eastAsia="Times New Roman" w:hAnsi="Times New Roman"/>
          <w:sz w:val="18"/>
          <w:szCs w:val="18"/>
          <w:color w:val="auto"/>
        </w:rPr>
        <w:t>. Nothing in this Agreement is intended to create in Indemnitee any right to continued employment with the Company.</w:t>
      </w:r>
    </w:p>
    <w:p>
      <w:pPr>
        <w:spacing w:after="0" w:line="225" w:lineRule="exact"/>
        <w:rPr>
          <w:rFonts w:ascii="Times New Roman" w:cs="Times New Roman" w:eastAsia="Times New Roman" w:hAnsi="Times New Roman"/>
          <w:sz w:val="18"/>
          <w:szCs w:val="18"/>
          <w:color w:val="auto"/>
        </w:rPr>
      </w:pPr>
    </w:p>
    <w:p>
      <w:pPr>
        <w:ind w:firstLine="464"/>
        <w:spacing w:after="0" w:line="254" w:lineRule="auto"/>
        <w:tabs>
          <w:tab w:leader="none" w:pos="771"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provided in this Agreement is unavailable and may not be paid to Indemnitee for any reason other than those set forth in Section II. 3, then the Company shall contribute to the amount of Expenses paid in settlement actually and reasonably incurred and paid or payable by Indemnitee in such proportion as is appropriate to reflect (i) the relative benefits received by the Company on the one hand and by the Indemnitee on the other hand from the transaction from which such Proceeding arose, and (ii) the relative fault of the Company on the one hand and of the Indemnitee on the other hand in connection with the events which resulted in such Expenses, as well as any other relevant equitable considerations. The relative fault of the Company on the one hand and of the Indemnitee on the other hand shall be determined by reference to, among other things, the parties’ relative intent, knowledge, access to information and opportunity to correct or prevent the circumstances resulting in such Expenses, judgments, fines or settlement amounts. The Company agrees that it would not be just and equitable if contribution pursuant to this Section II. 5 were determined by pro rata allocation or any other method of allocation which does not take account of the foregoing equitable considerations.</w:t>
      </w:r>
    </w:p>
    <w:p>
      <w:pPr>
        <w:spacing w:after="0" w:line="33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III.  Indemnification Process</w:t>
      </w:r>
    </w:p>
    <w:p>
      <w:pPr>
        <w:spacing w:after="0" w:line="121" w:lineRule="exact"/>
        <w:rPr>
          <w:rFonts w:ascii="Times New Roman" w:cs="Times New Roman" w:eastAsia="Times New Roman" w:hAnsi="Times New Roman"/>
          <w:sz w:val="18"/>
          <w:szCs w:val="18"/>
          <w:color w:val="auto"/>
        </w:rPr>
      </w:pPr>
    </w:p>
    <w:p>
      <w:pPr>
        <w:ind w:right="200" w:firstLine="464"/>
        <w:spacing w:after="0" w:line="266" w:lineRule="auto"/>
        <w:tabs>
          <w:tab w:leader="none" w:pos="771"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and Cooperation By Indemnitee</w:t>
      </w:r>
      <w:r>
        <w:rPr>
          <w:rFonts w:ascii="Times New Roman" w:cs="Times New Roman" w:eastAsia="Times New Roman" w:hAnsi="Times New Roman"/>
          <w:sz w:val="18"/>
          <w:szCs w:val="18"/>
          <w:color w:val="auto"/>
        </w:rPr>
        <w:t>. Indemnitee shall give the Company notice in writing as soon as practicable of any claim made against Indemnitee for which indemnification will or could be sought under this Agreement. Notice to the Company shall be given in accordance with Section VI.7 below. In addition, Indemnitee shall give the Company such information and cooperation as the Company may reasonably request.</w:t>
      </w:r>
    </w:p>
    <w:p>
      <w:pPr>
        <w:spacing w:after="0" w:line="176" w:lineRule="exact"/>
        <w:rPr>
          <w:rFonts w:ascii="Times New Roman" w:cs="Times New Roman" w:eastAsia="Times New Roman" w:hAnsi="Times New Roman"/>
          <w:sz w:val="18"/>
          <w:szCs w:val="18"/>
          <w:color w:val="auto"/>
        </w:rPr>
      </w:pPr>
    </w:p>
    <w:p>
      <w:pPr>
        <w:ind w:left="780" w:hanging="316"/>
        <w:spacing w:after="0"/>
        <w:tabs>
          <w:tab w:leader="none" w:pos="780"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Payment</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right="360" w:firstLine="921"/>
        <w:spacing w:after="0" w:line="261" w:lineRule="auto"/>
        <w:tabs>
          <w:tab w:leader="none" w:pos="1293" w:val="left"/>
        </w:tabs>
        <w:numPr>
          <w:ilvl w:val="2"/>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Advancement of Expenses</w:t>
      </w:r>
      <w:r>
        <w:rPr>
          <w:rFonts w:ascii="Times New Roman" w:cs="Times New Roman" w:eastAsia="Times New Roman" w:hAnsi="Times New Roman"/>
          <w:sz w:val="18"/>
          <w:szCs w:val="18"/>
          <w:color w:val="auto"/>
        </w:rPr>
        <w:t>. Indemnitee may submit a written request with reasonable particulars to the Company requesting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advance to Indemnitee all Expenses that may be reasonably incurred in advance by Indemnitee in connection with a Proceeding. The Company shall, within ten (10) business days of receiving such a written request by Indemnitee, advance all requested Expenses to Indemnitee. Any excess of the advanced Expenses over the actual Expenses will be repaid to the Company.</w:t>
      </w:r>
    </w:p>
    <w:p>
      <w:pPr>
        <w:spacing w:after="0" w:line="180" w:lineRule="exact"/>
        <w:rPr>
          <w:rFonts w:ascii="Times New Roman" w:cs="Times New Roman" w:eastAsia="Times New Roman" w:hAnsi="Times New Roman"/>
          <w:sz w:val="18"/>
          <w:szCs w:val="18"/>
          <w:color w:val="auto"/>
        </w:rPr>
      </w:pPr>
    </w:p>
    <w:p>
      <w:pPr>
        <w:ind w:firstLine="921"/>
        <w:spacing w:after="0" w:line="267" w:lineRule="auto"/>
        <w:tabs>
          <w:tab w:leader="none" w:pos="1303" w:val="left"/>
        </w:tabs>
        <w:numPr>
          <w:ilvl w:val="2"/>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Reimbursement of Expenses</w:t>
      </w:r>
      <w:r>
        <w:rPr>
          <w:rFonts w:ascii="Times New Roman" w:cs="Times New Roman" w:eastAsia="Times New Roman" w:hAnsi="Times New Roman"/>
          <w:sz w:val="18"/>
          <w:szCs w:val="18"/>
          <w:color w:val="auto"/>
        </w:rPr>
        <w:t>. To the extent Indemnitee has not requested any advanced payment of Expenses from the Company, Indemnitee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entitled to receive reimbursement for the Expenses incurred in connection with a Proceeding from the Company as soon as practicable after Indemnitee makes a written request to the Company for reimbursement.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69" w:right="239" w:bottom="1440" w:gutter="0" w:footer="0" w:header="0"/>
        </w:sectPr>
      </w:pPr>
    </w:p>
    <w:bookmarkStart w:id="393" w:name="page394"/>
    <w:bookmarkEnd w:id="393"/>
    <w:p>
      <w:pPr>
        <w:ind w:right="80" w:firstLine="921"/>
        <w:spacing w:after="0" w:line="253" w:lineRule="auto"/>
        <w:tabs>
          <w:tab w:leader="none" w:pos="1293" w:val="left"/>
        </w:tabs>
        <w:numPr>
          <w:ilvl w:val="2"/>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Determination by the Reviewing Party</w:t>
      </w:r>
      <w:r>
        <w:rPr>
          <w:rFonts w:ascii="Times New Roman" w:cs="Times New Roman" w:eastAsia="Times New Roman" w:hAnsi="Times New Roman"/>
          <w:sz w:val="18"/>
          <w:szCs w:val="18"/>
          <w:color w:val="auto"/>
        </w:rPr>
        <w:t>. Notwithstanding the foregoing, (i) the obligations of the Company under Section II.1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condition that the Reviewing Party shall not have determined (in a written opinion, in any case in which the Independent Counsel referred to in Section III.2(e) hereof is involved) that Indemnitee would not be permitted to be indemnified under applicable law or the Company’s Articles of Association, and (ii) the obligation of the Company to make an advance payment of Expenses to Indemnitee pursuant to Section III. 2(a) shall be subject to the condition that, if, when and to the extent that the Reviewing Party determines that Indemnitee would not be permitted to be so indemnified under applicable law or the Company’s Articles of Association, the Company shall be entitled to be reimbursed by Indemnitee (who hereby agrees to reimburse the Company) for all such amounts theretofore paid; provided, however, that if Indemnitee has commenced or thereafter commences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advanced Expenses until a final judicial determination is made with respect thereto (as to which all rights of appeal therefrom have been exhausted or lapsed). The Indemnitee’s obligation to reimburse the Company for any advanced Expenses shall be unsecured and no interest shall be charged thereon. If there has not been a Change in Control, the Reviewing Party shall be selected by the Board, and if there has been such a Change in Control (other than a Change in Control which has been approved by a majority of the Company’s Board who were directors immediately prior to such Change in Control), the Reviewing Party shall be the Independent Counsel referred to in Section III.2(e) hereof.</w:t>
      </w:r>
    </w:p>
    <w:p>
      <w:pPr>
        <w:spacing w:after="0" w:line="186" w:lineRule="exact"/>
        <w:rPr>
          <w:rFonts w:ascii="Times New Roman" w:cs="Times New Roman" w:eastAsia="Times New Roman" w:hAnsi="Times New Roman"/>
          <w:sz w:val="18"/>
          <w:szCs w:val="18"/>
          <w:color w:val="auto"/>
        </w:rPr>
      </w:pPr>
    </w:p>
    <w:p>
      <w:pPr>
        <w:ind w:firstLine="921"/>
        <w:spacing w:after="0" w:line="257" w:lineRule="auto"/>
        <w:tabs>
          <w:tab w:leader="none" w:pos="1303" w:val="left"/>
        </w:tabs>
        <w:numPr>
          <w:ilvl w:val="2"/>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Enforcement of Indemnification Rights</w:t>
      </w:r>
      <w:r>
        <w:rPr>
          <w:rFonts w:ascii="Times New Roman" w:cs="Times New Roman" w:eastAsia="Times New Roman" w:hAnsi="Times New Roman"/>
          <w:sz w:val="18"/>
          <w:szCs w:val="18"/>
          <w:color w:val="auto"/>
        </w:rPr>
        <w:t>. If there has been no determination by the Reviewing Party or if the Reviewing Party determines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Indemnitee substantively would not be permitted to be indemnified in whole or in part under applicable law, or if Indemnitee has not otherwise been paid in full within 30 days after a written demand has been received by the Company, Indemnitee shall have the right to commence litigation in any court having subject matter jurisdiction thereof and in which venue is proper to recover the unpaid amount of the demand (an “Enforcement Proceeding”) and, if successful in whole or in part, Indemnitee shall be entitled to be paid any and all Expenses in connection with such Enforcement Proceeding. The Company hereby consents to service of process and to appear in any such proceeding.</w:t>
      </w:r>
    </w:p>
    <w:p>
      <w:pPr>
        <w:spacing w:after="0" w:line="182" w:lineRule="exact"/>
        <w:rPr>
          <w:rFonts w:ascii="Times New Roman" w:cs="Times New Roman" w:eastAsia="Times New Roman" w:hAnsi="Times New Roman"/>
          <w:sz w:val="18"/>
          <w:szCs w:val="18"/>
          <w:color w:val="auto"/>
        </w:rPr>
      </w:pPr>
    </w:p>
    <w:p>
      <w:pPr>
        <w:ind w:right="20" w:firstLine="921"/>
        <w:spacing w:after="0" w:line="255" w:lineRule="auto"/>
        <w:tabs>
          <w:tab w:leader="none" w:pos="1293" w:val="left"/>
        </w:tabs>
        <w:numPr>
          <w:ilvl w:val="2"/>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The Company agrees that if there is a Change in Control of the Company (other than a Change in Control which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approved by a majority of the Company’s Board who were directors immediately prior to such Change in Control) then, with respect to all matters thereafter arising concerning the rights of Indemnitees to payments of Expenses under this Agreement or any other agreement or under the Company’s Articles of Association as now or hereafter in effect, Independent Counsel shall be selected by the Indemnitee and approved by the Company (which approval shall not be unreasonably withheld). Such counsel, among other things, shall render its written opinion to the Company and Indemnitee as to whether and to what extent Indemnitee would be permitted to be indemnified under applicable law, and the Company agrees to abide by such opinion. The Company agrees to pay the reasonable fees of the Independent Counsel referred to above and to fully indemnify such counsel against any and all expenses (including attorneys’ fees), claims, liabilities and damages arising out of or relating to this Agreement or its engagement pursuant hereto.</w:t>
      </w:r>
    </w:p>
    <w:p>
      <w:pPr>
        <w:spacing w:after="0" w:line="187" w:lineRule="exact"/>
        <w:rPr>
          <w:rFonts w:ascii="Times New Roman" w:cs="Times New Roman" w:eastAsia="Times New Roman" w:hAnsi="Times New Roman"/>
          <w:sz w:val="18"/>
          <w:szCs w:val="18"/>
          <w:color w:val="auto"/>
        </w:rPr>
      </w:pPr>
    </w:p>
    <w:p>
      <w:pPr>
        <w:ind w:firstLine="464"/>
        <w:spacing w:after="0" w:line="253" w:lineRule="auto"/>
        <w:tabs>
          <w:tab w:leader="none" w:pos="771"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 of Defense</w:t>
      </w:r>
      <w:r>
        <w:rPr>
          <w:rFonts w:ascii="Times New Roman" w:cs="Times New Roman" w:eastAsia="Times New Roman" w:hAnsi="Times New Roman"/>
          <w:sz w:val="18"/>
          <w:szCs w:val="18"/>
          <w:color w:val="auto"/>
        </w:rPr>
        <w:t>. In the event the Company is obligated under this Agreement to advance or bear any Expenses for any Proceeding against Indemnitee, the Company shall be entitled to assume the defense of such Proceeding, with counsel approved by Indemnitee, upon delivery to Indemnitee of written notice of its election to do so. After delivery of such notice, approval of such counsel by Indemnitee in writing and the retention of such counsel by the Company, the Company will not be liable to Indemnitee under this Agreement for any fees of counsel subsequently incurred by Indemnitee with respect to the same Proceeding, unless (i) the employment of counsel by Indemnitee has been previously authorized by the Company, (ii) Indemnitee shall have reasonably concluded that, based on written advice of counsel, there may be a conflict of interest of such counsel retained by the Company between the Company and Indemnitee in the conduct of any such defense, or that counsel selected by the Company may not be adequately representing Indemnitee, or</w:t>
      </w:r>
    </w:p>
    <w:p>
      <w:pPr>
        <w:spacing w:after="0" w:line="3" w:lineRule="exact"/>
        <w:rPr>
          <w:rFonts w:ascii="Times New Roman" w:cs="Times New Roman" w:eastAsia="Times New Roman" w:hAnsi="Times New Roman"/>
          <w:sz w:val="18"/>
          <w:szCs w:val="18"/>
          <w:color w:val="auto"/>
        </w:rPr>
      </w:pPr>
    </w:p>
    <w:p>
      <w:pPr>
        <w:ind w:firstLine="8"/>
        <w:spacing w:after="0" w:line="255" w:lineRule="auto"/>
        <w:tabs>
          <w:tab w:leader="none" w:pos="315"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ceases or terminates the employment of such counsel with respect to the defense of such Proceeding, in any of which events the fees and expenses of Indemnitee’s counsel shall be at the expense of the Company. At all times, Indemnitee shall have the right to employ counsel in any Proceeding at Indemnitee’s expense.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68" w:right="239" w:bottom="1440" w:gutter="0" w:footer="0" w:header="0"/>
        </w:sectPr>
      </w:pPr>
    </w:p>
    <w:bookmarkStart w:id="394" w:name="page395"/>
    <w:bookmarkEnd w:id="394"/>
    <w:p>
      <w:pPr>
        <w:ind w:right="40" w:firstLine="464"/>
        <w:spacing w:after="0" w:line="255" w:lineRule="auto"/>
        <w:tabs>
          <w:tab w:leader="none" w:pos="771"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Defense to Indemnification, Burden of Proof and Presumptions</w:t>
      </w:r>
      <w:r>
        <w:rPr>
          <w:rFonts w:ascii="Times New Roman" w:cs="Times New Roman" w:eastAsia="Times New Roman" w:hAnsi="Times New Roman"/>
          <w:sz w:val="18"/>
          <w:szCs w:val="18"/>
          <w:color w:val="auto"/>
        </w:rPr>
        <w:t>. It shall be a defense to any action brought by Indemnitee against the Company to enforce this Agreement that it is not permissible under this Agreement or applicable law for the Company to indemnify the Indemnitee for the amount claimed. In connection with any such action or any determination by the Reviewing Party or otherwise as to whether Indemnitee is entitled to be indemnified under this Agreement, the burden of proving such a defense or determination shall be on the Company. Neither the failure of the Reviewing Party or the Company to have made a determination prior to the commencement of such action by Indemnitee that indemnification is proper under the circumstances because Indemnitee has met the standard of conduct set forth in applicable law, nor an actual determination by the Reviewing Party or the Company that Indemnitee had not met such applicable standard of conduct shall be a defense to the action or create a presumption that Indemnitee has not met the applicable standard of conduct.</w:t>
      </w:r>
    </w:p>
    <w:p>
      <w:pPr>
        <w:spacing w:after="0" w:line="185" w:lineRule="exact"/>
        <w:rPr>
          <w:rFonts w:ascii="Times New Roman" w:cs="Times New Roman" w:eastAsia="Times New Roman" w:hAnsi="Times New Roman"/>
          <w:sz w:val="18"/>
          <w:szCs w:val="18"/>
          <w:color w:val="auto"/>
        </w:rPr>
      </w:pPr>
    </w:p>
    <w:p>
      <w:pPr>
        <w:ind w:firstLine="464"/>
        <w:spacing w:after="0" w:line="266" w:lineRule="auto"/>
        <w:tabs>
          <w:tab w:leader="none" w:pos="771"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Settlement Without Consent</w:t>
      </w:r>
      <w:r>
        <w:rPr>
          <w:rFonts w:ascii="Times New Roman" w:cs="Times New Roman" w:eastAsia="Times New Roman" w:hAnsi="Times New Roman"/>
          <w:sz w:val="18"/>
          <w:szCs w:val="18"/>
          <w:color w:val="auto"/>
        </w:rPr>
        <w:t>. Neither party to this Agreement shall settle any Proceeding in any manner that would impose any damage, loss, penalty or limitation on Indemnitee without the other party’s written consent. Neither the Company nor Indemnitee shall unreasonably withhold its consent to any proposed settlement.</w:t>
      </w:r>
    </w:p>
    <w:p>
      <w:pPr>
        <w:spacing w:after="0" w:line="176" w:lineRule="exact"/>
        <w:rPr>
          <w:rFonts w:ascii="Times New Roman" w:cs="Times New Roman" w:eastAsia="Times New Roman" w:hAnsi="Times New Roman"/>
          <w:sz w:val="18"/>
          <w:szCs w:val="18"/>
          <w:color w:val="auto"/>
        </w:rPr>
      </w:pPr>
    </w:p>
    <w:p>
      <w:pPr>
        <w:jc w:val="both"/>
        <w:ind w:right="100" w:firstLine="464"/>
        <w:spacing w:after="0" w:line="266" w:lineRule="auto"/>
        <w:tabs>
          <w:tab w:leader="none" w:pos="771"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Participation</w:t>
      </w:r>
      <w:r>
        <w:rPr>
          <w:rFonts w:ascii="Times New Roman" w:cs="Times New Roman" w:eastAsia="Times New Roman" w:hAnsi="Times New Roman"/>
          <w:sz w:val="18"/>
          <w:szCs w:val="18"/>
          <w:color w:val="auto"/>
        </w:rPr>
        <w:t>. Subject to Section II.5, the Company shall not be liable to indemnify the Indemnitee under this Agreement with regard to any judicial action if the Company was not given a reasonable and timely opportunity, at its expense, to participate in the defense, conduct and/or settlement of such action.</w:t>
      </w:r>
    </w:p>
    <w:p>
      <w:pPr>
        <w:spacing w:after="0" w:line="32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IV.</w:t>
        <w:tab/>
        <w:t>Director and Officer Liability Insurance</w:t>
      </w:r>
    </w:p>
    <w:p>
      <w:pPr>
        <w:spacing w:after="0" w:line="121" w:lineRule="exact"/>
        <w:rPr>
          <w:sz w:val="20"/>
          <w:szCs w:val="20"/>
          <w:color w:val="auto"/>
        </w:rPr>
      </w:pPr>
    </w:p>
    <w:p>
      <w:pPr>
        <w:ind w:right="80" w:firstLine="464"/>
        <w:spacing w:after="0" w:line="258" w:lineRule="auto"/>
        <w:tabs>
          <w:tab w:leader="none" w:pos="771"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Insurance</w:t>
      </w:r>
      <w:r>
        <w:rPr>
          <w:rFonts w:ascii="Times New Roman" w:cs="Times New Roman" w:eastAsia="Times New Roman" w:hAnsi="Times New Roman"/>
          <w:sz w:val="18"/>
          <w:szCs w:val="18"/>
          <w:color w:val="auto"/>
        </w:rPr>
        <w:t>. The Company shall obtain and maintain a policy or policies of insurance with reputable insurance companies providing the officers and directors of the Company with coverage for losses incurred in connection with their services to the Company or to ensure the Company’s performance of its indemnification obligations under this Agreement. To the extent the Company determines that it is no longer practicable for the Company to maintain such insurances, it shall notify promptly its directors and officers before it terminates such insurances and such termination must be approved by the majority of the Company’s directors.</w:t>
      </w:r>
    </w:p>
    <w:p>
      <w:pPr>
        <w:spacing w:after="0" w:line="183" w:lineRule="exact"/>
        <w:rPr>
          <w:rFonts w:ascii="Times New Roman" w:cs="Times New Roman" w:eastAsia="Times New Roman" w:hAnsi="Times New Roman"/>
          <w:sz w:val="18"/>
          <w:szCs w:val="18"/>
          <w:color w:val="auto"/>
        </w:rPr>
      </w:pPr>
    </w:p>
    <w:p>
      <w:pPr>
        <w:ind w:firstLine="464"/>
        <w:spacing w:after="0" w:line="266" w:lineRule="auto"/>
        <w:tabs>
          <w:tab w:leader="none" w:pos="771"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Coverage of Indemnitee</w:t>
      </w:r>
      <w:r>
        <w:rPr>
          <w:rFonts w:ascii="Times New Roman" w:cs="Times New Roman" w:eastAsia="Times New Roman" w:hAnsi="Times New Roman"/>
          <w:sz w:val="18"/>
          <w:szCs w:val="18"/>
          <w:color w:val="auto"/>
        </w:rPr>
        <w:t>. To the extent the Company maintains an insurance policy or policies providing directors’ and officers’ liability insurance, Indemnitee shall be covered by such policy or policies, in accordance with its or their terms, to the maximum extent of the coverage available for any of the Company’s directors or officers.</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60"/>
          </w:cols>
          <w:pgMar w:left="240" w:top="270" w:right="299" w:bottom="1440" w:gutter="0" w:footer="0" w:header="0"/>
        </w:sectPr>
      </w:pPr>
    </w:p>
    <w:bookmarkStart w:id="395" w:name="page396"/>
    <w:bookmarkEnd w:id="395"/>
    <w:p>
      <w:pPr>
        <w:ind w:right="40" w:firstLine="464"/>
        <w:spacing w:after="0" w:line="261" w:lineRule="auto"/>
        <w:tabs>
          <w:tab w:leader="none" w:pos="771"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Obligation</w:t>
      </w:r>
      <w:r>
        <w:rPr>
          <w:rFonts w:ascii="Times New Roman" w:cs="Times New Roman" w:eastAsia="Times New Roman" w:hAnsi="Times New Roman"/>
          <w:sz w:val="18"/>
          <w:szCs w:val="18"/>
          <w:color w:val="auto"/>
        </w:rPr>
        <w:t>. Notwithstanding the foregoing, the Company shall have no obligation to obtain or maintain any director and officer insurance policy if a majority of the Company’s directors determines in good faith that such insurance is not reasonably available in the case that (i) premium costs for such insurance are disproportionate to the amount of coverage provided, (ii) the coverage provided by such insurance is limited by exclusions so as to provide an insufficient benefit, or (iii) Indemnitee is covered by similar insurance maintained by a parent or subsidiary of the Company.</w:t>
      </w:r>
    </w:p>
    <w:p>
      <w:pPr>
        <w:spacing w:after="0" w:line="324"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Non-Exclusivity; Federal Preemption; Term</w:t>
      </w:r>
    </w:p>
    <w:p>
      <w:pPr>
        <w:spacing w:after="0" w:line="121" w:lineRule="exact"/>
        <w:rPr>
          <w:rFonts w:ascii="Times New Roman" w:cs="Times New Roman" w:eastAsia="Times New Roman" w:hAnsi="Times New Roman"/>
          <w:sz w:val="18"/>
          <w:szCs w:val="18"/>
          <w:b w:val="1"/>
          <w:bCs w:val="1"/>
          <w:color w:val="auto"/>
        </w:rPr>
      </w:pPr>
    </w:p>
    <w:p>
      <w:pPr>
        <w:ind w:right="200" w:firstLine="464"/>
        <w:spacing w:after="0" w:line="258" w:lineRule="auto"/>
        <w:tabs>
          <w:tab w:leader="none" w:pos="771"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w:t>
      </w:r>
      <w:r>
        <w:rPr>
          <w:rFonts w:ascii="Times New Roman" w:cs="Times New Roman" w:eastAsia="Times New Roman" w:hAnsi="Times New Roman"/>
          <w:sz w:val="18"/>
          <w:szCs w:val="18"/>
          <w:color w:val="auto"/>
        </w:rPr>
        <w:t>. The indemnification provided by this Agreement shall not be deemed exclusive of any rights to which Indemnitee may be entitled under the Articles of Association, any vote of shareholders or directors, applicable law or any written agreement between Indemnitee and the Company (including its subsidiaries and affiliates). The indemnification provided under this Agreement shall continue to be available to Indemnitee for any action taken or not taken while serving in an indemnified capacity even though he may have ceased to serve in any such capacity at the time of any Proceeding.</w:t>
      </w:r>
    </w:p>
    <w:p>
      <w:pPr>
        <w:spacing w:after="0" w:line="183" w:lineRule="exact"/>
        <w:rPr>
          <w:rFonts w:ascii="Times New Roman" w:cs="Times New Roman" w:eastAsia="Times New Roman" w:hAnsi="Times New Roman"/>
          <w:sz w:val="18"/>
          <w:szCs w:val="18"/>
          <w:color w:val="auto"/>
        </w:rPr>
      </w:pPr>
    </w:p>
    <w:p>
      <w:pPr>
        <w:ind w:right="160" w:firstLine="464"/>
        <w:spacing w:after="0" w:line="256" w:lineRule="auto"/>
        <w:tabs>
          <w:tab w:leader="none" w:pos="771"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Federal Preemption</w:t>
      </w:r>
      <w:r>
        <w:rPr>
          <w:rFonts w:ascii="Times New Roman" w:cs="Times New Roman" w:eastAsia="Times New Roman" w:hAnsi="Times New Roman"/>
          <w:sz w:val="18"/>
          <w:szCs w:val="18"/>
          <w:color w:val="auto"/>
        </w:rPr>
        <w:t>. Notwithstanding the foregoing, both the Company and Indemnitee acknowledge that in certain instances, U.S. federal law or public policy may override applicable law and prohibit the Company from indemnifying its directors and officers under this Agreement or otherwise. Such instances include, but are not limited to, the U.S. Securities and Exchange Commission’s prohibition on indemnification for liabilities arising under certain U.S. federal securities laws. Indemnitee understands and acknowledges that the Company has undertaken or may be required in the future to undertake with the SEC to submit the question of indemnification to a court in certain circumstances for a determination of the Company’s right under public policy to indemnify Indemnitee.</w:t>
      </w:r>
    </w:p>
    <w:p>
      <w:pPr>
        <w:spacing w:after="0" w:line="187" w:lineRule="exact"/>
        <w:rPr>
          <w:rFonts w:ascii="Times New Roman" w:cs="Times New Roman" w:eastAsia="Times New Roman" w:hAnsi="Times New Roman"/>
          <w:sz w:val="18"/>
          <w:szCs w:val="18"/>
          <w:color w:val="auto"/>
        </w:rPr>
      </w:pPr>
    </w:p>
    <w:p>
      <w:pPr>
        <w:ind w:firstLine="464"/>
        <w:spacing w:after="0" w:line="255" w:lineRule="auto"/>
        <w:tabs>
          <w:tab w:leader="none" w:pos="771"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 Indemnitee is an officer and/or a director of the Company (or is or was serving at the request of the Company as a director, officer, employee or agent of another corporation, partnership, joint venture, trust or other enterprise) and shall continue thereafter so long as Indemnitee shall be subject to any Proceeding by reason of his former or current capacity at the Company or any other enterprise, including service with respect to employee benefit plans) at the Company’s request, whether or not he is acting or serving in any such capacity at the time any Expense is incurred for which indemnification can be provided under this Agreement. This Agreement shall continue in effect regardless of whether Indemnitee continues to serve as an officer and/or a director of the Company or any other enterprise at the Company’s request.</w:t>
      </w:r>
    </w:p>
    <w:p>
      <w:pPr>
        <w:spacing w:after="0" w:line="33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VI.</w:t>
        <w:tab/>
        <w:t>Miscellaneous</w:t>
      </w:r>
    </w:p>
    <w:p>
      <w:pPr>
        <w:spacing w:after="0" w:line="121" w:lineRule="exact"/>
        <w:rPr>
          <w:sz w:val="20"/>
          <w:szCs w:val="20"/>
          <w:color w:val="auto"/>
        </w:rPr>
      </w:pPr>
    </w:p>
    <w:p>
      <w:pPr>
        <w:jc w:val="both"/>
        <w:ind w:right="60" w:firstLine="464"/>
        <w:spacing w:after="0" w:line="261" w:lineRule="auto"/>
        <w:tabs>
          <w:tab w:leader="none" w:pos="771"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this Agreement</w:t>
      </w:r>
      <w:r>
        <w:rPr>
          <w:rFonts w:ascii="Times New Roman" w:cs="Times New Roman" w:eastAsia="Times New Roman" w:hAnsi="Times New Roman"/>
          <w:sz w:val="18"/>
          <w:szCs w:val="18"/>
          <w:color w:val="auto"/>
        </w:rPr>
        <w:t>. No supplement, modification, or amendment of this Agreement shall be binding unless executed in writing by the parties hereto. No waiver of any of the provisions of this Agreement shall operate as a waiver of any other provisions (whether or not similar), nor shall such waiver constitute a continuing waiver. Except as specifically provided in this Agreement, no failure to exercise or any delay in exercising any right or remedy shall constitute a waiver.</w:t>
      </w:r>
    </w:p>
    <w:p>
      <w:pPr>
        <w:spacing w:after="0" w:line="180" w:lineRule="exact"/>
        <w:rPr>
          <w:rFonts w:ascii="Times New Roman" w:cs="Times New Roman" w:eastAsia="Times New Roman" w:hAnsi="Times New Roman"/>
          <w:sz w:val="18"/>
          <w:szCs w:val="18"/>
          <w:color w:val="auto"/>
        </w:rPr>
      </w:pPr>
    </w:p>
    <w:p>
      <w:pPr>
        <w:ind w:right="80" w:firstLine="464"/>
        <w:spacing w:after="0" w:line="266" w:lineRule="auto"/>
        <w:tabs>
          <w:tab w:leader="none" w:pos="771"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In the event of payment to Indemnitee by the Company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to bring suit to enforce such rights.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0" w:right="239" w:bottom="1440" w:gutter="0" w:footer="0" w:header="0"/>
        </w:sectPr>
      </w:pPr>
    </w:p>
    <w:bookmarkStart w:id="396" w:name="page397"/>
    <w:bookmarkEnd w:id="396"/>
    <w:p>
      <w:pPr>
        <w:ind w:left="-20" w:right="100" w:firstLine="464"/>
        <w:spacing w:after="0" w:line="256" w:lineRule="auto"/>
        <w:tabs>
          <w:tab w:leader="none" w:pos="751"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Binding Effect</w:t>
      </w:r>
      <w:r>
        <w:rPr>
          <w:rFonts w:ascii="Times New Roman" w:cs="Times New Roman" w:eastAsia="Times New Roman" w:hAnsi="Times New Roman"/>
          <w:sz w:val="18"/>
          <w:szCs w:val="18"/>
          <w:color w:val="auto"/>
        </w:rPr>
        <w:t>. Neither this Agreement nor any of the rights or obligations hereunder may be assigned by either party hereto without the prior written consent of the other party; except that the Company may, without such consent, assign all such rights and obligations to a successor in interest to the Company which assumes all obligations of the Company under this Agreement in a written agreement in form and substance satisfactory to Indemnitee. Notwithstanding the foregoing, this Agreement shall be binding upon and inure to the benefit of and be enforceable by and against the parties hereto and the Company’s successors (including any direct or indirect successor by purchase, merger, consolidation, or otherwise to all or substantially all of the business and/or assets of the Company) and assigns, as well as Indemnitee’s spouses, heirs, and personal and legal representatives.</w:t>
      </w:r>
    </w:p>
    <w:p>
      <w:pPr>
        <w:spacing w:after="0" w:line="187" w:lineRule="exact"/>
        <w:rPr>
          <w:rFonts w:ascii="Times New Roman" w:cs="Times New Roman" w:eastAsia="Times New Roman" w:hAnsi="Times New Roman"/>
          <w:sz w:val="18"/>
          <w:szCs w:val="18"/>
          <w:color w:val="auto"/>
        </w:rPr>
      </w:pPr>
    </w:p>
    <w:p>
      <w:pPr>
        <w:ind w:left="-20" w:right="100" w:firstLine="464"/>
        <w:spacing w:after="0" w:line="256" w:lineRule="auto"/>
        <w:tabs>
          <w:tab w:leader="none" w:pos="751"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and Construction</w:t>
      </w:r>
      <w:r>
        <w:rPr>
          <w:rFonts w:ascii="Times New Roman" w:cs="Times New Roman" w:eastAsia="Times New Roman" w:hAnsi="Times New Roman"/>
          <w:sz w:val="18"/>
          <w:szCs w:val="18"/>
          <w:color w:val="auto"/>
        </w:rPr>
        <w:t>. Nothing in this Agreement is intended to require or shall be construed as requiring the Company to do or fail to do any act in violation of applicable law. The Company’s inability, pursuant to a court order, to perform its obligations under this Agreement shall not constitute a breach of this Agreement. In addition, if any portion of this Agreement shall be held by a court of competent jurisdiction to be invalid, void, or otherwise unenforceable, the remaining provisions shall remain enforceable to the fullest extent permitted by applicable law. The parties hereto acknowledge that they each have opportunities to have their respective counsels review this Agreement. Accordingly, this Agreement shall be deemed to be the product of both of the parties hereto, and no ambiguity shall be construed in favor of or against either of the parties hereto.</w:t>
      </w:r>
    </w:p>
    <w:p>
      <w:pPr>
        <w:spacing w:after="0" w:line="187" w:lineRule="exact"/>
        <w:rPr>
          <w:rFonts w:ascii="Times New Roman" w:cs="Times New Roman" w:eastAsia="Times New Roman" w:hAnsi="Times New Roman"/>
          <w:sz w:val="18"/>
          <w:szCs w:val="18"/>
          <w:color w:val="auto"/>
        </w:rPr>
      </w:pPr>
    </w:p>
    <w:p>
      <w:pPr>
        <w:ind w:left="760" w:hanging="316"/>
        <w:spacing w:after="0"/>
        <w:tabs>
          <w:tab w:leader="none" w:pos="76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counterparts, both of which taken together shall constitute one instrument.</w:t>
      </w:r>
    </w:p>
    <w:p>
      <w:pPr>
        <w:spacing w:after="0" w:line="225" w:lineRule="exact"/>
        <w:rPr>
          <w:rFonts w:ascii="Times New Roman" w:cs="Times New Roman" w:eastAsia="Times New Roman" w:hAnsi="Times New Roman"/>
          <w:sz w:val="18"/>
          <w:szCs w:val="18"/>
          <w:color w:val="auto"/>
        </w:rPr>
      </w:pPr>
    </w:p>
    <w:p>
      <w:pPr>
        <w:ind w:left="-20" w:right="40" w:firstLine="464"/>
        <w:spacing w:after="0" w:line="282" w:lineRule="auto"/>
        <w:tabs>
          <w:tab w:leader="none" w:pos="751"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acts and transactions pursuant hereto and the rights and obligations of the parties hereto shall be governed, construed and interpreted in accordance with the laws of the State of New York, U.S.A., without giving effect to conflicts of law provisions thereof.</w:t>
      </w:r>
    </w:p>
    <w:p>
      <w:pPr>
        <w:spacing w:after="0" w:line="161" w:lineRule="exact"/>
        <w:rPr>
          <w:rFonts w:ascii="Times New Roman" w:cs="Times New Roman" w:eastAsia="Times New Roman" w:hAnsi="Times New Roman"/>
          <w:sz w:val="18"/>
          <w:szCs w:val="18"/>
          <w:color w:val="auto"/>
        </w:rPr>
      </w:pPr>
    </w:p>
    <w:p>
      <w:pPr>
        <w:ind w:left="-20" w:firstLine="464"/>
        <w:spacing w:after="0" w:line="266" w:lineRule="auto"/>
        <w:tabs>
          <w:tab w:leader="none" w:pos="751"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and other communications required or permitted under this Agreement shall be made in writing and shall be deemed to have been duly given if delivered by hand, against receipt, on the date of delivery, or mailed, on the third business day after mailing, postage prepaid, certified or registered mail, return receipt requested, and addressed to the Company at: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Prosperity Millennia Plaza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663 King’s Road, Quarry Bay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Hong Kong S.A.R., People’s Republic of China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Ms. Jill Jiao</w:t>
      </w:r>
    </w:p>
    <w:p>
      <w:pPr>
        <w:spacing w:after="0" w:line="2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and to Indemnitee at: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60" w:top="270" w:right="259" w:bottom="1440" w:gutter="0" w:footer="0" w:header="0"/>
        </w:sectPr>
      </w:pPr>
    </w:p>
    <w:bookmarkStart w:id="397" w:name="page398"/>
    <w:bookmarkEnd w:id="39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change of address shall be effective only when done in accordance with this Section.</w:t>
      </w:r>
    </w:p>
    <w:p>
      <w:pPr>
        <w:spacing w:after="0" w:line="225" w:lineRule="exact"/>
        <w:rPr>
          <w:sz w:val="20"/>
          <w:szCs w:val="20"/>
          <w:color w:val="auto"/>
        </w:rPr>
      </w:pPr>
    </w:p>
    <w:p>
      <w:pPr>
        <w:ind w:left="-20" w:right="120" w:firstLine="464"/>
        <w:spacing w:after="0" w:line="266" w:lineRule="auto"/>
        <w:tabs>
          <w:tab w:leader="none" w:pos="751"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Relationships</w:t>
      </w:r>
      <w:r>
        <w:rPr>
          <w:rFonts w:ascii="Times New Roman" w:cs="Times New Roman" w:eastAsia="Times New Roman" w:hAnsi="Times New Roman"/>
          <w:sz w:val="18"/>
          <w:szCs w:val="18"/>
          <w:color w:val="auto"/>
        </w:rPr>
        <w:t>. The obligations and rights created under this Agreement shall not be affected by any amendment to the Company’s Articles of Association or any other agreement or instrument to which Indemnitee is not a party, and shall not diminish any other rights which Indemnitee now or in the future has against the Company or any other person or entity.</w:t>
      </w:r>
    </w:p>
    <w:p>
      <w:pPr>
        <w:spacing w:after="0" w:line="176" w:lineRule="exact"/>
        <w:rPr>
          <w:rFonts w:ascii="Times New Roman" w:cs="Times New Roman" w:eastAsia="Times New Roman" w:hAnsi="Times New Roman"/>
          <w:sz w:val="18"/>
          <w:szCs w:val="18"/>
          <w:color w:val="auto"/>
        </w:rPr>
      </w:pPr>
    </w:p>
    <w:p>
      <w:pPr>
        <w:ind w:left="-20" w:right="320" w:firstLine="464"/>
        <w:spacing w:after="0" w:line="261" w:lineRule="auto"/>
        <w:tabs>
          <w:tab w:leader="none" w:pos="751"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The Company expressly acknowledges that it has entered into this Agreement and assumed the obligations imposed on the Company under this Agreement in order to induce Indemnitee to serve or to continue to serve as a director or officer and acknowledges that Indemnitee is relying on this Agreement in serving or continuing to serve in such capacity. The Company further agrees to stipulate in any court proceeding that the Company is bound by all of the provisions of this Agreement.</w:t>
      </w:r>
    </w:p>
    <w:p>
      <w:pPr>
        <w:spacing w:after="0" w:line="180" w:lineRule="exact"/>
        <w:rPr>
          <w:rFonts w:ascii="Times New Roman" w:cs="Times New Roman" w:eastAsia="Times New Roman" w:hAnsi="Times New Roman"/>
          <w:sz w:val="18"/>
          <w:szCs w:val="18"/>
          <w:color w:val="auto"/>
        </w:rPr>
      </w:pPr>
    </w:p>
    <w:p>
      <w:pPr>
        <w:ind w:left="-20" w:right="240" w:firstLine="464"/>
        <w:spacing w:after="0" w:line="258" w:lineRule="auto"/>
        <w:tabs>
          <w:tab w:leader="none" w:pos="841"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 against Indemnitee, or Indemnitee’s estate, heirs, executors, administrators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83" w:lineRule="exact"/>
        <w:rPr>
          <w:rFonts w:ascii="Times New Roman" w:cs="Times New Roman" w:eastAsia="Times New Roman" w:hAnsi="Times New Roman"/>
          <w:sz w:val="18"/>
          <w:szCs w:val="18"/>
          <w:color w:val="auto"/>
        </w:rPr>
      </w:pPr>
    </w:p>
    <w:p>
      <w:pPr>
        <w:ind w:left="-20" w:firstLine="464"/>
        <w:spacing w:after="0" w:line="282" w:lineRule="auto"/>
        <w:tabs>
          <w:tab w:leader="none" w:pos="835"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and supersedes all prior agreements and understandings, both written and oral, between the parties with respect to the subject matter 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60" w:top="269" w:right="23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execute this Agreement as of the date first written above.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ICLICK INTERACTIVE ASIA GROUP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289877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289877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sectPr>
      <w:pgSz w:w="11900" w:h="16838" w:orient="portrait"/>
      <w:cols w:equalWidth="0" w:num="1">
        <w:col w:w="10219"/>
      </w:cols>
      <w:pgMar w:left="240" w:top="26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A97044"/>
    <w:multiLevelType w:val="hybridMultilevel"/>
    <w:lvl w:ilvl="0">
      <w:lvlJc w:val="left"/>
      <w:lvlText w:val="(%1)"/>
      <w:numFmt w:val="decimal"/>
      <w:start w:val="2"/>
    </w:lvl>
  </w:abstractNum>
  <w:abstractNum w:abstractNumId="1">
    <w:nsid w:val="1CDCE2DE"/>
    <w:multiLevelType w:val="hybridMultilevel"/>
    <w:lvl w:ilvl="0">
      <w:lvlJc w:val="left"/>
      <w:lvlText w:val="•"/>
      <w:numFmt w:val="bullet"/>
      <w:start w:val="1"/>
    </w:lvl>
  </w:abstractNum>
  <w:abstractNum w:abstractNumId="2">
    <w:nsid w:val="69D3947C"/>
    <w:multiLevelType w:val="hybridMultilevel"/>
    <w:lvl w:ilvl="0">
      <w:lvlJc w:val="left"/>
      <w:lvlText w:val="•"/>
      <w:numFmt w:val="bullet"/>
      <w:start w:val="1"/>
    </w:lvl>
  </w:abstractNum>
  <w:abstractNum w:abstractNumId="3">
    <w:nsid w:val="2539DFA5"/>
    <w:multiLevelType w:val="hybridMultilevel"/>
    <w:lvl w:ilvl="0">
      <w:lvlJc w:val="left"/>
      <w:lvlText w:val="•"/>
      <w:numFmt w:val="bullet"/>
      <w:start w:val="1"/>
    </w:lvl>
  </w:abstractNum>
  <w:abstractNum w:abstractNumId="4">
    <w:nsid w:val="2DB88089"/>
    <w:multiLevelType w:val="hybridMultilevel"/>
    <w:lvl w:ilvl="0">
      <w:lvlJc w:val="left"/>
      <w:lvlText w:val="•"/>
      <w:numFmt w:val="bullet"/>
      <w:start w:val="1"/>
    </w:lvl>
  </w:abstractNum>
  <w:abstractNum w:abstractNumId="5">
    <w:nsid w:val="706B674E"/>
    <w:multiLevelType w:val="hybridMultilevel"/>
    <w:lvl w:ilvl="0">
      <w:lvlJc w:val="left"/>
      <w:lvlText w:val="•"/>
      <w:numFmt w:val="bullet"/>
      <w:start w:val="1"/>
    </w:lvl>
  </w:abstractNum>
  <w:abstractNum w:abstractNumId="6">
    <w:nsid w:val="2C106A57"/>
    <w:multiLevelType w:val="hybridMultilevel"/>
    <w:lvl w:ilvl="0">
      <w:lvlJc w:val="left"/>
      <w:lvlText w:val="•"/>
      <w:numFmt w:val="bullet"/>
      <w:start w:val="1"/>
    </w:lvl>
  </w:abstractNum>
  <w:abstractNum w:abstractNumId="7">
    <w:nsid w:val="684EED59"/>
    <w:multiLevelType w:val="hybridMultilevel"/>
    <w:lvl w:ilvl="0">
      <w:lvlJc w:val="left"/>
      <w:lvlText w:val="(%1)"/>
      <w:numFmt w:val="decimal"/>
      <w:start w:val="1"/>
    </w:lvl>
  </w:abstractNum>
  <w:abstractNum w:abstractNumId="8">
    <w:nsid w:val="545EE5D3"/>
    <w:multiLevelType w:val="hybridMultilevel"/>
    <w:lvl w:ilvl="0">
      <w:lvlJc w:val="left"/>
      <w:lvlText w:val="•"/>
      <w:numFmt w:val="bullet"/>
      <w:start w:val="1"/>
    </w:lvl>
  </w:abstractNum>
  <w:abstractNum w:abstractNumId="9">
    <w:nsid w:val="4A66051"/>
    <w:multiLevelType w:val="hybridMultilevel"/>
    <w:lvl w:ilvl="0">
      <w:lvlJc w:val="left"/>
      <w:lvlText w:val="•"/>
      <w:numFmt w:val="bullet"/>
      <w:start w:val="1"/>
    </w:lvl>
  </w:abstractNum>
  <w:abstractNum w:abstractNumId="10">
    <w:nsid w:val="20F4BDAD"/>
    <w:multiLevelType w:val="hybridMultilevel"/>
    <w:lvl w:ilvl="0">
      <w:lvlJc w:val="left"/>
      <w:lvlText w:val="•"/>
      <w:numFmt w:val="bullet"/>
      <w:start w:val="1"/>
    </w:lvl>
  </w:abstractNum>
  <w:abstractNum w:abstractNumId="11">
    <w:nsid w:val="639DEFAC"/>
    <w:multiLevelType w:val="hybridMultilevel"/>
    <w:lvl w:ilvl="0">
      <w:lvlJc w:val="left"/>
      <w:lvlText w:val="•"/>
      <w:numFmt w:val="bullet"/>
      <w:start w:val="1"/>
    </w:lvl>
  </w:abstractNum>
  <w:abstractNum w:abstractNumId="12">
    <w:nsid w:val="501F9786"/>
    <w:multiLevelType w:val="hybridMultilevel"/>
    <w:lvl w:ilvl="0">
      <w:lvlJc w:val="left"/>
      <w:lvlText w:val="•"/>
      <w:numFmt w:val="bullet"/>
      <w:start w:val="1"/>
    </w:lvl>
  </w:abstractNum>
  <w:abstractNum w:abstractNumId="13">
    <w:nsid w:val="6B057295"/>
    <w:multiLevelType w:val="hybridMultilevel"/>
    <w:lvl w:ilvl="0">
      <w:lvlJc w:val="left"/>
      <w:lvlText w:val="1"/>
      <w:numFmt w:val="bullet"/>
      <w:start w:val="1"/>
    </w:lvl>
  </w:abstractNum>
  <w:abstractNum w:abstractNumId="14">
    <w:nsid w:val="2771AC80"/>
    <w:multiLevelType w:val="hybridMultilevel"/>
    <w:lvl w:ilvl="0">
      <w:lvlJc w:val="left"/>
      <w:lvlText w:val="•"/>
      <w:numFmt w:val="bullet"/>
      <w:start w:val="1"/>
    </w:lvl>
  </w:abstractNum>
  <w:abstractNum w:abstractNumId="15">
    <w:nsid w:val="1C4A08EC"/>
    <w:multiLevelType w:val="hybridMultilevel"/>
    <w:lvl w:ilvl="0">
      <w:lvlJc w:val="left"/>
      <w:lvlText w:val="•"/>
      <w:numFmt w:val="bullet"/>
      <w:start w:val="1"/>
    </w:lvl>
  </w:abstractNum>
  <w:abstractNum w:abstractNumId="16">
    <w:nsid w:val="1958BD17"/>
    <w:multiLevelType w:val="hybridMultilevel"/>
    <w:lvl w:ilvl="0">
      <w:lvlJc w:val="left"/>
      <w:lvlText w:val="\emdash "/>
      <w:numFmt w:val="bullet"/>
      <w:start w:val="1"/>
    </w:lvl>
  </w:abstractNum>
  <w:abstractNum w:abstractNumId="17">
    <w:nsid w:val="4E647FE4"/>
    <w:multiLevelType w:val="hybridMultilevel"/>
    <w:lvl w:ilvl="0">
      <w:lvlJc w:val="left"/>
      <w:lvlText w:val="•"/>
      <w:numFmt w:val="bullet"/>
      <w:start w:val="1"/>
    </w:lvl>
  </w:abstractNum>
  <w:abstractNum w:abstractNumId="18">
    <w:nsid w:val="E0BB885"/>
    <w:multiLevelType w:val="hybridMultilevel"/>
    <w:lvl w:ilvl="0">
      <w:lvlJc w:val="left"/>
      <w:lvlText w:val="•"/>
      <w:numFmt w:val="bullet"/>
      <w:start w:val="1"/>
    </w:lvl>
  </w:abstractNum>
  <w:abstractNum w:abstractNumId="19">
    <w:nsid w:val="565976F1"/>
    <w:multiLevelType w:val="hybridMultilevel"/>
    <w:lvl w:ilvl="0">
      <w:lvlJc w:val="left"/>
      <w:lvlText w:val="•"/>
      <w:numFmt w:val="bullet"/>
      <w:start w:val="1"/>
    </w:lvl>
  </w:abstractNum>
  <w:abstractNum w:abstractNumId="20">
    <w:nsid w:val="64212B8C"/>
    <w:multiLevelType w:val="hybridMultilevel"/>
    <w:lvl w:ilvl="0">
      <w:lvlJc w:val="left"/>
      <w:lvlText w:val="•"/>
      <w:numFmt w:val="bullet"/>
      <w:start w:val="1"/>
    </w:lvl>
  </w:abstractNum>
  <w:abstractNum w:abstractNumId="21">
    <w:nsid w:val="5C17530C"/>
    <w:multiLevelType w:val="hybridMultilevel"/>
    <w:lvl w:ilvl="0">
      <w:lvlJc w:val="left"/>
      <w:lvlText w:val="•"/>
      <w:numFmt w:val="bullet"/>
      <w:start w:val="1"/>
    </w:lvl>
  </w:abstractNum>
  <w:abstractNum w:abstractNumId="22">
    <w:nsid w:val="19A52566"/>
    <w:multiLevelType w:val="hybridMultilevel"/>
    <w:lvl w:ilvl="0">
      <w:lvlJc w:val="left"/>
      <w:lvlText w:val="•"/>
      <w:numFmt w:val="bullet"/>
      <w:start w:val="1"/>
    </w:lvl>
  </w:abstractNum>
  <w:abstractNum w:abstractNumId="23">
    <w:nsid w:val="335A1DF1"/>
    <w:multiLevelType w:val="hybridMultilevel"/>
    <w:lvl w:ilvl="0">
      <w:lvlJc w:val="left"/>
      <w:lvlText w:val="•"/>
      <w:numFmt w:val="bullet"/>
      <w:start w:val="1"/>
    </w:lvl>
  </w:abstractNum>
  <w:abstractNum w:abstractNumId="24">
    <w:nsid w:val="28677B7C"/>
    <w:multiLevelType w:val="hybridMultilevel"/>
    <w:lvl w:ilvl="0">
      <w:lvlJc w:val="left"/>
      <w:lvlText w:val="•"/>
      <w:numFmt w:val="bullet"/>
      <w:start w:val="1"/>
    </w:lvl>
  </w:abstractNum>
  <w:abstractNum w:abstractNumId="25">
    <w:nsid w:val="378D97C0"/>
    <w:multiLevelType w:val="hybridMultilevel"/>
    <w:lvl w:ilvl="0">
      <w:lvlJc w:val="left"/>
      <w:lvlText w:val="•"/>
      <w:numFmt w:val="bullet"/>
      <w:start w:val="1"/>
    </w:lvl>
  </w:abstractNum>
  <w:abstractNum w:abstractNumId="26">
    <w:nsid w:val="1D91467C"/>
    <w:multiLevelType w:val="hybridMultilevel"/>
    <w:lvl w:ilvl="0">
      <w:lvlJc w:val="left"/>
      <w:lvlText w:val="•"/>
      <w:numFmt w:val="bullet"/>
      <w:start w:val="1"/>
    </w:lvl>
  </w:abstractNum>
  <w:abstractNum w:abstractNumId="27">
    <w:nsid w:val="316032BB"/>
    <w:multiLevelType w:val="hybridMultilevel"/>
    <w:lvl w:ilvl="0">
      <w:lvlJc w:val="left"/>
      <w:lvlText w:val="•"/>
      <w:numFmt w:val="bullet"/>
      <w:start w:val="1"/>
    </w:lvl>
  </w:abstractNum>
  <w:abstractNum w:abstractNumId="28">
    <w:nsid w:val="44344C22"/>
    <w:multiLevelType w:val="hybridMultilevel"/>
    <w:lvl w:ilvl="0">
      <w:lvlJc w:val="left"/>
      <w:lvlText w:val="•"/>
      <w:numFmt w:val="bullet"/>
      <w:start w:val="1"/>
    </w:lvl>
  </w:abstractNum>
  <w:abstractNum w:abstractNumId="29">
    <w:nsid w:val="13CDFCFC"/>
    <w:multiLevelType w:val="hybridMultilevel"/>
    <w:lvl w:ilvl="0">
      <w:lvlJc w:val="left"/>
      <w:lvlText w:val="•"/>
      <w:numFmt w:val="bullet"/>
      <w:start w:val="1"/>
    </w:lvl>
  </w:abstractNum>
  <w:abstractNum w:abstractNumId="30">
    <w:nsid w:val="471745E4"/>
    <w:multiLevelType w:val="hybridMultilevel"/>
    <w:lvl w:ilvl="0">
      <w:lvlJc w:val="left"/>
      <w:lvlText w:val="(%1)"/>
      <w:numFmt w:val="decimal"/>
      <w:start w:val="1"/>
    </w:lvl>
  </w:abstractNum>
  <w:abstractNum w:abstractNumId="31">
    <w:nsid w:val="1DDBC66"/>
    <w:multiLevelType w:val="hybridMultilevel"/>
    <w:lvl w:ilvl="0">
      <w:lvlJc w:val="left"/>
      <w:lvlText w:val="(%1)"/>
      <w:numFmt w:val="decimal"/>
      <w:start w:val="1"/>
    </w:lvl>
  </w:abstractNum>
  <w:abstractNum w:abstractNumId="32">
    <w:nsid w:val="30AADFDA"/>
    <w:multiLevelType w:val="hybridMultilevel"/>
    <w:lvl w:ilvl="0">
      <w:lvlJc w:val="left"/>
      <w:lvlText w:val="(%1)"/>
      <w:numFmt w:val="decimal"/>
      <w:start w:val="1"/>
    </w:lvl>
  </w:abstractNum>
  <w:abstractNum w:abstractNumId="33">
    <w:nsid w:val="30EADA61"/>
    <w:multiLevelType w:val="hybridMultilevel"/>
    <w:lvl w:ilvl="0">
      <w:lvlJc w:val="left"/>
      <w:lvlText w:val="•"/>
      <w:numFmt w:val="bullet"/>
      <w:start w:val="1"/>
    </w:lvl>
  </w:abstractNum>
  <w:abstractNum w:abstractNumId="34">
    <w:nsid w:val="27179C0B"/>
    <w:multiLevelType w:val="hybridMultilevel"/>
    <w:lvl w:ilvl="0">
      <w:lvlJc w:val="left"/>
      <w:lvlText w:val="•"/>
      <w:numFmt w:val="bullet"/>
      <w:start w:val="1"/>
    </w:lvl>
  </w:abstractNum>
  <w:abstractNum w:abstractNumId="35">
    <w:nsid w:val="5E636063"/>
    <w:multiLevelType w:val="hybridMultilevel"/>
    <w:lvl w:ilvl="0">
      <w:lvlJc w:val="left"/>
      <w:lvlText w:val="•"/>
      <w:numFmt w:val="bullet"/>
      <w:start w:val="1"/>
    </w:lvl>
  </w:abstractNum>
  <w:abstractNum w:abstractNumId="36">
    <w:nsid w:val="215641AF"/>
    <w:multiLevelType w:val="hybridMultilevel"/>
    <w:lvl w:ilvl="0">
      <w:lvlJc w:val="left"/>
      <w:lvlText w:val="•"/>
      <w:numFmt w:val="bullet"/>
      <w:start w:val="1"/>
    </w:lvl>
  </w:abstractNum>
  <w:abstractNum w:abstractNumId="37">
    <w:nsid w:val="53280662"/>
    <w:multiLevelType w:val="hybridMultilevel"/>
    <w:lvl w:ilvl="0">
      <w:lvlJc w:val="left"/>
      <w:lvlText w:val="1"/>
      <w:numFmt w:val="bullet"/>
      <w:start w:val="1"/>
    </w:lvl>
  </w:abstractNum>
  <w:abstractNum w:abstractNumId="38">
    <w:nsid w:val="46B24DBC"/>
    <w:multiLevelType w:val="hybridMultilevel"/>
    <w:lvl w:ilvl="0">
      <w:lvlJc w:val="left"/>
      <w:lvlText w:val="•"/>
      <w:numFmt w:val="bullet"/>
      <w:start w:val="1"/>
    </w:lvl>
  </w:abstractNum>
  <w:abstractNum w:abstractNumId="39">
    <w:nsid w:val="75B52783"/>
    <w:multiLevelType w:val="hybridMultilevel"/>
    <w:lvl w:ilvl="0">
      <w:lvlJc w:val="left"/>
      <w:lvlText w:val="•"/>
      <w:numFmt w:val="bullet"/>
      <w:start w:val="1"/>
    </w:lvl>
  </w:abstractNum>
  <w:abstractNum w:abstractNumId="40">
    <w:nsid w:val="57CE66B4"/>
    <w:multiLevelType w:val="hybridMultilevel"/>
    <w:lvl w:ilvl="0">
      <w:lvlJc w:val="left"/>
      <w:lvlText w:val="(%1)"/>
      <w:numFmt w:val="decimal"/>
      <w:start w:val="4"/>
    </w:lvl>
  </w:abstractNum>
  <w:abstractNum w:abstractNumId="41">
    <w:nsid w:val="67A70B69"/>
    <w:multiLevelType w:val="hybridMultilevel"/>
    <w:lvl w:ilvl="0">
      <w:lvlJc w:val="left"/>
      <w:lvlText w:val="•"/>
      <w:numFmt w:val="bullet"/>
      <w:start w:val="1"/>
    </w:lvl>
  </w:abstractNum>
  <w:abstractNum w:abstractNumId="42">
    <w:nsid w:val="5953172F"/>
    <w:multiLevelType w:val="hybridMultilevel"/>
    <w:lvl w:ilvl="0">
      <w:lvlJc w:val="left"/>
      <w:lvlText w:val="(%1)"/>
      <w:numFmt w:val="decimal"/>
      <w:start w:val="1"/>
    </w:lvl>
  </w:abstractNum>
  <w:abstractNum w:abstractNumId="43">
    <w:nsid w:val="27EDFE3A"/>
    <w:multiLevelType w:val="hybridMultilevel"/>
    <w:lvl w:ilvl="0">
      <w:lvlJc w:val="left"/>
      <w:lvlText w:val="(%1)"/>
      <w:numFmt w:val="decimal"/>
      <w:start w:val="1"/>
    </w:lvl>
  </w:abstractNum>
  <w:abstractNum w:abstractNumId="44">
    <w:nsid w:val="52AC7DFF"/>
    <w:multiLevelType w:val="hybridMultilevel"/>
    <w:lvl w:ilvl="0">
      <w:lvlJc w:val="left"/>
      <w:lvlText w:val="•"/>
      <w:numFmt w:val="bullet"/>
      <w:start w:val="1"/>
    </w:lvl>
  </w:abstractNum>
  <w:abstractNum w:abstractNumId="45">
    <w:nsid w:val="C4C3AF"/>
    <w:multiLevelType w:val="hybridMultilevel"/>
    <w:lvl w:ilvl="0">
      <w:lvlJc w:val="left"/>
      <w:lvlText w:val="•"/>
      <w:numFmt w:val="bullet"/>
      <w:start w:val="1"/>
    </w:lvl>
  </w:abstractNum>
  <w:abstractNum w:abstractNumId="46">
    <w:nsid w:val="44380727"/>
    <w:multiLevelType w:val="hybridMultilevel"/>
    <w:lvl w:ilvl="0">
      <w:lvlJc w:val="left"/>
      <w:lvlText w:val="•"/>
      <w:numFmt w:val="bullet"/>
      <w:start w:val="1"/>
    </w:lvl>
  </w:abstractNum>
  <w:abstractNum w:abstractNumId="47">
    <w:nsid w:val="6C053B16"/>
    <w:multiLevelType w:val="hybridMultilevel"/>
    <w:lvl w:ilvl="0">
      <w:lvlJc w:val="left"/>
      <w:lvlText w:val="•"/>
      <w:numFmt w:val="bullet"/>
      <w:start w:val="1"/>
    </w:lvl>
  </w:abstractNum>
  <w:abstractNum w:abstractNumId="48">
    <w:nsid w:val="4F294393"/>
    <w:multiLevelType w:val="hybridMultilevel"/>
    <w:lvl w:ilvl="0">
      <w:lvlJc w:val="left"/>
      <w:lvlText w:val="•"/>
      <w:numFmt w:val="bullet"/>
      <w:start w:val="1"/>
    </w:lvl>
  </w:abstractNum>
  <w:abstractNum w:abstractNumId="49">
    <w:nsid w:val="5243BFAC"/>
    <w:multiLevelType w:val="hybridMultilevel"/>
    <w:lvl w:ilvl="0">
      <w:lvlJc w:val="left"/>
      <w:lvlText w:val="•"/>
      <w:numFmt w:val="bullet"/>
      <w:start w:val="1"/>
    </w:lvl>
  </w:abstractNum>
  <w:abstractNum w:abstractNumId="50">
    <w:nsid w:val="425EB207"/>
    <w:multiLevelType w:val="hybridMultilevel"/>
    <w:lvl w:ilvl="0">
      <w:lvlJc w:val="left"/>
      <w:lvlText w:val="•"/>
      <w:numFmt w:val="bullet"/>
      <w:start w:val="1"/>
    </w:lvl>
  </w:abstractNum>
  <w:abstractNum w:abstractNumId="51">
    <w:nsid w:val="334A6F1F"/>
    <w:multiLevelType w:val="hybridMultilevel"/>
    <w:lvl w:ilvl="0">
      <w:lvlJc w:val="left"/>
      <w:lvlText w:val="1"/>
      <w:numFmt w:val="bullet"/>
      <w:start w:val="1"/>
    </w:lvl>
  </w:abstractNum>
  <w:abstractNum w:abstractNumId="52">
    <w:nsid w:val="2E5B12B8"/>
    <w:multiLevelType w:val="hybridMultilevel"/>
    <w:lvl w:ilvl="0">
      <w:lvlJc w:val="left"/>
      <w:lvlText w:val="(%1)"/>
      <w:numFmt w:val="lowerLetter"/>
      <w:start w:val="1"/>
    </w:lvl>
  </w:abstractNum>
  <w:abstractNum w:abstractNumId="53">
    <w:nsid w:val="5C03D76D"/>
    <w:multiLevelType w:val="hybridMultilevel"/>
    <w:lvl w:ilvl="0">
      <w:lvlJc w:val="left"/>
      <w:lvlText w:val="•"/>
      <w:numFmt w:val="bullet"/>
      <w:start w:val="1"/>
    </w:lvl>
  </w:abstractNum>
  <w:abstractNum w:abstractNumId="54">
    <w:nsid w:val="66A48D11"/>
    <w:multiLevelType w:val="hybridMultilevel"/>
    <w:lvl w:ilvl="0">
      <w:lvlJc w:val="left"/>
      <w:lvlText w:val="•"/>
      <w:numFmt w:val="bullet"/>
      <w:start w:val="1"/>
    </w:lvl>
  </w:abstractNum>
  <w:abstractNum w:abstractNumId="55">
    <w:nsid w:val="56C28E34"/>
    <w:multiLevelType w:val="hybridMultilevel"/>
    <w:lvl w:ilvl="0">
      <w:lvlJc w:val="left"/>
      <w:lvlText w:val="•"/>
      <w:numFmt w:val="bullet"/>
      <w:start w:val="1"/>
    </w:lvl>
  </w:abstractNum>
  <w:abstractNum w:abstractNumId="56">
    <w:nsid w:val="13916F2D"/>
    <w:multiLevelType w:val="hybridMultilevel"/>
    <w:lvl w:ilvl="0">
      <w:lvlJc w:val="left"/>
      <w:lvlText w:val="•"/>
      <w:numFmt w:val="bullet"/>
      <w:start w:val="1"/>
    </w:lvl>
  </w:abstractNum>
  <w:abstractNum w:abstractNumId="57">
    <w:nsid w:val="435D38D"/>
    <w:multiLevelType w:val="hybridMultilevel"/>
    <w:lvl w:ilvl="0">
      <w:lvlJc w:val="left"/>
      <w:lvlText w:val="•"/>
      <w:numFmt w:val="bullet"/>
      <w:start w:val="1"/>
    </w:lvl>
  </w:abstractNum>
  <w:abstractNum w:abstractNumId="58">
    <w:nsid w:val="822C0EF"/>
    <w:multiLevelType w:val="hybridMultilevel"/>
    <w:lvl w:ilvl="0">
      <w:lvlJc w:val="left"/>
      <w:lvlText w:val="•"/>
      <w:numFmt w:val="bullet"/>
      <w:start w:val="1"/>
    </w:lvl>
  </w:abstractNum>
  <w:abstractNum w:abstractNumId="59">
    <w:nsid w:val="57C5BB4F"/>
    <w:multiLevelType w:val="hybridMultilevel"/>
    <w:lvl w:ilvl="0">
      <w:lvlJc w:val="left"/>
      <w:lvlText w:val="•"/>
      <w:numFmt w:val="bullet"/>
      <w:start w:val="1"/>
    </w:lvl>
  </w:abstractNum>
  <w:abstractNum w:abstractNumId="60">
    <w:nsid w:val="1803D089"/>
    <w:multiLevelType w:val="hybridMultilevel"/>
    <w:lvl w:ilvl="0">
      <w:lvlJc w:val="left"/>
      <w:lvlText w:val="•"/>
      <w:numFmt w:val="bullet"/>
      <w:start w:val="1"/>
    </w:lvl>
  </w:abstractNum>
  <w:abstractNum w:abstractNumId="61">
    <w:nsid w:val="4F3A06D4"/>
    <w:multiLevelType w:val="hybridMultilevel"/>
    <w:lvl w:ilvl="0">
      <w:lvlJc w:val="left"/>
      <w:lvlText w:val="•"/>
      <w:numFmt w:val="bullet"/>
      <w:start w:val="1"/>
    </w:lvl>
  </w:abstractNum>
  <w:abstractNum w:abstractNumId="62">
    <w:nsid w:val="59A377B6"/>
    <w:multiLevelType w:val="hybridMultilevel"/>
    <w:lvl w:ilvl="0">
      <w:lvlJc w:val="left"/>
      <w:lvlText w:val="•"/>
      <w:numFmt w:val="bullet"/>
      <w:start w:val="1"/>
    </w:lvl>
  </w:abstractNum>
  <w:abstractNum w:abstractNumId="63">
    <w:nsid w:val="48AEB063"/>
    <w:multiLevelType w:val="hybridMultilevel"/>
    <w:lvl w:ilvl="0">
      <w:lvlJc w:val="left"/>
      <w:lvlText w:val="•"/>
      <w:numFmt w:val="bullet"/>
      <w:start w:val="1"/>
    </w:lvl>
  </w:abstractNum>
  <w:abstractNum w:abstractNumId="64">
    <w:nsid w:val="24E135"/>
    <w:multiLevelType w:val="hybridMultilevel"/>
    <w:lvl w:ilvl="0">
      <w:lvlJc w:val="left"/>
      <w:lvlText w:val="•"/>
      <w:numFmt w:val="bullet"/>
      <w:start w:val="1"/>
    </w:lvl>
  </w:abstractNum>
  <w:abstractNum w:abstractNumId="65">
    <w:nsid w:val="BB13C1"/>
    <w:multiLevelType w:val="hybridMultilevel"/>
    <w:lvl w:ilvl="0">
      <w:lvlJc w:val="left"/>
      <w:lvlText w:val="•"/>
      <w:numFmt w:val="bullet"/>
      <w:start w:val="1"/>
    </w:lvl>
  </w:abstractNum>
  <w:abstractNum w:abstractNumId="66">
    <w:nsid w:val="271210C7"/>
    <w:multiLevelType w:val="hybridMultilevel"/>
    <w:lvl w:ilvl="0">
      <w:lvlJc w:val="left"/>
      <w:lvlText w:val="\emdash "/>
      <w:numFmt w:val="bullet"/>
      <w:start w:val="1"/>
    </w:lvl>
  </w:abstractNum>
  <w:abstractNum w:abstractNumId="67">
    <w:nsid w:val="217B22E4"/>
    <w:multiLevelType w:val="hybridMultilevel"/>
    <w:lvl w:ilvl="0">
      <w:lvlJc w:val="left"/>
      <w:lvlText w:val="•"/>
      <w:numFmt w:val="bullet"/>
      <w:start w:val="1"/>
    </w:lvl>
  </w:abstractNum>
  <w:abstractNum w:abstractNumId="68">
    <w:nsid w:val="53E31A24"/>
    <w:multiLevelType w:val="hybridMultilevel"/>
    <w:lvl w:ilvl="0">
      <w:lvlJc w:val="left"/>
      <w:lvlText w:val="•"/>
      <w:numFmt w:val="bullet"/>
      <w:start w:val="1"/>
    </w:lvl>
  </w:abstractNum>
  <w:abstractNum w:abstractNumId="69">
    <w:nsid w:val="6DC45E83"/>
    <w:multiLevelType w:val="hybridMultilevel"/>
    <w:lvl w:ilvl="0">
      <w:lvlJc w:val="left"/>
      <w:lvlText w:val="•"/>
      <w:numFmt w:val="bullet"/>
      <w:start w:val="1"/>
    </w:lvl>
  </w:abstractNum>
  <w:abstractNum w:abstractNumId="70">
    <w:nsid w:val="17304A67"/>
    <w:multiLevelType w:val="hybridMultilevel"/>
    <w:lvl w:ilvl="0">
      <w:lvlJc w:val="left"/>
      <w:lvlText w:val="•"/>
      <w:numFmt w:val="bullet"/>
      <w:start w:val="1"/>
    </w:lvl>
  </w:abstractNum>
  <w:abstractNum w:abstractNumId="71">
    <w:nsid w:val="2BB180D8"/>
    <w:multiLevelType w:val="hybridMultilevel"/>
    <w:lvl w:ilvl="0">
      <w:lvlJc w:val="left"/>
      <w:lvlText w:val="•"/>
      <w:numFmt w:val="bullet"/>
      <w:start w:val="1"/>
    </w:lvl>
  </w:abstractNum>
  <w:abstractNum w:abstractNumId="72">
    <w:nsid w:val="556B69ED"/>
    <w:multiLevelType w:val="hybridMultilevel"/>
    <w:lvl w:ilvl="0">
      <w:lvlJc w:val="left"/>
      <w:lvlText w:val="•"/>
      <w:numFmt w:val="bullet"/>
      <w:start w:val="1"/>
    </w:lvl>
  </w:abstractNum>
  <w:abstractNum w:abstractNumId="73">
    <w:nsid w:val="70836196"/>
    <w:multiLevelType w:val="hybridMultilevel"/>
    <w:lvl w:ilvl="0">
      <w:lvlJc w:val="left"/>
      <w:lvlText w:val="(%1)"/>
      <w:numFmt w:val="lowerRoman"/>
      <w:start w:val="2"/>
    </w:lvl>
  </w:abstractNum>
  <w:abstractNum w:abstractNumId="74">
    <w:nsid w:val="539F7F12"/>
    <w:multiLevelType w:val="hybridMultilevel"/>
    <w:lvl w:ilvl="0">
      <w:lvlJc w:val="left"/>
      <w:lvlText w:val="\emdash "/>
      <w:numFmt w:val="bullet"/>
      <w:start w:val="1"/>
    </w:lvl>
  </w:abstractNum>
  <w:abstractNum w:abstractNumId="75">
    <w:nsid w:val="2817E7EC"/>
    <w:multiLevelType w:val="hybridMultilevel"/>
    <w:lvl w:ilvl="0">
      <w:lvlJc w:val="left"/>
      <w:lvlText w:val="•"/>
      <w:numFmt w:val="bullet"/>
      <w:start w:val="1"/>
    </w:lvl>
  </w:abstractNum>
  <w:abstractNum w:abstractNumId="76">
    <w:nsid w:val="71482545"/>
    <w:multiLevelType w:val="hybridMultilevel"/>
    <w:lvl w:ilvl="0">
      <w:lvlJc w:val="left"/>
      <w:lvlText w:val="•"/>
      <w:numFmt w:val="bullet"/>
      <w:start w:val="1"/>
    </w:lvl>
  </w:abstractNum>
  <w:abstractNum w:abstractNumId="77">
    <w:nsid w:val="17D78639"/>
    <w:multiLevelType w:val="hybridMultilevel"/>
    <w:lvl w:ilvl="0">
      <w:lvlJc w:val="left"/>
      <w:lvlText w:val="•"/>
      <w:numFmt w:val="bullet"/>
      <w:start w:val="1"/>
    </w:lvl>
  </w:abstractNum>
  <w:abstractNum w:abstractNumId="78">
    <w:nsid w:val="141D2302"/>
    <w:multiLevelType w:val="hybridMultilevel"/>
    <w:lvl w:ilvl="0">
      <w:lvlJc w:val="left"/>
      <w:lvlText w:val="(%1)"/>
      <w:numFmt w:val="lowerRoman"/>
      <w:start w:val="1"/>
    </w:lvl>
  </w:abstractNum>
  <w:abstractNum w:abstractNumId="79">
    <w:nsid w:val="407168D8"/>
    <w:multiLevelType w:val="hybridMultilevel"/>
    <w:lvl w:ilvl="0">
      <w:lvlJc w:val="left"/>
      <w:lvlText w:val="*"/>
      <w:numFmt w:val="bullet"/>
      <w:start w:val="1"/>
    </w:lvl>
  </w:abstractNum>
  <w:abstractNum w:abstractNumId="80">
    <w:nsid w:val="6A1B45E5"/>
    <w:multiLevelType w:val="hybridMultilevel"/>
    <w:lvl w:ilvl="0">
      <w:lvlJc w:val="left"/>
      <w:lvlText w:val="•"/>
      <w:numFmt w:val="bullet"/>
      <w:start w:val="1"/>
    </w:lvl>
  </w:abstractNum>
  <w:abstractNum w:abstractNumId="81">
    <w:nsid w:val="567BD50A"/>
    <w:multiLevelType w:val="hybridMultilevel"/>
    <w:lvl w:ilvl="0">
      <w:lvlJc w:val="left"/>
      <w:lvlText w:val="*"/>
      <w:numFmt w:val="bullet"/>
      <w:start w:val="1"/>
    </w:lvl>
  </w:abstractNum>
  <w:abstractNum w:abstractNumId="82">
    <w:nsid w:val="73BBD7F8"/>
    <w:multiLevelType w:val="hybridMultilevel"/>
    <w:lvl w:ilvl="0">
      <w:lvlJc w:val="left"/>
      <w:lvlText w:val="**"/>
      <w:numFmt w:val="bullet"/>
      <w:start w:val="1"/>
    </w:lvl>
  </w:abstractNum>
  <w:abstractNum w:abstractNumId="83">
    <w:nsid w:val="1876589D"/>
    <w:multiLevelType w:val="hybridMultilevel"/>
    <w:lvl w:ilvl="0">
      <w:lvlJc w:val="left"/>
      <w:lvlText w:val="+"/>
      <w:numFmt w:val="bullet"/>
      <w:start w:val="1"/>
    </w:lvl>
  </w:abstractNum>
  <w:abstractNum w:abstractNumId="84">
    <w:nsid w:val="327FAC77"/>
    <w:multiLevelType w:val="hybridMultilevel"/>
    <w:lvl w:ilvl="0">
      <w:lvlJc w:val="left"/>
      <w:lvlText w:val="++"/>
      <w:numFmt w:val="bullet"/>
      <w:start w:val="1"/>
    </w:lvl>
  </w:abstractNum>
  <w:abstractNum w:abstractNumId="85">
    <w:nsid w:val="5A606509"/>
    <w:multiLevelType w:val="hybridMultilevel"/>
    <w:lvl w:ilvl="0">
      <w:lvlJc w:val="left"/>
      <w:lvlText w:val="^"/>
      <w:numFmt w:val="bullet"/>
      <w:start w:val="1"/>
    </w:lvl>
  </w:abstractNum>
  <w:abstractNum w:abstractNumId="86">
    <w:nsid w:val="6F38E6D1"/>
    <w:multiLevelType w:val="hybridMultilevel"/>
    <w:lvl w:ilvl="0">
      <w:lvlJc w:val="left"/>
      <w:lvlText w:val="^^"/>
      <w:numFmt w:val="bullet"/>
      <w:start w:val="1"/>
    </w:lvl>
  </w:abstractNum>
  <w:abstractNum w:abstractNumId="87">
    <w:nsid w:val="46111BA5"/>
    <w:multiLevelType w:val="hybridMultilevel"/>
    <w:lvl w:ilvl="0">
      <w:lvlJc w:val="left"/>
      <w:lvlText w:val="(%1)"/>
      <w:numFmt w:val="decimal"/>
      <w:start w:val="1"/>
    </w:lvl>
  </w:abstractNum>
  <w:abstractNum w:abstractNumId="88">
    <w:nsid w:val="5E963896"/>
    <w:multiLevelType w:val="hybridMultilevel"/>
    <w:lvl w:ilvl="0">
      <w:lvlJc w:val="left"/>
      <w:lvlText w:val="(%1)"/>
      <w:numFmt w:val="decimal"/>
      <w:start w:val="4"/>
    </w:lvl>
  </w:abstractNum>
  <w:abstractNum w:abstractNumId="89">
    <w:nsid w:val="775BA7C1"/>
    <w:multiLevelType w:val="hybridMultilevel"/>
    <w:lvl w:ilvl="0">
      <w:lvlJc w:val="left"/>
      <w:lvlText w:val="(%1)"/>
      <w:numFmt w:val="lowerLetter"/>
      <w:start w:val="1"/>
    </w:lvl>
  </w:abstractNum>
  <w:abstractNum w:abstractNumId="90">
    <w:nsid w:val="1DD6D6F4"/>
    <w:multiLevelType w:val="hybridMultilevel"/>
    <w:lvl w:ilvl="0">
      <w:lvlJc w:val="left"/>
      <w:lvlText w:val="•"/>
      <w:numFmt w:val="bullet"/>
      <w:start w:val="1"/>
    </w:lvl>
  </w:abstractNum>
  <w:abstractNum w:abstractNumId="91">
    <w:nsid w:val="769A091F"/>
    <w:multiLevelType w:val="hybridMultilevel"/>
    <w:lvl w:ilvl="0">
      <w:lvlJc w:val="left"/>
      <w:lvlText w:val="•"/>
      <w:numFmt w:val="bullet"/>
      <w:start w:val="1"/>
    </w:lvl>
  </w:abstractNum>
  <w:abstractNum w:abstractNumId="92">
    <w:nsid w:val="4695AE95"/>
    <w:multiLevelType w:val="hybridMultilevel"/>
    <w:lvl w:ilvl="0">
      <w:lvlJc w:val="left"/>
      <w:lvlText w:val="•"/>
      <w:numFmt w:val="bullet"/>
      <w:start w:val="1"/>
    </w:lvl>
  </w:abstractNum>
  <w:abstractNum w:abstractNumId="93">
    <w:nsid w:val="777A4EAA"/>
    <w:multiLevelType w:val="hybridMultilevel"/>
    <w:lvl w:ilvl="0">
      <w:lvlJc w:val="left"/>
      <w:lvlText w:val="•"/>
      <w:numFmt w:val="bullet"/>
      <w:start w:val="1"/>
    </w:lvl>
  </w:abstractNum>
  <w:abstractNum w:abstractNumId="94">
    <w:nsid w:val="3F48B982"/>
    <w:multiLevelType w:val="hybridMultilevel"/>
    <w:lvl w:ilvl="0">
      <w:lvlJc w:val="left"/>
      <w:lvlText w:val="•"/>
      <w:numFmt w:val="bullet"/>
      <w:start w:val="1"/>
    </w:lvl>
  </w:abstractNum>
  <w:abstractNum w:abstractNumId="95">
    <w:nsid w:val="46BA8FCA"/>
    <w:multiLevelType w:val="hybridMultilevel"/>
    <w:lvl w:ilvl="0">
      <w:lvlJc w:val="left"/>
      <w:lvlText w:val="(%1)"/>
      <w:numFmt w:val="lowerLetter"/>
      <w:start w:val="1"/>
    </w:lvl>
  </w:abstractNum>
  <w:abstractNum w:abstractNumId="96">
    <w:nsid w:val="7835626C"/>
    <w:multiLevelType w:val="hybridMultilevel"/>
    <w:lvl w:ilvl="0">
      <w:lvlJc w:val="left"/>
      <w:lvlText w:val="•"/>
      <w:numFmt w:val="bullet"/>
      <w:start w:val="1"/>
    </w:lvl>
  </w:abstractNum>
  <w:abstractNum w:abstractNumId="97">
    <w:nsid w:val="665ACA49"/>
    <w:multiLevelType w:val="hybridMultilevel"/>
    <w:lvl w:ilvl="0">
      <w:lvlJc w:val="left"/>
      <w:lvlText w:val="(%1)"/>
      <w:numFmt w:val="lowerRoman"/>
      <w:start w:val="1"/>
    </w:lvl>
  </w:abstractNum>
  <w:abstractNum w:abstractNumId="98">
    <w:nsid w:val="6835B2AE"/>
    <w:multiLevelType w:val="hybridMultilevel"/>
    <w:lvl w:ilvl="0">
      <w:lvlJc w:val="left"/>
      <w:lvlText w:val="•"/>
      <w:numFmt w:val="bullet"/>
      <w:start w:val="1"/>
    </w:lvl>
  </w:abstractNum>
  <w:abstractNum w:abstractNumId="99">
    <w:nsid w:val="4C187C90"/>
    <w:multiLevelType w:val="hybridMultilevel"/>
    <w:lvl w:ilvl="0">
      <w:lvlJc w:val="left"/>
      <w:lvlText w:val="•"/>
      <w:numFmt w:val="bullet"/>
      <w:start w:val="1"/>
    </w:lvl>
  </w:abstractNum>
  <w:abstractNum w:abstractNumId="100">
    <w:nsid w:val="541F28CD"/>
    <w:multiLevelType w:val="hybridMultilevel"/>
    <w:lvl w:ilvl="0">
      <w:lvlJc w:val="left"/>
      <w:lvlText w:val="•"/>
      <w:numFmt w:val="bullet"/>
      <w:start w:val="1"/>
    </w:lvl>
  </w:abstractNum>
  <w:abstractNum w:abstractNumId="101">
    <w:nsid w:val="7F65FD16"/>
    <w:multiLevelType w:val="hybridMultilevel"/>
    <w:lvl w:ilvl="0">
      <w:lvlJc w:val="left"/>
      <w:lvlText w:val="(%1)"/>
      <w:numFmt w:val="lowerRoman"/>
      <w:start w:val="3"/>
    </w:lvl>
  </w:abstractNum>
  <w:abstractNum w:abstractNumId="102">
    <w:nsid w:val="77C9FD68"/>
    <w:multiLevelType w:val="hybridMultilevel"/>
    <w:lvl w:ilvl="0">
      <w:lvlJc w:val="left"/>
      <w:lvlText w:val="•"/>
      <w:numFmt w:val="bullet"/>
      <w:start w:val="1"/>
    </w:lvl>
  </w:abstractNum>
  <w:abstractNum w:abstractNumId="103">
    <w:nsid w:val="298A92BA"/>
    <w:multiLevelType w:val="hybridMultilevel"/>
    <w:lvl w:ilvl="0">
      <w:lvlJc w:val="left"/>
      <w:lvlText w:val="(%1)"/>
      <w:numFmt w:val="decimal"/>
      <w:start w:val="1"/>
    </w:lvl>
  </w:abstractNum>
  <w:abstractNum w:abstractNumId="104">
    <w:nsid w:val="6FE95EAC"/>
    <w:multiLevelType w:val="hybridMultilevel"/>
    <w:lvl w:ilvl="0">
      <w:lvlJc w:val="left"/>
      <w:lvlText w:val="(%1)"/>
      <w:numFmt w:val="decimal"/>
      <w:start w:val="2"/>
    </w:lvl>
  </w:abstractNum>
  <w:abstractNum w:abstractNumId="105">
    <w:nsid w:val="4B697C7A"/>
    <w:multiLevelType w:val="hybridMultilevel"/>
    <w:lvl w:ilvl="0">
      <w:lvlJc w:val="left"/>
      <w:lvlText w:val="(%1)"/>
      <w:numFmt w:val="lowerRoman"/>
      <w:start w:val="1"/>
    </w:lvl>
  </w:abstractNum>
  <w:abstractNum w:abstractNumId="106">
    <w:nsid w:val="51A27AA6"/>
    <w:multiLevelType w:val="hybridMultilevel"/>
    <w:lvl w:ilvl="0">
      <w:lvlJc w:val="left"/>
      <w:lvlText w:val="•"/>
      <w:numFmt w:val="bullet"/>
      <w:start w:val="1"/>
    </w:lvl>
  </w:abstractNum>
  <w:abstractNum w:abstractNumId="107">
    <w:nsid w:val="613183F2"/>
    <w:multiLevelType w:val="hybridMultilevel"/>
    <w:lvl w:ilvl="0">
      <w:lvlJc w:val="left"/>
      <w:lvlText w:val="(%1)"/>
      <w:numFmt w:val="lowerRoman"/>
      <w:start w:val="1"/>
    </w:lvl>
  </w:abstractNum>
  <w:abstractNum w:abstractNumId="108">
    <w:nsid w:val="634102B4"/>
    <w:multiLevelType w:val="hybridMultilevel"/>
    <w:lvl w:ilvl="0">
      <w:lvlJc w:val="left"/>
      <w:lvlText w:val="•"/>
      <w:numFmt w:val="bullet"/>
      <w:start w:val="1"/>
    </w:lvl>
  </w:abstractNum>
  <w:abstractNum w:abstractNumId="109">
    <w:nsid w:val="65BF9DA8"/>
    <w:multiLevelType w:val="hybridMultilevel"/>
    <w:lvl w:ilvl="0">
      <w:lvlJc w:val="left"/>
      <w:lvlText w:val="•"/>
      <w:numFmt w:val="bullet"/>
      <w:start w:val="1"/>
    </w:lvl>
  </w:abstractNum>
  <w:abstractNum w:abstractNumId="110">
    <w:nsid w:val="21A2ECCA"/>
    <w:multiLevelType w:val="hybridMultilevel"/>
    <w:lvl w:ilvl="0">
      <w:lvlJc w:val="left"/>
      <w:lvlText w:val="(%1)"/>
      <w:numFmt w:val="lowerLetter"/>
      <w:start w:val="3"/>
    </w:lvl>
  </w:abstractNum>
  <w:abstractNum w:abstractNumId="111">
    <w:nsid w:val="4D5C4899"/>
    <w:multiLevelType w:val="hybridMultilevel"/>
    <w:lvl w:ilvl="0">
      <w:lvlJc w:val="left"/>
      <w:lvlText w:val="•"/>
      <w:numFmt w:val="bullet"/>
      <w:start w:val="1"/>
    </w:lvl>
  </w:abstractNum>
  <w:abstractNum w:abstractNumId="112">
    <w:nsid w:val="3C3B72B2"/>
    <w:multiLevelType w:val="hybridMultilevel"/>
    <w:lvl w:ilvl="0">
      <w:lvlJc w:val="left"/>
      <w:lvlText w:val="•"/>
      <w:numFmt w:val="bullet"/>
      <w:start w:val="1"/>
    </w:lvl>
  </w:abstractNum>
  <w:abstractNum w:abstractNumId="113">
    <w:nsid w:val="155EC4C2"/>
    <w:multiLevelType w:val="hybridMultilevel"/>
    <w:lvl w:ilvl="0">
      <w:lvlJc w:val="left"/>
      <w:lvlText w:val="•"/>
      <w:numFmt w:val="bullet"/>
      <w:start w:val="1"/>
    </w:lvl>
  </w:abstractNum>
  <w:abstractNum w:abstractNumId="114">
    <w:nsid w:val="65D2A137"/>
    <w:multiLevelType w:val="hybridMultilevel"/>
    <w:lvl w:ilvl="0">
      <w:lvlJc w:val="left"/>
      <w:lvlText w:val="•"/>
      <w:numFmt w:val="bullet"/>
      <w:start w:val="1"/>
    </w:lvl>
  </w:abstractNum>
  <w:abstractNum w:abstractNumId="115">
    <w:nsid w:val="6EBB1F2A"/>
    <w:multiLevelType w:val="hybridMultilevel"/>
    <w:lvl w:ilvl="0">
      <w:lvlJc w:val="left"/>
      <w:lvlText w:val="•"/>
      <w:numFmt w:val="bullet"/>
      <w:start w:val="1"/>
    </w:lvl>
  </w:abstractNum>
  <w:abstractNum w:abstractNumId="116">
    <w:nsid w:val="6FBF29CB"/>
    <w:multiLevelType w:val="hybridMultilevel"/>
    <w:lvl w:ilvl="0">
      <w:lvlJc w:val="left"/>
      <w:lvlText w:val="•"/>
      <w:numFmt w:val="bullet"/>
      <w:start w:val="1"/>
    </w:lvl>
  </w:abstractNum>
  <w:abstractNum w:abstractNumId="117">
    <w:nsid w:val="550B8808"/>
    <w:multiLevelType w:val="hybridMultilevel"/>
    <w:lvl w:ilvl="0">
      <w:lvlJc w:val="left"/>
      <w:lvlText w:val="•"/>
      <w:numFmt w:val="bullet"/>
      <w:start w:val="1"/>
    </w:lvl>
  </w:abstractNum>
  <w:abstractNum w:abstractNumId="118">
    <w:nsid w:val="34CC3ACF"/>
    <w:multiLevelType w:val="hybridMultilevel"/>
    <w:lvl w:ilvl="0">
      <w:lvlJc w:val="left"/>
      <w:lvlText w:val="•"/>
      <w:numFmt w:val="bullet"/>
      <w:start w:val="1"/>
    </w:lvl>
  </w:abstractNum>
  <w:abstractNum w:abstractNumId="119">
    <w:nsid w:val="4E556261"/>
    <w:multiLevelType w:val="hybridMultilevel"/>
    <w:lvl w:ilvl="0">
      <w:lvlJc w:val="left"/>
      <w:lvlText w:val="•"/>
      <w:numFmt w:val="bullet"/>
      <w:start w:val="1"/>
    </w:lvl>
  </w:abstractNum>
  <w:abstractNum w:abstractNumId="120">
    <w:nsid w:val="4C672FC9"/>
    <w:multiLevelType w:val="hybridMultilevel"/>
    <w:lvl w:ilvl="0">
      <w:lvlJc w:val="left"/>
      <w:lvlText w:val="•"/>
      <w:numFmt w:val="bullet"/>
      <w:start w:val="1"/>
    </w:lvl>
  </w:abstractNum>
  <w:abstractNum w:abstractNumId="121">
    <w:nsid w:val="52A311C3"/>
    <w:multiLevelType w:val="hybridMultilevel"/>
    <w:lvl w:ilvl="0">
      <w:lvlJc w:val="left"/>
      <w:lvlText w:val="•"/>
      <w:numFmt w:val="bullet"/>
      <w:start w:val="1"/>
    </w:lvl>
  </w:abstractNum>
  <w:abstractNum w:abstractNumId="122">
    <w:nsid w:val="44EF6B80"/>
    <w:multiLevelType w:val="hybridMultilevel"/>
    <w:lvl w:ilvl="0">
      <w:lvlJc w:val="left"/>
      <w:lvlText w:val="•"/>
      <w:numFmt w:val="bullet"/>
      <w:start w:val="1"/>
    </w:lvl>
  </w:abstractNum>
  <w:abstractNum w:abstractNumId="123">
    <w:nsid w:val="12FCDE5E"/>
    <w:multiLevelType w:val="hybridMultilevel"/>
    <w:lvl w:ilvl="0">
      <w:lvlJc w:val="left"/>
      <w:lvlText w:val="•"/>
      <w:numFmt w:val="bullet"/>
      <w:start w:val="1"/>
    </w:lvl>
  </w:abstractNum>
  <w:abstractNum w:abstractNumId="124">
    <w:nsid w:val="4A1D606E"/>
    <w:multiLevelType w:val="hybridMultilevel"/>
    <w:lvl w:ilvl="0">
      <w:lvlJc w:val="left"/>
      <w:lvlText w:val="•"/>
      <w:numFmt w:val="bullet"/>
      <w:start w:val="1"/>
    </w:lvl>
  </w:abstractNum>
  <w:abstractNum w:abstractNumId="125">
    <w:nsid w:val="4382503"/>
    <w:multiLevelType w:val="hybridMultilevel"/>
    <w:lvl w:ilvl="0">
      <w:lvlJc w:val="left"/>
      <w:lvlText w:val="•"/>
      <w:numFmt w:val="bullet"/>
      <w:start w:val="1"/>
    </w:lvl>
    <w:lvl w:ilvl="1">
      <w:lvlJc w:val="left"/>
      <w:lvlText w:val="(%2)"/>
      <w:numFmt w:val="lowerRoman"/>
      <w:start w:val="1"/>
    </w:lvl>
  </w:abstractNum>
  <w:abstractNum w:abstractNumId="126">
    <w:nsid w:val="59B76E28"/>
    <w:multiLevelType w:val="hybridMultilevel"/>
    <w:lvl w:ilvl="0">
      <w:lvlJc w:val="left"/>
      <w:lvlText w:val="•"/>
      <w:numFmt w:val="bullet"/>
      <w:start w:val="1"/>
    </w:lvl>
  </w:abstractNum>
  <w:abstractNum w:abstractNumId="127">
    <w:nsid w:val="4252C2DA"/>
    <w:multiLevelType w:val="hybridMultilevel"/>
    <w:lvl w:ilvl="0">
      <w:lvlJc w:val="left"/>
      <w:lvlText w:val="1"/>
      <w:numFmt w:val="bullet"/>
      <w:start w:val="1"/>
    </w:lvl>
  </w:abstractNum>
  <w:abstractNum w:abstractNumId="128">
    <w:nsid w:val="6A92EF4C"/>
    <w:multiLevelType w:val="hybridMultilevel"/>
    <w:lvl w:ilvl="0">
      <w:lvlJc w:val="left"/>
      <w:lvlText w:val="(%1)"/>
      <w:numFmt w:val="lowerLetter"/>
      <w:start w:val="1"/>
    </w:lvl>
  </w:abstractNum>
  <w:abstractNum w:abstractNumId="129">
    <w:nsid w:val="41ED20D7"/>
    <w:multiLevelType w:val="hybridMultilevel"/>
    <w:lvl w:ilvl="0">
      <w:lvlJc w:val="left"/>
      <w:lvlText w:val="1"/>
      <w:numFmt w:val="bullet"/>
      <w:start w:val="1"/>
    </w:lvl>
  </w:abstractNum>
  <w:abstractNum w:abstractNumId="130">
    <w:nsid w:val="E6B3F6A"/>
    <w:multiLevelType w:val="hybridMultilevel"/>
    <w:lvl w:ilvl="0">
      <w:lvlJc w:val="left"/>
      <w:lvlText w:val="(%1)"/>
      <w:numFmt w:val="lowerLetter"/>
      <w:start w:val="1"/>
    </w:lvl>
  </w:abstractNum>
  <w:abstractNum w:abstractNumId="131">
    <w:nsid w:val="3EB21819"/>
    <w:multiLevelType w:val="hybridMultilevel"/>
    <w:lvl w:ilvl="0">
      <w:lvlJc w:val="left"/>
      <w:lvlText w:val="1"/>
      <w:numFmt w:val="bullet"/>
      <w:start w:val="1"/>
    </w:lvl>
  </w:abstractNum>
  <w:abstractNum w:abstractNumId="132">
    <w:nsid w:val="41531DED"/>
    <w:multiLevelType w:val="hybridMultilevel"/>
    <w:lvl w:ilvl="0">
      <w:lvlJc w:val="left"/>
      <w:lvlText w:val="(%1)"/>
      <w:numFmt w:val="lowerLetter"/>
      <w:start w:val="1"/>
    </w:lvl>
  </w:abstractNum>
  <w:abstractNum w:abstractNumId="133">
    <w:nsid w:val="6353CD2"/>
    <w:multiLevelType w:val="hybridMultilevel"/>
    <w:lvl w:ilvl="0">
      <w:lvlJc w:val="left"/>
      <w:lvlText w:val="1"/>
      <w:numFmt w:val="bullet"/>
      <w:start w:val="1"/>
    </w:lvl>
  </w:abstractNum>
  <w:abstractNum w:abstractNumId="134">
    <w:nsid w:val="683CAAD3"/>
    <w:multiLevelType w:val="hybridMultilevel"/>
    <w:lvl w:ilvl="0">
      <w:lvlJc w:val="left"/>
      <w:lvlText w:val="(%1)"/>
      <w:numFmt w:val="lowerLetter"/>
      <w:start w:val="2"/>
    </w:lvl>
  </w:abstractNum>
  <w:abstractNum w:abstractNumId="135">
    <w:nsid w:val="313C7C99"/>
    <w:multiLevelType w:val="hybridMultilevel"/>
    <w:lvl w:ilvl="0">
      <w:lvlJc w:val="left"/>
      <w:lvlText w:val="•"/>
      <w:numFmt w:val="bullet"/>
      <w:start w:val="1"/>
    </w:lvl>
  </w:abstractNum>
  <w:abstractNum w:abstractNumId="136">
    <w:nsid w:val="519EB94C"/>
    <w:multiLevelType w:val="hybridMultilevel"/>
    <w:lvl w:ilvl="0">
      <w:lvlJc w:val="left"/>
      <w:lvlText w:val="•"/>
      <w:numFmt w:val="bullet"/>
      <w:start w:val="1"/>
    </w:lvl>
  </w:abstractNum>
  <w:abstractNum w:abstractNumId="137">
    <w:nsid w:val="39DF2579"/>
    <w:multiLevelType w:val="hybridMultilevel"/>
    <w:lvl w:ilvl="0">
      <w:lvlJc w:val="left"/>
      <w:lvlText w:val="•"/>
      <w:numFmt w:val="bullet"/>
      <w:start w:val="1"/>
    </w:lvl>
  </w:abstractNum>
  <w:abstractNum w:abstractNumId="138">
    <w:nsid w:val="126E008B"/>
    <w:multiLevelType w:val="hybridMultilevel"/>
    <w:lvl w:ilvl="0">
      <w:lvlJc w:val="left"/>
      <w:lvlText w:val="1"/>
      <w:numFmt w:val="bullet"/>
      <w:start w:val="1"/>
    </w:lvl>
  </w:abstractNum>
  <w:abstractNum w:abstractNumId="139">
    <w:nsid w:val="34DFBC00"/>
    <w:multiLevelType w:val="hybridMultilevel"/>
    <w:lvl w:ilvl="0">
      <w:lvlJc w:val="left"/>
      <w:lvlText w:val="(%1)"/>
      <w:numFmt w:val="lowerLetter"/>
      <w:start w:val="2"/>
    </w:lvl>
  </w:abstractNum>
  <w:abstractNum w:abstractNumId="140">
    <w:nsid w:val="1F9EC322"/>
    <w:multiLevelType w:val="hybridMultilevel"/>
    <w:lvl w:ilvl="0">
      <w:lvlJc w:val="left"/>
      <w:lvlText w:val="•"/>
      <w:numFmt w:val="bullet"/>
      <w:start w:val="1"/>
    </w:lvl>
  </w:abstractNum>
  <w:abstractNum w:abstractNumId="141">
    <w:nsid w:val="3410ED56"/>
    <w:multiLevelType w:val="hybridMultilevel"/>
    <w:lvl w:ilvl="0">
      <w:lvlJc w:val="left"/>
      <w:lvlText w:val="•"/>
      <w:numFmt w:val="bullet"/>
      <w:start w:val="1"/>
    </w:lvl>
  </w:abstractNum>
  <w:abstractNum w:abstractNumId="142">
    <w:nsid w:val="23C049A"/>
    <w:multiLevelType w:val="hybridMultilevel"/>
    <w:lvl w:ilvl="0">
      <w:lvlJc w:val="left"/>
      <w:lvlText w:val="1"/>
      <w:numFmt w:val="bullet"/>
      <w:start w:val="1"/>
    </w:lvl>
  </w:abstractNum>
  <w:abstractNum w:abstractNumId="143">
    <w:nsid w:val="5BDA35D4"/>
    <w:multiLevelType w:val="hybridMultilevel"/>
    <w:lvl w:ilvl="0">
      <w:lvlJc w:val="left"/>
      <w:lvlText w:val="(%1)"/>
      <w:numFmt w:val="lowerLetter"/>
      <w:start w:val="2"/>
    </w:lvl>
  </w:abstractNum>
  <w:abstractNum w:abstractNumId="144">
    <w:nsid w:val="496FB218"/>
    <w:multiLevelType w:val="hybridMultilevel"/>
    <w:lvl w:ilvl="0">
      <w:lvlJc w:val="left"/>
      <w:lvlText w:val="2"/>
      <w:numFmt w:val="bullet"/>
      <w:start w:val="1"/>
    </w:lvl>
  </w:abstractNum>
  <w:abstractNum w:abstractNumId="145">
    <w:nsid w:val="680EA5D1"/>
    <w:multiLevelType w:val="hybridMultilevel"/>
    <w:lvl w:ilvl="0">
      <w:lvlJc w:val="left"/>
      <w:lvlText w:val="(%1)"/>
      <w:numFmt w:val="lowerLetter"/>
      <w:start w:val="1"/>
    </w:lvl>
  </w:abstractNum>
  <w:abstractNum w:abstractNumId="146">
    <w:nsid w:val="4A9554FE"/>
    <w:multiLevelType w:val="hybridMultilevel"/>
    <w:lvl w:ilvl="0">
      <w:lvlJc w:val="left"/>
      <w:lvlText w:val="2"/>
      <w:numFmt w:val="bullet"/>
      <w:start w:val="1"/>
    </w:lvl>
  </w:abstractNum>
  <w:abstractNum w:abstractNumId="147">
    <w:nsid w:val="392EDBE4"/>
    <w:multiLevelType w:val="hybridMultilevel"/>
    <w:lvl w:ilvl="0">
      <w:lvlJc w:val="left"/>
      <w:lvlText w:val="(%1)"/>
      <w:numFmt w:val="lowerLetter"/>
      <w:start w:val="3"/>
    </w:lvl>
  </w:abstractNum>
  <w:abstractNum w:abstractNumId="148">
    <w:nsid w:val="3D1A2DD9"/>
    <w:multiLevelType w:val="hybridMultilevel"/>
    <w:lvl w:ilvl="0">
      <w:lvlJc w:val="left"/>
      <w:lvlText w:val="2"/>
      <w:numFmt w:val="bullet"/>
      <w:start w:val="1"/>
    </w:lvl>
  </w:abstractNum>
  <w:abstractNum w:abstractNumId="149">
    <w:nsid w:val="7F618FCD"/>
    <w:multiLevelType w:val="hybridMultilevel"/>
    <w:lvl w:ilvl="0">
      <w:lvlJc w:val="left"/>
      <w:lvlText w:val="(%1)"/>
      <w:numFmt w:val="lowerLetter"/>
      <w:start w:val="5"/>
    </w:lvl>
  </w:abstractNum>
  <w:abstractNum w:abstractNumId="150">
    <w:nsid w:val="7843E45"/>
    <w:multiLevelType w:val="hybridMultilevel"/>
    <w:lvl w:ilvl="0">
      <w:lvlJc w:val="left"/>
      <w:lvlText w:val="2"/>
      <w:numFmt w:val="bullet"/>
      <w:start w:val="1"/>
    </w:lvl>
  </w:abstractNum>
  <w:abstractNum w:abstractNumId="151">
    <w:nsid w:val="9815DA3"/>
    <w:multiLevelType w:val="hybridMultilevel"/>
    <w:lvl w:ilvl="0">
      <w:lvlJc w:val="left"/>
      <w:lvlText w:val="(%1)"/>
      <w:numFmt w:val="lowerLetter"/>
      <w:start w:val="9"/>
    </w:lvl>
  </w:abstractNum>
  <w:abstractNum w:abstractNumId="152">
    <w:nsid w:val="5204A191"/>
    <w:multiLevelType w:val="hybridMultilevel"/>
    <w:lvl w:ilvl="0">
      <w:lvlJc w:val="left"/>
      <w:lvlText w:val="2"/>
      <w:numFmt w:val="bullet"/>
      <w:start w:val="1"/>
    </w:lvl>
  </w:abstractNum>
  <w:abstractNum w:abstractNumId="153">
    <w:nsid w:val="4C73A9C6"/>
    <w:multiLevelType w:val="hybridMultilevel"/>
    <w:lvl w:ilvl="0">
      <w:lvlJc w:val="left"/>
      <w:lvlText w:val="(%1)"/>
      <w:numFmt w:val="lowerLetter"/>
      <w:start w:val="12"/>
    </w:lvl>
  </w:abstractNum>
  <w:abstractNum w:abstractNumId="154">
    <w:nsid w:val="1C7E3C01"/>
    <w:multiLevelType w:val="hybridMultilevel"/>
    <w:lvl w:ilvl="0">
      <w:lvlJc w:val="left"/>
      <w:lvlText w:val="(%1)"/>
      <w:numFmt w:val="lowerLetter"/>
      <w:start w:val="13"/>
    </w:lvl>
  </w:abstractNum>
  <w:abstractNum w:abstractNumId="155">
    <w:nsid w:val="1C2201FF"/>
    <w:multiLevelType w:val="hybridMultilevel"/>
    <w:lvl w:ilvl="0">
      <w:lvlJc w:val="left"/>
      <w:lvlText w:val="(%1)"/>
      <w:numFmt w:val="lowerLetter"/>
      <w:start w:val="15"/>
    </w:lvl>
  </w:abstractNum>
  <w:abstractNum w:abstractNumId="156">
    <w:nsid w:val="50ABCEC9"/>
    <w:multiLevelType w:val="hybridMultilevel"/>
    <w:lvl w:ilvl="0">
      <w:lvlJc w:val="left"/>
      <w:lvlText w:val="2"/>
      <w:numFmt w:val="bullet"/>
      <w:start w:val="1"/>
    </w:lvl>
  </w:abstractNum>
  <w:abstractNum w:abstractNumId="157">
    <w:nsid w:val="7635AA2A"/>
    <w:multiLevelType w:val="hybridMultilevel"/>
    <w:lvl w:ilvl="0">
      <w:lvlJc w:val="left"/>
      <w:lvlText w:val="(%1)"/>
      <w:numFmt w:val="lowerLetter"/>
      <w:start w:val="17"/>
    </w:lvl>
  </w:abstractNum>
  <w:abstractNum w:abstractNumId="158">
    <w:nsid w:val="5E74C4D9"/>
    <w:multiLevelType w:val="hybridMultilevel"/>
    <w:lvl w:ilvl="0">
      <w:lvlJc w:val="left"/>
      <w:lvlText w:val="2"/>
      <w:numFmt w:val="bullet"/>
      <w:start w:val="1"/>
    </w:lvl>
  </w:abstractNum>
  <w:abstractNum w:abstractNumId="159">
    <w:nsid w:val="3B3EBE15"/>
    <w:multiLevelType w:val="hybridMultilevel"/>
    <w:lvl w:ilvl="0">
      <w:lvlJc w:val="left"/>
      <w:lvlText w:val="(%1)"/>
      <w:numFmt w:val="lowerLetter"/>
      <w:start w:val="20"/>
    </w:lvl>
  </w:abstractNum>
  <w:abstractNum w:abstractNumId="160">
    <w:nsid w:val="3822CB01"/>
    <w:multiLevelType w:val="hybridMultilevel"/>
    <w:lvl w:ilvl="0">
      <w:lvlJc w:val="left"/>
      <w:lvlText w:val="2"/>
      <w:numFmt w:val="bullet"/>
      <w:start w:val="1"/>
    </w:lvl>
  </w:abstractNum>
  <w:abstractNum w:abstractNumId="161">
    <w:nsid w:val="6CE00443"/>
    <w:multiLevelType w:val="hybridMultilevel"/>
    <w:lvl w:ilvl="0">
      <w:lvlJc w:val="left"/>
      <w:lvlText w:val="(%1)"/>
      <w:numFmt w:val="lowerLetter"/>
      <w:start w:val="21"/>
    </w:lvl>
  </w:abstractNum>
  <w:abstractNum w:abstractNumId="162">
    <w:nsid w:val="79F0D62F"/>
    <w:multiLevelType w:val="hybridMultilevel"/>
    <w:lvl w:ilvl="0">
      <w:lvlJc w:val="left"/>
      <w:lvlText w:val="(%1)"/>
      <w:numFmt w:val="lowerLetter"/>
      <w:start w:val="24"/>
    </w:lvl>
  </w:abstractNum>
  <w:abstractNum w:abstractNumId="163">
    <w:nsid w:val="7975E8EE"/>
    <w:multiLevelType w:val="hybridMultilevel"/>
    <w:lvl w:ilvl="0">
      <w:lvlJc w:val="left"/>
      <w:lvlText w:val="2"/>
      <w:numFmt w:val="bullet"/>
      <w:start w:val="1"/>
    </w:lvl>
  </w:abstractNum>
  <w:abstractNum w:abstractNumId="164">
    <w:nsid w:val="73154115"/>
    <w:multiLevelType w:val="hybridMultilevel"/>
    <w:lvl w:ilvl="0">
      <w:lvlJc w:val="left"/>
      <w:lvlText w:val="(%1)"/>
      <w:numFmt w:val="lowerLetter"/>
      <w:start w:val="26"/>
    </w:lvl>
  </w:abstractNum>
  <w:abstractNum w:abstractNumId="165">
    <w:nsid w:val="622D8102"/>
    <w:multiLevelType w:val="hybridMultilevel"/>
    <w:lvl w:ilvl="0">
      <w:lvlJc w:val="left"/>
      <w:lvlText w:val="(%1)"/>
      <w:numFmt w:val="lowerLetter"/>
      <w:start w:val="27"/>
    </w:lvl>
  </w:abstractNum>
  <w:abstractNum w:abstractNumId="166">
    <w:nsid w:val="2AB26587"/>
    <w:multiLevelType w:val="hybridMultilevel"/>
    <w:lvl w:ilvl="0">
      <w:lvlJc w:val="left"/>
      <w:lvlText w:val="2"/>
      <w:numFmt w:val="bullet"/>
      <w:start w:val="1"/>
    </w:lvl>
  </w:abstractNum>
  <w:abstractNum w:abstractNumId="167">
    <w:nsid w:val="44B3FA61"/>
    <w:multiLevelType w:val="hybridMultilevel"/>
    <w:lvl w:ilvl="0">
      <w:lvlJc w:val="left"/>
      <w:lvlText w:val="2"/>
      <w:numFmt w:val="bullet"/>
      <w:start w:val="1"/>
    </w:lvl>
  </w:abstractNum>
  <w:abstractNum w:abstractNumId="168">
    <w:nsid w:val="1C0CA67C"/>
    <w:multiLevelType w:val="hybridMultilevel"/>
    <w:lvl w:ilvl="0">
      <w:lvlJc w:val="left"/>
      <w:lvlText w:val="2"/>
      <w:numFmt w:val="bullet"/>
      <w:start w:val="1"/>
    </w:lvl>
  </w:abstractNum>
  <w:abstractNum w:abstractNumId="169">
    <w:nsid w:val="3D206613"/>
    <w:multiLevelType w:val="hybridMultilevel"/>
    <w:lvl w:ilvl="0">
      <w:lvlJc w:val="left"/>
      <w:lvlText w:val="2"/>
      <w:numFmt w:val="bullet"/>
      <w:start w:val="1"/>
    </w:lvl>
  </w:abstractNum>
  <w:abstractNum w:abstractNumId="170">
    <w:nsid w:val="7993B662"/>
    <w:multiLevelType w:val="hybridMultilevel"/>
    <w:lvl w:ilvl="0">
      <w:lvlJc w:val="left"/>
      <w:lvlText w:val="(%1)"/>
      <w:numFmt w:val="lowerRoman"/>
      <w:start w:val="2"/>
    </w:lvl>
  </w:abstractNum>
  <w:abstractNum w:abstractNumId="171">
    <w:nsid w:val="3BAB699E"/>
    <w:multiLevelType w:val="hybridMultilevel"/>
    <w:lvl w:ilvl="0">
      <w:lvlJc w:val="left"/>
      <w:lvlText w:val="2"/>
      <w:numFmt w:val="bullet"/>
      <w:start w:val="1"/>
    </w:lvl>
  </w:abstractNum>
  <w:abstractNum w:abstractNumId="172">
    <w:nsid w:val="71315369"/>
    <w:multiLevelType w:val="hybridMultilevel"/>
    <w:lvl w:ilvl="0">
      <w:lvlJc w:val="left"/>
      <w:lvlText w:val="3"/>
      <w:numFmt w:val="bullet"/>
      <w:start w:val="1"/>
    </w:lvl>
  </w:abstractNum>
  <w:abstractNum w:abstractNumId="173">
    <w:nsid w:val="7BCFBAFC"/>
    <w:multiLevelType w:val="hybridMultilevel"/>
    <w:lvl w:ilvl="0">
      <w:lvlJc w:val="left"/>
      <w:lvlText w:val="(%1)"/>
      <w:numFmt w:val="lowerLetter"/>
      <w:start w:val="1"/>
    </w:lvl>
    <w:lvl w:ilvl="1">
      <w:lvlJc w:val="left"/>
      <w:lvlText w:val="•"/>
      <w:numFmt w:val="bullet"/>
      <w:start w:val="1"/>
    </w:lvl>
  </w:abstractNum>
  <w:abstractNum w:abstractNumId="174">
    <w:nsid w:val="17859F72"/>
    <w:multiLevelType w:val="hybridMultilevel"/>
    <w:lvl w:ilvl="0">
      <w:lvlJc w:val="left"/>
      <w:lvlText w:val="3"/>
      <w:numFmt w:val="bullet"/>
      <w:start w:val="1"/>
    </w:lvl>
  </w:abstractNum>
  <w:abstractNum w:abstractNumId="175">
    <w:nsid w:val="3AA10581"/>
    <w:multiLevelType w:val="hybridMultilevel"/>
    <w:lvl w:ilvl="0">
      <w:lvlJc w:val="left"/>
      <w:lvlText w:val="(%1)"/>
      <w:numFmt w:val="lowerLetter"/>
      <w:start w:val="1"/>
    </w:lvl>
  </w:abstractNum>
  <w:abstractNum w:abstractNumId="176">
    <w:nsid w:val="63DE60CD"/>
    <w:multiLevelType w:val="hybridMultilevel"/>
    <w:lvl w:ilvl="0">
      <w:lvlJc w:val="left"/>
      <w:lvlText w:val="3"/>
      <w:numFmt w:val="bullet"/>
      <w:start w:val="1"/>
    </w:lvl>
  </w:abstractNum>
  <w:abstractNum w:abstractNumId="177">
    <w:nsid w:val="621AF471"/>
    <w:multiLevelType w:val="hybridMultilevel"/>
    <w:lvl w:ilvl="0">
      <w:lvlJc w:val="left"/>
      <w:lvlText w:val="(%1)"/>
      <w:numFmt w:val="lowerLetter"/>
      <w:start w:val="1"/>
    </w:lvl>
  </w:abstractNum>
  <w:abstractNum w:abstractNumId="178">
    <w:nsid w:val="73CFE165"/>
    <w:multiLevelType w:val="hybridMultilevel"/>
    <w:lvl w:ilvl="0">
      <w:lvlJc w:val="left"/>
      <w:lvlText w:val="3"/>
      <w:numFmt w:val="bullet"/>
      <w:start w:val="1"/>
    </w:lvl>
  </w:abstractNum>
  <w:abstractNum w:abstractNumId="179">
    <w:nsid w:val="20F88EA6"/>
    <w:multiLevelType w:val="hybridMultilevel"/>
    <w:lvl w:ilvl="0">
      <w:lvlJc w:val="left"/>
      <w:lvlText w:val="(%1)"/>
      <w:numFmt w:val="lowerLetter"/>
      <w:start w:val="1"/>
    </w:lvl>
  </w:abstractNum>
  <w:abstractNum w:abstractNumId="180">
    <w:nsid w:val="617C843E"/>
    <w:multiLevelType w:val="hybridMultilevel"/>
    <w:lvl w:ilvl="0">
      <w:lvlJc w:val="left"/>
      <w:lvlText w:val="3"/>
      <w:numFmt w:val="bullet"/>
      <w:start w:val="1"/>
    </w:lvl>
  </w:abstractNum>
  <w:abstractNum w:abstractNumId="181">
    <w:nsid w:val="7B541FAB"/>
    <w:multiLevelType w:val="hybridMultilevel"/>
    <w:lvl w:ilvl="0">
      <w:lvlJc w:val="left"/>
      <w:lvlText w:val="(%1)"/>
      <w:numFmt w:val="lowerLetter"/>
      <w:start w:val="3"/>
    </w:lvl>
  </w:abstractNum>
  <w:abstractNum w:abstractNumId="182">
    <w:nsid w:val="2A79EC49"/>
    <w:multiLevelType w:val="hybridMultilevel"/>
    <w:lvl w:ilvl="0">
      <w:lvlJc w:val="left"/>
      <w:lvlText w:val="(%1)"/>
      <w:numFmt w:val="lowerLetter"/>
      <w:start w:val="4"/>
    </w:lvl>
  </w:abstractNum>
  <w:abstractNum w:abstractNumId="183">
    <w:nsid w:val="338125CF"/>
    <w:multiLevelType w:val="hybridMultilevel"/>
    <w:lvl w:ilvl="0">
      <w:lvlJc w:val="left"/>
      <w:lvlText w:val="(%1)"/>
      <w:numFmt w:val="lowerRoman"/>
      <w:start w:val="1"/>
    </w:lvl>
  </w:abstractNum>
  <w:abstractNum w:abstractNumId="184">
    <w:nsid w:val="47C7C971"/>
    <w:multiLevelType w:val="hybridMultilevel"/>
    <w:lvl w:ilvl="0">
      <w:lvlJc w:val="left"/>
      <w:lvlText w:val="(%1)"/>
      <w:numFmt w:val="lowerRoman"/>
      <w:start w:val="2"/>
    </w:lvl>
  </w:abstractNum>
  <w:abstractNum w:abstractNumId="185">
    <w:nsid w:val="46F8284B"/>
    <w:multiLevelType w:val="hybridMultilevel"/>
    <w:lvl w:ilvl="0">
      <w:lvlJc w:val="left"/>
      <w:lvlText w:val="3"/>
      <w:numFmt w:val="bullet"/>
      <w:start w:val="1"/>
    </w:lvl>
  </w:abstractNum>
  <w:abstractNum w:abstractNumId="186">
    <w:nsid w:val="4FA327CE"/>
    <w:multiLevelType w:val="hybridMultilevel"/>
    <w:lvl w:ilvl="0">
      <w:lvlJc w:val="left"/>
      <w:lvlText w:val="(%1)"/>
      <w:numFmt w:val="lowerLetter"/>
      <w:start w:val="4"/>
    </w:lvl>
    <w:lvl w:ilvl="1">
      <w:lvlJc w:val="left"/>
      <w:lvlText w:val="(%2)"/>
      <w:numFmt w:val="lowerLetter"/>
      <w:start w:val="35"/>
    </w:lvl>
  </w:abstractNum>
  <w:abstractNum w:abstractNumId="187">
    <w:nsid w:val="1873983A"/>
    <w:multiLevelType w:val="hybridMultilevel"/>
    <w:lvl w:ilvl="0">
      <w:lvlJc w:val="left"/>
      <w:lvlText w:val="(%1)"/>
      <w:numFmt w:val="lowerRoman"/>
      <w:start w:val="2"/>
    </w:lvl>
  </w:abstractNum>
  <w:abstractNum w:abstractNumId="188">
    <w:nsid w:val="3D2DD275"/>
    <w:multiLevelType w:val="hybridMultilevel"/>
    <w:lvl w:ilvl="0">
      <w:lvlJc w:val="left"/>
      <w:lvlText w:val="4"/>
      <w:numFmt w:val="bullet"/>
      <w:start w:val="1"/>
    </w:lvl>
  </w:abstractNum>
  <w:abstractNum w:abstractNumId="189">
    <w:nsid w:val="2E17ECA7"/>
    <w:multiLevelType w:val="hybridMultilevel"/>
    <w:lvl w:ilvl="0">
      <w:lvlJc w:val="left"/>
      <w:lvlText w:val="(%1)"/>
      <w:numFmt w:val="lowerLetter"/>
      <w:start w:val="1"/>
    </w:lvl>
  </w:abstractNum>
  <w:abstractNum w:abstractNumId="190">
    <w:nsid w:val="53B2564F"/>
    <w:multiLevelType w:val="hybridMultilevel"/>
    <w:lvl w:ilvl="0">
      <w:lvlJc w:val="left"/>
      <w:lvlText w:val="4"/>
      <w:numFmt w:val="bullet"/>
      <w:start w:val="1"/>
    </w:lvl>
  </w:abstractNum>
  <w:abstractNum w:abstractNumId="191">
    <w:nsid w:val="75509D76"/>
    <w:multiLevelType w:val="hybridMultilevel"/>
    <w:lvl w:ilvl="0">
      <w:lvlJc w:val="left"/>
      <w:lvlText w:val="(%1)"/>
      <w:numFmt w:val="lowerLetter"/>
      <w:start w:val="1"/>
    </w:lvl>
  </w:abstractNum>
  <w:abstractNum w:abstractNumId="192">
    <w:nsid w:val="1AF7F0EA"/>
    <w:multiLevelType w:val="hybridMultilevel"/>
    <w:lvl w:ilvl="0">
      <w:lvlJc w:val="left"/>
      <w:lvlText w:val="4"/>
      <w:numFmt w:val="bullet"/>
      <w:start w:val="1"/>
    </w:lvl>
  </w:abstractNum>
  <w:abstractNum w:abstractNumId="193">
    <w:nsid w:val="4DA32C7E"/>
    <w:multiLevelType w:val="hybridMultilevel"/>
    <w:lvl w:ilvl="0">
      <w:lvlJc w:val="left"/>
      <w:lvlText w:val="(%1)"/>
      <w:numFmt w:val="lowerLetter"/>
      <w:start w:val="1"/>
    </w:lvl>
  </w:abstractNum>
  <w:abstractNum w:abstractNumId="194">
    <w:nsid w:val="6EC68664"/>
    <w:multiLevelType w:val="hybridMultilevel"/>
    <w:lvl w:ilvl="0">
      <w:lvlJc w:val="left"/>
      <w:lvlText w:val="(%1)"/>
      <w:numFmt w:val="lowerLetter"/>
      <w:start w:val="2"/>
    </w:lvl>
  </w:abstractNum>
  <w:abstractNum w:abstractNumId="195">
    <w:nsid w:val="E0D31FF"/>
    <w:multiLevelType w:val="hybridMultilevel"/>
    <w:lvl w:ilvl="0">
      <w:lvlJc w:val="left"/>
      <w:lvlText w:val="4"/>
      <w:numFmt w:val="bullet"/>
      <w:start w:val="1"/>
    </w:lvl>
  </w:abstractNum>
  <w:abstractNum w:abstractNumId="196">
    <w:nsid w:val="2FD0AD81"/>
    <w:multiLevelType w:val="hybridMultilevel"/>
    <w:lvl w:ilvl="0">
      <w:lvlJc w:val="left"/>
      <w:lvlText w:val="(%1)"/>
      <w:numFmt w:val="lowerLetter"/>
      <w:start w:val="2"/>
    </w:lvl>
  </w:abstractNum>
  <w:abstractNum w:abstractNumId="197">
    <w:nsid w:val="1978EBEB"/>
    <w:multiLevelType w:val="hybridMultilevel"/>
    <w:lvl w:ilvl="0">
      <w:lvlJc w:val="left"/>
      <w:lvlText w:val="5"/>
      <w:numFmt w:val="bullet"/>
      <w:start w:val="1"/>
    </w:lvl>
  </w:abstractNum>
  <w:abstractNum w:abstractNumId="198">
    <w:nsid w:val="52C12C61"/>
    <w:multiLevelType w:val="hybridMultilevel"/>
    <w:lvl w:ilvl="0">
      <w:lvlJc w:val="left"/>
      <w:lvlText w:val="6"/>
      <w:numFmt w:val="bullet"/>
      <w:start w:val="1"/>
    </w:lvl>
  </w:abstractNum>
  <w:abstractNum w:abstractNumId="199">
    <w:nsid w:val="4BDD53FD"/>
    <w:multiLevelType w:val="hybridMultilevel"/>
    <w:lvl w:ilvl="0">
      <w:lvlJc w:val="left"/>
      <w:lvlText w:val="7"/>
      <w:numFmt w:val="bullet"/>
      <w:start w:val="1"/>
    </w:lvl>
  </w:abstractNum>
  <w:abstractNum w:abstractNumId="200">
    <w:nsid w:val="569951FE"/>
    <w:multiLevelType w:val="hybridMultilevel"/>
    <w:lvl w:ilvl="0">
      <w:lvlJc w:val="left"/>
      <w:lvlText w:val="%1"/>
      <w:numFmt w:val="decimal"/>
      <w:start w:val="10"/>
    </w:lvl>
  </w:abstractNum>
  <w:abstractNum w:abstractNumId="201">
    <w:nsid w:val="4C54E2C3"/>
    <w:multiLevelType w:val="hybridMultilevel"/>
    <w:lvl w:ilvl="0">
      <w:lvlJc w:val="left"/>
      <w:lvlText w:val="%1"/>
      <w:numFmt w:val="decimal"/>
      <w:start w:val="10"/>
    </w:lvl>
  </w:abstractNum>
  <w:abstractNum w:abstractNumId="202">
    <w:nsid w:val="788BD9B"/>
    <w:multiLevelType w:val="hybridMultilevel"/>
    <w:lvl w:ilvl="0">
      <w:lvlJc w:val="left"/>
      <w:lvlText w:val="(%1)"/>
      <w:numFmt w:val="lowerRoman"/>
      <w:start w:val="1"/>
    </w:lvl>
  </w:abstractNum>
  <w:abstractNum w:abstractNumId="203">
    <w:nsid w:val="47CAA567"/>
    <w:multiLevelType w:val="hybridMultilevel"/>
    <w:lvl w:ilvl="0">
      <w:lvlJc w:val="left"/>
      <w:lvlText w:val="(%1)"/>
      <w:numFmt w:val="lowerRoman"/>
      <w:start w:val="6"/>
    </w:lvl>
  </w:abstractNum>
  <w:abstractNum w:abstractNumId="204">
    <w:nsid w:val="48249DBF"/>
    <w:multiLevelType w:val="hybridMultilevel"/>
    <w:lvl w:ilvl="0">
      <w:lvlJc w:val="left"/>
      <w:lvlText w:val="%1"/>
      <w:numFmt w:val="decimal"/>
      <w:start w:val="16"/>
    </w:lvl>
  </w:abstractNum>
  <w:abstractNum w:abstractNumId="205">
    <w:nsid w:val="1F0E5D0D"/>
    <w:multiLevelType w:val="hybridMultilevel"/>
    <w:lvl w:ilvl="0">
      <w:lvlJc w:val="left"/>
      <w:lvlText w:val="%1"/>
      <w:numFmt w:val="decimal"/>
      <w:start w:val="16"/>
    </w:lvl>
  </w:abstractNum>
  <w:abstractNum w:abstractNumId="206">
    <w:nsid w:val="26BAAE9"/>
    <w:multiLevelType w:val="hybridMultilevel"/>
    <w:lvl w:ilvl="0">
      <w:lvlJc w:val="left"/>
      <w:lvlText w:val="%1"/>
      <w:numFmt w:val="decimal"/>
      <w:start w:val="16"/>
    </w:lvl>
    <w:lvl w:ilvl="1">
      <w:lvlJc w:val="left"/>
      <w:lvlText w:val="•"/>
      <w:numFmt w:val="bullet"/>
      <w:start w:val="1"/>
    </w:lvl>
  </w:abstractNum>
  <w:abstractNum w:abstractNumId="207">
    <w:nsid w:val="2C02FE8C"/>
    <w:multiLevelType w:val="hybridMultilevel"/>
    <w:lvl w:ilvl="0">
      <w:lvlJc w:val="left"/>
      <w:lvlText w:val="%1"/>
      <w:numFmt w:val="decimal"/>
      <w:start w:val="16"/>
    </w:lvl>
  </w:abstractNum>
  <w:abstractNum w:abstractNumId="208">
    <w:nsid w:val="129517E"/>
    <w:multiLevelType w:val="hybridMultilevel"/>
    <w:lvl w:ilvl="0">
      <w:lvlJc w:val="left"/>
      <w:lvlText w:val="%1"/>
      <w:numFmt w:val="decimal"/>
      <w:start w:val="16"/>
    </w:lvl>
  </w:abstractNum>
  <w:abstractNum w:abstractNumId="209">
    <w:nsid w:val="763B8C4E"/>
    <w:multiLevelType w:val="hybridMultilevel"/>
    <w:lvl w:ilvl="0">
      <w:lvlJc w:val="left"/>
      <w:lvlText w:val="%1"/>
      <w:numFmt w:val="decimal"/>
      <w:start w:val="16"/>
    </w:lvl>
  </w:abstractNum>
  <w:abstractNum w:abstractNumId="210">
    <w:nsid w:val="4CFB8D32"/>
    <w:multiLevelType w:val="hybridMultilevel"/>
    <w:lvl w:ilvl="0">
      <w:lvlJc w:val="left"/>
      <w:lvlText w:val="%1"/>
      <w:numFmt w:val="decimal"/>
      <w:start w:val="16"/>
    </w:lvl>
  </w:abstractNum>
  <w:abstractNum w:abstractNumId="211">
    <w:nsid w:val="62A5D5BD"/>
    <w:multiLevelType w:val="hybridMultilevel"/>
    <w:lvl w:ilvl="0">
      <w:lvlJc w:val="left"/>
      <w:lvlText w:val="%1"/>
      <w:numFmt w:val="decimal"/>
      <w:start w:val="17"/>
    </w:lvl>
  </w:abstractNum>
  <w:abstractNum w:abstractNumId="212">
    <w:nsid w:val="718FABF9"/>
    <w:multiLevelType w:val="hybridMultilevel"/>
    <w:lvl w:ilvl="0">
      <w:lvlJc w:val="left"/>
      <w:lvlText w:val="%1"/>
      <w:numFmt w:val="decimal"/>
      <w:start w:val="17"/>
    </w:lvl>
  </w:abstractNum>
  <w:abstractNum w:abstractNumId="213">
    <w:nsid w:val="7775797C"/>
    <w:multiLevelType w:val="hybridMultilevel"/>
    <w:lvl w:ilvl="0">
      <w:lvlJc w:val="left"/>
      <w:lvlText w:val="(%1)"/>
      <w:numFmt w:val="lowerLetter"/>
      <w:start w:val="1"/>
    </w:lvl>
  </w:abstractNum>
  <w:abstractNum w:abstractNumId="214">
    <w:nsid w:val="1626FB8C"/>
    <w:multiLevelType w:val="hybridMultilevel"/>
    <w:lvl w:ilvl="0">
      <w:lvlJc w:val="left"/>
      <w:lvlText w:val="(%1)"/>
      <w:numFmt w:val="lowerRoman"/>
      <w:start w:val="1"/>
    </w:lvl>
  </w:abstractNum>
  <w:abstractNum w:abstractNumId="215">
    <w:nsid w:val="3957756A"/>
    <w:multiLevelType w:val="hybridMultilevel"/>
    <w:lvl w:ilvl="0">
      <w:lvlJc w:val="left"/>
      <w:lvlText w:val="(%1)"/>
      <w:numFmt w:val="lowerLetter"/>
      <w:start w:val="1"/>
    </w:lvl>
    <w:lvl w:ilvl="1">
      <w:lvlJc w:val="left"/>
      <w:lvlText w:val="(%2)"/>
      <w:numFmt w:val="lowerRoman"/>
      <w:start w:val="3"/>
    </w:lvl>
  </w:abstractNum>
  <w:abstractNum w:abstractNumId="216">
    <w:nsid w:val="3E6DA1C7"/>
    <w:multiLevelType w:val="hybridMultilevel"/>
    <w:lvl w:ilvl="0">
      <w:lvlJc w:val="left"/>
      <w:lvlText w:val="(%1)"/>
      <w:numFmt w:val="lowerLetter"/>
      <w:start w:val="1"/>
    </w:lvl>
  </w:abstractNum>
  <w:abstractNum w:abstractNumId="217">
    <w:nsid w:val="65CA235B"/>
    <w:multiLevelType w:val="hybridMultilevel"/>
    <w:lvl w:ilvl="0">
      <w:lvlJc w:val="left"/>
      <w:lvlText w:val="(%1)"/>
      <w:numFmt w:val="lowerLetter"/>
      <w:start w:val="1"/>
    </w:lvl>
  </w:abstractNum>
  <w:abstractNum w:abstractNumId="218">
    <w:nsid w:val="51CB0DA4"/>
    <w:multiLevelType w:val="hybridMultilevel"/>
    <w:lvl w:ilvl="0">
      <w:lvlJc w:val="left"/>
      <w:lvlText w:val="%1"/>
      <w:numFmt w:val="lowerLetter"/>
      <w:start w:val="1"/>
    </w:lvl>
    <w:lvl w:ilvl="1">
      <w:lvlJc w:val="left"/>
      <w:lvlText w:val="(%2)"/>
      <w:numFmt w:val="lowerRoman"/>
      <w:start w:val="1"/>
    </w:lvl>
  </w:abstractNum>
  <w:abstractNum w:abstractNumId="219">
    <w:nsid w:val="7B9B743C"/>
    <w:multiLevelType w:val="hybridMultilevel"/>
    <w:lvl w:ilvl="0">
      <w:lvlJc w:val="left"/>
      <w:lvlText w:val="(%1)"/>
      <w:numFmt w:val="lowerLetter"/>
      <w:start w:val="2"/>
    </w:lvl>
    <w:lvl w:ilvl="1">
      <w:lvlJc w:val="left"/>
      <w:lvlText w:val="%2"/>
      <w:numFmt w:val="lowerRoman"/>
      <w:start w:val="1"/>
    </w:lvl>
  </w:abstractNum>
  <w:abstractNum w:abstractNumId="220">
    <w:nsid w:val="13E21002"/>
    <w:multiLevelType w:val="hybridMultilevel"/>
    <w:lvl w:ilvl="0">
      <w:lvlJc w:val="left"/>
      <w:lvlText w:val="(%1)"/>
      <w:numFmt w:val="lowerLetter"/>
      <w:start w:val="3"/>
    </w:lvl>
  </w:abstractNum>
  <w:abstractNum w:abstractNumId="221">
    <w:nsid w:val="257D63F4"/>
    <w:multiLevelType w:val="hybridMultilevel"/>
    <w:lvl w:ilvl="0">
      <w:lvlJc w:val="left"/>
      <w:lvlText w:val="(%1)"/>
      <w:numFmt w:val="lowerRoman"/>
      <w:start w:val="1"/>
    </w:lvl>
  </w:abstractNum>
  <w:abstractNum w:abstractNumId="222">
    <w:nsid w:val="70EC11B2"/>
    <w:multiLevelType w:val="hybridMultilevel"/>
    <w:lvl w:ilvl="0">
      <w:lvlJc w:val="left"/>
      <w:lvlText w:val="(%1)"/>
      <w:numFmt w:val="lowerRoman"/>
      <w:start w:val="3"/>
    </w:lvl>
  </w:abstractNum>
  <w:abstractNum w:abstractNumId="223">
    <w:nsid w:val="2EDA00ED"/>
    <w:multiLevelType w:val="hybridMultilevel"/>
    <w:lvl w:ilvl="0">
      <w:lvlJc w:val="left"/>
      <w:lvlText w:val="(%1)"/>
      <w:numFmt w:val="lowerLetter"/>
      <w:start w:val="1"/>
    </w:lvl>
  </w:abstractNum>
  <w:abstractNum w:abstractNumId="224">
    <w:nsid w:val="73209072"/>
    <w:multiLevelType w:val="hybridMultilevel"/>
    <w:lvl w:ilvl="0">
      <w:lvlJc w:val="left"/>
      <w:lvlText w:val="(%1)"/>
      <w:numFmt w:val="lowerRoman"/>
      <w:start w:val="3"/>
    </w:lvl>
  </w:abstractNum>
  <w:abstractNum w:abstractNumId="225">
    <w:nsid w:val="5FB29816"/>
    <w:multiLevelType w:val="hybridMultilevel"/>
    <w:lvl w:ilvl="0">
      <w:lvlJc w:val="left"/>
      <w:lvlText w:val="(%1)"/>
      <w:numFmt w:val="lowerRoman"/>
      <w:start w:val="1"/>
    </w:lvl>
  </w:abstractNum>
  <w:abstractNum w:abstractNumId="226">
    <w:nsid w:val="3CE732EC"/>
    <w:multiLevelType w:val="hybridMultilevel"/>
    <w:lvl w:ilvl="0">
      <w:lvlJc w:val="left"/>
      <w:lvlText w:val="(%1)"/>
      <w:numFmt w:val="lowerLetter"/>
      <w:start w:val="1"/>
    </w:lvl>
  </w:abstractNum>
  <w:abstractNum w:abstractNumId="227">
    <w:nsid w:val="22F13DF3"/>
    <w:multiLevelType w:val="hybridMultilevel"/>
    <w:lvl w:ilvl="0">
      <w:lvlJc w:val="left"/>
      <w:lvlText w:val="(%1)"/>
      <w:numFmt w:val="lowerLetter"/>
      <w:start w:val="2"/>
    </w:lvl>
  </w:abstractNum>
  <w:abstractNum w:abstractNumId="228">
    <w:nsid w:val="792B8401"/>
    <w:multiLevelType w:val="hybridMultilevel"/>
    <w:lvl w:ilvl="0">
      <w:lvlJc w:val="left"/>
      <w:lvlText w:val="(%1)"/>
      <w:numFmt w:val="lowerLetter"/>
      <w:start w:val="2"/>
    </w:lvl>
  </w:abstractNum>
  <w:abstractNum w:abstractNumId="229">
    <w:nsid w:val="FA85F4D"/>
    <w:multiLevelType w:val="hybridMultilevel"/>
    <w:lvl w:ilvl="0">
      <w:lvlJc w:val="left"/>
      <w:lvlText w:val="%1"/>
      <w:numFmt w:val="decimal"/>
      <w:start w:val="24"/>
    </w:lvl>
  </w:abstractNum>
  <w:abstractNum w:abstractNumId="230">
    <w:nsid w:val="6ECE91F0"/>
    <w:multiLevelType w:val="hybridMultilevel"/>
    <w:lvl w:ilvl="0">
      <w:lvlJc w:val="left"/>
      <w:lvlText w:val="(%1)"/>
      <w:numFmt w:val="lowerLetter"/>
      <w:start w:val="1"/>
    </w:lvl>
  </w:abstractNum>
  <w:abstractNum w:abstractNumId="231">
    <w:nsid w:val="4FC4D600"/>
    <w:multiLevelType w:val="hybridMultilevel"/>
    <w:lvl w:ilvl="0">
      <w:lvlJc w:val="left"/>
      <w:lvlText w:val="(%1)"/>
      <w:numFmt w:val="lowerLetter"/>
      <w:start w:val="2"/>
    </w:lvl>
  </w:abstractNum>
  <w:abstractNum w:abstractNumId="232">
    <w:nsid w:val="5BFD4210"/>
    <w:multiLevelType w:val="hybridMultilevel"/>
    <w:lvl w:ilvl="0">
      <w:lvlJc w:val="left"/>
      <w:lvlText w:val="%1"/>
      <w:numFmt w:val="decimal"/>
      <w:start w:val="26"/>
    </w:lvl>
  </w:abstractNum>
  <w:abstractNum w:abstractNumId="233">
    <w:nsid w:val="76574F8B"/>
    <w:multiLevelType w:val="hybridMultilevel"/>
    <w:lvl w:ilvl="0">
      <w:lvlJc w:val="left"/>
      <w:lvlText w:val="%1"/>
      <w:numFmt w:val="decimal"/>
      <w:start w:val="26"/>
    </w:lvl>
  </w:abstractNum>
  <w:abstractNum w:abstractNumId="234">
    <w:nsid w:val="178F7B67"/>
    <w:multiLevelType w:val="hybridMultilevel"/>
    <w:lvl w:ilvl="0">
      <w:lvlJc w:val="left"/>
      <w:lvlText w:val="1"/>
      <w:numFmt w:val="bullet"/>
      <w:start w:val="1"/>
    </w:lvl>
  </w:abstractNum>
  <w:abstractNum w:abstractNumId="235">
    <w:nsid w:val="2421DFCF"/>
    <w:multiLevelType w:val="hybridMultilevel"/>
    <w:lvl w:ilvl="0">
      <w:lvlJc w:val="left"/>
      <w:lvlText w:val="(%1)"/>
      <w:numFmt w:val="lowerLetter"/>
      <w:start w:val="1"/>
    </w:lvl>
  </w:abstractNum>
  <w:abstractNum w:abstractNumId="236">
    <w:nsid w:val="1565AC99"/>
    <w:multiLevelType w:val="hybridMultilevel"/>
    <w:lvl w:ilvl="0">
      <w:lvlJc w:val="left"/>
      <w:lvlText w:val="1"/>
      <w:numFmt w:val="bullet"/>
      <w:start w:val="1"/>
    </w:lvl>
  </w:abstractNum>
  <w:abstractNum w:abstractNumId="237">
    <w:nsid w:val="19FB2650"/>
    <w:multiLevelType w:val="hybridMultilevel"/>
    <w:lvl w:ilvl="0">
      <w:lvlJc w:val="left"/>
      <w:lvlText w:val="(%1)"/>
      <w:numFmt w:val="lowerLetter"/>
      <w:start w:val="1"/>
    </w:lvl>
  </w:abstractNum>
  <w:abstractNum w:abstractNumId="238">
    <w:nsid w:val="5024DE5B"/>
    <w:multiLevelType w:val="hybridMultilevel"/>
    <w:lvl w:ilvl="0">
      <w:lvlJc w:val="left"/>
      <w:lvlText w:val="1"/>
      <w:numFmt w:val="bullet"/>
      <w:start w:val="1"/>
    </w:lvl>
  </w:abstractNum>
  <w:abstractNum w:abstractNumId="239">
    <w:nsid w:val="168EFE17"/>
    <w:multiLevelType w:val="hybridMultilevel"/>
    <w:lvl w:ilvl="0">
      <w:lvlJc w:val="left"/>
      <w:lvlText w:val="(%1)"/>
      <w:numFmt w:val="lowerLetter"/>
      <w:start w:val="1"/>
    </w:lvl>
    <w:lvl w:ilvl="1">
      <w:lvlJc w:val="left"/>
      <w:lvlText w:val="%"/>
      <w:numFmt w:val="bullet"/>
      <w:start w:val="1"/>
    </w:lvl>
  </w:abstractNum>
  <w:abstractNum w:abstractNumId="240">
    <w:nsid w:val="1036B29F"/>
    <w:multiLevelType w:val="hybridMultilevel"/>
    <w:lvl w:ilvl="0">
      <w:lvlJc w:val="left"/>
      <w:lvlText w:val="(%1)"/>
      <w:numFmt w:val="lowerLetter"/>
      <w:start w:val="2"/>
    </w:lvl>
  </w:abstractNum>
  <w:abstractNum w:abstractNumId="241">
    <w:nsid w:val="1D206B8E"/>
    <w:multiLevelType w:val="hybridMultilevel"/>
    <w:lvl w:ilvl="0">
      <w:lvlJc w:val="left"/>
      <w:lvlText w:val="1"/>
      <w:numFmt w:val="bullet"/>
      <w:start w:val="1"/>
    </w:lvl>
  </w:abstractNum>
  <w:abstractNum w:abstractNumId="242">
    <w:nsid w:val="7934D3D4"/>
    <w:multiLevelType w:val="hybridMultilevel"/>
    <w:lvl w:ilvl="0">
      <w:lvlJc w:val="left"/>
      <w:lvlText w:val="(%1)"/>
      <w:numFmt w:val="lowerLetter"/>
      <w:start w:val="2"/>
    </w:lvl>
  </w:abstractNum>
  <w:abstractNum w:abstractNumId="243">
    <w:nsid w:val="1C65E98"/>
    <w:multiLevelType w:val="hybridMultilevel"/>
    <w:lvl w:ilvl="0">
      <w:lvlJc w:val="left"/>
      <w:lvlText w:val="•"/>
      <w:numFmt w:val="bullet"/>
      <w:start w:val="1"/>
    </w:lvl>
  </w:abstractNum>
  <w:abstractNum w:abstractNumId="244">
    <w:nsid w:val="1495E50A"/>
    <w:multiLevelType w:val="hybridMultilevel"/>
    <w:lvl w:ilvl="0">
      <w:lvlJc w:val="left"/>
      <w:lvlText w:val="•"/>
      <w:numFmt w:val="bullet"/>
      <w:start w:val="1"/>
    </w:lvl>
  </w:abstractNum>
  <w:abstractNum w:abstractNumId="245">
    <w:nsid w:val="F5BCF61"/>
    <w:multiLevelType w:val="hybridMultilevel"/>
    <w:lvl w:ilvl="0">
      <w:lvlJc w:val="left"/>
      <w:lvlText w:val="•"/>
      <w:numFmt w:val="bullet"/>
      <w:start w:val="1"/>
    </w:lvl>
  </w:abstractNum>
  <w:abstractNum w:abstractNumId="246">
    <w:nsid w:val="3B1DD403"/>
    <w:multiLevelType w:val="hybridMultilevel"/>
    <w:lvl w:ilvl="0">
      <w:lvlJc w:val="left"/>
      <w:lvlText w:val="1"/>
      <w:numFmt w:val="bullet"/>
      <w:start w:val="1"/>
    </w:lvl>
  </w:abstractNum>
  <w:abstractNum w:abstractNumId="247">
    <w:nsid w:val="530386D1"/>
    <w:multiLevelType w:val="hybridMultilevel"/>
    <w:lvl w:ilvl="0">
      <w:lvlJc w:val="left"/>
      <w:lvlText w:val="(%1)"/>
      <w:numFmt w:val="lowerLetter"/>
      <w:start w:val="2"/>
    </w:lvl>
  </w:abstractNum>
  <w:abstractNum w:abstractNumId="248">
    <w:nsid w:val="7525F2BC"/>
    <w:multiLevelType w:val="hybridMultilevel"/>
    <w:lvl w:ilvl="0">
      <w:lvlJc w:val="left"/>
      <w:lvlText w:val="•"/>
      <w:numFmt w:val="bullet"/>
      <w:start w:val="1"/>
    </w:lvl>
  </w:abstractNum>
  <w:abstractNum w:abstractNumId="249">
    <w:nsid w:val="CE8E1A7"/>
    <w:multiLevelType w:val="hybridMultilevel"/>
    <w:lvl w:ilvl="0">
      <w:lvlJc w:val="left"/>
      <w:lvlText w:val="•"/>
      <w:numFmt w:val="bullet"/>
      <w:start w:val="1"/>
    </w:lvl>
  </w:abstractNum>
  <w:abstractNum w:abstractNumId="250">
    <w:nsid w:val="4E9EFB0D"/>
    <w:multiLevelType w:val="hybridMultilevel"/>
    <w:lvl w:ilvl="0">
      <w:lvlJc w:val="left"/>
      <w:lvlText w:val="1"/>
      <w:numFmt w:val="bullet"/>
      <w:start w:val="1"/>
    </w:lvl>
  </w:abstractNum>
  <w:abstractNum w:abstractNumId="251">
    <w:nsid w:val="90802BE"/>
    <w:multiLevelType w:val="hybridMultilevel"/>
    <w:lvl w:ilvl="0">
      <w:lvlJc w:val="left"/>
      <w:lvlText w:val="(%1)"/>
      <w:numFmt w:val="lowerLetter"/>
      <w:start w:val="2"/>
    </w:lvl>
  </w:abstractNum>
  <w:abstractNum w:abstractNumId="252">
    <w:nsid w:val="3266459B"/>
    <w:multiLevelType w:val="hybridMultilevel"/>
    <w:lvl w:ilvl="0">
      <w:lvlJc w:val="left"/>
      <w:lvlText w:val="2"/>
      <w:numFmt w:val="bullet"/>
      <w:start w:val="1"/>
    </w:lvl>
  </w:abstractNum>
  <w:abstractNum w:abstractNumId="253">
    <w:nsid w:val="3F8B0CBF"/>
    <w:multiLevelType w:val="hybridMultilevel"/>
    <w:lvl w:ilvl="0">
      <w:lvlJc w:val="left"/>
      <w:lvlText w:val="(%1)"/>
      <w:numFmt w:val="lowerLetter"/>
      <w:start w:val="1"/>
    </w:lvl>
  </w:abstractNum>
  <w:abstractNum w:abstractNumId="254">
    <w:nsid w:val="37E203AB"/>
    <w:multiLevelType w:val="hybridMultilevel"/>
    <w:lvl w:ilvl="0">
      <w:lvlJc w:val="left"/>
      <w:lvlText w:val="2"/>
      <w:numFmt w:val="bullet"/>
      <w:start w:val="1"/>
    </w:lvl>
  </w:abstractNum>
  <w:abstractNum w:abstractNumId="255">
    <w:nsid w:val="2586D60E"/>
    <w:multiLevelType w:val="hybridMultilevel"/>
    <w:lvl w:ilvl="0">
      <w:lvlJc w:val="left"/>
      <w:lvlText w:val="(%1)"/>
      <w:numFmt w:val="lowerLetter"/>
      <w:start w:val="2"/>
    </w:lvl>
  </w:abstractNum>
  <w:abstractNum w:abstractNumId="256">
    <w:nsid w:val="1F3DA4D5"/>
    <w:multiLevelType w:val="hybridMultilevel"/>
    <w:lvl w:ilvl="0">
      <w:lvlJc w:val="left"/>
      <w:lvlText w:val="2"/>
      <w:numFmt w:val="bullet"/>
      <w:start w:val="1"/>
    </w:lvl>
  </w:abstractNum>
  <w:abstractNum w:abstractNumId="257">
    <w:nsid w:val="74C93698"/>
    <w:multiLevelType w:val="hybridMultilevel"/>
    <w:lvl w:ilvl="0">
      <w:lvlJc w:val="left"/>
      <w:lvlText w:val="(%1)"/>
      <w:numFmt w:val="lowerLetter"/>
      <w:start w:val="2"/>
    </w:lvl>
  </w:abstractNum>
  <w:abstractNum w:abstractNumId="258">
    <w:nsid w:val="48781401"/>
    <w:multiLevelType w:val="hybridMultilevel"/>
    <w:lvl w:ilvl="0">
      <w:lvlJc w:val="left"/>
      <w:lvlText w:val="2"/>
      <w:numFmt w:val="bullet"/>
      <w:start w:val="1"/>
    </w:lvl>
  </w:abstractNum>
  <w:abstractNum w:abstractNumId="259">
    <w:nsid w:val="186928D6"/>
    <w:multiLevelType w:val="hybridMultilevel"/>
    <w:lvl w:ilvl="0">
      <w:lvlJc w:val="left"/>
      <w:lvlText w:val="(%1)"/>
      <w:numFmt w:val="lowerLetter"/>
      <w:start w:val="2"/>
    </w:lvl>
  </w:abstractNum>
  <w:abstractNum w:abstractNumId="260">
    <w:nsid w:val="47195E5"/>
    <w:multiLevelType w:val="hybridMultilevel"/>
    <w:lvl w:ilvl="0">
      <w:lvlJc w:val="left"/>
      <w:lvlText w:val="3"/>
      <w:numFmt w:val="bullet"/>
      <w:start w:val="1"/>
    </w:lvl>
  </w:abstractNum>
  <w:abstractNum w:abstractNumId="261">
    <w:nsid w:val="3746A5F2"/>
    <w:multiLevelType w:val="hybridMultilevel"/>
    <w:lvl w:ilvl="0">
      <w:lvlJc w:val="left"/>
      <w:lvlText w:val="(%1)"/>
      <w:numFmt w:val="lowerLetter"/>
      <w:start w:val="1"/>
    </w:lvl>
  </w:abstractNum>
  <w:abstractNum w:abstractNumId="262">
    <w:nsid w:val="682DFED6"/>
    <w:multiLevelType w:val="hybridMultilevel"/>
    <w:lvl w:ilvl="0">
      <w:lvlJc w:val="left"/>
      <w:lvlText w:val="3"/>
      <w:numFmt w:val="bullet"/>
      <w:start w:val="1"/>
    </w:lvl>
  </w:abstractNum>
  <w:abstractNum w:abstractNumId="263">
    <w:nsid w:val="606ED7F6"/>
    <w:multiLevelType w:val="hybridMultilevel"/>
    <w:lvl w:ilvl="0">
      <w:lvlJc w:val="left"/>
      <w:lvlText w:val="(%1)"/>
      <w:numFmt w:val="lowerLetter"/>
      <w:start w:val="1"/>
    </w:lvl>
    <w:lvl w:ilvl="1">
      <w:lvlJc w:val="left"/>
      <w:lvlText w:val="•"/>
      <w:numFmt w:val="bullet"/>
      <w:start w:val="1"/>
    </w:lvl>
  </w:abstractNum>
  <w:abstractNum w:abstractNumId="264">
    <w:nsid w:val="2D9DF57D"/>
    <w:multiLevelType w:val="hybridMultilevel"/>
    <w:lvl w:ilvl="0">
      <w:lvlJc w:val="left"/>
      <w:lvlText w:val="3"/>
      <w:numFmt w:val="bullet"/>
      <w:start w:val="1"/>
    </w:lvl>
  </w:abstractNum>
  <w:abstractNum w:abstractNumId="265">
    <w:nsid w:val="7FBD7A3E"/>
    <w:multiLevelType w:val="hybridMultilevel"/>
    <w:lvl w:ilvl="0">
      <w:lvlJc w:val="left"/>
      <w:lvlText w:val="(%1)"/>
      <w:numFmt w:val="lowerLetter"/>
      <w:start w:val="1"/>
    </w:lvl>
  </w:abstractNum>
  <w:abstractNum w:abstractNumId="266">
    <w:nsid w:val="490B7C5"/>
    <w:multiLevelType w:val="hybridMultilevel"/>
    <w:lvl w:ilvl="0">
      <w:lvlJc w:val="left"/>
      <w:lvlText w:val="3"/>
      <w:numFmt w:val="bullet"/>
      <w:start w:val="1"/>
    </w:lvl>
  </w:abstractNum>
  <w:abstractNum w:abstractNumId="267">
    <w:nsid w:val="4303A216"/>
    <w:multiLevelType w:val="hybridMultilevel"/>
    <w:lvl w:ilvl="0">
      <w:lvlJc w:val="left"/>
      <w:lvlText w:val="(%1)"/>
      <w:numFmt w:val="lowerLetter"/>
      <w:start w:val="1"/>
    </w:lvl>
  </w:abstractNum>
  <w:abstractNum w:abstractNumId="268">
    <w:nsid w:val="19B8A08E"/>
    <w:multiLevelType w:val="hybridMultilevel"/>
    <w:lvl w:ilvl="0">
      <w:lvlJc w:val="left"/>
      <w:lvlText w:val="3"/>
      <w:numFmt w:val="bullet"/>
      <w:start w:val="1"/>
    </w:lvl>
  </w:abstractNum>
  <w:abstractNum w:abstractNumId="269">
    <w:nsid w:val="54B59621"/>
    <w:multiLevelType w:val="hybridMultilevel"/>
    <w:lvl w:ilvl="0">
      <w:lvlJc w:val="left"/>
      <w:lvlText w:val="(%1)"/>
      <w:numFmt w:val="lowerLetter"/>
      <w:start w:val="1"/>
    </w:lvl>
  </w:abstractNum>
  <w:abstractNum w:abstractNumId="270">
    <w:nsid w:val="5992A02E"/>
    <w:multiLevelType w:val="hybridMultilevel"/>
    <w:lvl w:ilvl="0">
      <w:lvlJc w:val="left"/>
      <w:lvlText w:val="3"/>
      <w:numFmt w:val="bullet"/>
      <w:start w:val="1"/>
    </w:lvl>
  </w:abstractNum>
  <w:abstractNum w:abstractNumId="271">
    <w:nsid w:val="29EF532D"/>
    <w:multiLevelType w:val="hybridMultilevel"/>
    <w:lvl w:ilvl="0">
      <w:lvlJc w:val="left"/>
      <w:lvlText w:val="(%1)"/>
      <w:numFmt w:val="lowerLetter"/>
      <w:start w:val="2"/>
    </w:lvl>
  </w:abstractNum>
  <w:abstractNum w:abstractNumId="272">
    <w:nsid w:val="71D601AF"/>
    <w:multiLevelType w:val="hybridMultilevel"/>
    <w:lvl w:ilvl="0">
      <w:lvlJc w:val="left"/>
      <w:lvlText w:val="(%1)"/>
      <w:numFmt w:val="lowerLetter"/>
      <w:start w:val="3"/>
    </w:lvl>
  </w:abstractNum>
  <w:abstractNum w:abstractNumId="273">
    <w:nsid w:val="52C77402"/>
    <w:multiLevelType w:val="hybridMultilevel"/>
    <w:lvl w:ilvl="0">
      <w:lvlJc w:val="left"/>
      <w:lvlText w:val="(%1)"/>
      <w:numFmt w:val="lowerRoman"/>
      <w:start w:val="1"/>
    </w:lvl>
  </w:abstractNum>
  <w:abstractNum w:abstractNumId="274">
    <w:nsid w:val="2BB5B1C6"/>
    <w:multiLevelType w:val="hybridMultilevel"/>
    <w:lvl w:ilvl="0">
      <w:lvlJc w:val="left"/>
      <w:lvlText w:val="(%1)"/>
      <w:numFmt w:val="lowerRoman"/>
      <w:start w:val="2"/>
    </w:lvl>
  </w:abstractNum>
  <w:abstractNum w:abstractNumId="275">
    <w:nsid w:val="66BE6B9"/>
    <w:multiLevelType w:val="hybridMultilevel"/>
    <w:lvl w:ilvl="0">
      <w:lvlJc w:val="left"/>
      <w:lvlText w:val="3"/>
      <w:numFmt w:val="bullet"/>
      <w:start w:val="1"/>
    </w:lvl>
  </w:abstractNum>
  <w:abstractNum w:abstractNumId="276">
    <w:nsid w:val="62234363"/>
    <w:multiLevelType w:val="hybridMultilevel"/>
    <w:lvl w:ilvl="0">
      <w:lvlJc w:val="left"/>
      <w:lvlText w:val="(%1)"/>
      <w:numFmt w:val="lowerLetter"/>
      <w:start w:val="3"/>
    </w:lvl>
  </w:abstractNum>
  <w:abstractNum w:abstractNumId="277">
    <w:nsid w:val="66D385C9"/>
    <w:multiLevelType w:val="hybridMultilevel"/>
    <w:lvl w:ilvl="0">
      <w:lvlJc w:val="left"/>
      <w:lvlText w:val="4"/>
      <w:numFmt w:val="bullet"/>
      <w:start w:val="1"/>
    </w:lvl>
  </w:abstractNum>
  <w:abstractNum w:abstractNumId="278">
    <w:nsid w:val="596F6D8A"/>
    <w:multiLevelType w:val="hybridMultilevel"/>
    <w:lvl w:ilvl="0">
      <w:lvlJc w:val="left"/>
      <w:lvlText w:val="5"/>
      <w:numFmt w:val="bullet"/>
      <w:start w:val="1"/>
    </w:lvl>
  </w:abstractNum>
  <w:abstractNum w:abstractNumId="279">
    <w:nsid w:val="5749361F"/>
    <w:multiLevelType w:val="hybridMultilevel"/>
    <w:lvl w:ilvl="0">
      <w:lvlJc w:val="left"/>
      <w:lvlText w:val="6"/>
      <w:numFmt w:val="bullet"/>
      <w:start w:val="1"/>
    </w:lvl>
  </w:abstractNum>
  <w:abstractNum w:abstractNumId="280">
    <w:nsid w:val="73BC6770"/>
    <w:multiLevelType w:val="hybridMultilevel"/>
    <w:lvl w:ilvl="0">
      <w:lvlJc w:val="left"/>
      <w:lvlText w:val="9"/>
      <w:numFmt w:val="bullet"/>
      <w:start w:val="1"/>
    </w:lvl>
  </w:abstractNum>
  <w:abstractNum w:abstractNumId="281">
    <w:nsid w:val="280E6897"/>
    <w:multiLevelType w:val="hybridMultilevel"/>
    <w:lvl w:ilvl="0">
      <w:lvlJc w:val="left"/>
      <w:lvlText w:val="%1"/>
      <w:numFmt w:val="decimal"/>
      <w:start w:val="11"/>
    </w:lvl>
  </w:abstractNum>
  <w:abstractNum w:abstractNumId="282">
    <w:nsid w:val="605138DE"/>
    <w:multiLevelType w:val="hybridMultilevel"/>
    <w:lvl w:ilvl="0">
      <w:lvlJc w:val="left"/>
      <w:lvlText w:val="(%1)"/>
      <w:numFmt w:val="lowerRoman"/>
      <w:start w:val="1"/>
    </w:lvl>
  </w:abstractNum>
  <w:abstractNum w:abstractNumId="283">
    <w:nsid w:val="2622AD0C"/>
    <w:multiLevelType w:val="hybridMultilevel"/>
    <w:lvl w:ilvl="0">
      <w:lvlJc w:val="left"/>
      <w:lvlText w:val="(%1)"/>
      <w:numFmt w:val="lowerRoman"/>
      <w:start w:val="4"/>
    </w:lvl>
  </w:abstractNum>
  <w:abstractNum w:abstractNumId="284">
    <w:nsid w:val="67997556"/>
    <w:multiLevelType w:val="hybridMultilevel"/>
    <w:lvl w:ilvl="0">
      <w:lvlJc w:val="left"/>
      <w:lvlText w:val="(%1)"/>
      <w:numFmt w:val="lowerRoman"/>
      <w:start w:val="8"/>
    </w:lvl>
  </w:abstractNum>
  <w:abstractNum w:abstractNumId="285">
    <w:nsid w:val="18333C89"/>
    <w:multiLevelType w:val="hybridMultilevel"/>
    <w:lvl w:ilvl="0">
      <w:lvlJc w:val="left"/>
      <w:lvlText w:val="%1"/>
      <w:numFmt w:val="decimal"/>
      <w:start w:val="15"/>
    </w:lvl>
  </w:abstractNum>
  <w:abstractNum w:abstractNumId="286">
    <w:nsid w:val="4BA9831A"/>
    <w:multiLevelType w:val="hybridMultilevel"/>
    <w:lvl w:ilvl="0">
      <w:lvlJc w:val="left"/>
      <w:lvlText w:val="%1"/>
      <w:numFmt w:val="decimal"/>
      <w:start w:val="15"/>
    </w:lvl>
    <w:lvl w:ilvl="1">
      <w:lvlJc w:val="left"/>
      <w:lvlText w:val="•"/>
      <w:numFmt w:val="bullet"/>
      <w:start w:val="1"/>
    </w:lvl>
  </w:abstractNum>
  <w:abstractNum w:abstractNumId="287">
    <w:nsid w:val="6D71A2B"/>
    <w:multiLevelType w:val="hybridMultilevel"/>
    <w:lvl w:ilvl="0">
      <w:lvlJc w:val="left"/>
      <w:lvlText w:val="%1"/>
      <w:numFmt w:val="decimal"/>
      <w:start w:val="15"/>
    </w:lvl>
  </w:abstractNum>
  <w:abstractNum w:abstractNumId="288">
    <w:nsid w:val="CFC7321"/>
    <w:multiLevelType w:val="hybridMultilevel"/>
    <w:lvl w:ilvl="0">
      <w:lvlJc w:val="left"/>
      <w:lvlText w:val="%1"/>
      <w:numFmt w:val="decimal"/>
      <w:start w:val="15"/>
    </w:lvl>
  </w:abstractNum>
  <w:abstractNum w:abstractNumId="289">
    <w:nsid w:val="1421971B"/>
    <w:multiLevelType w:val="hybridMultilevel"/>
    <w:lvl w:ilvl="0">
      <w:lvlJc w:val="left"/>
      <w:lvlText w:val="%1"/>
      <w:numFmt w:val="decimal"/>
      <w:start w:val="15"/>
    </w:lvl>
  </w:abstractNum>
  <w:abstractNum w:abstractNumId="290">
    <w:nsid w:val="1F404301"/>
    <w:multiLevelType w:val="hybridMultilevel"/>
    <w:lvl w:ilvl="0">
      <w:lvlJc w:val="left"/>
      <w:lvlText w:val="%1"/>
      <w:numFmt w:val="decimal"/>
      <w:start w:val="15"/>
    </w:lvl>
  </w:abstractNum>
  <w:abstractNum w:abstractNumId="291">
    <w:nsid w:val="116E0907"/>
    <w:multiLevelType w:val="hybridMultilevel"/>
    <w:lvl w:ilvl="0">
      <w:lvlJc w:val="left"/>
      <w:lvlText w:val="%1"/>
      <w:numFmt w:val="decimal"/>
      <w:start w:val="15"/>
    </w:lvl>
  </w:abstractNum>
  <w:abstractNum w:abstractNumId="292">
    <w:nsid w:val="4B683D0D"/>
    <w:multiLevelType w:val="hybridMultilevel"/>
    <w:lvl w:ilvl="0">
      <w:lvlJc w:val="left"/>
      <w:lvlText w:val="%1"/>
      <w:numFmt w:val="decimal"/>
      <w:start w:val="15"/>
    </w:lvl>
  </w:abstractNum>
  <w:abstractNum w:abstractNumId="293">
    <w:nsid w:val="76E41D8"/>
    <w:multiLevelType w:val="hybridMultilevel"/>
    <w:lvl w:ilvl="0">
      <w:lvlJc w:val="left"/>
      <w:lvlText w:val="%1"/>
      <w:numFmt w:val="decimal"/>
      <w:start w:val="16"/>
    </w:lvl>
  </w:abstractNum>
  <w:abstractNum w:abstractNumId="294">
    <w:nsid w:val="71DCE0FD"/>
    <w:multiLevelType w:val="hybridMultilevel"/>
    <w:lvl w:ilvl="0">
      <w:lvlJc w:val="left"/>
      <w:lvlText w:val="%1"/>
      <w:numFmt w:val="decimal"/>
      <w:start w:val="17"/>
    </w:lvl>
  </w:abstractNum>
  <w:abstractNum w:abstractNumId="295">
    <w:nsid w:val="7906328B"/>
    <w:multiLevelType w:val="hybridMultilevel"/>
    <w:lvl w:ilvl="0">
      <w:lvlJc w:val="left"/>
      <w:lvlText w:val="(%1)"/>
      <w:numFmt w:val="lowerLetter"/>
      <w:start w:val="1"/>
    </w:lvl>
  </w:abstractNum>
  <w:abstractNum w:abstractNumId="296">
    <w:nsid w:val="72BBC16"/>
    <w:multiLevelType w:val="hybridMultilevel"/>
    <w:lvl w:ilvl="0">
      <w:lvlJc w:val="left"/>
      <w:lvlText w:val="(%1)"/>
      <w:numFmt w:val="lowerLetter"/>
      <w:start w:val="1"/>
    </w:lvl>
  </w:abstractNum>
  <w:abstractNum w:abstractNumId="297">
    <w:nsid w:val="766D98C2"/>
    <w:multiLevelType w:val="hybridMultilevel"/>
    <w:lvl w:ilvl="0">
      <w:lvlJc w:val="left"/>
      <w:lvlText w:val="(%1)"/>
      <w:numFmt w:val="lowerRoman"/>
      <w:start w:val="1"/>
    </w:lvl>
  </w:abstractNum>
  <w:abstractNum w:abstractNumId="298">
    <w:nsid w:val="3C09D4A1"/>
    <w:multiLevelType w:val="hybridMultilevel"/>
    <w:lvl w:ilvl="0">
      <w:lvlJc w:val="left"/>
      <w:lvlText w:val="(%1)"/>
      <w:numFmt w:val="lowerLetter"/>
      <w:start w:val="1"/>
    </w:lvl>
    <w:lvl w:ilvl="1">
      <w:lvlJc w:val="left"/>
      <w:lvlText w:val="(%2)"/>
      <w:numFmt w:val="lowerRoman"/>
      <w:start w:val="10"/>
    </w:lvl>
  </w:abstractNum>
  <w:abstractNum w:abstractNumId="299">
    <w:nsid w:val="20E45CA4"/>
    <w:multiLevelType w:val="hybridMultilevel"/>
    <w:lvl w:ilvl="0">
      <w:lvlJc w:val="left"/>
      <w:lvlText w:val="(%1)"/>
      <w:numFmt w:val="lowerLetter"/>
      <w:start w:val="1"/>
    </w:lvl>
  </w:abstractNum>
  <w:abstractNum w:abstractNumId="300">
    <w:nsid w:val="4B232EE3"/>
    <w:multiLevelType w:val="hybridMultilevel"/>
    <w:lvl w:ilvl="0">
      <w:lvlJc w:val="left"/>
      <w:lvlText w:val="%1"/>
      <w:numFmt w:val="lowerLetter"/>
      <w:start w:val="1"/>
    </w:lvl>
    <w:lvl w:ilvl="1">
      <w:lvlJc w:val="left"/>
      <w:lvlText w:val="(%2)"/>
      <w:numFmt w:val="lowerRoman"/>
      <w:start w:val="1"/>
    </w:lvl>
  </w:abstractNum>
  <w:abstractNum w:abstractNumId="301">
    <w:nsid w:val="159C74CF"/>
    <w:multiLevelType w:val="hybridMultilevel"/>
    <w:lvl w:ilvl="0">
      <w:lvlJc w:val="left"/>
      <w:lvlText w:val="(%1)"/>
      <w:numFmt w:val="lowerLetter"/>
      <w:start w:val="2"/>
    </w:lvl>
    <w:lvl w:ilvl="1">
      <w:lvlJc w:val="left"/>
      <w:lvlText w:val="%2"/>
      <w:numFmt w:val="lowerRoman"/>
      <w:start w:val="1"/>
    </w:lvl>
  </w:abstractNum>
  <w:abstractNum w:abstractNumId="302">
    <w:nsid w:val="4AD3AFD2"/>
    <w:multiLevelType w:val="hybridMultilevel"/>
    <w:lvl w:ilvl="0">
      <w:lvlJc w:val="left"/>
      <w:lvlText w:val="(%1)"/>
      <w:numFmt w:val="lowerLetter"/>
      <w:start w:val="2"/>
    </w:lvl>
  </w:abstractNum>
  <w:abstractNum w:abstractNumId="303">
    <w:nsid w:val="3CF93092"/>
    <w:multiLevelType w:val="hybridMultilevel"/>
    <w:lvl w:ilvl="0">
      <w:lvlJc w:val="left"/>
      <w:lvlText w:val="(%1)"/>
      <w:numFmt w:val="lowerLetter"/>
      <w:start w:val="1"/>
    </w:lvl>
  </w:abstractNum>
  <w:abstractNum w:abstractNumId="304">
    <w:nsid w:val="6863E8D2"/>
    <w:multiLevelType w:val="hybridMultilevel"/>
    <w:lvl w:ilvl="0">
      <w:lvlJc w:val="left"/>
      <w:lvlText w:val="%1"/>
      <w:numFmt w:val="decimal"/>
      <w:start w:val="20"/>
    </w:lvl>
  </w:abstractNum>
  <w:abstractNum w:abstractNumId="305">
    <w:nsid w:val="76896198"/>
    <w:multiLevelType w:val="hybridMultilevel"/>
    <w:lvl w:ilvl="0">
      <w:lvlJc w:val="left"/>
      <w:lvlText w:val="(%1)"/>
      <w:numFmt w:val="lowerRoman"/>
      <w:start w:val="1"/>
    </w:lvl>
  </w:abstractNum>
  <w:abstractNum w:abstractNumId="306">
    <w:nsid w:val="4365174B"/>
    <w:multiLevelType w:val="hybridMultilevel"/>
    <w:lvl w:ilvl="0">
      <w:lvlJc w:val="left"/>
      <w:lvlText w:val="(%1)"/>
      <w:numFmt w:val="lowerRoman"/>
      <w:start w:val="2"/>
    </w:lvl>
  </w:abstractNum>
  <w:abstractNum w:abstractNumId="307">
    <w:nsid w:val="4A872C35"/>
    <w:multiLevelType w:val="hybridMultilevel"/>
    <w:lvl w:ilvl="0">
      <w:lvlJc w:val="left"/>
      <w:lvlText w:val="%1"/>
      <w:numFmt w:val="decimal"/>
      <w:start w:val="20"/>
    </w:lvl>
  </w:abstractNum>
  <w:abstractNum w:abstractNumId="308">
    <w:nsid w:val="5D5CE761"/>
    <w:multiLevelType w:val="hybridMultilevel"/>
    <w:lvl w:ilvl="0">
      <w:lvlJc w:val="left"/>
      <w:lvlText w:val="%1"/>
      <w:numFmt w:val="decimal"/>
      <w:start w:val="21"/>
    </w:lvl>
  </w:abstractNum>
  <w:abstractNum w:abstractNumId="309">
    <w:nsid w:val="1CD484D5"/>
    <w:multiLevelType w:val="hybridMultilevel"/>
    <w:lvl w:ilvl="0">
      <w:lvlJc w:val="left"/>
      <w:lvlText w:val="%1"/>
      <w:numFmt w:val="decimal"/>
      <w:start w:val="21"/>
    </w:lvl>
  </w:abstractNum>
  <w:abstractNum w:abstractNumId="310">
    <w:nsid w:val="21D06255"/>
    <w:multiLevelType w:val="hybridMultilevel"/>
    <w:lvl w:ilvl="0">
      <w:lvlJc w:val="left"/>
      <w:lvlText w:val="(%1)"/>
      <w:numFmt w:val="lowerLetter"/>
      <w:start w:val="1"/>
    </w:lvl>
  </w:abstractNum>
  <w:abstractNum w:abstractNumId="311">
    <w:nsid w:val="51194ED1"/>
    <w:multiLevelType w:val="hybridMultilevel"/>
    <w:lvl w:ilvl="0">
      <w:lvlJc w:val="left"/>
      <w:lvlText w:val="(%1)"/>
      <w:numFmt w:val="lowerLetter"/>
      <w:start w:val="2"/>
    </w:lvl>
  </w:abstractNum>
  <w:abstractNum w:abstractNumId="312">
    <w:nsid w:val="44E2ED6C"/>
    <w:multiLevelType w:val="hybridMultilevel"/>
    <w:lvl w:ilvl="0">
      <w:lvlJc w:val="left"/>
      <w:lvlText w:val="%1"/>
      <w:numFmt w:val="decimal"/>
      <w:start w:val="23"/>
    </w:lvl>
  </w:abstractNum>
  <w:abstractNum w:abstractNumId="313">
    <w:nsid w:val="2219B33"/>
    <w:multiLevelType w:val="hybridMultilevel"/>
    <w:lvl w:ilvl="0">
      <w:lvlJc w:val="left"/>
      <w:lvlText w:val="%1"/>
      <w:numFmt w:val="decimal"/>
      <w:start w:val="24"/>
    </w:lvl>
  </w:abstractNum>
  <w:abstractNum w:abstractNumId="314">
    <w:nsid w:val="773BFBDD"/>
    <w:multiLevelType w:val="hybridMultilevel"/>
    <w:lvl w:ilvl="0">
      <w:lvlJc w:val="left"/>
      <w:lvlText w:val="1"/>
      <w:numFmt w:val="bullet"/>
      <w:start w:val="1"/>
    </w:lvl>
  </w:abstractNum>
  <w:abstractNum w:abstractNumId="315">
    <w:nsid w:val="2C7C62C2"/>
    <w:multiLevelType w:val="hybridMultilevel"/>
    <w:lvl w:ilvl="0">
      <w:lvlJc w:val="left"/>
      <w:lvlText w:val="(%1)"/>
      <w:numFmt w:val="lowerLetter"/>
      <w:start w:val="1"/>
    </w:lvl>
  </w:abstractNum>
  <w:abstractNum w:abstractNumId="316">
    <w:nsid w:val="1A54D7BC"/>
    <w:multiLevelType w:val="hybridMultilevel"/>
    <w:lvl w:ilvl="0">
      <w:lvlJc w:val="left"/>
      <w:lvlText w:val="(%1)"/>
      <w:numFmt w:val="lowerLetter"/>
      <w:start w:val="2"/>
    </w:lvl>
  </w:abstractNum>
  <w:abstractNum w:abstractNumId="317">
    <w:nsid w:val="42E57EF7"/>
    <w:multiLevelType w:val="hybridMultilevel"/>
    <w:lvl w:ilvl="0">
      <w:lvlJc w:val="left"/>
      <w:lvlText w:val="1"/>
      <w:numFmt w:val="bullet"/>
      <w:start w:val="1"/>
    </w:lvl>
  </w:abstractNum>
  <w:abstractNum w:abstractNumId="318">
    <w:nsid w:val="33537CED"/>
    <w:multiLevelType w:val="hybridMultilevel"/>
    <w:lvl w:ilvl="0">
      <w:lvlJc w:val="left"/>
      <w:lvlText w:val="(%1)"/>
      <w:numFmt w:val="lowerLetter"/>
      <w:start w:val="2"/>
    </w:lvl>
  </w:abstractNum>
  <w:abstractNum w:abstractNumId="319">
    <w:nsid w:val="27514ADE"/>
    <w:multiLevelType w:val="hybridMultilevel"/>
    <w:lvl w:ilvl="0">
      <w:lvlJc w:val="left"/>
      <w:lvlText w:val="•"/>
      <w:numFmt w:val="bullet"/>
      <w:start w:val="1"/>
    </w:lvl>
  </w:abstractNum>
  <w:abstractNum w:abstractNumId="320">
    <w:nsid w:val="57071613"/>
    <w:multiLevelType w:val="hybridMultilevel"/>
    <w:lvl w:ilvl="0">
      <w:lvlJc w:val="left"/>
      <w:lvlText w:val="•"/>
      <w:numFmt w:val="bullet"/>
      <w:start w:val="1"/>
    </w:lvl>
  </w:abstractNum>
  <w:abstractNum w:abstractNumId="321">
    <w:nsid w:val="5293BFEF"/>
    <w:multiLevelType w:val="hybridMultilevel"/>
    <w:lvl w:ilvl="0">
      <w:lvlJc w:val="left"/>
      <w:lvlText w:val="•"/>
      <w:numFmt w:val="bullet"/>
      <w:start w:val="1"/>
    </w:lvl>
  </w:abstractNum>
  <w:abstractNum w:abstractNumId="322">
    <w:nsid w:val="38BF53E5"/>
    <w:multiLevelType w:val="hybridMultilevel"/>
    <w:lvl w:ilvl="0">
      <w:lvlJc w:val="left"/>
      <w:lvlText w:val="1"/>
      <w:numFmt w:val="bullet"/>
      <w:start w:val="1"/>
    </w:lvl>
  </w:abstractNum>
  <w:abstractNum w:abstractNumId="323">
    <w:nsid w:val="226F5320"/>
    <w:multiLevelType w:val="hybridMultilevel"/>
    <w:lvl w:ilvl="0">
      <w:lvlJc w:val="left"/>
      <w:lvlText w:val="(%1)"/>
      <w:numFmt w:val="lowerLetter"/>
      <w:start w:val="3"/>
    </w:lvl>
  </w:abstractNum>
  <w:abstractNum w:abstractNumId="324">
    <w:nsid w:val="5A0201C7"/>
    <w:multiLevelType w:val="hybridMultilevel"/>
    <w:lvl w:ilvl="0">
      <w:lvlJc w:val="left"/>
      <w:lvlText w:val="•"/>
      <w:numFmt w:val="bullet"/>
      <w:start w:val="1"/>
    </w:lvl>
  </w:abstractNum>
  <w:abstractNum w:abstractNumId="325">
    <w:nsid w:val="2A9C34E2"/>
    <w:multiLevelType w:val="hybridMultilevel"/>
    <w:lvl w:ilvl="0">
      <w:lvlJc w:val="left"/>
      <w:lvlText w:val="•"/>
      <w:numFmt w:val="bullet"/>
      <w:start w:val="1"/>
    </w:lvl>
  </w:abstractNum>
  <w:abstractNum w:abstractNumId="326">
    <w:nsid w:val="1B7585AB"/>
    <w:multiLevelType w:val="hybridMultilevel"/>
    <w:lvl w:ilvl="0">
      <w:lvlJc w:val="left"/>
      <w:lvlText w:val="1"/>
      <w:numFmt w:val="bullet"/>
      <w:start w:val="1"/>
    </w:lvl>
  </w:abstractNum>
  <w:abstractNum w:abstractNumId="327">
    <w:nsid w:val="612DBDDD"/>
    <w:multiLevelType w:val="hybridMultilevel"/>
    <w:lvl w:ilvl="0">
      <w:lvlJc w:val="left"/>
      <w:lvlText w:val="(%1)"/>
      <w:numFmt w:val="lowerLetter"/>
      <w:start w:val="3"/>
    </w:lvl>
  </w:abstractNum>
  <w:abstractNum w:abstractNumId="328">
    <w:nsid w:val="2109CDA4"/>
    <w:multiLevelType w:val="hybridMultilevel"/>
    <w:lvl w:ilvl="0">
      <w:lvlJc w:val="left"/>
      <w:lvlText w:val="2"/>
      <w:numFmt w:val="bullet"/>
      <w:start w:val="1"/>
    </w:lvl>
  </w:abstractNum>
  <w:abstractNum w:abstractNumId="329">
    <w:nsid w:val="577F5A4D"/>
    <w:multiLevelType w:val="hybridMultilevel"/>
    <w:lvl w:ilvl="0">
      <w:lvlJc w:val="left"/>
      <w:lvlText w:val="(%1)"/>
      <w:numFmt w:val="lowerLetter"/>
      <w:start w:val="1"/>
    </w:lvl>
  </w:abstractNum>
  <w:abstractNum w:abstractNumId="330">
    <w:nsid w:val="2121A81"/>
    <w:multiLevelType w:val="hybridMultilevel"/>
    <w:lvl w:ilvl="0">
      <w:lvlJc w:val="left"/>
      <w:lvlText w:val="2"/>
      <w:numFmt w:val="bullet"/>
      <w:start w:val="1"/>
    </w:lvl>
  </w:abstractNum>
  <w:abstractNum w:abstractNumId="331">
    <w:nsid w:val="6C2CFC88"/>
    <w:multiLevelType w:val="hybridMultilevel"/>
    <w:lvl w:ilvl="0">
      <w:lvlJc w:val="left"/>
      <w:lvlText w:val="(%1)"/>
      <w:numFmt w:val="lowerLetter"/>
      <w:start w:val="3"/>
    </w:lvl>
  </w:abstractNum>
  <w:abstractNum w:abstractNumId="332">
    <w:nsid w:val="6D1BCF1C"/>
    <w:multiLevelType w:val="hybridMultilevel"/>
    <w:lvl w:ilvl="0">
      <w:lvlJc w:val="left"/>
      <w:lvlText w:val="2"/>
      <w:numFmt w:val="bullet"/>
      <w:start w:val="1"/>
    </w:lvl>
  </w:abstractNum>
  <w:abstractNum w:abstractNumId="333">
    <w:nsid w:val="4CE5CA53"/>
    <w:multiLevelType w:val="hybridMultilevel"/>
    <w:lvl w:ilvl="0">
      <w:lvlJc w:val="left"/>
      <w:lvlText w:val="(%1)"/>
      <w:numFmt w:val="lowerLetter"/>
      <w:start w:val="5"/>
    </w:lvl>
  </w:abstractNum>
  <w:abstractNum w:abstractNumId="334">
    <w:nsid w:val="29262D1A"/>
    <w:multiLevelType w:val="hybridMultilevel"/>
    <w:lvl w:ilvl="0">
      <w:lvlJc w:val="left"/>
      <w:lvlText w:val="2"/>
      <w:numFmt w:val="bullet"/>
      <w:start w:val="1"/>
    </w:lvl>
  </w:abstractNum>
  <w:abstractNum w:abstractNumId="335">
    <w:nsid w:val="557FB7EE"/>
    <w:multiLevelType w:val="hybridMultilevel"/>
    <w:lvl w:ilvl="0">
      <w:lvlJc w:val="left"/>
      <w:lvlText w:val="(%1)"/>
      <w:numFmt w:val="lowerLetter"/>
      <w:start w:val="8"/>
    </w:lvl>
  </w:abstractNum>
  <w:abstractNum w:abstractNumId="336">
    <w:nsid w:val="436F2BEB"/>
    <w:multiLevelType w:val="hybridMultilevel"/>
    <w:lvl w:ilvl="0">
      <w:lvlJc w:val="left"/>
      <w:lvlText w:val="2"/>
      <w:numFmt w:val="bullet"/>
      <w:start w:val="1"/>
    </w:lvl>
  </w:abstractNum>
  <w:abstractNum w:abstractNumId="337">
    <w:nsid w:val="6C8B4466"/>
    <w:multiLevelType w:val="hybridMultilevel"/>
    <w:lvl w:ilvl="0">
      <w:lvlJc w:val="left"/>
      <w:lvlText w:val="(%1)"/>
      <w:numFmt w:val="lowerLetter"/>
      <w:start w:val="11"/>
    </w:lvl>
  </w:abstractNum>
  <w:abstractNum w:abstractNumId="338">
    <w:nsid w:val="2006E424"/>
    <w:multiLevelType w:val="hybridMultilevel"/>
    <w:lvl w:ilvl="0">
      <w:lvlJc w:val="left"/>
      <w:lvlText w:val="2"/>
      <w:numFmt w:val="bullet"/>
      <w:start w:val="1"/>
    </w:lvl>
  </w:abstractNum>
  <w:abstractNum w:abstractNumId="339">
    <w:nsid w:val="20CC134C"/>
    <w:multiLevelType w:val="hybridMultilevel"/>
    <w:lvl w:ilvl="0">
      <w:lvlJc w:val="left"/>
      <w:lvlText w:val="(%1)"/>
      <w:numFmt w:val="lowerLetter"/>
      <w:start w:val="13"/>
    </w:lvl>
  </w:abstractNum>
  <w:abstractNum w:abstractNumId="340">
    <w:nsid w:val="95FC93B"/>
    <w:multiLevelType w:val="hybridMultilevel"/>
    <w:lvl w:ilvl="0">
      <w:lvlJc w:val="left"/>
      <w:lvlText w:val="(%1)"/>
      <w:numFmt w:val="lowerLetter"/>
      <w:start w:val="15"/>
    </w:lvl>
  </w:abstractNum>
  <w:abstractNum w:abstractNumId="341">
    <w:nsid w:val="41D74679"/>
    <w:multiLevelType w:val="hybridMultilevel"/>
    <w:lvl w:ilvl="0">
      <w:lvlJc w:val="left"/>
      <w:lvlText w:val="2"/>
      <w:numFmt w:val="bullet"/>
      <w:start w:val="1"/>
    </w:lvl>
  </w:abstractNum>
  <w:abstractNum w:abstractNumId="342">
    <w:nsid w:val="71E5621E"/>
    <w:multiLevelType w:val="hybridMultilevel"/>
    <w:lvl w:ilvl="0">
      <w:lvlJc w:val="left"/>
      <w:lvlText w:val="(%1)"/>
      <w:numFmt w:val="lowerLetter"/>
      <w:start w:val="18"/>
    </w:lvl>
  </w:abstractNum>
  <w:abstractNum w:abstractNumId="343">
    <w:nsid w:val="4E42B6A8"/>
    <w:multiLevelType w:val="hybridMultilevel"/>
    <w:lvl w:ilvl="0">
      <w:lvlJc w:val="left"/>
      <w:lvlText w:val="2"/>
      <w:numFmt w:val="bullet"/>
      <w:start w:val="1"/>
    </w:lvl>
  </w:abstractNum>
  <w:abstractNum w:abstractNumId="344">
    <w:nsid w:val="43F8E1AC"/>
    <w:multiLevelType w:val="hybridMultilevel"/>
    <w:lvl w:ilvl="0">
      <w:lvlJc w:val="left"/>
      <w:lvlText w:val="(%1)"/>
      <w:numFmt w:val="lowerLetter"/>
      <w:start w:val="20"/>
    </w:lvl>
  </w:abstractNum>
  <w:abstractNum w:abstractNumId="345">
    <w:nsid w:val="69215DFB"/>
    <w:multiLevelType w:val="hybridMultilevel"/>
    <w:lvl w:ilvl="0">
      <w:lvlJc w:val="left"/>
      <w:lvlText w:val="2"/>
      <w:numFmt w:val="bullet"/>
      <w:start w:val="1"/>
    </w:lvl>
  </w:abstractNum>
  <w:abstractNum w:abstractNumId="346">
    <w:nsid w:val="7ABF196A"/>
    <w:multiLevelType w:val="hybridMultilevel"/>
    <w:lvl w:ilvl="0">
      <w:lvlJc w:val="left"/>
      <w:lvlText w:val="(%1)"/>
      <w:numFmt w:val="lowerLetter"/>
      <w:start w:val="22"/>
    </w:lvl>
  </w:abstractNum>
  <w:abstractNum w:abstractNumId="347">
    <w:nsid w:val="5E4DB968"/>
    <w:multiLevelType w:val="hybridMultilevel"/>
    <w:lvl w:ilvl="0">
      <w:lvlJc w:val="left"/>
      <w:lvlText w:val="2"/>
      <w:numFmt w:val="bullet"/>
      <w:start w:val="1"/>
    </w:lvl>
  </w:abstractNum>
  <w:abstractNum w:abstractNumId="348">
    <w:nsid w:val="2C06DCF3"/>
    <w:multiLevelType w:val="hybridMultilevel"/>
    <w:lvl w:ilvl="0">
      <w:lvlJc w:val="left"/>
      <w:lvlText w:val="(%1)"/>
      <w:numFmt w:val="lowerLetter"/>
      <w:start w:val="26"/>
    </w:lvl>
  </w:abstractNum>
  <w:abstractNum w:abstractNumId="349">
    <w:nsid w:val="2E129658"/>
    <w:multiLevelType w:val="hybridMultilevel"/>
    <w:lvl w:ilvl="0">
      <w:lvlJc w:val="left"/>
      <w:lvlText w:val="2"/>
      <w:numFmt w:val="bullet"/>
      <w:start w:val="1"/>
    </w:lvl>
  </w:abstractNum>
  <w:abstractNum w:abstractNumId="350">
    <w:nsid w:val="59F0446"/>
    <w:multiLevelType w:val="hybridMultilevel"/>
    <w:lvl w:ilvl="0">
      <w:lvlJc w:val="left"/>
      <w:lvlText w:val="(%1)"/>
      <w:numFmt w:val="lowerLetter"/>
      <w:start w:val="26"/>
    </w:lvl>
  </w:abstractNum>
  <w:abstractNum w:abstractNumId="351">
    <w:nsid w:val="30DF306"/>
    <w:multiLevelType w:val="hybridMultilevel"/>
    <w:lvl w:ilvl="0">
      <w:lvlJc w:val="left"/>
      <w:lvlText w:val="2"/>
      <w:numFmt w:val="bullet"/>
      <w:start w:val="1"/>
    </w:lvl>
  </w:abstractNum>
  <w:abstractNum w:abstractNumId="352">
    <w:nsid w:val="A65647"/>
    <w:multiLevelType w:val="hybridMultilevel"/>
    <w:lvl w:ilvl="0">
      <w:lvlJc w:val="left"/>
      <w:lvlText w:val="(%1)"/>
      <w:numFmt w:val="lowerLetter"/>
      <w:start w:val="26"/>
    </w:lvl>
  </w:abstractNum>
  <w:abstractNum w:abstractNumId="353">
    <w:nsid w:val="3E5E582B"/>
    <w:multiLevelType w:val="hybridMultilevel"/>
    <w:lvl w:ilvl="0">
      <w:lvlJc w:val="left"/>
      <w:lvlText w:val="3"/>
      <w:numFmt w:val="bullet"/>
      <w:start w:val="1"/>
    </w:lvl>
  </w:abstractNum>
  <w:abstractNum w:abstractNumId="354">
    <w:nsid w:val="257D4626"/>
    <w:multiLevelType w:val="hybridMultilevel"/>
    <w:lvl w:ilvl="0">
      <w:lvlJc w:val="left"/>
      <w:lvlText w:val="(%1)"/>
      <w:numFmt w:val="lowerLetter"/>
      <w:start w:val="1"/>
    </w:lvl>
    <w:lvl w:ilvl="1">
      <w:lvlJc w:val="left"/>
      <w:lvlText w:val="•"/>
      <w:numFmt w:val="bullet"/>
      <w:start w:val="1"/>
    </w:lvl>
  </w:abstractNum>
  <w:abstractNum w:abstractNumId="355">
    <w:nsid w:val="5AA8580E"/>
    <w:multiLevelType w:val="hybridMultilevel"/>
    <w:lvl w:ilvl="0">
      <w:lvlJc w:val="left"/>
      <w:lvlText w:val="3"/>
      <w:numFmt w:val="bullet"/>
      <w:start w:val="1"/>
    </w:lvl>
  </w:abstractNum>
  <w:abstractNum w:abstractNumId="356">
    <w:nsid w:val="68FA8D0D"/>
    <w:multiLevelType w:val="hybridMultilevel"/>
    <w:lvl w:ilvl="0">
      <w:lvlJc w:val="left"/>
      <w:lvlText w:val="(%1)"/>
      <w:numFmt w:val="lowerLetter"/>
      <w:start w:val="1"/>
    </w:lvl>
  </w:abstractNum>
  <w:abstractNum w:abstractNumId="357">
    <w:nsid w:val="40F2CBD2"/>
    <w:multiLevelType w:val="hybridMultilevel"/>
    <w:lvl w:ilvl="0">
      <w:lvlJc w:val="left"/>
      <w:lvlText w:val="•"/>
      <w:numFmt w:val="bullet"/>
      <w:start w:val="1"/>
    </w:lvl>
  </w:abstractNum>
  <w:abstractNum w:abstractNumId="358">
    <w:nsid w:val="3BD615EB"/>
    <w:multiLevelType w:val="hybridMultilevel"/>
    <w:lvl w:ilvl="0">
      <w:lvlJc w:val="left"/>
      <w:lvlText w:val="3"/>
      <w:numFmt w:val="bullet"/>
      <w:start w:val="1"/>
    </w:lvl>
  </w:abstractNum>
  <w:abstractNum w:abstractNumId="359">
    <w:nsid w:val="A045AB2"/>
    <w:multiLevelType w:val="hybridMultilevel"/>
    <w:lvl w:ilvl="0">
      <w:lvlJc w:val="left"/>
      <w:lvlText w:val="(%1)"/>
      <w:numFmt w:val="lowerLetter"/>
      <w:start w:val="1"/>
    </w:lvl>
  </w:abstractNum>
  <w:abstractNum w:abstractNumId="360">
    <w:nsid w:val="1872261F"/>
    <w:multiLevelType w:val="hybridMultilevel"/>
    <w:lvl w:ilvl="0">
      <w:lvlJc w:val="left"/>
      <w:lvlText w:val="3"/>
      <w:numFmt w:val="bullet"/>
      <w:start w:val="1"/>
    </w:lvl>
  </w:abstractNum>
  <w:abstractNum w:abstractNumId="361">
    <w:nsid w:val="3DE8306C"/>
    <w:multiLevelType w:val="hybridMultilevel"/>
    <w:lvl w:ilvl="0">
      <w:lvlJc w:val="left"/>
      <w:lvlText w:val="(%1)"/>
      <w:numFmt w:val="lowerLetter"/>
      <w:start w:val="2"/>
    </w:lvl>
  </w:abstractNum>
  <w:abstractNum w:abstractNumId="362">
    <w:nsid w:val="7631573A"/>
    <w:multiLevelType w:val="hybridMultilevel"/>
    <w:lvl w:ilvl="0">
      <w:lvlJc w:val="left"/>
      <w:lvlText w:val="(%1)"/>
      <w:numFmt w:val="lowerRoman"/>
      <w:start w:val="1"/>
    </w:lvl>
  </w:abstractNum>
  <w:abstractNum w:abstractNumId="363">
    <w:nsid w:val="58DF53B"/>
    <w:multiLevelType w:val="hybridMultilevel"/>
    <w:lvl w:ilvl="0">
      <w:lvlJc w:val="left"/>
      <w:lvlText w:val="(%1)"/>
      <w:numFmt w:val="lowerRoman"/>
      <w:start w:val="2"/>
    </w:lvl>
  </w:abstractNum>
  <w:abstractNum w:abstractNumId="364">
    <w:nsid w:val="ACDFAC0"/>
    <w:multiLevelType w:val="hybridMultilevel"/>
    <w:lvl w:ilvl="0">
      <w:lvlJc w:val="left"/>
      <w:lvlText w:val="3"/>
      <w:numFmt w:val="bullet"/>
      <w:start w:val="1"/>
    </w:lvl>
  </w:abstractNum>
  <w:abstractNum w:abstractNumId="365">
    <w:nsid w:val="1F578454"/>
    <w:multiLevelType w:val="hybridMultilevel"/>
    <w:lvl w:ilvl="0">
      <w:lvlJc w:val="left"/>
      <w:lvlText w:val="(%1)"/>
      <w:numFmt w:val="lowerLetter"/>
      <w:start w:val="3"/>
    </w:lvl>
  </w:abstractNum>
  <w:abstractNum w:abstractNumId="366">
    <w:nsid w:val="5B0DAD2A"/>
    <w:multiLevelType w:val="hybridMultilevel"/>
    <w:lvl w:ilvl="0">
      <w:lvlJc w:val="left"/>
      <w:lvlText w:val="4"/>
      <w:numFmt w:val="bullet"/>
      <w:start w:val="1"/>
    </w:lvl>
  </w:abstractNum>
  <w:abstractNum w:abstractNumId="367">
    <w:nsid w:val="4E3D26AB"/>
    <w:multiLevelType w:val="hybridMultilevel"/>
    <w:lvl w:ilvl="0">
      <w:lvlJc w:val="left"/>
      <w:lvlText w:val="6"/>
      <w:numFmt w:val="bullet"/>
      <w:start w:val="1"/>
    </w:lvl>
  </w:abstractNum>
  <w:abstractNum w:abstractNumId="368">
    <w:nsid w:val="BE2C8BA"/>
    <w:multiLevelType w:val="hybridMultilevel"/>
    <w:lvl w:ilvl="0">
      <w:lvlJc w:val="left"/>
      <w:lvlText w:val="7"/>
      <w:numFmt w:val="bullet"/>
      <w:start w:val="1"/>
    </w:lvl>
  </w:abstractNum>
  <w:abstractNum w:abstractNumId="369">
    <w:nsid w:val="7B14914E"/>
    <w:multiLevelType w:val="hybridMultilevel"/>
    <w:lvl w:ilvl="0">
      <w:lvlJc w:val="left"/>
      <w:lvlText w:val="8"/>
      <w:numFmt w:val="bullet"/>
      <w:start w:val="1"/>
    </w:lvl>
  </w:abstractNum>
  <w:abstractNum w:abstractNumId="370">
    <w:nsid w:val="6F0939F8"/>
    <w:multiLevelType w:val="hybridMultilevel"/>
    <w:lvl w:ilvl="0">
      <w:lvlJc w:val="left"/>
      <w:lvlText w:val="9"/>
      <w:numFmt w:val="bullet"/>
      <w:start w:val="1"/>
    </w:lvl>
  </w:abstractNum>
  <w:abstractNum w:abstractNumId="371">
    <w:nsid w:val="154291F6"/>
    <w:multiLevelType w:val="hybridMultilevel"/>
    <w:lvl w:ilvl="0">
      <w:lvlJc w:val="left"/>
      <w:lvlText w:val="%1"/>
      <w:numFmt w:val="decimal"/>
      <w:start w:val="10"/>
    </w:lvl>
  </w:abstractNum>
  <w:abstractNum w:abstractNumId="372">
    <w:nsid w:val="3CEBD7C7"/>
    <w:multiLevelType w:val="hybridMultilevel"/>
    <w:lvl w:ilvl="0">
      <w:lvlJc w:val="left"/>
      <w:lvlText w:val="%1"/>
      <w:numFmt w:val="decimal"/>
      <w:start w:val="10"/>
    </w:lvl>
  </w:abstractNum>
  <w:abstractNum w:abstractNumId="373">
    <w:nsid w:val="60EE9C16"/>
    <w:multiLevelType w:val="hybridMultilevel"/>
    <w:lvl w:ilvl="0">
      <w:lvlJc w:val="left"/>
      <w:lvlText w:val="%1"/>
      <w:numFmt w:val="decimal"/>
      <w:start w:val="12"/>
    </w:lvl>
  </w:abstractNum>
  <w:abstractNum w:abstractNumId="374">
    <w:nsid w:val="6385489E"/>
    <w:multiLevelType w:val="hybridMultilevel"/>
    <w:lvl w:ilvl="0">
      <w:lvlJc w:val="left"/>
      <w:lvlText w:val="%1"/>
      <w:numFmt w:val="decimal"/>
      <w:start w:val="12"/>
    </w:lvl>
  </w:abstractNum>
  <w:abstractNum w:abstractNumId="375">
    <w:nsid w:val="E4B973"/>
    <w:multiLevelType w:val="hybridMultilevel"/>
    <w:lvl w:ilvl="0">
      <w:lvlJc w:val="left"/>
      <w:lvlText w:val="(%1)"/>
      <w:numFmt w:val="lowerLetter"/>
      <w:start w:val="1"/>
    </w:lvl>
  </w:abstractNum>
  <w:abstractNum w:abstractNumId="376">
    <w:nsid w:val="4A0FFA11"/>
    <w:multiLevelType w:val="hybridMultilevel"/>
    <w:lvl w:ilvl="0">
      <w:lvlJc w:val="left"/>
      <w:lvlText w:val="(%1)"/>
      <w:numFmt w:val="lowerLetter"/>
      <w:start w:val="1"/>
    </w:lvl>
  </w:abstractNum>
  <w:abstractNum w:abstractNumId="377">
    <w:nsid w:val="5E446208"/>
    <w:multiLevelType w:val="hybridMultilevel"/>
    <w:lvl w:ilvl="0">
      <w:lvlJc w:val="left"/>
      <w:lvlText w:val="(%1)"/>
      <w:numFmt w:val="lowerRoman"/>
      <w:start w:val="1"/>
    </w:lvl>
  </w:abstractNum>
  <w:abstractNum w:abstractNumId="378">
    <w:nsid w:val="5F3272DB"/>
    <w:multiLevelType w:val="hybridMultilevel"/>
    <w:lvl w:ilvl="0">
      <w:lvlJc w:val="left"/>
      <w:lvlText w:val="(%1)"/>
      <w:numFmt w:val="lowerLetter"/>
      <w:start w:val="1"/>
    </w:lvl>
    <w:lvl w:ilvl="1">
      <w:lvlJc w:val="left"/>
      <w:lvlText w:val="(%2)"/>
      <w:numFmt w:val="lowerRoman"/>
      <w:start w:val="7"/>
    </w:lvl>
  </w:abstractNum>
  <w:abstractNum w:abstractNumId="379">
    <w:nsid w:val="7616D704"/>
    <w:multiLevelType w:val="hybridMultilevel"/>
    <w:lvl w:ilvl="0">
      <w:lvlJc w:val="left"/>
      <w:lvlText w:val="(%1)"/>
      <w:numFmt w:val="lowerLetter"/>
      <w:start w:val="1"/>
    </w:lvl>
    <w:lvl w:ilvl="1">
      <w:lvlJc w:val="left"/>
      <w:lvlText w:val="(%2)"/>
      <w:numFmt w:val="lowerRoman"/>
      <w:start w:val="18"/>
    </w:lvl>
  </w:abstractNum>
  <w:abstractNum w:abstractNumId="380">
    <w:nsid w:val="C56F860"/>
    <w:multiLevelType w:val="hybridMultilevel"/>
    <w:lvl w:ilvl="0">
      <w:lvlJc w:val="left"/>
      <w:lvlText w:val="(%1)"/>
      <w:numFmt w:val="lowerLetter"/>
      <w:start w:val="1"/>
    </w:lvl>
  </w:abstractNum>
  <w:abstractNum w:abstractNumId="381">
    <w:nsid w:val="64D17722"/>
    <w:multiLevelType w:val="hybridMultilevel"/>
    <w:lvl w:ilvl="0">
      <w:lvlJc w:val="left"/>
      <w:lvlText w:val="(%1)"/>
      <w:numFmt w:val="lowerRoman"/>
      <w:start w:val="1"/>
    </w:lvl>
  </w:abstractNum>
  <w:abstractNum w:abstractNumId="382">
    <w:nsid w:val="7924CA0A"/>
    <w:multiLevelType w:val="hybridMultilevel"/>
    <w:lvl w:ilvl="0">
      <w:lvlJc w:val="left"/>
      <w:lvlText w:val="(%1)"/>
      <w:numFmt w:val="lowerRoman"/>
      <w:start w:val="1"/>
    </w:lvl>
  </w:abstractNum>
  <w:abstractNum w:abstractNumId="383">
    <w:nsid w:val="CFD4EA7"/>
    <w:multiLevelType w:val="hybridMultilevel"/>
    <w:lvl w:ilvl="0">
      <w:lvlJc w:val="left"/>
      <w:lvlText w:val="(%1)"/>
      <w:numFmt w:val="lowerRoman"/>
      <w:start w:val="3"/>
    </w:lvl>
  </w:abstractNum>
  <w:abstractNum w:abstractNumId="384">
    <w:nsid w:val="232FCF4D"/>
    <w:multiLevelType w:val="hybridMultilevel"/>
    <w:lvl w:ilvl="0">
      <w:lvlJc w:val="left"/>
      <w:lvlText w:val="(%1)"/>
      <w:numFmt w:val="lowerLetter"/>
      <w:start w:val="61"/>
    </w:lvl>
    <w:lvl w:ilvl="1">
      <w:lvlJc w:val="left"/>
      <w:lvlText w:val="(%2)"/>
      <w:numFmt w:val="lowerLetter"/>
      <w:start w:val="1"/>
    </w:lvl>
  </w:abstractNum>
  <w:abstractNum w:abstractNumId="385">
    <w:nsid w:val="1EA21031"/>
    <w:multiLevelType w:val="hybridMultilevel"/>
    <w:lvl w:ilvl="0">
      <w:lvlJc w:val="left"/>
      <w:lvlText w:val="(%1)"/>
      <w:numFmt w:val="lowerRoman"/>
      <w:start w:val="3"/>
    </w:lvl>
  </w:abstractNum>
  <w:abstractNum w:abstractNumId="386">
    <w:nsid w:val="67A5A6B5"/>
    <w:multiLevelType w:val="hybridMultilevel"/>
    <w:lvl w:ilvl="0">
      <w:lvlJc w:val="left"/>
      <w:lvlText w:val="(%1)"/>
      <w:numFmt w:val="lowerLetter"/>
      <w:start w:val="1"/>
    </w:lvl>
  </w:abstractNum>
  <w:abstractNum w:abstractNumId="387">
    <w:nsid w:val="C2A5C5B"/>
    <w:multiLevelType w:val="hybridMultilevel"/>
    <w:lvl w:ilvl="0">
      <w:lvlJc w:val="left"/>
      <w:lvlText w:val="(%1)"/>
      <w:numFmt w:val="lowerLetter"/>
      <w:start w:val="1"/>
    </w:lvl>
  </w:abstractNum>
  <w:abstractNum w:abstractNumId="388">
    <w:nsid w:val="5F94DC03"/>
    <w:multiLevelType w:val="hybridMultilevel"/>
    <w:lvl w:ilvl="0">
      <w:lvlJc w:val="left"/>
      <w:lvlText w:val="(%1)"/>
      <w:numFmt w:val="lowerLetter"/>
      <w:start w:val="2"/>
    </w:lvl>
  </w:abstractNum>
  <w:abstractNum w:abstractNumId="389">
    <w:nsid w:val="237BBCA0"/>
    <w:multiLevelType w:val="hybridMultilevel"/>
    <w:lvl w:ilvl="0">
      <w:lvlJc w:val="left"/>
      <w:lvlText w:val="%1"/>
      <w:numFmt w:val="decimal"/>
      <w:start w:val="17"/>
    </w:lvl>
  </w:abstractNum>
  <w:abstractNum w:abstractNumId="390">
    <w:nsid w:val="162EB70D"/>
    <w:multiLevelType w:val="hybridMultilevel"/>
    <w:lvl w:ilvl="0">
      <w:lvlJc w:val="left"/>
      <w:lvlText w:val="(%1)"/>
      <w:numFmt w:val="decimal"/>
      <w:start w:val="2"/>
    </w:lvl>
  </w:abstractNum>
  <w:abstractNum w:abstractNumId="391">
    <w:nsid w:val="78070222"/>
    <w:multiLevelType w:val="hybridMultilevel"/>
    <w:lvl w:ilvl="0">
      <w:lvlJc w:val="left"/>
      <w:lvlText w:val="1"/>
      <w:numFmt w:val="bullet"/>
      <w:start w:val="1"/>
    </w:lvl>
  </w:abstractNum>
  <w:abstractNum w:abstractNumId="392">
    <w:nsid w:val="6163ED0D"/>
    <w:multiLevelType w:val="hybridMultilevel"/>
    <w:lvl w:ilvl="0">
      <w:lvlJc w:val="left"/>
      <w:lvlText w:val="2"/>
      <w:numFmt w:val="bullet"/>
      <w:start w:val="1"/>
    </w:lvl>
  </w:abstractNum>
  <w:abstractNum w:abstractNumId="393">
    <w:nsid w:val="C600E47"/>
    <w:multiLevelType w:val="hybridMultilevel"/>
    <w:lvl w:ilvl="0">
      <w:lvlJc w:val="left"/>
      <w:lvlText w:val="3"/>
      <w:numFmt w:val="bullet"/>
      <w:start w:val="1"/>
    </w:lvl>
  </w:abstractNum>
  <w:abstractNum w:abstractNumId="394">
    <w:nsid w:val="7D94F75D"/>
    <w:multiLevelType w:val="hybridMultilevel"/>
    <w:lvl w:ilvl="0">
      <w:lvlJc w:val="left"/>
      <w:lvlText w:val="4"/>
      <w:numFmt w:val="bullet"/>
      <w:start w:val="1"/>
    </w:lvl>
  </w:abstractNum>
  <w:abstractNum w:abstractNumId="395">
    <w:nsid w:val="6C31E7CD"/>
    <w:multiLevelType w:val="hybridMultilevel"/>
    <w:lvl w:ilvl="0">
      <w:lvlJc w:val="left"/>
      <w:lvlText w:val="5"/>
      <w:numFmt w:val="bullet"/>
      <w:start w:val="1"/>
    </w:lvl>
  </w:abstractNum>
  <w:abstractNum w:abstractNumId="396">
    <w:nsid w:val="2BB7929B"/>
    <w:multiLevelType w:val="hybridMultilevel"/>
    <w:lvl w:ilvl="0">
      <w:lvlJc w:val="left"/>
      <w:lvlText w:val="(%1)"/>
      <w:numFmt w:val="decimal"/>
      <w:start w:val="1"/>
    </w:lvl>
  </w:abstractNum>
  <w:abstractNum w:abstractNumId="397">
    <w:nsid w:val="58A2A487"/>
    <w:multiLevelType w:val="hybridMultilevel"/>
    <w:lvl w:ilvl="0">
      <w:lvlJc w:val="left"/>
      <w:lvlText w:val=","/>
      <w:numFmt w:val="bullet"/>
      <w:start w:val="1"/>
    </w:lvl>
  </w:abstractNum>
  <w:abstractNum w:abstractNumId="398">
    <w:nsid w:val="3A6F0E78"/>
    <w:multiLevelType w:val="hybridMultilevel"/>
    <w:lvl w:ilvl="0">
      <w:lvlJc w:val="left"/>
      <w:lvlText w:val="*"/>
      <w:numFmt w:val="bullet"/>
      <w:start w:val="1"/>
    </w:lvl>
  </w:abstractNum>
  <w:abstractNum w:abstractNumId="399">
    <w:nsid w:val="379A5B56"/>
    <w:multiLevelType w:val="hybridMultilevel"/>
    <w:lvl w:ilvl="0">
      <w:lvlJc w:val="left"/>
      <w:lvlText w:val="%1."/>
      <w:numFmt w:val="decimal"/>
      <w:start w:val="1"/>
    </w:lvl>
  </w:abstractNum>
  <w:abstractNum w:abstractNumId="400">
    <w:nsid w:val="53B735D5"/>
    <w:multiLevelType w:val="hybridMultilevel"/>
    <w:lvl w:ilvl="0">
      <w:lvlJc w:val="left"/>
      <w:lvlText w:val="%1."/>
      <w:numFmt w:val="decimal"/>
      <w:start w:val="7"/>
    </w:lvl>
  </w:abstractNum>
  <w:abstractNum w:abstractNumId="401">
    <w:nsid w:val="29784870"/>
    <w:multiLevelType w:val="hybridMultilevel"/>
    <w:lvl w:ilvl="0">
      <w:lvlJc w:val="left"/>
      <w:lvlText w:val="%1."/>
      <w:numFmt w:val="decimal"/>
      <w:start w:val="12"/>
    </w:lvl>
    <w:lvl w:ilvl="1">
      <w:lvlJc w:val="left"/>
      <w:lvlText w:val="%2)"/>
      <w:numFmt w:val="lowerLetter"/>
      <w:start w:val="1"/>
    </w:lvl>
  </w:abstractNum>
  <w:abstractNum w:abstractNumId="402">
    <w:nsid w:val="4CDCED4C"/>
    <w:multiLevelType w:val="hybridMultilevel"/>
    <w:lvl w:ilvl="0">
      <w:lvlJc w:val="left"/>
      <w:lvlText w:val="%1."/>
      <w:numFmt w:val="decimal"/>
      <w:start w:val="17"/>
    </w:lvl>
  </w:abstractNum>
  <w:abstractNum w:abstractNumId="403">
    <w:nsid w:val="10A30D9C"/>
    <w:multiLevelType w:val="hybridMultilevel"/>
    <w:lvl w:ilvl="0">
      <w:lvlJc w:val="left"/>
      <w:lvlText w:val="%1)"/>
      <w:numFmt w:val="lowerLetter"/>
      <w:start w:val="1"/>
    </w:lvl>
  </w:abstractNum>
  <w:abstractNum w:abstractNumId="404">
    <w:nsid w:val="A66E486"/>
    <w:multiLevelType w:val="hybridMultilevel"/>
    <w:lvl w:ilvl="0">
      <w:lvlJc w:val="left"/>
      <w:lvlText w:val="%1)"/>
      <w:numFmt w:val="lowerLetter"/>
      <w:start w:val="1"/>
    </w:lvl>
  </w:abstractNum>
  <w:abstractNum w:abstractNumId="405">
    <w:nsid w:val="306235EA"/>
    <w:multiLevelType w:val="hybridMultilevel"/>
    <w:lvl w:ilvl="0">
      <w:lvlJc w:val="left"/>
      <w:lvlText w:val="%1."/>
      <w:numFmt w:val="decimal"/>
      <w:start w:val="1"/>
    </w:lvl>
  </w:abstractNum>
  <w:abstractNum w:abstractNumId="406">
    <w:nsid w:val="1187C70F"/>
    <w:multiLevelType w:val="hybridMultilevel"/>
    <w:lvl w:ilvl="0">
      <w:lvlJc w:val="left"/>
      <w:lvlText w:val="%1."/>
      <w:numFmt w:val="upperLetter"/>
      <w:start w:val="9"/>
    </w:lvl>
  </w:abstractNum>
  <w:abstractNum w:abstractNumId="407">
    <w:nsid w:val="5476DE98"/>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408">
    <w:nsid w:val="EA697F2"/>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409">
    <w:nsid w:val="70BA39EB"/>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410">
    <w:nsid w:val="4A8DB59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411">
    <w:nsid w:val="1AFD9053"/>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412">
    <w:nsid w:val="558BB10D"/>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413">
    <w:nsid w:val="43B27FA7"/>
    <w:multiLevelType w:val="hybridMultilevel"/>
    <w:lvl w:ilvl="0">
      <w:lvlJc w:val="left"/>
      <w:lvlText w:val="%1."/>
      <w:numFmt w:val="decimal"/>
      <w:start w:val="4"/>
    </w:lvl>
  </w:abstractNum>
  <w:abstractNum w:abstractNumId="414">
    <w:nsid w:val="27FADEFA"/>
    <w:multiLevelType w:val="hybridMultilevel"/>
    <w:lvl w:ilvl="0">
      <w:lvlJc w:val="left"/>
      <w:lvlText w:val="%1."/>
      <w:numFmt w:val="decimal"/>
      <w:start w:val="1"/>
    </w:lvl>
  </w:abstractNum>
  <w:abstractNum w:abstractNumId="415">
    <w:nsid w:val="78BB805A"/>
    <w:multiLevelType w:val="hybridMultilevel"/>
    <w:lvl w:ilvl="0">
      <w:lvlJc w:val="left"/>
      <w:lvlText w:val="%1"/>
      <w:numFmt w:val="upperLetter"/>
      <w:start w:val="1"/>
    </w:lvl>
    <w:lvl w:ilvl="1">
      <w:lvlJc w:val="left"/>
      <w:lvlText w:val="%2."/>
      <w:numFmt w:val="decimal"/>
      <w:start w:val="3"/>
    </w:lvl>
  </w:abstractNum>
  <w:abstractNum w:abstractNumId="416">
    <w:nsid w:val="62548FD8"/>
    <w:multiLevelType w:val="hybridMultilevel"/>
    <w:lvl w:ilvl="0">
      <w:lvlJc w:val="left"/>
      <w:lvlText w:val="%1."/>
      <w:numFmt w:val="upperLetter"/>
      <w:start w:val="22"/>
    </w:lvl>
    <w:lvl w:ilvl="1">
      <w:lvlJc w:val="left"/>
      <w:lvlText w:val="%2."/>
      <w:numFmt w:val="decimal"/>
      <w:start w:val="1"/>
    </w:lvl>
  </w:abstractNum>
  <w:abstractNum w:abstractNumId="417">
    <w:nsid w:val="FA085B0"/>
    <w:multiLevelType w:val="hybridMultilevel"/>
    <w:lvl w:ilvl="0">
      <w:lvlJc w:val="left"/>
      <w:lvlText w:val="%1."/>
      <w:numFmt w:val="decimal"/>
      <w:start w:val="1"/>
    </w:lvl>
  </w:abstractNum>
  <w:abstractNum w:abstractNumId="418">
    <w:nsid w:val="4E5DCB5"/>
    <w:multiLevelType w:val="hybridMultilevel"/>
    <w:lvl w:ilvl="0">
      <w:lvlJc w:val="left"/>
      <w:lvlText w:val="%1."/>
      <w:numFmt w:val="decimal"/>
      <w:start w:val="3"/>
    </w:lvl>
  </w:abstractNum>
  <w:abstractNum w:abstractNumId="419">
    <w:nsid w:val="41E96BDB"/>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2019-12-08T08:05:23Z</dcterms:created>
  <dcterms:modified xsi:type="dcterms:W3CDTF">2019-12-08T08:05:23Z</dcterms:modified>
</cp:coreProperties>
</file>