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iClick Interactive Asia Group Limited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15/F Prosperity Millennia Plaza</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663 King’s Road, Quarry Bay</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Hong Kong S.A.R., People’s Republic of China</w:t>
      </w:r>
    </w:p>
    <w:p>
      <w:pPr>
        <w:spacing w:after="0" w:line="135"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September 26, 2022</w:t>
      </w:r>
    </w:p>
    <w:p>
      <w:pPr>
        <w:spacing w:after="0" w:line="147" w:lineRule="exact"/>
        <w:rPr>
          <w:sz w:val="24"/>
          <w:szCs w:val="24"/>
          <w:color w:val="auto"/>
        </w:rPr>
      </w:pPr>
    </w:p>
    <w:p>
      <w:pPr>
        <w:ind w:left="140"/>
        <w:spacing w:after="0"/>
        <w:rPr>
          <w:sz w:val="20"/>
          <w:szCs w:val="20"/>
          <w:color w:val="auto"/>
        </w:rPr>
      </w:pPr>
      <w:r>
        <w:rPr>
          <w:rFonts w:ascii="Arial" w:cs="Arial" w:eastAsia="Arial" w:hAnsi="Arial"/>
          <w:sz w:val="14"/>
          <w:szCs w:val="14"/>
          <w:color w:val="auto"/>
        </w:rPr>
        <w:t>Edwin Kim</w:t>
      </w:r>
    </w:p>
    <w:p>
      <w:pPr>
        <w:spacing w:after="0" w:line="14" w:lineRule="exact"/>
        <w:rPr>
          <w:sz w:val="24"/>
          <w:szCs w:val="24"/>
          <w:color w:val="auto"/>
        </w:rPr>
      </w:pPr>
    </w:p>
    <w:p>
      <w:pPr>
        <w:ind w:left="140"/>
        <w:spacing w:after="0"/>
        <w:rPr>
          <w:sz w:val="20"/>
          <w:szCs w:val="20"/>
          <w:color w:val="auto"/>
        </w:rPr>
      </w:pPr>
      <w:r>
        <w:rPr>
          <w:rFonts w:ascii="Arial" w:cs="Arial" w:eastAsia="Arial" w:hAnsi="Arial"/>
          <w:sz w:val="14"/>
          <w:szCs w:val="14"/>
          <w:color w:val="auto"/>
        </w:rPr>
        <w:t>Joshua Shainess</w:t>
      </w:r>
    </w:p>
    <w:p>
      <w:pPr>
        <w:spacing w:after="0" w:line="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Division of Corporation Finance</w:t>
      </w:r>
    </w:p>
    <w:p>
      <w:pPr>
        <w:spacing w:after="0" w:line="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Office of Technology</w:t>
      </w:r>
    </w:p>
    <w:p>
      <w:pPr>
        <w:spacing w:after="0" w:line="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U.S. Securities and Exchange Commission</w:t>
      </w:r>
    </w:p>
    <w:p>
      <w:pPr>
        <w:spacing w:after="0" w:line="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100 F Street, N.E.</w:t>
      </w:r>
    </w:p>
    <w:p>
      <w:pPr>
        <w:spacing w:after="0" w:line="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Washington, D.C. 20549</w:t>
      </w:r>
    </w:p>
    <w:p>
      <w:pPr>
        <w:spacing w:after="0" w:line="176"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Re: iClick Interactive Asia Group Limited (the “Company”)</w:t>
      </w:r>
    </w:p>
    <w:p>
      <w:pPr>
        <w:spacing w:after="0" w:line="18"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Annual Report on Form 20-F for the Fiscal Year Ended December 31, 2021 (“FY 2021 20-F”)</w:t>
      </w:r>
    </w:p>
    <w:p>
      <w:pPr>
        <w:spacing w:after="0" w:line="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Filed May 2, 2022</w:t>
      </w:r>
    </w:p>
    <w:p>
      <w:pPr>
        <w:spacing w:after="0" w:line="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File No. 001-38313</w:t>
      </w:r>
    </w:p>
    <w:p>
      <w:pPr>
        <w:spacing w:after="0" w:line="135" w:lineRule="exact"/>
        <w:rPr>
          <w:sz w:val="24"/>
          <w:szCs w:val="24"/>
          <w:color w:val="auto"/>
        </w:rPr>
      </w:pPr>
    </w:p>
    <w:p>
      <w:pPr>
        <w:spacing w:after="0"/>
        <w:rPr>
          <w:sz w:val="20"/>
          <w:szCs w:val="20"/>
          <w:color w:val="auto"/>
        </w:rPr>
      </w:pPr>
      <w:r>
        <w:rPr>
          <w:rFonts w:ascii="Arial" w:cs="Arial" w:eastAsia="Arial" w:hAnsi="Arial"/>
          <w:sz w:val="14"/>
          <w:szCs w:val="14"/>
          <w:color w:val="auto"/>
        </w:rPr>
        <w:t>Dear Mr. Kim and Mr. Shainess:</w:t>
      </w:r>
    </w:p>
    <w:p>
      <w:pPr>
        <w:spacing w:after="0" w:line="147" w:lineRule="exact"/>
        <w:rPr>
          <w:sz w:val="24"/>
          <w:szCs w:val="24"/>
          <w:color w:val="auto"/>
        </w:rPr>
      </w:pPr>
    </w:p>
    <w:p>
      <w:pPr>
        <w:ind w:firstLine="869"/>
        <w:spacing w:after="0" w:line="276" w:lineRule="auto"/>
        <w:rPr>
          <w:sz w:val="20"/>
          <w:szCs w:val="20"/>
          <w:color w:val="auto"/>
        </w:rPr>
      </w:pPr>
      <w:r>
        <w:rPr>
          <w:rFonts w:ascii="Arial" w:cs="Arial" w:eastAsia="Arial" w:hAnsi="Arial"/>
          <w:sz w:val="14"/>
          <w:szCs w:val="14"/>
          <w:color w:val="auto"/>
        </w:rPr>
        <w:t>The Company confirms receipt of the comments on its FY2021 20-F from the Securities and Exchange Commission dated September 21, 2022 (the “Comment Letter”), and would like to request an extension to respond to the Comment Letter.</w:t>
      </w:r>
    </w:p>
    <w:p>
      <w:pPr>
        <w:spacing w:after="0" w:line="101" w:lineRule="exact"/>
        <w:rPr>
          <w:sz w:val="24"/>
          <w:szCs w:val="24"/>
          <w:color w:val="auto"/>
        </w:rPr>
      </w:pPr>
    </w:p>
    <w:p>
      <w:pPr>
        <w:ind w:right="20" w:firstLine="869"/>
        <w:spacing w:after="0" w:line="276" w:lineRule="auto"/>
        <w:rPr>
          <w:sz w:val="20"/>
          <w:szCs w:val="20"/>
          <w:color w:val="auto"/>
        </w:rPr>
      </w:pPr>
      <w:r>
        <w:rPr>
          <w:rFonts w:ascii="Arial" w:cs="Arial" w:eastAsia="Arial" w:hAnsi="Arial"/>
          <w:sz w:val="14"/>
          <w:szCs w:val="14"/>
          <w:color w:val="auto"/>
        </w:rPr>
        <w:t>Given the week-long public holiday from October 1 to October 7, 2022 in China, the Company has limited resources to work on the response. The Company respectfully requests an extension to respond to the Comment Letter and will provide its responses via EDGAR as soon as possible, and in any event no later than October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641350</wp:posOffset>
            </wp:positionV>
            <wp:extent cx="721423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4235" cy="36830"/>
                    </a:xfrm>
                    <a:prstGeom prst="rect">
                      <a:avLst/>
                    </a:prstGeom>
                    <a:noFill/>
                  </pic:spPr>
                </pic:pic>
              </a:graphicData>
            </a:graphic>
          </wp:anchor>
        </w:drawing>
      </w:r>
    </w:p>
    <w:p>
      <w:pPr>
        <w:sectPr>
          <w:pgSz w:w="11900" w:h="16838" w:orient="portrait"/>
          <w:cols w:equalWidth="0" w:num="1">
            <w:col w:w="11300"/>
          </w:cols>
          <w:pgMar w:left="300" w:top="339" w:right="299" w:bottom="1440" w:gutter="0" w:footer="0" w:header="0"/>
        </w:sectPr>
      </w:pPr>
    </w:p>
    <w:bookmarkStart w:id="1" w:name="page2"/>
    <w:bookmarkEnd w:id="1"/>
    <w:p>
      <w:pPr>
        <w:ind w:firstLine="869"/>
        <w:spacing w:after="0" w:line="276" w:lineRule="auto"/>
        <w:rPr>
          <w:sz w:val="20"/>
          <w:szCs w:val="20"/>
          <w:color w:val="auto"/>
        </w:rPr>
      </w:pPr>
      <w:r>
        <w:rPr>
          <w:rFonts w:ascii="Arial" w:cs="Arial" w:eastAsia="Arial" w:hAnsi="Arial"/>
          <w:sz w:val="14"/>
          <w:szCs w:val="14"/>
          <w:color w:val="auto"/>
        </w:rPr>
        <w:t>If you have any questions regarding the FY 2021 20-F, please contact Mr. David Zhang, the Chief Financial Officer of iClick Interactive Asia Group Limited, by telephone at +852 3700 9000 or via e-mail at david.zhang@i-click.com.</w:t>
      </w:r>
    </w:p>
    <w:p>
      <w:pPr>
        <w:spacing w:after="0" w:line="101" w:lineRule="exact"/>
        <w:rPr>
          <w:sz w:val="20"/>
          <w:szCs w:val="20"/>
          <w:color w:val="auto"/>
        </w:rPr>
      </w:pPr>
    </w:p>
    <w:p>
      <w:pPr>
        <w:ind w:left="8780"/>
        <w:spacing w:after="0"/>
        <w:rPr>
          <w:sz w:val="20"/>
          <w:szCs w:val="20"/>
          <w:color w:val="auto"/>
        </w:rPr>
      </w:pPr>
      <w:r>
        <w:rPr>
          <w:rFonts w:ascii="Arial" w:cs="Arial" w:eastAsia="Arial" w:hAnsi="Arial"/>
          <w:sz w:val="14"/>
          <w:szCs w:val="14"/>
          <w:color w:val="auto"/>
        </w:rPr>
        <w:t>Very truly yours,</w:t>
      </w:r>
    </w:p>
    <w:p>
      <w:pPr>
        <w:spacing w:after="0" w:line="147" w:lineRule="exact"/>
        <w:rPr>
          <w:sz w:val="20"/>
          <w:szCs w:val="20"/>
          <w:color w:val="auto"/>
        </w:rPr>
      </w:pPr>
    </w:p>
    <w:p>
      <w:pPr>
        <w:ind w:left="7380"/>
        <w:spacing w:after="0"/>
        <w:tabs>
          <w:tab w:leader="none" w:pos="80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10160</wp:posOffset>
            </wp:positionV>
            <wp:extent cx="21056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5660" cy="5715"/>
                    </a:xfrm>
                    <a:prstGeom prst="rect">
                      <a:avLst/>
                    </a:prstGeom>
                    <a:noFill/>
                  </pic:spPr>
                </pic:pic>
              </a:graphicData>
            </a:graphic>
          </wp:anchor>
        </w:drawing>
      </w:r>
    </w:p>
    <w:p>
      <w:pPr>
        <w:spacing w:after="0" w:line="2"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Name: David Zhang</w:t>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Title: Chief Financial Officer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cc: Ms. Shuang Zhao, Esq., Cleary Gottlieb Steen &amp; Hamilton LLP</w:t>
      </w:r>
    </w:p>
    <w:sectPr>
      <w:pgSz w:w="11900" w:h="16838" w:orient="portrait"/>
      <w:cols w:equalWidth="0" w:num="1">
        <w:col w:w="11300"/>
      </w:cols>
      <w:pgMar w:left="300" w:top="5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2022-12-19T00:18:19Z</dcterms:created>
  <dcterms:modified xsi:type="dcterms:W3CDTF">2022-12-19T00:18:19Z</dcterms:modified>
</cp:coreProperties>
</file>