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25" w:lineRule="exact"/>
        <w:rPr>
          <w:rFonts w:ascii="Wingdings" w:cs="Wingdings" w:eastAsia="Wingdings" w:hAnsi="Wingdings"/>
          <w:sz w:val="18"/>
          <w:szCs w:val="18"/>
          <w:b w:val="1"/>
          <w:bCs w:val="1"/>
          <w:color w:val="auto"/>
        </w:rPr>
      </w:pPr>
    </w:p>
    <w:p>
      <w:pPr>
        <w:ind w:left="900" w:hanging="244"/>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2 of 11</w:t>
      </w:r>
    </w:p>
    <w:p>
      <w:pPr>
        <w:spacing w:after="0" w:line="215"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Nuveen Asset Management, LLC</w:t>
            </w:r>
          </w:p>
        </w:tc>
        <w:tc>
          <w:tcPr>
            <w:tcW w:w="25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27-4357327</w:t>
            </w:r>
          </w:p>
        </w:tc>
        <w:tc>
          <w:tcPr>
            <w:tcW w:w="104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88"/>
              </w:rPr>
              <w:t>213</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88"/>
              </w:rPr>
              <w:t>213</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480" w:right="3019" w:hanging="5472"/>
        <w:spacing w:after="0" w:line="500" w:lineRule="auto"/>
        <w:tabs>
          <w:tab w:leader="none" w:pos="5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213</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0.00%</w:t>
      </w:r>
    </w:p>
    <w:p>
      <w:pPr>
        <w:spacing w:after="0" w:line="225"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3 of 11</w:t>
      </w:r>
    </w:p>
    <w:p>
      <w:pPr>
        <w:spacing w:after="0" w:line="215"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TIAA-CREF Investment Management, LLC</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473,737</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473,737</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473,737</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5.33%</w:t>
      </w:r>
    </w:p>
    <w:p>
      <w:pPr>
        <w:spacing w:after="0" w:line="225" w:lineRule="exact"/>
        <w:rPr>
          <w:sz w:val="20"/>
          <w:szCs w:val="20"/>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4 of 11</w:t>
      </w:r>
    </w:p>
    <w:p>
      <w:pPr>
        <w:spacing w:after="0" w:line="215" w:lineRule="exact"/>
        <w:rPr>
          <w:sz w:val="20"/>
          <w:szCs w:val="20"/>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Teachers Advisors, LLC</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269,361</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269,361</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269,361</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3.03%</w:t>
      </w:r>
    </w:p>
    <w:p>
      <w:pPr>
        <w:spacing w:after="0" w:line="225"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5 of 11</w:t>
      </w:r>
    </w:p>
    <w:p>
      <w:pPr>
        <w:spacing w:after="0" w:line="215"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College Retirement Equities Fund- Stock Account</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450,306</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450,306</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450,306</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5.06%</w:t>
      </w:r>
    </w:p>
    <w:p>
      <w:pPr>
        <w:spacing w:after="0" w:line="225"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IV</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6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jc w:val="center"/>
        <w:ind w:right="3779"/>
        <w:spacing w:after="0"/>
        <w:rPr>
          <w:sz w:val="20"/>
          <w:szCs w:val="20"/>
          <w:color w:val="auto"/>
        </w:rPr>
      </w:pPr>
      <w:r>
        <w:rPr>
          <w:rFonts w:ascii="Times New Roman" w:cs="Times New Roman" w:eastAsia="Times New Roman" w:hAnsi="Times New Roman"/>
          <w:sz w:val="18"/>
          <w:szCs w:val="18"/>
          <w:color w:val="auto"/>
        </w:rPr>
        <w:t>iClick Interactive Asia Group Ltd.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Items 2(a)-2(c).</w:t>
      </w:r>
      <w:r>
        <w:rPr>
          <w:sz w:val="20"/>
          <w:szCs w:val="20"/>
          <w:color w:val="auto"/>
        </w:rPr>
        <w:tab/>
      </w:r>
      <w:r>
        <w:rPr>
          <w:rFonts w:ascii="Times New Roman" w:cs="Times New Roman" w:eastAsia="Times New Roman" w:hAnsi="Times New Roman"/>
          <w:sz w:val="17"/>
          <w:szCs w:val="17"/>
          <w:b w:val="1"/>
          <w:bCs w:val="1"/>
          <w:color w:val="auto"/>
        </w:rPr>
        <w:t>NAME, ADDRESS OF PRINCIPAL BUSINESS OFFICE, AND CITIZENSHIP OF PERSONS FILING:</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Nuveen Asset Management, LLC (“NAM”)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333 W. Wacker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TIAA-CREF Investment Management, LLC (“TCIM”)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Teachers Advisors, LLC (“TAL”)</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College Retirement Equities Fund-Stock Account (“CREF SA”)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7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Sponsored American Depository Receipt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45113Y203</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w:t>
      </w:r>
    </w:p>
    <w:p>
      <w:pPr>
        <w:spacing w:after="0" w:line="22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160" w:hanging="1292"/>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TCIM</w:t>
      </w:r>
    </w:p>
    <w:p>
      <w:pPr>
        <w:spacing w:after="0" w:line="22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160" w:hanging="129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8 of 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w:t>
      </w:r>
    </w:p>
    <w:p>
      <w:pPr>
        <w:spacing w:after="0" w:line="22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CREF SA</w:t>
      </w:r>
    </w:p>
    <w:p>
      <w:pPr>
        <w:spacing w:after="0" w:line="22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investment adviser in accordance with Rule 13d-1(b)(1)(ii)(E).</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396"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9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Aggregate amount beneficially owned: 743,311</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Number of shares as to which person has: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TCIM</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TAL</w:t>
            </w:r>
          </w:p>
        </w:tc>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CREF SA</w:t>
            </w:r>
          </w:p>
        </w:tc>
      </w:tr>
      <w:tr>
        <w:trPr>
          <w:trHeight w:val="142"/>
        </w:trPr>
        <w:tc>
          <w:tcPr>
            <w:tcW w:w="16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120" w:type="dxa"/>
            <w:vAlign w:val="bottom"/>
          </w:tcPr>
          <w:p>
            <w:pPr>
              <w:spacing w:after="0"/>
              <w:rPr>
                <w:sz w:val="12"/>
                <w:szCs w:val="12"/>
                <w:color w:val="auto"/>
              </w:rPr>
            </w:pPr>
          </w:p>
        </w:tc>
      </w:tr>
      <w:tr>
        <w:trPr>
          <w:trHeight w:val="148"/>
        </w:trPr>
        <w:tc>
          <w:tcPr>
            <w:tcW w:w="16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Voting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6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473,737</w:t>
            </w:r>
          </w:p>
        </w:tc>
        <w:tc>
          <w:tcPr>
            <w:tcW w:w="96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269,361</w:t>
            </w:r>
          </w:p>
        </w:tc>
        <w:tc>
          <w:tcPr>
            <w:tcW w:w="580" w:type="dxa"/>
            <w:vAlign w:val="bottom"/>
            <w:shd w:val="clear" w:color="auto" w:fill="E5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120" w:type="dxa"/>
            <w:vAlign w:val="bottom"/>
            <w:shd w:val="clear" w:color="auto" w:fill="E5FFFF"/>
          </w:tcPr>
          <w:p>
            <w:pPr>
              <w:spacing w:after="0"/>
              <w:rPr>
                <w:sz w:val="12"/>
                <w:szCs w:val="12"/>
                <w:color w:val="auto"/>
              </w:rPr>
            </w:pPr>
          </w:p>
        </w:tc>
      </w:tr>
      <w:tr>
        <w:trPr>
          <w:trHeight w:val="31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450,306</w:t>
            </w:r>
          </w:p>
        </w:tc>
        <w:tc>
          <w:tcPr>
            <w:tcW w:w="6120" w:type="dxa"/>
            <w:vAlign w:val="bottom"/>
          </w:tcPr>
          <w:p>
            <w:pPr>
              <w:spacing w:after="0"/>
              <w:rPr>
                <w:sz w:val="24"/>
                <w:szCs w:val="24"/>
                <w:color w:val="auto"/>
              </w:rPr>
            </w:pPr>
          </w:p>
        </w:tc>
      </w:tr>
      <w:tr>
        <w:trPr>
          <w:trHeight w:val="132"/>
        </w:trPr>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20" w:type="dxa"/>
            <w:vAlign w:val="bottom"/>
          </w:tcPr>
          <w:p>
            <w:pPr>
              <w:spacing w:after="0"/>
              <w:rPr>
                <w:sz w:val="11"/>
                <w:szCs w:val="11"/>
                <w:color w:val="auto"/>
              </w:rPr>
            </w:pPr>
          </w:p>
        </w:tc>
      </w:tr>
      <w:tr>
        <w:trPr>
          <w:trHeight w:val="148"/>
        </w:trPr>
        <w:tc>
          <w:tcPr>
            <w:tcW w:w="16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Dispositive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6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473,737</w:t>
            </w:r>
          </w:p>
        </w:tc>
        <w:tc>
          <w:tcPr>
            <w:tcW w:w="96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269,361</w:t>
            </w:r>
          </w:p>
        </w:tc>
        <w:tc>
          <w:tcPr>
            <w:tcW w:w="580" w:type="dxa"/>
            <w:vAlign w:val="bottom"/>
            <w:shd w:val="clear" w:color="auto" w:fill="E5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120" w:type="dxa"/>
            <w:vAlign w:val="bottom"/>
            <w:shd w:val="clear" w:color="auto" w:fill="E5FFFF"/>
          </w:tcPr>
          <w:p>
            <w:pPr>
              <w:spacing w:after="0"/>
              <w:rPr>
                <w:sz w:val="12"/>
                <w:szCs w:val="12"/>
                <w:color w:val="auto"/>
              </w:rPr>
            </w:pPr>
          </w:p>
        </w:tc>
      </w:tr>
      <w:tr>
        <w:trPr>
          <w:trHeight w:val="31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450,306</w:t>
            </w:r>
          </w:p>
        </w:tc>
        <w:tc>
          <w:tcPr>
            <w:tcW w:w="6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-858520</wp:posOffset>
            </wp:positionV>
            <wp:extent cx="363474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4740" cy="3771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-387350</wp:posOffset>
            </wp:positionV>
            <wp:extent cx="3634740"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34740" cy="282575"/>
                    </a:xfrm>
                    <a:prstGeom prst="rect">
                      <a:avLst/>
                    </a:prstGeom>
                    <a:noFill/>
                  </pic:spPr>
                </pic:pic>
              </a:graphicData>
            </a:graphic>
          </wp:anchor>
        </w:drawing>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A attached</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58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10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nomination under §240.14a-11</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NUVEEN ASSET MANAGEMENT,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Erik Mogavero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Erik Mogavero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Head of Affiliate Compliance</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TIAA-CREF INVESTMENT MANAGEMENT,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TEACHERS ADVISORS,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COLLEGE RETIREMENT EQUITIES FUND-STOCK ACCOUNT</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58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11 of 11</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Nuveen Asset Management, LLC (“NAM”), is a registered investment adviser affiliated with TCIM and TAL. NAM may be deemed to be a beneficial owner of 213 shares of Issuer’s common stock. TIAA-CREF Investment Management, LLC (“TCIM”) is the investment adviser to the College Retirement Equities Fund (“CREF”), a registered investment company, and may be deemed to be a beneficial owner of 473,737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269,361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40"/>
      </w:cols>
      <w:pgMar w:left="320" w:top="3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9"/>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9"/>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2024-02-14T11:43:04Z</dcterms:created>
  <dcterms:modified xsi:type="dcterms:W3CDTF">2024-02-14T11:43:04Z</dcterms:modified>
</cp:coreProperties>
</file>