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11, 2017.</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Statement No. 333-221034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3</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4"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2940" w:type="dxa"/>
            <w:vAlign w:val="bottom"/>
          </w:tcPr>
          <w:p>
            <w:pPr>
              <w:jc w:val="center"/>
              <w:ind w:right="945"/>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398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2260" w:type="dxa"/>
            <w:vAlign w:val="bottom"/>
          </w:tcPr>
          <w:p>
            <w:pPr>
              <w:jc w:val="center"/>
              <w:ind w:left="1065"/>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49"/>
        </w:trPr>
        <w:tc>
          <w:tcPr>
            <w:tcW w:w="2940" w:type="dxa"/>
            <w:vAlign w:val="bottom"/>
          </w:tcPr>
          <w:p>
            <w:pPr>
              <w:jc w:val="center"/>
              <w:ind w:right="9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60" w:type="dxa"/>
            <w:vAlign w:val="bottom"/>
          </w:tcPr>
          <w:p>
            <w:pPr>
              <w:jc w:val="center"/>
              <w:ind w:left="10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9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60" w:type="dxa"/>
            <w:vAlign w:val="bottom"/>
          </w:tcPr>
          <w:p>
            <w:pPr>
              <w:jc w:val="center"/>
              <w:ind w:left="106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15/F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Prosperity Millennia Plaza</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663 King’s Road, Quarry Bay</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Hong Kong S.A.R., People’s Republic of China</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Tel: +852 3700 9000</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Law Debenture Corporate Services,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4th Floor, 400 Madison Avenue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New York, New York 10017</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(212) 750-6474</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4"/>
          <w:szCs w:val="24"/>
          <w:color w:val="auto"/>
        </w:rPr>
      </w:pPr>
    </w:p>
    <w:tbl>
      <w:tblPr>
        <w:tblLayout w:type="fixed"/>
        <w:tblInd w:w="140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0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228"/>
        </w:trPr>
        <w:tc>
          <w:tcPr>
            <w:tcW w:w="3480" w:type="dxa"/>
            <w:vAlign w:val="bottom"/>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Shuang Zhao, Esq.</w:t>
            </w:r>
          </w:p>
        </w:tc>
        <w:tc>
          <w:tcPr>
            <w:tcW w:w="5020" w:type="dxa"/>
            <w:vAlign w:val="bottom"/>
          </w:tcPr>
          <w:p>
            <w:pPr>
              <w:jc w:val="center"/>
              <w:ind w:left="2508"/>
              <w:spacing w:after="0"/>
              <w:rPr>
                <w:sz w:val="20"/>
                <w:szCs w:val="20"/>
                <w:color w:val="auto"/>
              </w:rPr>
            </w:pPr>
            <w:r>
              <w:rPr>
                <w:rFonts w:ascii="Times New Roman" w:cs="Times New Roman" w:eastAsia="Times New Roman" w:hAnsi="Times New Roman"/>
                <w:sz w:val="14"/>
                <w:szCs w:val="14"/>
                <w:b w:val="1"/>
                <w:bCs w:val="1"/>
                <w:color w:val="auto"/>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Cleary Gottlieb Steen &amp; Hamilton LLP</w:t>
            </w:r>
          </w:p>
        </w:tc>
        <w:tc>
          <w:tcPr>
            <w:tcW w:w="5020" w:type="dxa"/>
            <w:vAlign w:val="bottom"/>
          </w:tcPr>
          <w:p>
            <w:pPr>
              <w:jc w:val="center"/>
              <w:ind w:left="250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c/o 37</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 Hysan Place</w:t>
            </w:r>
          </w:p>
        </w:tc>
        <w:tc>
          <w:tcPr>
            <w:tcW w:w="5020" w:type="dxa"/>
            <w:vAlign w:val="bottom"/>
          </w:tcPr>
          <w:p>
            <w:pPr>
              <w:jc w:val="center"/>
              <w:ind w:left="2508"/>
              <w:spacing w:after="0" w:line="149" w:lineRule="exact"/>
              <w:rPr>
                <w:sz w:val="20"/>
                <w:szCs w:val="20"/>
                <w:color w:val="auto"/>
              </w:rPr>
            </w:pPr>
            <w:r>
              <w:rPr>
                <w:rFonts w:ascii="Times New Roman" w:cs="Times New Roman" w:eastAsia="Times New Roman" w:hAnsi="Times New Roman"/>
                <w:sz w:val="14"/>
                <w:szCs w:val="14"/>
                <w:b w:val="1"/>
                <w:bCs w:val="1"/>
                <w:color w:val="auto"/>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500 Hennessy Road, Causeway Bay, Hong Kong</w:t>
            </w:r>
          </w:p>
        </w:tc>
        <w:tc>
          <w:tcPr>
            <w:tcW w:w="5020" w:type="dxa"/>
            <w:vAlign w:val="bottom"/>
          </w:tcPr>
          <w:p>
            <w:pPr>
              <w:jc w:val="center"/>
              <w:ind w:left="2508"/>
              <w:spacing w:after="0" w:line="149" w:lineRule="exact"/>
              <w:rPr>
                <w:sz w:val="20"/>
                <w:szCs w:val="20"/>
                <w:color w:val="auto"/>
              </w:rPr>
            </w:pPr>
            <w:r>
              <w:rPr>
                <w:rFonts w:ascii="Times New Roman" w:cs="Times New Roman" w:eastAsia="Times New Roman" w:hAnsi="Times New Roman"/>
                <w:sz w:val="14"/>
                <w:szCs w:val="14"/>
                <w:b w:val="1"/>
                <w:bCs w:val="1"/>
                <w:color w:val="auto"/>
              </w:rPr>
              <w:t>3A Chater Road, Central, Hong Kong</w:t>
            </w:r>
          </w:p>
        </w:tc>
      </w:tr>
      <w:tr>
        <w:trPr>
          <w:trHeight w:val="190"/>
        </w:trPr>
        <w:tc>
          <w:tcPr>
            <w:tcW w:w="3480" w:type="dxa"/>
            <w:vAlign w:val="bottom"/>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(852) 2521 4122</w:t>
            </w:r>
          </w:p>
        </w:tc>
        <w:tc>
          <w:tcPr>
            <w:tcW w:w="5020" w:type="dxa"/>
            <w:vAlign w:val="bottom"/>
          </w:tcPr>
          <w:p>
            <w:pPr>
              <w:jc w:val="center"/>
              <w:ind w:left="2508"/>
              <w:spacing w:after="0"/>
              <w:rPr>
                <w:sz w:val="20"/>
                <w:szCs w:val="20"/>
                <w:color w:val="auto"/>
              </w:rPr>
            </w:pPr>
            <w:r>
              <w:rPr>
                <w:rFonts w:ascii="Times New Roman" w:cs="Times New Roman" w:eastAsia="Times New Roman" w:hAnsi="Times New Roman"/>
                <w:sz w:val="14"/>
                <w:szCs w:val="14"/>
                <w:b w:val="1"/>
                <w:bCs w:val="1"/>
                <w:color w:val="auto"/>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 As soon as practicable after this Registration Statement becomes effective.</w:t>
      </w:r>
    </w:p>
    <w:p>
      <w:pPr>
        <w:spacing w:after="0" w:line="88" w:lineRule="exact"/>
        <w:rPr>
          <w:sz w:val="24"/>
          <w:szCs w:val="24"/>
          <w:color w:val="auto"/>
        </w:rPr>
      </w:pPr>
    </w:p>
    <w:p>
      <w:pPr>
        <w:ind w:left="36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4" w:lineRule="exact"/>
        <w:rPr>
          <w:sz w:val="24"/>
          <w:szCs w:val="24"/>
          <w:color w:val="auto"/>
        </w:rPr>
      </w:pPr>
    </w:p>
    <w:p>
      <w:pPr>
        <w:ind w:right="440"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5" w:lineRule="exact"/>
        <w:rPr>
          <w:sz w:val="24"/>
          <w:szCs w:val="24"/>
          <w:color w:val="auto"/>
        </w:rPr>
      </w:pPr>
    </w:p>
    <w:p>
      <w:pPr>
        <w:ind w:right="300"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5" w:lineRule="exact"/>
        <w:rPr>
          <w:sz w:val="24"/>
          <w:szCs w:val="24"/>
          <w:color w:val="auto"/>
        </w:rPr>
      </w:pPr>
    </w:p>
    <w:p>
      <w:pPr>
        <w:ind w:right="280"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4" w:lineRule="exact"/>
        <w:rPr>
          <w:sz w:val="24"/>
          <w:szCs w:val="24"/>
          <w:color w:val="auto"/>
        </w:rPr>
      </w:pPr>
    </w:p>
    <w:p>
      <w:pPr>
        <w:ind w:right="100"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86"/>
        </w:trPr>
        <w:tc>
          <w:tcPr>
            <w:tcW w:w="20" w:type="dxa"/>
            <w:vAlign w:val="bottom"/>
          </w:tcPr>
          <w:p>
            <w:pPr>
              <w:spacing w:after="0"/>
              <w:rPr>
                <w:sz w:val="7"/>
                <w:szCs w:val="7"/>
                <w:color w:val="auto"/>
              </w:rPr>
            </w:pPr>
          </w:p>
        </w:tc>
        <w:tc>
          <w:tcPr>
            <w:tcW w:w="41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25"/>
              <w:spacing w:after="0" w:line="87" w:lineRule="exact"/>
              <w:rPr>
                <w:sz w:val="20"/>
                <w:szCs w:val="20"/>
                <w:color w:val="auto"/>
              </w:rPr>
            </w:pPr>
            <w:r>
              <w:rPr>
                <w:rFonts w:ascii="Times New Roman" w:cs="Times New Roman" w:eastAsia="Times New Roman" w:hAnsi="Times New Roman"/>
                <w:sz w:val="10"/>
                <w:szCs w:val="10"/>
                <w:b w:val="1"/>
                <w:bCs w:val="1"/>
                <w:color w:val="auto"/>
              </w:rPr>
              <w:t>Proposed maximum</w:t>
            </w:r>
          </w:p>
        </w:tc>
        <w:tc>
          <w:tcPr>
            <w:tcW w:w="1820" w:type="dxa"/>
            <w:vAlign w:val="bottom"/>
            <w:tcBorders>
              <w:right w:val="single" w:sz="8" w:color="auto"/>
            </w:tcBorders>
          </w:tcPr>
          <w:p>
            <w:pPr>
              <w:jc w:val="center"/>
              <w:ind w:left="5"/>
              <w:spacing w:after="0" w:line="87" w:lineRule="exact"/>
              <w:rPr>
                <w:sz w:val="20"/>
                <w:szCs w:val="20"/>
                <w:color w:val="auto"/>
              </w:rPr>
            </w:pPr>
            <w:r>
              <w:rPr>
                <w:rFonts w:ascii="Times New Roman" w:cs="Times New Roman" w:eastAsia="Times New Roman" w:hAnsi="Times New Roman"/>
                <w:sz w:val="10"/>
                <w:szCs w:val="10"/>
                <w:b w:val="1"/>
                <w:bCs w:val="1"/>
                <w:color w:val="auto"/>
              </w:rPr>
              <w:t>Proposed maximum</w:t>
            </w:r>
          </w:p>
        </w:tc>
        <w:tc>
          <w:tcPr>
            <w:tcW w:w="178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43"/>
              <w:spacing w:after="0" w:line="122" w:lineRule="exact"/>
              <w:rPr>
                <w:sz w:val="20"/>
                <w:szCs w:val="20"/>
                <w:color w:val="auto"/>
              </w:rPr>
            </w:pPr>
            <w:r>
              <w:rPr>
                <w:rFonts w:ascii="Times New Roman" w:cs="Times New Roman" w:eastAsia="Times New Roman" w:hAnsi="Times New Roman"/>
                <w:sz w:val="11"/>
                <w:szCs w:val="11"/>
                <w:b w:val="1"/>
                <w:bCs w:val="1"/>
                <w:color w:val="auto"/>
                <w:w w:val="96"/>
              </w:rPr>
              <w:t>Amount to be</w:t>
            </w:r>
          </w:p>
        </w:tc>
        <w:tc>
          <w:tcPr>
            <w:tcW w:w="1840" w:type="dxa"/>
            <w:vAlign w:val="bottom"/>
            <w:tcBorders>
              <w:right w:val="single" w:sz="8" w:color="auto"/>
            </w:tcBorders>
          </w:tcPr>
          <w:p>
            <w:pPr>
              <w:jc w:val="center"/>
              <w:ind w:left="25"/>
              <w:spacing w:after="0" w:line="122" w:lineRule="exact"/>
              <w:rPr>
                <w:sz w:val="20"/>
                <w:szCs w:val="20"/>
                <w:color w:val="auto"/>
              </w:rPr>
            </w:pPr>
            <w:r>
              <w:rPr>
                <w:rFonts w:ascii="Times New Roman" w:cs="Times New Roman" w:eastAsia="Times New Roman" w:hAnsi="Times New Roman"/>
                <w:sz w:val="11"/>
                <w:szCs w:val="11"/>
                <w:b w:val="1"/>
                <w:bCs w:val="1"/>
                <w:color w:val="auto"/>
              </w:rPr>
              <w:t>offering price</w:t>
            </w:r>
          </w:p>
        </w:tc>
        <w:tc>
          <w:tcPr>
            <w:tcW w:w="1820" w:type="dxa"/>
            <w:vAlign w:val="bottom"/>
            <w:tcBorders>
              <w:right w:val="single" w:sz="8" w:color="auto"/>
            </w:tcBorders>
          </w:tcPr>
          <w:p>
            <w:pPr>
              <w:jc w:val="center"/>
              <w:ind w:left="5"/>
              <w:spacing w:after="0" w:line="122" w:lineRule="exact"/>
              <w:rPr>
                <w:sz w:val="20"/>
                <w:szCs w:val="20"/>
                <w:color w:val="auto"/>
              </w:rPr>
            </w:pPr>
            <w:r>
              <w:rPr>
                <w:rFonts w:ascii="Times New Roman" w:cs="Times New Roman" w:eastAsia="Times New Roman" w:hAnsi="Times New Roman"/>
                <w:sz w:val="11"/>
                <w:szCs w:val="11"/>
                <w:b w:val="1"/>
                <w:bCs w:val="1"/>
                <w:color w:val="auto"/>
                <w:w w:val="97"/>
              </w:rPr>
              <w:t>aggregate offering</w:t>
            </w:r>
          </w:p>
        </w:tc>
        <w:tc>
          <w:tcPr>
            <w:tcW w:w="1780" w:type="dxa"/>
            <w:vAlign w:val="bottom"/>
          </w:tcPr>
          <w:p>
            <w:pPr>
              <w:jc w:val="center"/>
              <w:ind w:left="23"/>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Amount of</w:t>
            </w:r>
          </w:p>
        </w:tc>
      </w:tr>
      <w:tr>
        <w:trPr>
          <w:trHeight w:val="137"/>
        </w:trPr>
        <w:tc>
          <w:tcPr>
            <w:tcW w:w="20" w:type="dxa"/>
            <w:vAlign w:val="bottom"/>
          </w:tcPr>
          <w:p>
            <w:pPr>
              <w:spacing w:after="0"/>
              <w:rPr>
                <w:sz w:val="11"/>
                <w:szCs w:val="11"/>
                <w:color w:val="auto"/>
              </w:rPr>
            </w:pPr>
          </w:p>
        </w:tc>
        <w:tc>
          <w:tcPr>
            <w:tcW w:w="412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1"/>
                <w:szCs w:val="11"/>
                <w:b w:val="1"/>
                <w:bCs w:val="1"/>
                <w:color w:val="auto"/>
              </w:rPr>
              <w:t>Title of Each Class of Securities to Be Registered</w:t>
            </w:r>
            <w:r>
              <w:rPr>
                <w:rFonts w:ascii="Times New Roman" w:cs="Times New Roman" w:eastAsia="Times New Roman" w:hAnsi="Times New Roman"/>
                <w:sz w:val="9"/>
                <w:szCs w:val="9"/>
                <w:b w:val="1"/>
                <w:bCs w:val="1"/>
                <w:color w:val="auto"/>
              </w:rPr>
              <w:t>(1)(2)</w:t>
            </w:r>
          </w:p>
        </w:tc>
        <w:tc>
          <w:tcPr>
            <w:tcW w:w="1840" w:type="dxa"/>
            <w:vAlign w:val="bottom"/>
            <w:tcBorders>
              <w:bottom w:val="single" w:sz="8" w:color="auto"/>
              <w:right w:val="single" w:sz="8" w:color="auto"/>
            </w:tcBorders>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w w:val="96"/>
              </w:rPr>
              <w:t>registered</w:t>
            </w:r>
            <w:r>
              <w:rPr>
                <w:rFonts w:ascii="Times New Roman" w:cs="Times New Roman" w:eastAsia="Times New Roman" w:hAnsi="Times New Roman"/>
                <w:sz w:val="9"/>
                <w:szCs w:val="9"/>
                <w:b w:val="1"/>
                <w:bCs w:val="1"/>
                <w:color w:val="auto"/>
                <w:w w:val="96"/>
              </w:rPr>
              <w:t>(2)(3)</w:t>
            </w:r>
          </w:p>
        </w:tc>
        <w:tc>
          <w:tcPr>
            <w:tcW w:w="1840" w:type="dxa"/>
            <w:vAlign w:val="bottom"/>
            <w:tcBorders>
              <w:bottom w:val="single" w:sz="8" w:color="auto"/>
              <w:right w:val="single" w:sz="8" w:color="auto"/>
            </w:tcBorders>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8"/>
              </w:rPr>
              <w:t>per share</w:t>
            </w:r>
            <w:r>
              <w:rPr>
                <w:rFonts w:ascii="Times New Roman" w:cs="Times New Roman" w:eastAsia="Times New Roman" w:hAnsi="Times New Roman"/>
                <w:sz w:val="9"/>
                <w:szCs w:val="9"/>
                <w:b w:val="1"/>
                <w:bCs w:val="1"/>
                <w:color w:val="auto"/>
                <w:w w:val="98"/>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price</w:t>
            </w:r>
            <w:r>
              <w:rPr>
                <w:rFonts w:ascii="Times New Roman" w:cs="Times New Roman" w:eastAsia="Times New Roman" w:hAnsi="Times New Roman"/>
                <w:sz w:val="9"/>
                <w:szCs w:val="9"/>
                <w:b w:val="1"/>
                <w:bCs w:val="1"/>
                <w:color w:val="auto"/>
                <w:w w:val="98"/>
              </w:rPr>
              <w:t>(3)</w:t>
            </w:r>
          </w:p>
        </w:tc>
        <w:tc>
          <w:tcPr>
            <w:tcW w:w="178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registration fee</w:t>
            </w:r>
            <w:r>
              <w:rPr>
                <w:rFonts w:ascii="Times New Roman" w:cs="Times New Roman" w:eastAsia="Times New Roman" w:hAnsi="Times New Roman"/>
                <w:sz w:val="9"/>
                <w:szCs w:val="9"/>
                <w:b w:val="1"/>
                <w:bCs w:val="1"/>
                <w:color w:val="auto"/>
              </w:rPr>
              <w:t>(4)</w:t>
            </w:r>
          </w:p>
        </w:tc>
      </w:tr>
      <w:tr>
        <w:trPr>
          <w:trHeight w:val="129"/>
        </w:trPr>
        <w:tc>
          <w:tcPr>
            <w:tcW w:w="20" w:type="dxa"/>
            <w:vAlign w:val="bottom"/>
            <w:tcBorders>
              <w:bottom w:val="single" w:sz="8" w:color="auto"/>
            </w:tcBorders>
          </w:tcPr>
          <w:p>
            <w:pPr>
              <w:spacing w:after="0"/>
              <w:rPr>
                <w:sz w:val="11"/>
                <w:szCs w:val="11"/>
                <w:color w:val="auto"/>
              </w:rPr>
            </w:pPr>
          </w:p>
        </w:tc>
        <w:tc>
          <w:tcPr>
            <w:tcW w:w="412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Class A Ordinary Shares, par value US$0.001 per share</w:t>
            </w:r>
          </w:p>
        </w:tc>
        <w:tc>
          <w:tcPr>
            <w:tcW w:w="1840" w:type="dxa"/>
            <w:vAlign w:val="bottom"/>
            <w:tcBorders>
              <w:bottom w:val="single" w:sz="8" w:color="auto"/>
              <w:right w:val="single" w:sz="8" w:color="auto"/>
            </w:tcBorders>
          </w:tcPr>
          <w:p>
            <w:pPr>
              <w:jc w:val="center"/>
              <w:ind w:left="43"/>
              <w:spacing w:after="0" w:line="129" w:lineRule="exact"/>
              <w:rPr>
                <w:sz w:val="20"/>
                <w:szCs w:val="20"/>
                <w:color w:val="auto"/>
              </w:rPr>
            </w:pPr>
            <w:r>
              <w:rPr>
                <w:rFonts w:ascii="Times New Roman" w:cs="Times New Roman" w:eastAsia="Times New Roman" w:hAnsi="Times New Roman"/>
                <w:sz w:val="13"/>
                <w:szCs w:val="13"/>
                <w:color w:val="auto"/>
                <w:w w:val="96"/>
              </w:rPr>
              <w:t>3,382,350</w:t>
            </w:r>
          </w:p>
        </w:tc>
        <w:tc>
          <w:tcPr>
            <w:tcW w:w="1840" w:type="dxa"/>
            <w:vAlign w:val="bottom"/>
            <w:tcBorders>
              <w:bottom w:val="single" w:sz="8" w:color="auto"/>
              <w:right w:val="single" w:sz="8" w:color="auto"/>
            </w:tcBorders>
          </w:tcPr>
          <w:p>
            <w:pPr>
              <w:jc w:val="center"/>
              <w:ind w:left="25"/>
              <w:spacing w:after="0" w:line="129" w:lineRule="exact"/>
              <w:rPr>
                <w:sz w:val="20"/>
                <w:szCs w:val="20"/>
                <w:color w:val="auto"/>
              </w:rPr>
            </w:pPr>
            <w:r>
              <w:rPr>
                <w:rFonts w:ascii="Times New Roman" w:cs="Times New Roman" w:eastAsia="Times New Roman" w:hAnsi="Times New Roman"/>
                <w:sz w:val="13"/>
                <w:szCs w:val="13"/>
                <w:color w:val="auto"/>
                <w:w w:val="99"/>
              </w:rPr>
              <w:t>US$18.00</w:t>
            </w:r>
          </w:p>
        </w:tc>
        <w:tc>
          <w:tcPr>
            <w:tcW w:w="1820" w:type="dxa"/>
            <w:vAlign w:val="bottom"/>
            <w:tcBorders>
              <w:bottom w:val="single" w:sz="8" w:color="auto"/>
              <w:right w:val="single" w:sz="8" w:color="auto"/>
            </w:tcBorders>
          </w:tcPr>
          <w:p>
            <w:pPr>
              <w:jc w:val="center"/>
              <w:ind w:left="5"/>
              <w:spacing w:after="0" w:line="129" w:lineRule="exact"/>
              <w:rPr>
                <w:sz w:val="20"/>
                <w:szCs w:val="20"/>
                <w:color w:val="auto"/>
              </w:rPr>
            </w:pPr>
            <w:r>
              <w:rPr>
                <w:rFonts w:ascii="Times New Roman" w:cs="Times New Roman" w:eastAsia="Times New Roman" w:hAnsi="Times New Roman"/>
                <w:sz w:val="13"/>
                <w:szCs w:val="13"/>
                <w:color w:val="auto"/>
                <w:w w:val="97"/>
              </w:rPr>
              <w:t>US$60,882,300</w:t>
            </w:r>
          </w:p>
        </w:tc>
        <w:tc>
          <w:tcPr>
            <w:tcW w:w="1780" w:type="dxa"/>
            <w:vAlign w:val="bottom"/>
            <w:tcBorders>
              <w:bottom w:val="single" w:sz="8" w:color="auto"/>
            </w:tcBorders>
          </w:tcPr>
          <w:p>
            <w:pPr>
              <w:jc w:val="center"/>
              <w:ind w:left="23"/>
              <w:spacing w:after="0" w:line="129" w:lineRule="exact"/>
              <w:rPr>
                <w:sz w:val="20"/>
                <w:szCs w:val="20"/>
                <w:color w:val="auto"/>
              </w:rPr>
            </w:pPr>
            <w:r>
              <w:rPr>
                <w:rFonts w:ascii="Times New Roman" w:cs="Times New Roman" w:eastAsia="Times New Roman" w:hAnsi="Times New Roman"/>
                <w:sz w:val="13"/>
                <w:szCs w:val="13"/>
                <w:color w:val="auto"/>
                <w:w w:val="96"/>
              </w:rPr>
              <w:t>US$7,579.85</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340" w:right="360" w:hanging="332"/>
        <w:spacing w:after="0" w:line="224" w:lineRule="auto"/>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American depositary shares issuable upon deposit of Class A ordinary shares registered hereby will be registered under a separate registration statement on Form F-6 (Registration No. 333-221860). Two American depositary shares represent one class A ordinary share.</w:t>
      </w:r>
    </w:p>
    <w:p>
      <w:pPr>
        <w:ind w:left="340" w:right="20" w:hanging="332"/>
        <w:spacing w:after="0" w:line="216" w:lineRule="auto"/>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Times New Roman" w:cs="Times New Roman" w:eastAsia="Times New Roman" w:hAnsi="Times New Roman"/>
          <w:sz w:val="13"/>
          <w:szCs w:val="13"/>
          <w:color w:val="auto"/>
        </w:rPr>
      </w:pPr>
    </w:p>
    <w:p>
      <w:pPr>
        <w:ind w:left="340" w:hanging="332"/>
        <w:spacing w:after="0" w:line="216" w:lineRule="auto"/>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determining the amount of registration fee in accordance with Rule 457(a) under the Securities Act of 1933.</w:t>
      </w:r>
    </w:p>
    <w:p>
      <w:pPr>
        <w:ind w:left="340" w:hanging="332"/>
        <w:spacing w:after="0"/>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4"/>
          <w:szCs w:val="24"/>
          <w:color w:val="auto"/>
        </w:rPr>
      </w:pPr>
    </w:p>
    <w:p>
      <w:pPr>
        <w:ind w:right="40" w:firstLine="342"/>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147"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EB0029"/>
        </w:rPr>
        <w:t>SUBJECT TO COMPLETION, DATED DECEMBER 11, 2017</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EB0029"/>
        </w:rPr>
        <w:t>PRELIMINARY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5,882,400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182245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iClick Interactive Asia Group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Representing 2,941,200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This is the initial public offering of our American Depositary Shares, or ADSs. We are selling 5,882,400 ADSs. Two ADSs represent one Class A ordinary share, par value US$0.001 per share. We currently expect the initial public offering price to be between US$8.00 and US$9.00 per ADS.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882,300 additional ADSs to cover over-allotments.</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ADSs or our ordinary shares. We have applied to have the ADSs listed on the NASDAQ Global Market under the symbol “ICLK”.</w:t>
      </w:r>
    </w:p>
    <w:p>
      <w:pPr>
        <w:spacing w:after="0" w:line="162" w:lineRule="exact"/>
        <w:rPr>
          <w:sz w:val="20"/>
          <w:szCs w:val="20"/>
          <w:color w:val="auto"/>
        </w:rPr>
      </w:pPr>
    </w:p>
    <w:p>
      <w:pPr>
        <w:ind w:right="880" w:firstLine="45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149"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ADSs involves risks. See “</w:t>
      </w:r>
      <w:hyperlink w:anchor="page22">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18.</w:t>
      </w:r>
    </w:p>
    <w:p>
      <w:pPr>
        <w:spacing w:after="0" w:line="215"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96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9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Proceeds</w:t>
            </w:r>
          </w:p>
        </w:tc>
      </w:tr>
      <w:tr>
        <w:trPr>
          <w:trHeight w:val="149"/>
        </w:trPr>
        <w:tc>
          <w:tcPr>
            <w:tcW w:w="2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6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r>
      <w:tr>
        <w:trPr>
          <w:trHeight w:val="173"/>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9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Commissions</w:t>
            </w:r>
            <w:r>
              <w:rPr>
                <w:rFonts w:ascii="Times New Roman" w:cs="Times New Roman" w:eastAsia="Times New Roman" w:hAnsi="Times New Roman"/>
                <w:sz w:val="12"/>
                <w:szCs w:val="12"/>
                <w:b w:val="1"/>
                <w:bCs w:val="1"/>
                <w:color w:val="auto"/>
              </w:rPr>
              <w:t>(1)</w:t>
            </w:r>
          </w:p>
        </w:tc>
        <w:tc>
          <w:tcPr>
            <w:tcW w:w="98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expenses</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ADS</w:t>
            </w:r>
          </w:p>
        </w:tc>
        <w:tc>
          <w:tcPr>
            <w:tcW w:w="1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w w:val="93"/>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US$</w:t>
            </w:r>
          </w:p>
        </w:tc>
        <w:tc>
          <w:tcPr>
            <w:tcW w:w="19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US$</w:t>
            </w:r>
          </w:p>
        </w:tc>
        <w:tc>
          <w:tcPr>
            <w:tcW w:w="1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compensation payable to the underwriters, see “Underwriting.”</w:t>
      </w:r>
    </w:p>
    <w:p>
      <w:pPr>
        <w:spacing w:after="0" w:line="22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offering, our outstanding share capital will consist of Class A ordinary shares and Class B ordinary shares. Mr. Sammy Hsieh, our chief executive officer and co-founder, and Mr. Jian Tang, our chief operating officer, chief technology officer and co-founder, will beneficially own all of our issued Class B ordinary shares. These Class B ordinary shares will constitute approximately 18.0% of our total issued and outstanding share capital immediately after the completion of this offering and 81.4% of the aggregate voting power of our total issued and outstanding share capital immediately after the completion of this offering, assuming an initial offering price of US$8.50 per ADS, which is the midpoint of the estimated range and assuming the underwriters do not exercise their over-allotment option. See “Capitalization.”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ADSs to purchasers on or about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tabs>
          <w:tab w:leader="none" w:pos="8120" w:val="left"/>
        </w:tabs>
        <w:rPr>
          <w:sz w:val="20"/>
          <w:szCs w:val="20"/>
          <w:color w:val="auto"/>
        </w:rPr>
      </w:pPr>
      <w:r>
        <w:rPr>
          <w:rFonts w:ascii="Times New Roman" w:cs="Times New Roman" w:eastAsia="Times New Roman" w:hAnsi="Times New Roman"/>
          <w:sz w:val="25"/>
          <w:szCs w:val="25"/>
          <w:b w:val="1"/>
          <w:bCs w:val="1"/>
          <w:color w:val="auto"/>
        </w:rPr>
        <w:t>Network 1 Financial Securities, Inc.</w:t>
      </w:r>
      <w:r>
        <w:rPr>
          <w:sz w:val="20"/>
          <w:szCs w:val="20"/>
          <w:color w:val="auto"/>
        </w:rPr>
        <w:tab/>
      </w:r>
      <w:r>
        <w:rPr>
          <w:rFonts w:ascii="Times New Roman" w:cs="Times New Roman" w:eastAsia="Times New Roman" w:hAnsi="Times New Roman"/>
          <w:sz w:val="25"/>
          <w:szCs w:val="25"/>
          <w:b w:val="1"/>
          <w:bCs w:val="1"/>
          <w:color w:val="auto"/>
        </w:rPr>
        <w:t>Shenwan Hongyuan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264795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2017</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215265</wp:posOffset>
            </wp:positionV>
            <wp:extent cx="5548630" cy="7117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8630" cy="711771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520" w:type="dxa"/>
            <w:vAlign w:val="bottom"/>
            <w:gridSpan w:val="6"/>
            <w:vMerge w:val="restart"/>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Prospectus Summary</w:t>
              </w:r>
            </w:hyperlink>
          </w:p>
        </w:tc>
        <w:tc>
          <w:tcPr>
            <w:tcW w:w="3580" w:type="dxa"/>
            <w:vAlign w:val="bottom"/>
            <w:gridSpan w:val="8"/>
            <w:vMerge w:val="restart"/>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5220" w:type="dxa"/>
            <w:vAlign w:val="bottom"/>
            <w:gridSpan w:val="13"/>
            <w:vMerge w:val="restart"/>
          </w:tcPr>
          <w:p>
            <w:pPr>
              <w:spacing w:after="0"/>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Industry</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20" w:type="dxa"/>
            <w:vAlign w:val="bottom"/>
            <w:gridSpan w:val="6"/>
            <w:vMerge w:val="continue"/>
          </w:tcPr>
          <w:p>
            <w:pPr>
              <w:spacing w:after="0"/>
              <w:rPr>
                <w:sz w:val="14"/>
                <w:szCs w:val="14"/>
                <w:color w:val="auto"/>
              </w:rPr>
            </w:pPr>
          </w:p>
        </w:tc>
        <w:tc>
          <w:tcPr>
            <w:tcW w:w="358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4"/>
                <w:szCs w:val="14"/>
                <w:color w:val="auto"/>
              </w:rPr>
            </w:pPr>
          </w:p>
        </w:tc>
        <w:tc>
          <w:tcPr>
            <w:tcW w:w="522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Risk Factors</w:t>
              </w:r>
            </w:hyperlink>
          </w:p>
        </w:tc>
        <w:tc>
          <w:tcPr>
            <w:tcW w:w="620" w:type="dxa"/>
            <w:vAlign w:val="bottom"/>
            <w:gridSpan w:val="3"/>
          </w:tcPr>
          <w:p>
            <w:pPr>
              <w:spacing w:after="0"/>
              <w:rPr>
                <w:sz w:val="17"/>
                <w:szCs w:val="17"/>
                <w:color w:val="auto"/>
              </w:rPr>
            </w:pPr>
          </w:p>
        </w:tc>
        <w:tc>
          <w:tcPr>
            <w:tcW w:w="358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Business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Special Note Regarding Forward-Looking Statements and</w:t>
              </w:r>
            </w:hyperlink>
          </w:p>
        </w:tc>
        <w:tc>
          <w:tcPr>
            <w:tcW w:w="9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57">
              <w:r>
                <w:rPr>
                  <w:rFonts w:ascii="Times New Roman" w:cs="Times New Roman" w:eastAsia="Times New Roman" w:hAnsi="Times New Roman"/>
                  <w:sz w:val="18"/>
                  <w:szCs w:val="18"/>
                  <w:color w:val="0000EE"/>
                  <w:w w:val="98"/>
                </w:rPr>
                <w:t>Regulation</w:t>
              </w:r>
            </w:hyperlink>
          </w:p>
        </w:tc>
        <w:tc>
          <w:tcPr>
            <w:tcW w:w="4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67">
              <w:r>
                <w:rPr>
                  <w:rFonts w:ascii="Times New Roman" w:cs="Times New Roman" w:eastAsia="Times New Roman" w:hAnsi="Times New Roman"/>
                  <w:sz w:val="18"/>
                  <w:szCs w:val="18"/>
                  <w:color w:val="0000EE"/>
                  <w:w w:val="97"/>
                </w:rPr>
                <w:t>Industry Data</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Management</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Use of Proceeds</w:t>
              </w:r>
            </w:hyperlink>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Dividend Policy</w:t>
              </w:r>
            </w:hyperlink>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Capitalization</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73">
              <w:r>
                <w:rPr>
                  <w:rFonts w:ascii="Times New Roman" w:cs="Times New Roman" w:eastAsia="Times New Roman" w:hAnsi="Times New Roman"/>
                  <w:sz w:val="18"/>
                  <w:szCs w:val="18"/>
                  <w:color w:val="0000EE"/>
                  <w:w w:val="96"/>
                </w:rPr>
                <w:t>Dilution</w:t>
              </w:r>
            </w:hyperlink>
          </w:p>
        </w:tc>
        <w:tc>
          <w:tcPr>
            <w:tcW w:w="400" w:type="dxa"/>
            <w:vAlign w:val="bottom"/>
            <w:gridSpan w:val="2"/>
          </w:tcPr>
          <w:p>
            <w:pPr>
              <w:spacing w:after="0"/>
              <w:rPr>
                <w:sz w:val="17"/>
                <w:szCs w:val="17"/>
                <w:color w:val="auto"/>
              </w:rPr>
            </w:pPr>
          </w:p>
        </w:tc>
        <w:tc>
          <w:tcPr>
            <w:tcW w:w="4100" w:type="dxa"/>
            <w:vAlign w:val="bottom"/>
            <w:gridSpan w:val="1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3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93">
              <w:r>
                <w:rPr>
                  <w:rFonts w:ascii="Times New Roman" w:cs="Times New Roman" w:eastAsia="Times New Roman" w:hAnsi="Times New Roman"/>
                  <w:sz w:val="18"/>
                  <w:szCs w:val="18"/>
                  <w:color w:val="0000EE"/>
                  <w:w w:val="99"/>
                </w:rPr>
                <w:t>Description of American Depositary Shares</w:t>
              </w:r>
            </w:hyperlink>
          </w:p>
        </w:tc>
        <w:tc>
          <w:tcPr>
            <w:tcW w:w="20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Exchange Rate Information</w:t>
              </w:r>
            </w:hyperlink>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77">
              <w:r>
                <w:rPr>
                  <w:rFonts w:ascii="Times New Roman" w:cs="Times New Roman" w:eastAsia="Times New Roman" w:hAnsi="Times New Roman"/>
                  <w:sz w:val="18"/>
                  <w:szCs w:val="18"/>
                  <w:color w:val="0000EE"/>
                  <w:w w:val="98"/>
                </w:rPr>
                <w:t>Enforceability of Civil Liabilities</w:t>
              </w:r>
            </w:hyperlink>
          </w:p>
        </w:tc>
        <w:tc>
          <w:tcPr>
            <w:tcW w:w="270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207">
              <w:r>
                <w:rPr>
                  <w:rFonts w:ascii="Times New Roman" w:cs="Times New Roman" w:eastAsia="Times New Roman" w:hAnsi="Times New Roman"/>
                  <w:sz w:val="18"/>
                  <w:szCs w:val="18"/>
                  <w:color w:val="0000EE"/>
                  <w:w w:val="87"/>
                </w:rPr>
                <w:t>Taxation</w:t>
              </w:r>
            </w:hyperlink>
          </w:p>
        </w:tc>
        <w:tc>
          <w:tcPr>
            <w:tcW w:w="46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Corporate History and Structure</w:t>
              </w:r>
            </w:hyperlink>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213">
              <w:r>
                <w:rPr>
                  <w:rFonts w:ascii="Times New Roman" w:cs="Times New Roman" w:eastAsia="Times New Roman" w:hAnsi="Times New Roman"/>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Selected Consolidated Financial and Other Data</w:t>
              </w:r>
            </w:hyperlink>
          </w:p>
        </w:tc>
        <w:tc>
          <w:tcPr>
            <w:tcW w:w="164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23">
              <w:r>
                <w:rPr>
                  <w:rFonts w:ascii="Times New Roman" w:cs="Times New Roman" w:eastAsia="Times New Roman" w:hAnsi="Times New Roman"/>
                  <w:sz w:val="18"/>
                  <w:szCs w:val="18"/>
                  <w:color w:val="0000EE"/>
                  <w:w w:val="99"/>
                </w:rPr>
                <w:t>Expenses Relating to This Offering</w:t>
              </w:r>
            </w:hyperlink>
          </w:p>
        </w:tc>
        <w:tc>
          <w:tcPr>
            <w:tcW w:w="2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224">
              <w:r>
                <w:rPr>
                  <w:rFonts w:ascii="Times New Roman" w:cs="Times New Roman" w:eastAsia="Times New Roman" w:hAnsi="Times New Roman"/>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87">
              <w:r>
                <w:rPr>
                  <w:rFonts w:ascii="Times New Roman" w:cs="Times New Roman" w:eastAsia="Times New Roman" w:hAnsi="Times New Roman"/>
                  <w:sz w:val="18"/>
                  <w:szCs w:val="18"/>
                  <w:color w:val="0000EE"/>
                  <w:w w:val="98"/>
                </w:rPr>
                <w:t>and Results of Operations</w:t>
              </w:r>
            </w:hyperlink>
          </w:p>
        </w:tc>
        <w:tc>
          <w:tcPr>
            <w:tcW w:w="250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225">
              <w:r>
                <w:rPr>
                  <w:rFonts w:ascii="Times New Roman" w:cs="Times New Roman" w:eastAsia="Times New Roman" w:hAnsi="Times New Roman"/>
                  <w:sz w:val="18"/>
                  <w:szCs w:val="18"/>
                  <w:color w:val="0000EE"/>
                </w:rPr>
                <w:t>Experts</w:t>
              </w:r>
            </w:hyperlink>
          </w:p>
        </w:tc>
        <w:tc>
          <w:tcPr>
            <w:tcW w:w="420" w:type="dxa"/>
            <w:vAlign w:val="bottom"/>
            <w:tcBorders>
              <w:top w:val="single" w:sz="8" w:color="0000EE"/>
            </w:tcBorders>
            <w:gridSpan w:val="3"/>
          </w:tcPr>
          <w:p>
            <w:pPr>
              <w:spacing w:after="0"/>
              <w:rPr>
                <w:sz w:val="17"/>
                <w:szCs w:val="17"/>
                <w:color w:val="auto"/>
              </w:rPr>
            </w:pPr>
          </w:p>
        </w:tc>
        <w:tc>
          <w:tcPr>
            <w:tcW w:w="4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26">
              <w:r>
                <w:rPr>
                  <w:rFonts w:ascii="Times New Roman" w:cs="Times New Roman" w:eastAsia="Times New Roman" w:hAnsi="Times New Roman"/>
                  <w:sz w:val="18"/>
                  <w:szCs w:val="18"/>
                  <w:color w:val="0000EE"/>
                  <w:w w:val="99"/>
                </w:rPr>
                <w:t>Where You Can Find Additional Information</w:t>
              </w:r>
            </w:hyperlink>
          </w:p>
        </w:tc>
        <w:tc>
          <w:tcPr>
            <w:tcW w:w="19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Times New Roman" w:cs="Times New Roman" w:eastAsia="Times New Roman" w:hAnsi="Times New Roman"/>
                <w:sz w:val="18"/>
                <w:szCs w:val="18"/>
                <w:color w:val="0000EE"/>
              </w:rPr>
            </w:pPr>
            <w:hyperlink w:anchor="page227">
              <w:r>
                <w:rPr>
                  <w:rFonts w:ascii="Times New Roman" w:cs="Times New Roman" w:eastAsia="Times New Roman" w:hAnsi="Times New Roman"/>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76"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741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4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in August, 2017 entitled “China Online Marketing Market Independent Market Research” commissioned by us and prepared by Frost &amp; Sullivan, an independent market research firm, to provide information on the online marketing market in China.</w:t>
      </w:r>
    </w:p>
    <w:p>
      <w:pPr>
        <w:spacing w:after="0" w:line="2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0"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80" w:lineRule="exact"/>
        <w:rPr>
          <w:sz w:val="20"/>
          <w:szCs w:val="20"/>
          <w:color w:val="auto"/>
        </w:rPr>
      </w:pPr>
    </w:p>
    <w:p>
      <w:pPr>
        <w:ind w:left="200" w:firstLine="441"/>
        <w:spacing w:after="0" w:line="271" w:lineRule="auto"/>
        <w:rPr>
          <w:sz w:val="20"/>
          <w:szCs w:val="20"/>
          <w:color w:val="auto"/>
        </w:rPr>
      </w:pPr>
      <w:r>
        <w:rPr>
          <w:rFonts w:ascii="Times New Roman" w:cs="Times New Roman" w:eastAsia="Times New Roman" w:hAnsi="Times New Roman"/>
          <w:sz w:val="17"/>
          <w:szCs w:val="17"/>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74"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September 30, 2017, we covered approximately 74,000 mobile apps and 2.6 million websites. We work closely with our content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80"/>
          </w:cols>
          <w:pgMar w:left="24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878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80"/>
        <w:spacing w:after="0" w:line="266" w:lineRule="auto"/>
        <w:rPr>
          <w:sz w:val="20"/>
          <w:szCs w:val="20"/>
          <w:color w:val="auto"/>
        </w:rPr>
      </w:pPr>
      <w:r>
        <w:rPr>
          <w:rFonts w:ascii="Times New Roman" w:cs="Times New Roman" w:eastAsia="Times New Roman" w:hAnsi="Times New Roman"/>
          <w:sz w:val="18"/>
          <w:szCs w:val="18"/>
          <w:color w:val="auto"/>
        </w:rPr>
        <w:t>distribution partners to facilitate innovative and effective audience engagement. In 2016, our gross billing from mobile audience solutions and other solutions amounted to US$112.4 million and US$123.9 million, respectively. In the nine months ended September 30, 2017, our gross billing from mobile audience solutions and other solutions amounted to US$104.5 million and US$57.4 million, respectively.</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take a flexible approach to deliver our solutions in order to cater to the preferences, levels of internal resources and sophistication of our clients. Our clients may choose to access our solutions through (i) self-service, when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0"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184"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We generate revenues primarily from clients’ marketing spend through our platform as they utilize our solutions, and to a lesser extent from incentives granted by certain publisher.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the client base for other solutions to focus on profitability and liquidity. Our net revenues grew by 46.2% from US$65.2 million in 2015 to US$95.4 million in 2016 and by 22.1% from US$70.0 million in the nine months ended September 30, 2016 to US$85.5 million in the same period in 2017. Our net loss amounted to US$39.7 million, US$27.3 million and US$15.9 million in 2015, 2016 and the nine months ended September 30, 2017, respectively.</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8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578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have smaller marketing departments, thereby creating opportunities for independent online marketing technology companies like us to provide value added service.</w:t>
      </w:r>
    </w:p>
    <w:p>
      <w:pPr>
        <w:spacing w:after="0" w:line="162"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that the following competitive strengths have contributed to our success and differentiated us from our competitors:</w:t>
      </w:r>
    </w:p>
    <w:p>
      <w:pPr>
        <w:spacing w:after="0" w:line="127" w:lineRule="exact"/>
        <w:rPr>
          <w:sz w:val="20"/>
          <w:szCs w:val="20"/>
          <w:color w:val="auto"/>
        </w:rPr>
      </w:pPr>
    </w:p>
    <w:p>
      <w:pPr>
        <w:ind w:left="1060" w:right="300" w:hanging="323"/>
        <w:spacing w:after="0" w:line="259"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independent online marketing technology platform in China with a highly scalable and flexible business model. </w:t>
      </w:r>
      <w:r>
        <w:rPr>
          <w:rFonts w:ascii="Times New Roman" w:cs="Times New Roman" w:eastAsia="Times New Roman" w:hAnsi="Times New Roman"/>
          <w:sz w:val="18"/>
          <w:szCs w:val="18"/>
          <w:color w:val="auto"/>
        </w:rPr>
        <w:t>We were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 independent online marketing technology platform in China in terms of gross billing in 2016, according to Frost &amp; Sullivan. Our gross billing reached US$236.3 million and US$161.9 million in 2016 and the nine months ended September 30, 2017, leading to net revenues of US$95.4 million and US$85.5 million during these periods. We are also one of the first independent online marketing technology platforms in China to apply a data-driven approach to address marketers’ needs.</w:t>
      </w:r>
    </w:p>
    <w:p>
      <w:pPr>
        <w:spacing w:after="0" w:line="85" w:lineRule="exact"/>
        <w:rPr>
          <w:rFonts w:ascii="Times New Roman" w:cs="Times New Roman" w:eastAsia="Times New Roman" w:hAnsi="Times New Roman"/>
          <w:sz w:val="18"/>
          <w:szCs w:val="18"/>
          <w:color w:val="auto"/>
        </w:rPr>
      </w:pPr>
    </w:p>
    <w:p>
      <w:pPr>
        <w:jc w:val="both"/>
        <w:ind w:left="1060" w:right="160" w:hanging="323"/>
        <w:spacing w:after="0" w:line="26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independent Chinese consumer data set with omni-channel, targeted audience reach. </w:t>
      </w:r>
      <w:r>
        <w:rPr>
          <w:rFonts w:ascii="Times New Roman" w:cs="Times New Roman" w:eastAsia="Times New Roman" w:hAnsi="Times New Roman"/>
          <w:sz w:val="18"/>
          <w:szCs w:val="18"/>
          <w:color w:val="auto"/>
        </w:rPr>
        <w:t>We had the largest Chinese consumer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82" w:lineRule="exact"/>
        <w:rPr>
          <w:rFonts w:ascii="Times New Roman" w:cs="Times New Roman" w:eastAsia="Times New Roman" w:hAnsi="Times New Roman"/>
          <w:sz w:val="18"/>
          <w:szCs w:val="18"/>
          <w:color w:val="auto"/>
        </w:rPr>
      </w:pPr>
    </w:p>
    <w:p>
      <w:pPr>
        <w:ind w:left="1060" w:right="40" w:hanging="323"/>
        <w:spacing w:after="0" w:line="259"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sophisticated and automated platform powered by proprietary, cutting-edge technologies. </w:t>
      </w:r>
      <w:r>
        <w:rPr>
          <w:rFonts w:ascii="Times New Roman" w:cs="Times New Roman" w:eastAsia="Times New Roman" w:hAnsi="Times New Roman"/>
          <w:sz w:val="18"/>
          <w:szCs w:val="18"/>
          <w:color w:val="auto"/>
        </w:rPr>
        <w:t>Our automated online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85" w:lineRule="exact"/>
        <w:rPr>
          <w:rFonts w:ascii="Times New Roman" w:cs="Times New Roman" w:eastAsia="Times New Roman" w:hAnsi="Times New Roman"/>
          <w:sz w:val="18"/>
          <w:szCs w:val="18"/>
          <w:color w:val="auto"/>
        </w:rPr>
      </w:pPr>
    </w:p>
    <w:p>
      <w:pPr>
        <w:ind w:left="1060" w:hanging="323"/>
        <w:spacing w:after="0" w:line="25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diverse and loyal client base. </w:t>
      </w:r>
      <w:r>
        <w:rPr>
          <w:rFonts w:ascii="Times New Roman" w:cs="Times New Roman" w:eastAsia="Times New Roman" w:hAnsi="Times New Roman"/>
          <w:sz w:val="18"/>
          <w:szCs w:val="18"/>
          <w:color w:val="auto"/>
        </w:rPr>
        <w:t>We have a strong and diverse client base from a broad range of industry verticals, including banking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finance, entertainment and media, and E-commerce. Our clients included over 150 multinational companies in 2016 and the nine months ended September 30, 2017, respectively, making us the No.1 independent online marketing technology platform bridging the largest number of multinational companies to the Chinese market, according to Frost &amp; Sullivan. Our diverse client base also includes small and medium-sized enterprises. We provide tailored and user-friendly solutions to cater to marketers and marketing agencies of different levels of sophistication and from different industry verticals.</w:t>
      </w:r>
    </w:p>
    <w:p>
      <w:pPr>
        <w:spacing w:after="0" w:line="88" w:lineRule="exact"/>
        <w:rPr>
          <w:rFonts w:ascii="Times New Roman" w:cs="Times New Roman" w:eastAsia="Times New Roman" w:hAnsi="Times New Roman"/>
          <w:sz w:val="18"/>
          <w:szCs w:val="18"/>
          <w:color w:val="auto"/>
        </w:rPr>
      </w:pPr>
    </w:p>
    <w:p>
      <w:pPr>
        <w:ind w:left="1060" w:right="180" w:hanging="323"/>
        <w:spacing w:after="0" w:line="268"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knowledge and familiarity with China’s online marketing industry. </w:t>
      </w:r>
      <w:r>
        <w:rPr>
          <w:rFonts w:ascii="Times New Roman" w:cs="Times New Roman" w:eastAsia="Times New Roman" w:hAnsi="Times New Roman"/>
          <w:sz w:val="18"/>
          <w:szCs w:val="18"/>
          <w:color w:val="auto"/>
        </w:rPr>
        <w:t>We provide marketers with one-stop access to a wide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cross-channel audience engagement opportunities in China. We are one of the first independent online marketing technology platforms in China to apply a data-driven approach to address marketers’ needs in China, and we have fostered in-depth knowledge of, and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35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66" w:lineRule="auto"/>
        <w:rPr>
          <w:sz w:val="20"/>
          <w:szCs w:val="20"/>
          <w:color w:val="auto"/>
        </w:rPr>
      </w:pPr>
      <w:r>
        <w:rPr>
          <w:rFonts w:ascii="Times New Roman" w:cs="Times New Roman" w:eastAsia="Times New Roman" w:hAnsi="Times New Roman"/>
          <w:sz w:val="18"/>
          <w:szCs w:val="18"/>
          <w:color w:val="auto"/>
        </w:rPr>
        <w:t>cooperation with leading online channels covering approximately 74,000 mobile apps and 2.6 million websites in the 30 days leading up to September 30, 2017, to help marketers, especially multinational marketers, navigate through the fragmented landscapes to identify and reach their potential customers.</w:t>
      </w:r>
    </w:p>
    <w:p>
      <w:pPr>
        <w:spacing w:after="0" w:line="78" w:lineRule="exact"/>
        <w:rPr>
          <w:sz w:val="20"/>
          <w:szCs w:val="20"/>
          <w:color w:val="auto"/>
        </w:rPr>
      </w:pPr>
    </w:p>
    <w:p>
      <w:pPr>
        <w:ind w:left="1060" w:right="20" w:hanging="323"/>
        <w:spacing w:after="0" w:line="259"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leadership with proven track record of organic growth and acquisition execution. </w:t>
      </w:r>
      <w:r>
        <w:rPr>
          <w:rFonts w:ascii="Times New Roman" w:cs="Times New Roman" w:eastAsia="Times New Roman" w:hAnsi="Times New Roman"/>
          <w:sz w:val="18"/>
          <w:szCs w:val="18"/>
          <w:color w:val="auto"/>
        </w:rPr>
        <w:t>Our success is attributable to the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intend to enhance our competitive strengths and pursue the following strategies to expand our business:</w:t>
      </w:r>
    </w:p>
    <w:p>
      <w:pPr>
        <w:spacing w:after="0" w:line="127" w:lineRule="exact"/>
        <w:rPr>
          <w:sz w:val="20"/>
          <w:szCs w:val="20"/>
          <w:color w:val="auto"/>
        </w:rPr>
      </w:pPr>
    </w:p>
    <w:p>
      <w:pPr>
        <w:ind w:left="1060" w:right="120" w:hanging="323"/>
        <w:spacing w:after="0" w:line="268"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 and diversify our client base. </w:t>
      </w:r>
      <w:r>
        <w:rPr>
          <w:rFonts w:ascii="Times New Roman" w:cs="Times New Roman" w:eastAsia="Times New Roman" w:hAnsi="Times New Roman"/>
          <w:sz w:val="18"/>
          <w:szCs w:val="18"/>
          <w:color w:val="auto"/>
        </w:rPr>
        <w:t>We plan to continue to optimize and diversify our client base, including attracting clients to use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76" w:lineRule="exact"/>
        <w:rPr>
          <w:rFonts w:ascii="Times New Roman" w:cs="Times New Roman" w:eastAsia="Times New Roman" w:hAnsi="Times New Roman"/>
          <w:sz w:val="18"/>
          <w:szCs w:val="18"/>
          <w:color w:val="auto"/>
        </w:rPr>
      </w:pPr>
    </w:p>
    <w:p>
      <w:pPr>
        <w:ind w:left="1060" w:right="20" w:hanging="323"/>
        <w:spacing w:after="0" w:line="259"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marketing spend on our platform. </w:t>
      </w:r>
      <w:r>
        <w:rPr>
          <w:rFonts w:ascii="Times New Roman" w:cs="Times New Roman" w:eastAsia="Times New Roman" w:hAnsi="Times New Roman"/>
          <w:sz w:val="18"/>
          <w:szCs w:val="18"/>
          <w:color w:val="auto"/>
        </w:rPr>
        <w:t>We intend to offer new features and enhanced functionalities on our platform to provide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and comprehensive solutions, especially mobile audience solutions. In addition, we are working on new partnership initiatives, which would make third-party applications available to our clients through our platform directly, further enhancing customer experience and hence increasing the stickiness of our platform. We also intend to explore innovative audience engagement formats across multiple channels, in particular on mobile apps.</w:t>
      </w:r>
    </w:p>
    <w:p>
      <w:pPr>
        <w:spacing w:after="0" w:line="85" w:lineRule="exact"/>
        <w:rPr>
          <w:rFonts w:ascii="Times New Roman" w:cs="Times New Roman" w:eastAsia="Times New Roman" w:hAnsi="Times New Roman"/>
          <w:sz w:val="18"/>
          <w:szCs w:val="18"/>
          <w:color w:val="auto"/>
        </w:rPr>
      </w:pPr>
    </w:p>
    <w:p>
      <w:pPr>
        <w:ind w:left="1060" w:right="40" w:hanging="323"/>
        <w:spacing w:after="0" w:line="259"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enlarge audience data set, strengthen data analytics capabilities and innovate technologies. </w:t>
      </w:r>
      <w:r>
        <w:rPr>
          <w:rFonts w:ascii="Times New Roman" w:cs="Times New Roman" w:eastAsia="Times New Roman" w:hAnsi="Times New Roman"/>
          <w:sz w:val="18"/>
          <w:szCs w:val="18"/>
          <w:color w:val="auto"/>
        </w:rPr>
        <w:t>We will continue to collaborate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marketers, publishers and other third-party partners to increase the dimensions and varieties of our data assets. We also plan to continue investing in data science technologies, including refreshing and upgrading data modeling and segmentation technologies to meet marketer demands in different market segments and industry verticals. In addition, we plan to upgrade our technical infrastructure to support our growing data set and data analytics capabilities as we continue to expand.</w:t>
      </w:r>
    </w:p>
    <w:p>
      <w:pPr>
        <w:spacing w:after="0" w:line="85" w:lineRule="exact"/>
        <w:rPr>
          <w:rFonts w:ascii="Times New Roman" w:cs="Times New Roman" w:eastAsia="Times New Roman" w:hAnsi="Times New Roman"/>
          <w:sz w:val="18"/>
          <w:szCs w:val="18"/>
          <w:color w:val="auto"/>
        </w:rPr>
      </w:pPr>
    </w:p>
    <w:p>
      <w:pPr>
        <w:jc w:val="both"/>
        <w:ind w:left="1060" w:right="200" w:hanging="323"/>
        <w:spacing w:after="0" w:line="26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 data application across more aspects in online marketing and beyond. </w:t>
      </w:r>
      <w:r>
        <w:rPr>
          <w:rFonts w:ascii="Times New Roman" w:cs="Times New Roman" w:eastAsia="Times New Roman" w:hAnsi="Times New Roman"/>
          <w:sz w:val="18"/>
          <w:szCs w:val="18"/>
          <w:color w:val="auto"/>
        </w:rPr>
        <w:t>We intend to broaden our solution offerings across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82" w:lineRule="exact"/>
        <w:rPr>
          <w:rFonts w:ascii="Times New Roman" w:cs="Times New Roman" w:eastAsia="Times New Roman" w:hAnsi="Times New Roman"/>
          <w:sz w:val="18"/>
          <w:szCs w:val="18"/>
          <w:color w:val="auto"/>
        </w:rPr>
      </w:pPr>
    </w:p>
    <w:p>
      <w:pPr>
        <w:jc w:val="both"/>
        <w:ind w:left="1060" w:right="20" w:hanging="323"/>
        <w:spacing w:after="0" w:line="268"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Explore strategic alliance and acquisition opportunities. </w:t>
      </w:r>
      <w:r>
        <w:rPr>
          <w:rFonts w:ascii="Times New Roman" w:cs="Times New Roman" w:eastAsia="Times New Roman" w:hAnsi="Times New Roman"/>
          <w:sz w:val="18"/>
          <w:szCs w:val="18"/>
          <w:color w:val="auto"/>
        </w:rPr>
        <w:t>We plan to continue to explore investment, acquisition and business collaboration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and will consider opportunities that complement or enhance our existing operations and are strategically beneficial to our long-term goals.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clients;</w:t>
      </w:r>
    </w:p>
    <w:p>
      <w:pPr>
        <w:spacing w:after="0" w:line="130" w:lineRule="exact"/>
        <w:rPr>
          <w:rFonts w:ascii="Times New Roman" w:cs="Times New Roman" w:eastAsia="Times New Roman" w:hAnsi="Times New Roman"/>
          <w:sz w:val="18"/>
          <w:szCs w:val="18"/>
          <w:color w:val="auto"/>
        </w:rPr>
      </w:pPr>
    </w:p>
    <w:p>
      <w:pPr>
        <w:ind w:left="1060" w:right="120" w:hanging="323"/>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clients and further diversify our client base, including more clients to use our solutions on a self-serve basis and marketers from new industries and geographic regions;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195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67" w:lineRule="exact"/>
        <w:rPr>
          <w:rFonts w:ascii="Times New Roman" w:cs="Times New Roman" w:eastAsia="Times New Roman" w:hAnsi="Times New Roman"/>
          <w:sz w:val="18"/>
          <w:szCs w:val="18"/>
          <w:color w:val="auto"/>
        </w:rPr>
      </w:pPr>
    </w:p>
    <w:p>
      <w:pPr>
        <w:ind w:left="1060" w:right="50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solutions and service offerings to meet evolving business needs, including to address market trends such as the migration of consumers from PCs to mobile devices;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proper functioning of our technology architecture as we scale up;</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data assets in order to help marketers identify, engage and convert their audience;</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high level of customer satisfaction;</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 changing regulatory landscape governing privacy matters;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businesses, products and technologies and to integrate these acquisitions;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among marketers on a global basis in a cost-effective manner;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rely on the contractual arrangements that establish the structure for certain of our operations in China;</w:t>
      </w:r>
    </w:p>
    <w:p>
      <w:pPr>
        <w:spacing w:after="0" w:line="130" w:lineRule="exact"/>
        <w:rPr>
          <w:rFonts w:ascii="Times New Roman" w:cs="Times New Roman" w:eastAsia="Times New Roman" w:hAnsi="Times New Roman"/>
          <w:sz w:val="18"/>
          <w:szCs w:val="18"/>
          <w:color w:val="auto"/>
        </w:rPr>
      </w:pPr>
    </w:p>
    <w:p>
      <w:pPr>
        <w:ind w:left="1060" w:right="12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67" w:lineRule="exact"/>
        <w:rPr>
          <w:rFonts w:ascii="Times New Roman" w:cs="Times New Roman" w:eastAsia="Times New Roman" w:hAnsi="Times New Roman"/>
          <w:sz w:val="18"/>
          <w:szCs w:val="18"/>
          <w:color w:val="auto"/>
        </w:rPr>
      </w:pPr>
    </w:p>
    <w:p>
      <w:pPr>
        <w:ind w:left="1060" w:right="38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our variable interest entity or its shareholders to perform their obligations under our contractual arrangements with them would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could limit the legal protections available to us; and</w:t>
      </w:r>
    </w:p>
    <w:p>
      <w:pPr>
        <w:spacing w:after="0" w:line="130"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w:t>
      </w:r>
    </w:p>
    <w:p>
      <w:pPr>
        <w:spacing w:after="0" w:line="162"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Please see “Risk Factors” and other information included in this prospectus for a detailed discussion of these challenges and other risks and uncertainties that we face.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76" w:lineRule="exact"/>
        <w:rPr>
          <w:sz w:val="20"/>
          <w:szCs w:val="20"/>
          <w:color w:val="auto"/>
        </w:rPr>
      </w:pPr>
    </w:p>
    <w:p>
      <w:pPr>
        <w:ind w:left="200" w:right="40" w:firstLine="441"/>
        <w:spacing w:after="0" w:line="281" w:lineRule="auto"/>
        <w:rPr>
          <w:sz w:val="20"/>
          <w:szCs w:val="20"/>
          <w:color w:val="auto"/>
        </w:rPr>
      </w:pPr>
      <w:r>
        <w:rPr>
          <w:rFonts w:ascii="Times New Roman" w:cs="Times New Roman" w:eastAsia="Times New Roman" w:hAnsi="Times New Roman"/>
          <w:sz w:val="17"/>
          <w:szCs w:val="17"/>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24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7173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right="400" w:hanging="324"/>
        <w:spacing w:after="0" w:line="262" w:lineRule="auto"/>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6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82" w:lineRule="exact"/>
        <w:rPr>
          <w:sz w:val="20"/>
          <w:szCs w:val="20"/>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Network and Zhiyunzhong;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24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818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OptAim Network and Zhiyunzhong;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0"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Offshore Incorporations (Cayman) Limited, P.O. Box 31119 Grand Pavilion, Hibiscus Way, 802 West Bay Road, Grand Cayman, KY1-1205 Cayman Islands. Our agent for service of process in the United States, Law Debenture Corporate Services, Inc., is located at: 4th Floor, 400 Madison Avenue, New York, New York 10017.</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Investor should contact us for any inquiries through the address and telephone number of our principal executive offices. Our website is: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www.i-click.com</w:t>
      </w:r>
      <w:r>
        <w:rPr>
          <w:rFonts w:ascii="Times New Roman" w:cs="Times New Roman" w:eastAsia="Times New Roman" w:hAnsi="Times New Roman"/>
          <w:sz w:val="18"/>
          <w:szCs w:val="18"/>
          <w:color w:val="auto"/>
        </w:rPr>
        <w:t>.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240" w:top="455" w:right="4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229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8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80"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6"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Two ADSs represent one Class A ordinary share;</w:t>
      </w:r>
    </w:p>
    <w:p>
      <w:pPr>
        <w:spacing w:after="0" w:line="130" w:lineRule="exact"/>
        <w:rPr>
          <w:rFonts w:ascii="Times New Roman" w:cs="Times New Roman" w:eastAsia="Times New Roman" w:hAnsi="Times New Roman"/>
          <w:sz w:val="18"/>
          <w:szCs w:val="18"/>
          <w:color w:val="auto"/>
        </w:rPr>
      </w:pPr>
    </w:p>
    <w:p>
      <w:pPr>
        <w:ind w:left="1060" w:right="34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purposes of this prospectus only, Hong Kong, Macau and Taiwan;</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marketer clients” refers to marketers that have direct contractual relationship with us;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marketers” refers to marketers that are represented by our marketing agency clients and have no direct contractual relationship with us;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refers to the legal currency of Hong Kong;</w:t>
      </w:r>
    </w:p>
    <w:p>
      <w:pPr>
        <w:spacing w:after="0" w:line="130" w:lineRule="exact"/>
        <w:rPr>
          <w:rFonts w:ascii="Times New Roman" w:cs="Times New Roman" w:eastAsia="Times New Roman" w:hAnsi="Times New Roman"/>
          <w:sz w:val="18"/>
          <w:szCs w:val="18"/>
          <w:color w:val="auto"/>
        </w:rPr>
      </w:pPr>
    </w:p>
    <w:p>
      <w:pPr>
        <w:ind w:left="1060" w:right="62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apps or websites “covered” refers to the mobile apps or websites from which we are able to receive data to build user profiles;</w:t>
      </w:r>
    </w:p>
    <w:p>
      <w:pPr>
        <w:spacing w:after="0" w:line="130" w:lineRule="exact"/>
        <w:rPr>
          <w:rFonts w:ascii="Times New Roman" w:cs="Times New Roman" w:eastAsia="Times New Roman" w:hAnsi="Times New Roman"/>
          <w:sz w:val="18"/>
          <w:szCs w:val="18"/>
          <w:color w:val="auto"/>
        </w:rPr>
      </w:pPr>
    </w:p>
    <w:p>
      <w:pPr>
        <w:ind w:left="1060" w:right="3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“multinational companies” refer to companies that own or control production of goods or provision of services in one or more countries other than their home countries;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24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4283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283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67" w:lineRule="exact"/>
        <w:rPr>
          <w:rFonts w:ascii="Times New Roman" w:cs="Times New Roman" w:eastAsia="Times New Roman" w:hAnsi="Times New Roman"/>
          <w:sz w:val="18"/>
          <w:szCs w:val="18"/>
          <w:color w:val="auto"/>
        </w:rPr>
      </w:pPr>
    </w:p>
    <w:p>
      <w:pPr>
        <w:ind w:left="1060" w:right="32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“OTT” refers to over-the-top, a media distribution practice that allows a content provider to sell media directly to the customer over the internet.</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refers to entities which enter into marketing campaign contracts with us and incur marketing spend during the relevant period;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marketers” refers to both direct marketer clients and end marketers;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iClick Interactive Asia Group Limited;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Discrepancies in any table between the amounts identified as total amounts and the sum of the amounts listed therein are due to rounding.</w:t>
      </w:r>
    </w:p>
    <w:p>
      <w:pPr>
        <w:spacing w:after="0" w:line="22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76"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or Hong Kong dollars referred to in this prospectus could have been or could be converted into U.S. dollars at any particular rate or at all. On November 24, 2017, the noon buying rate for Renminbi was RMB6.5998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240" w:top="455" w:right="5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033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180"/>
          </w:cols>
          <w:pgMar w:left="240" w:top="455" w:right="47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Offering</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currently estimate that the initial public offering price will be between US$8.00 and US$9.00 per ADS.</w:t>
      </w:r>
    </w:p>
    <w:p>
      <w:pPr>
        <w:spacing w:after="0" w:line="189"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ADSs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5,882,400 ADSs</w:t>
      </w:r>
    </w:p>
    <w:p>
      <w:pPr>
        <w:spacing w:after="0" w:line="200"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ADSs outstanding immediately after this offering</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5,882,400 ADSs (or 6,764,700 ADSs if the underwriters exercise their option to purchase additional ADSs in full)</w:t>
      </w:r>
    </w:p>
    <w:p>
      <w:pPr>
        <w:spacing w:after="0" w:line="189" w:lineRule="exact"/>
        <w:rPr>
          <w:sz w:val="20"/>
          <w:szCs w:val="20"/>
          <w:color w:val="auto"/>
        </w:rPr>
      </w:pPr>
    </w:p>
    <w:p>
      <w:pPr>
        <w:sectPr>
          <w:pgSz w:w="11900" w:h="16838" w:orient="portrait"/>
          <w:cols w:equalWidth="0" w:num="2">
            <w:col w:w="3760" w:space="620"/>
            <w:col w:w="6800"/>
          </w:cols>
          <w:pgMar w:left="240" w:top="455" w:right="479" w:bottom="1440" w:gutter="0" w:footer="0" w:header="0"/>
          <w:type w:val="continuous"/>
        </w:sectPr>
      </w:pPr>
    </w:p>
    <w:p>
      <w:pPr>
        <w:ind w:left="280" w:hanging="81"/>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26,844,383 ordinary shares, comprised of 22,023,775 Class A ordinary shares and 4,820,608 Class B ordinary shares (or 27,285,533 ordinary shares if the underwriters exercise their option to purchase additional ADSs representing ordinary shares in full, comprised of 22,464,925 Class A ordinary shares and 4,820,608 Class B ordinary shares), assuming an initial offering price of US$8.50 per ADS, which is the midpoint of the estimated range. See “Capitalization.”</w:t>
      </w:r>
    </w:p>
    <w:p>
      <w:pPr>
        <w:spacing w:after="0" w:line="200" w:lineRule="exact"/>
        <w:rPr>
          <w:sz w:val="20"/>
          <w:szCs w:val="20"/>
          <w:color w:val="auto"/>
        </w:rPr>
      </w:pPr>
    </w:p>
    <w:p>
      <w:pPr>
        <w:sectPr>
          <w:pgSz w:w="11900" w:h="16838" w:orient="portrait"/>
          <w:cols w:equalWidth="0" w:num="2">
            <w:col w:w="3860" w:space="520"/>
            <w:col w:w="6800"/>
          </w:cols>
          <w:pgMar w:left="240" w:top="455" w:right="479"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Option to purchase additional ADSs</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an additional 882,300 ADSs from us.</w:t>
      </w:r>
    </w:p>
    <w:p>
      <w:pPr>
        <w:spacing w:after="0" w:line="189"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color w:val="auto"/>
        </w:rPr>
        <w:t>The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Two ADSs represent one Class A ordinary share, par value US$0.001 per share.</w:t>
      </w:r>
    </w:p>
    <w:p>
      <w:pPr>
        <w:spacing w:after="0" w:line="211"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spacing w:after="0" w:line="39" w:lineRule="exact"/>
        <w:rPr>
          <w:sz w:val="20"/>
          <w:szCs w:val="20"/>
          <w:color w:val="auto"/>
        </w:rPr>
      </w:pPr>
    </w:p>
    <w:p>
      <w:pPr>
        <w:ind w:left="4380"/>
        <w:spacing w:after="0" w:line="266" w:lineRule="auto"/>
        <w:rPr>
          <w:sz w:val="20"/>
          <w:szCs w:val="20"/>
          <w:color w:val="auto"/>
        </w:rPr>
      </w:pPr>
      <w:r>
        <w:rPr>
          <w:rFonts w:ascii="Times New Roman" w:cs="Times New Roman" w:eastAsia="Times New Roman" w:hAnsi="Times New Roman"/>
          <w:sz w:val="18"/>
          <w:szCs w:val="18"/>
          <w:color w:val="auto"/>
        </w:rPr>
        <w:t>The depositary will be the holder of the Class A ordinary shares underlying the ADSs and you will have the rights of an ADS holder as provided in the deposit agreement among us, the depositary and holders and beneficial owners of ADSs from time to time.</w:t>
      </w:r>
    </w:p>
    <w:p>
      <w:pPr>
        <w:spacing w:after="0" w:line="203" w:lineRule="exact"/>
        <w:rPr>
          <w:sz w:val="20"/>
          <w:szCs w:val="20"/>
          <w:color w:val="auto"/>
        </w:rPr>
      </w:pPr>
    </w:p>
    <w:p>
      <w:pPr>
        <w:ind w:left="4380" w:right="400"/>
        <w:spacing w:after="0" w:line="313" w:lineRule="auto"/>
        <w:rPr>
          <w:sz w:val="20"/>
          <w:szCs w:val="20"/>
          <w:color w:val="auto"/>
        </w:rPr>
      </w:pPr>
      <w:r>
        <w:rPr>
          <w:rFonts w:ascii="Times New Roman" w:cs="Times New Roman" w:eastAsia="Times New Roman" w:hAnsi="Times New Roman"/>
          <w:sz w:val="17"/>
          <w:szCs w:val="17"/>
          <w:color w:val="auto"/>
        </w:rPr>
        <w:t>You may surrender your ADSs to the depositary to withdraw the Class A ordinary shares underlying your ADSs. The depositary will charge you a fee for such an exchange.</w:t>
      </w:r>
    </w:p>
    <w:p>
      <w:pPr>
        <w:spacing w:after="0" w:line="165" w:lineRule="exact"/>
        <w:rPr>
          <w:sz w:val="20"/>
          <w:szCs w:val="20"/>
          <w:color w:val="auto"/>
        </w:rPr>
      </w:pPr>
    </w:p>
    <w:p>
      <w:pPr>
        <w:ind w:left="4380"/>
        <w:spacing w:after="0" w:line="256" w:lineRule="auto"/>
        <w:rPr>
          <w:sz w:val="20"/>
          <w:szCs w:val="20"/>
          <w:color w:val="auto"/>
        </w:rPr>
      </w:pPr>
      <w:r>
        <w:rPr>
          <w:rFonts w:ascii="Times New Roman" w:cs="Times New Roman" w:eastAsia="Times New Roman" w:hAnsi="Times New Roman"/>
          <w:sz w:val="18"/>
          <w:szCs w:val="18"/>
          <w:color w:val="auto"/>
        </w:rPr>
        <w:t>We may amend or terminate the deposit agreement for any reason without your consent. Any amendment that imposes or increases fees or certain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88" w:lineRule="exact"/>
        <w:rPr>
          <w:sz w:val="20"/>
          <w:szCs w:val="20"/>
          <w:color w:val="auto"/>
        </w:rPr>
      </w:pPr>
    </w:p>
    <w:p>
      <w:pPr>
        <w:ind w:left="4380" w:right="220"/>
        <w:spacing w:after="0" w:line="261"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section in this prospectus entitled “Description of American Depositary Shares.” You should also read the deposit agreement, which is an exhibit to the registration statement that includes this prospectus.</w:t>
      </w:r>
    </w:p>
    <w:p>
      <w:pPr>
        <w:sectPr>
          <w:pgSz w:w="11900" w:h="16838" w:orient="portrait"/>
          <w:cols w:equalWidth="0" w:num="1">
            <w:col w:w="11180"/>
          </w:cols>
          <w:pgMar w:left="240" w:top="45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240" w:top="455" w:right="479" w:bottom="1440" w:gutter="0" w:footer="0" w:header="0"/>
          <w:type w:val="continuous"/>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4343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34340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that we will receive net proceeds of approximately US$41.9 million from this offering, assuming an initial public offering price of US$8.50 per ADS, which is the midpoint of the estimated range of the initial public offering price, after deducting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spacing w:after="0" w:line="7" w:lineRule="exact"/>
        <w:rPr>
          <w:sz w:val="20"/>
          <w:szCs w:val="20"/>
          <w:color w:val="auto"/>
        </w:rPr>
      </w:pPr>
    </w:p>
    <w:p>
      <w:pPr>
        <w:ind w:left="4380" w:right="40"/>
        <w:spacing w:after="0" w:line="255" w:lineRule="auto"/>
        <w:rPr>
          <w:sz w:val="20"/>
          <w:szCs w:val="20"/>
          <w:color w:val="auto"/>
        </w:rPr>
      </w:pPr>
      <w:r>
        <w:rPr>
          <w:rFonts w:ascii="Times New Roman" w:cs="Times New Roman" w:eastAsia="Times New Roman" w:hAnsi="Times New Roman"/>
          <w:sz w:val="18"/>
          <w:szCs w:val="18"/>
          <w:color w:val="auto"/>
        </w:rPr>
        <w:t>We plan to use the net proceeds from this offering primarily for research and development and big data deep learning capabilities and capacities; the development and expansion of our suite of solutions and service offerings; sales and marketing activities to attract, in particular, more clients to use our solutions on a self-serve basis, and clients from additional industry verticals and geographic markets; and other general corporate purposes and for investment, acquisition and business collaboration opportunities that complement or enhance our existing operations and are strategically beneficial to our long-term goals.</w:t>
      </w:r>
    </w:p>
    <w:p>
      <w:pPr>
        <w:spacing w:after="0" w:line="2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See “Use of Proceeds” for more information.</w:t>
      </w:r>
    </w:p>
    <w:p>
      <w:pPr>
        <w:sectPr>
          <w:pgSz w:w="11900" w:h="16838" w:orient="portrait"/>
          <w:cols w:equalWidth="0" w:num="1">
            <w:col w:w="11220"/>
          </w:cols>
          <w:pgMar w:left="240" w:top="455" w:right="439" w:bottom="1440" w:gutter="0" w:footer="0" w:header="0"/>
          <w:type w:val="continuous"/>
        </w:sect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“Risk Factors” and other information included in this prospectus for a discussion of risks you should carefully consider before investing in the ADSs.</w:t>
      </w:r>
    </w:p>
    <w:p>
      <w:pPr>
        <w:spacing w:after="0" w:line="189"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applied to have the ADSs listed on the NASDAQ Global Market under the symbol “ICLK.” Our ADSs and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Lock-up</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200"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JPMorgan Chase Bank, N.A.</w:t>
      </w:r>
    </w:p>
    <w:p>
      <w:pPr>
        <w:spacing w:after="0" w:line="200"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55" w:right="4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722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722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22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The following summary consolidated financial data for the years ended December 31, 2015 and 2016, and as of December 31, 2015 and 2016, have been derived from our audited consolidated financial statements included elsewhere in this prospectus. The summary consolidated financial data for the nine months ended September 30, 2016 and 2017 and as of September 30, 2017 have been derived from our unaudited condensed consolidated financial statements included elsewhere in this prospectus. We have prepared the unaudited condensed consolidated financial statements on the same basis as our audited consolidated financial statements.</w:t>
      </w:r>
    </w:p>
    <w:p>
      <w:pPr>
        <w:spacing w:after="0" w:line="184"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0"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for the years ended December 31, 2015 and 2016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240" w:top="455" w:right="5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981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 of comprehensive income for the years ended December 31, 2015 and 2016 and for the nine months ended September 30, 2016 and 2017.</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70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72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(US$ in thousands, except for per share and share data)</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Comprehensive Loss: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95,357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(34,531)</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(61,048)</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(44,847)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(65,688)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4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(8,106)</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(8,584)</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(6,480)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(31,385)</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(28,266)</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(20,733)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(12,745)</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(26,767)</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(7,165)</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(52,236)</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(63,617)</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(34,378)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(29,153)</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(713)</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4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(1,082)</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(19,390)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3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(39,714)</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(27,330)</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(1,982)</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(1,556)</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4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iClick Interactive Asia Group Limited’s ordinary</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(41,797)</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(29,659)</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(10,107)</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3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(129)</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(139)</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5"/>
        </w:trPr>
        <w:tc>
          <w:tcPr>
            <w:tcW w:w="5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 attributable to iClick Interactive Asia Group</w:t>
            </w:r>
          </w:p>
        </w:tc>
        <w:tc>
          <w:tcPr>
            <w:tcW w:w="9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13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(39,843)</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(27,469)</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(8,606)</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iClick Interactive Asia Group Limited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(0.77)</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in per share</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11,661,049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13,151,063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13,140,775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11,661,049</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13,151,063</w:t>
            </w:r>
          </w:p>
        </w:tc>
        <w:tc>
          <w:tcPr>
            <w:tcW w:w="4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13,140,775</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13,622,172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240" w:top="455" w:right="4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3648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December 31, 2015, 2016 and September 30, 2017.</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580" w:type="dxa"/>
            <w:vAlign w:val="bottom"/>
            <w:gridSpan w:val="5"/>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Balance Sheet Data:</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US$1,733, US$1,693</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US$602 as of December 31, 2015, 2016 and September 30, 2017, respectively</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28,423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Rebates receivable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media cost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24,793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48,496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146,110</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mezzanine equity and shareholders’ deficit: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115,124</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6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83,210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(55,929)</w:t>
            </w: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(64,312)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shareholders’ deficit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240" w:top="455"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109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6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74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980" w:type="dxa"/>
            <w:vAlign w:val="bottom"/>
          </w:tcPr>
          <w:p>
            <w:pPr>
              <w:jc w:val="right"/>
              <w:ind w:right="33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178,239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236,253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161,854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Gross billing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41,323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112,403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46.7</w:t>
            </w:r>
          </w:p>
        </w:tc>
        <w:tc>
          <w:tcPr>
            <w:tcW w:w="9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104,438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billing from other solutions</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136,916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30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123,850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95,856</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53.3</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57,416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65,242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95,357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69,973</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38.9</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85,497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revenues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11,908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57,761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42,018</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67,252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revenues from other solutions</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53,334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37,596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18,245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(8,850)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(2,240)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(2,291)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(11,583)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(8,999)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(7,423)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right="80" w:hanging="324"/>
        <w:spacing w:after="0" w:line="262"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Gross Billing</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62" w:lineRule="exact"/>
        <w:rPr>
          <w:sz w:val="20"/>
          <w:szCs w:val="20"/>
          <w:color w:val="auto"/>
        </w:rPr>
      </w:pPr>
    </w:p>
    <w:p>
      <w:pPr>
        <w:ind w:left="200" w:right="540" w:firstLine="441"/>
        <w:spacing w:after="0" w:line="266" w:lineRule="auto"/>
        <w:rPr>
          <w:sz w:val="20"/>
          <w:szCs w:val="20"/>
          <w:color w:val="auto"/>
        </w:rPr>
      </w:pPr>
      <w:r>
        <w:rPr>
          <w:rFonts w:ascii="Times New Roman" w:cs="Times New Roman" w:eastAsia="Times New Roman" w:hAnsi="Times New Roman"/>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We use adjusted EBITDA and adjusted net loss, each a non-GAAP financial measure, in evaluating our operating results and for financial and operational decision making purposes.</w:t>
      </w:r>
    </w:p>
    <w:p>
      <w:pPr>
        <w:spacing w:after="0" w:line="162"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240" w:top="455" w:right="4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260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5260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4"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EBITDA for the periods indicated: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42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18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(27,330)</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(8,381)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Add / (less):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5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(3,824)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(3,995)</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(791)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(8,850)</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(2,240)</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(2,158)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240" w:top="455" w:right="4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207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207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net loss for the periods indicated: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42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18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(27,330)</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(8,381)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5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(3,995)</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(1,497)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(791)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24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fluctuation in growth in recent periods, and our historical growth rates may not be indicative of our future growth.</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experienced fluctuation in growth in recent periods. We may not be able to sustain our historical growth rates, or at all. You should not consider our historical growth in gross billing and net revenues as indicative of our future performance. For example, while our gross billing and net revenues increased in 2016 compared to 2015, our gross billing decreased in the nine months ended September 30, 2017 compared to the same period in 2016 due to a decrease in gross billing from other solutions as we optimized our client base for other solutions to focus on profitability and liquidity. In future periods, our gross billing and net revenues could further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95"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clients while continuing to optimize our client base;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our mobile strategy in the increasingly competitive mobile online marketing segment;</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clients and further diversify our client base, including more clients to use our solutions on a self-serve basis and marketers from new industries and geographic regions;</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solutions and service offerings to meet evolving business needs, including to address market trends such as the migration of consumers from PCs to mobile devices;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proper functioning of our technology architecture as our business continues to grow;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data assets in order to help marketers identify, engage and convert their audience;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high level of customer satisfaction;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 changing regulatory landscape governing privacy matters;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businesses, products and technologies and to integrate these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among marketers on a global basis in a cost-effective manner;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that we will be able to successfully accomplish any of these objectives.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implementing our mobile strategies, which could materially and adversely affect our results of operations.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control. We may not be successful in developing solutions that operate effectively with these technologies, systems, networks or standards. Any of these could have a material adverse effect on our business, prospects and results of operations.</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US$67.3 million in 2015, 2016 and the nine months ended September 30, 2017, respectively, gross margins for our mobile audience solutions remained relatively low and decreased during these periods, which contributed to the decrease in our overall gross profit margin from 47.1% in 2015 to 36.0% in 2016 and further to 23.2% in the nine months ended September 30, 2017. As we continue to prioritize the execution of our mobile strategy and face increasing competition and pricing pressure for our mobile audience solutions, our profit margin could be materially and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may not achieve profitability in the future.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incurred net losses of US$39.7 million in 2015, US$27.3 million in 2016, US$8.4 million in the nine months ended September 30,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US$15.9 million in the nine months ended September 30, 2017. As of September 30, 2017, we had an accumulated deficit of US$140.3 million. We will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generate increased revenue levels in future periods to become profitable, and, even if we do, we may not be able to improve our profitability as we intend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continue to expend significant funds to grow our marketing and sales operations, develop and enhance our data analytic capabilities, scale our data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infrastructure and services capabilities and expand into new market segments. Our efforts to grow our business may be more costly than we expect, and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be able to increase our revenue enough to offset our operating expenses. We may incur significant losses in the future for a number of reasons,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other risks described in this prospectus, and unforeseen expenses, difficulties, complications and delays and other unknown events. If we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unable to achieve or sustain profitability, the market price of our ADSs may significantly decrease.</w:t>
      </w:r>
    </w:p>
    <w:p>
      <w:pPr>
        <w:spacing w:after="0" w:line="31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revenues, net revenues as a percentage of gross billing, gross profit margin and the comparability of our financial results may be affected by the relative percentage of gross billing recognized as net revenues under the gross and net models.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“Management’s Discussion and Analysis of Financial Condition and Results of Operations — Key Operating and Financial Metrics — 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changes from time to time, the relative percentage of gross billing recognized as net revenues on the gross basis and net basis also fluctuates, which would consequently impact our net revenues and gross profit margin. Our mobile audience solutions on one hand, and other solutions, on the other hand,</w:t>
      </w:r>
    </w:p>
    <w:p>
      <w:pPr>
        <w:ind w:right="100"/>
        <w:spacing w:after="0" w:line="252" w:lineRule="auto"/>
        <w:rPr>
          <w:sz w:val="20"/>
          <w:szCs w:val="20"/>
          <w:color w:val="auto"/>
        </w:rPr>
      </w:pPr>
      <w:r>
        <w:rPr>
          <w:rFonts w:ascii="Times New Roman" w:cs="Times New Roman" w:eastAsia="Times New Roman" w:hAnsi="Times New Roman"/>
          <w:sz w:val="18"/>
          <w:szCs w:val="18"/>
          <w:color w:val="auto"/>
        </w:rPr>
        <w:t>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existing clients or attract new ones could adversely impact our business and results of operations.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4"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Our ability to achieve renewals or marketing campaign contracts and new sales depends on many factors, some of which are out of our control, including:</w:t>
      </w:r>
    </w:p>
    <w:p>
      <w:pPr>
        <w:spacing w:after="0" w:line="67"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solutions, including any new solutions that we may develop,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our pricing and payment terms for our clients, which may, in turn, be constrained by our capital and financial resources,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account managing services,</w:t>
      </w:r>
    </w:p>
    <w:p>
      <w:pPr>
        <w:spacing w:after="0" w:line="130" w:lineRule="exact"/>
        <w:rPr>
          <w:rFonts w:ascii="Times New Roman" w:cs="Times New Roman" w:eastAsia="Times New Roman" w:hAnsi="Times New Roman"/>
          <w:sz w:val="18"/>
          <w:szCs w:val="18"/>
          <w:color w:val="auto"/>
        </w:rPr>
      </w:pPr>
    </w:p>
    <w:p>
      <w:pPr>
        <w:ind w:left="900" w:right="78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our solution offerings and delivery and pricing models in accordance with the evolving needs of our clients and end marketers,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data base and solutions to serve marketers in a wider range of industries and geographic regions,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or other consolidation among marketers and marketing agencies,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conditions on spending levels of marketers generally.</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decrease or cease their usage of our platform with new clients that spend similarly on our platform. We have relied on a limited number of clients to generate a significant portion of our revenues. For example, in 2016, we had two clients that each contributed to more than 10% of our net revenues, including a marketer in the entertainment industry which contributed to 18% of our net revenues and a marketer in the e-commerce industry which contributed to 11% of our net revenues. In the nine months ended September 30, 2017, we had one client that contributed to more than 10% of our net revenues, which was a marketer in the entertainment industry and contributed to 11% of our net revenues.</w:t>
      </w:r>
    </w:p>
    <w:p>
      <w:pPr>
        <w:spacing w:after="0" w:line="189"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In addition, we started a comprehensive review of the client base for other solutions in 2016 to focus on profitability and liquidity. For example, we terminated relationship with certain clients for our other solutions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they had relatively long account receivable cycles and yielded relatively low operating profit margins. Some of these clients were large marketers and had individually accounted for more than 5% of our annual gross billing historically. As a result, gross billing from our other solutions decreased by 9.5% from US$136.9 million in 2015 to US$123.9 million in 2016 and by 40.1% from US$95.9 million in the nine months ended September 30, 2016 to US$57.4 million in the same period in 2017. In addition,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and by 26.6% from 2,079 in the nine months ended September 30, 2016 to 1,528 in the same period in 2017.</w:t>
      </w:r>
    </w:p>
    <w:p>
      <w:pPr>
        <w:spacing w:after="0" w:line="188"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marketing agency client may materially and adversely affect our business and results of operations.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engage third-party marketing agencies to help source and serve some of our marketers. In 2016, we had over 2,000 clients, including over 1,800 direct marketer clients and over 500 marketing agency clients, which represented over 1,100 end marketers and a significant portion of our gross billing and net revenues. In the nine months ended September 30, 2017, we had over 1,500 clients, including over 1,100 direct marketer clients and over 400 agency clients, which represented over 1,200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8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51" w:lineRule="exact"/>
        <w:rPr>
          <w:sz w:val="20"/>
          <w:szCs w:val="20"/>
          <w:color w:val="auto"/>
        </w:rPr>
      </w:pPr>
    </w:p>
    <w:p>
      <w:pPr>
        <w:jc w:val="both"/>
        <w:ind w:right="200" w:firstLine="456"/>
        <w:spacing w:after="0" w:line="257" w:lineRule="auto"/>
        <w:rPr>
          <w:sz w:val="20"/>
          <w:szCs w:val="20"/>
          <w:color w:val="auto"/>
        </w:rPr>
      </w:pPr>
      <w:r>
        <w:rPr>
          <w:rFonts w:ascii="Times New Roman" w:cs="Times New Roman" w:eastAsia="Times New Roman" w:hAnsi="Times New Roman"/>
          <w:sz w:val="18"/>
          <w:szCs w:val="18"/>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88.6% of our media costs in 2015, 2016 and the nine months ended September 30, 2017, respectively. Media costs for content distribution opportunities on our largest channel partner in each of 2015, 2016 and the nine months ended September 30, 2017 accounted for 55.0%, 42.2% and 61.1% of our media costs, respectively, during the relevant periods, and media costs for content distribution opportunities on our second largest channel partner in each of 2015, 2016 and the nine months ended September 30, 2017 accounted for 22.6%, 36.1% and 25.7% of our media costs, respectively, during the relevant periods. We currently do not own or control any content distribution channels in China.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ability to source content distribution opportunities from content distribution channels depends in part on our ability to continuously generate sufficient marketing spend from our clients on these channels. Under some of our contracts, content distribution channels may terminate the contracts during their terms if we do not meet the minimum marketing spend requirements in the contracts.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we may not be able to negotiate favorable or acceptable terms once the contracts expire. For example, the written contract with the content distribution channel under our sales agency arrangement expired on December 31, 2016 and as of the date of this prospectus, we have not yet executed and are negotiating a new written contract with this content distribution channel. The new contract may require us to pay a significant deposit, which will be forfeited in whole or in part depending on the extent to which we meet the annual minimum marketing spend threshold set out in the contract. Based on our historical marketing spend level on this distribution channel, we expect we will not meet the proposed minimum marketing spend threshold and therefore we expect some of our deposit with this content distribution channel will be forfeited if we enter into this new contract, which will have a material adverse impact on our financial conditions and results of operations. In addition, the new contract may impose quarterly minimum marketing spend threshold and if we fail to meet such threshold for some consecutive quarters, the content distribution channel may terminate the contract. Net revenues from this content distribution channel under our sales agency arrangement were US$7.1 million and US$7.9 million in 2015 and 2016, and US$6.6 million and US$6.0 million for the nine months ended September 30, 2016 and 2017, representing 10.9%, 8.3%, 9.4% and 7.0% of our total net revenues for the respective periods. As the contract is still being negotiated, there is no assurance that we will be able to execute the contract with terms favorable or acceptable to us or at all, which will have a material adverse impact on our financial conditions and results of operations.</w:t>
      </w:r>
    </w:p>
    <w:p>
      <w:pPr>
        <w:spacing w:after="0" w:line="19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See “Management’s Discussion and Analysis of Financial Condition and Results of Operations — Key Operating and Financial Metrics — Net Revenues,” “— Critical Accounting Policies — Revenue recognition — Sales Agent” and “— Critical Accounting Policies — Rebates” for a description of the accounting treatment of rebates or incentives that we receive from content distribution channels. If we are unable to meet the anticipated level of marketing spend with any content distribution partner, we may experience a material adverse impact on our financial conditions and results of operations and it may affect our overall relationship with the content distribution partner. If these or any other content distribution channel were to change their rebate or incentive programs or to cease doing business with us for any reason, our financial results would be materially adversely affected.</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5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2"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return on marketing expenditure at scale;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trust;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reach;</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cooperation with publishers, ad exchanges, ad networks and other participants in the online marketing ecosystem;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solutions and service offerings;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structure and competitiveness;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cross-channel capabilities;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and user-friendliness of solutions;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9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New technologies and methods of online marketing present an evolving competitive challenge, as market participants upgrade or expand their service offerings to capture more marketing spend from marketers.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5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9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5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collect and use data from various sources could be restricted.</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2"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choices, including the blocking or deletion of cookies or modifications to privacy settings;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67"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browser or device functionality and settings, and other new technologies, which could make it easier for users to prevent the placement of cookies or other tracking technologies;</w:t>
      </w:r>
    </w:p>
    <w:p>
      <w:pPr>
        <w:spacing w:after="0" w:line="67"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network or software systems, or the network or software systems of marketers;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5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9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8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6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8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80"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9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Moreover, civil claims may be filed against us for fraud, defamation, subversion, negligence, copyright or trademark infringement or other violations due to the nature and content of the information for which we provide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grow efficiently to meet our clients’ increasing needs, our operating results could be harmed.</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account services, our business and reputation may suffer.</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information or other intellectual property, our business could be adversely affected.</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5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9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8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5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91" w:lineRule="exact"/>
        <w:rPr>
          <w:sz w:val="20"/>
          <w:szCs w:val="20"/>
          <w:color w:val="auto"/>
        </w:rPr>
      </w:pPr>
    </w:p>
    <w:p>
      <w:pPr>
        <w:ind w:left="900" w:right="52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services and personnel of acquired businesses, especially if those businesses operate outside of our core competency;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perception risks associated with the acquired product or technology by the general public;</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solutions;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key business relationships and the reputations of acquired businesses;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for activities of the acquired company, including claims from terminated employees, clients, former shareholders or other third parties;</w:t>
      </w:r>
    </w:p>
    <w:p>
      <w:pPr>
        <w:spacing w:after="0" w:line="130" w:lineRule="exact"/>
        <w:rPr>
          <w:rFonts w:ascii="Times New Roman" w:cs="Times New Roman" w:eastAsia="Times New Roman" w:hAnsi="Times New Roman"/>
          <w:sz w:val="18"/>
          <w:szCs w:val="18"/>
          <w:color w:val="auto"/>
        </w:rPr>
      </w:pPr>
    </w:p>
    <w:p>
      <w:pPr>
        <w:jc w:val="both"/>
        <w:ind w:left="900" w:right="200" w:hanging="325"/>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necessary to establish and maintain effective internal controls for acquired businesses;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 in order to recoup our investment;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fixed costs.</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fully integrate any future business, product or technology we acquire, our business, financial conditions and results of operations may suffer.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significant impairment charges as a result of our acquisition of OptAim.</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of September 30, 2017, we had US$48.5 million of goodwill, which represented approximately 31.7%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8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6" w:lineRule="exact"/>
        <w:rPr>
          <w:sz w:val="20"/>
          <w:szCs w:val="20"/>
          <w:color w:val="auto"/>
        </w:rPr>
      </w:pPr>
    </w:p>
    <w:p>
      <w:pPr>
        <w:ind w:firstLine="456"/>
        <w:spacing w:after="0" w:line="272" w:lineRule="auto"/>
        <w:rPr>
          <w:sz w:val="20"/>
          <w:szCs w:val="20"/>
          <w:color w:val="auto"/>
        </w:rPr>
      </w:pPr>
      <w:r>
        <w:rPr>
          <w:rFonts w:ascii="Times New Roman" w:cs="Times New Roman" w:eastAsia="Times New Roman" w:hAnsi="Times New Roman"/>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5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8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8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impressions, we may lose business and incur damages to our brand and reputation. In addition, we may be exposed to liabilities or the need to provide credits or refunds to our clients, and our business and results of operations may be harmed.</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promote or maintain our brand in a cost-efficient manner, our business and results of operations may be harmed.</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Misconduct, errors and failure to function by our employees could harm our business and reputation.</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beyond those generated by this offering,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team, including our founders, Wing Hong Sammy Hsieh, Yau Ping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8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any business insurance coverage.</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5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 However, we cannot assure you that such transition will be completed in a timely manner or at all as some of our clients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the nine months ended September 30, 2017, OptAim contributed 63.5% to our gross billing and 76.6% of our net revenues.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9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8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marketing campaign contracts executed by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29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5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89"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51"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7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5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51"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8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93"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draft Foreign Investment Law, if enacted as proposed, may also materially impact our corporate governance practice and increase our compliance costs. For instance, the draft Foreign Investment Law imposes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5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could limit the legal protections available to us.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28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5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5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5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8"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6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67"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93"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price of our ADSs.</w:t>
      </w:r>
    </w:p>
    <w:p>
      <w:pPr>
        <w:spacing w:after="0" w:line="121"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spacing w:after="0" w:line="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a substantial portion of our revenues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8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67" w:lineRule="exact"/>
        <w:rPr>
          <w:sz w:val="20"/>
          <w:szCs w:val="20"/>
          <w:color w:val="auto"/>
        </w:rPr>
      </w:pPr>
    </w:p>
    <w:p>
      <w:pPr>
        <w:ind w:right="100" w:firstLine="456"/>
        <w:spacing w:after="0" w:line="252" w:lineRule="auto"/>
        <w:rPr>
          <w:sz w:val="20"/>
          <w:szCs w:val="20"/>
          <w:color w:val="auto"/>
        </w:rPr>
      </w:pPr>
      <w:r>
        <w:rPr>
          <w:rFonts w:ascii="Times New Roman" w:cs="Times New Roman" w:eastAsia="Times New Roman" w:hAnsi="Times New Roman"/>
          <w:sz w:val="18"/>
          <w:szCs w:val="18"/>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Certain beneficial owners of our shares who are PRC residents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30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8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PRC regulations may subject us to penalties.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PRC income tax on dividends from us or on any gain realized on the transfer of our ordinary shares.</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 or VAT, is imposed to replace the business tax, which could result in unfavorable tax consequences to us.</w:t>
      </w:r>
    </w:p>
    <w:p>
      <w:pPr>
        <w:spacing w:after="0" w:line="121"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60"/>
          </w:cols>
          <w:pgMar w:left="240" w:top="455" w:right="2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9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5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PRC resident enterprises by their non-PRC holding companies.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9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51"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5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American Depositary Shares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51"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We have applied to list our ADSs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other factors, including the following:</w:t>
      </w:r>
    </w:p>
    <w:p>
      <w:pPr>
        <w:spacing w:after="0" w:line="131"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clients and end marketers, or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online marketing industry;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solutions and service offerings or those of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providers of online marketing solutions;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in or revisions to our expected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Renminbi and the U.S. dollar;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ordinary shares or ADSs;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plan to use the net proceeds from this offering for the following purposes: (i) approximately US$18.0 million of the net proceeds for research and development and expansion of our suite of solutions and service offerings; and (ii) approximately US$8.0 million of the net proceeds for sales and marketing. We also plan to use the net proceeds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45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Immediately after the completion of this offering, our ordinary shares will consist of 22,023,775 Class A ordinary shares and 4,820,608 Class B ordinary shares, assuming an initial offering price of US$8.50 per ADS, which is the midpoint of the estimated range and assuming the underwriters do not exercise their option to purchase additional ADSs. In respect of matters requiring the votes of shareholders, holders of Class A ordinary shares will be entitled to one vote per share, while holders of Class B ordinary shares will be entitled to 20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Immediately prior to the completion of this offering, all of the then outstanding ordinary shares held by Mr. Sammy Hsieh and Mr. Jian Tang will be re-designated as Class B ordinary shares. Mr. Hsieh and Mr. Tang, who beneficially own 21.4% of the aggregate voting power of our company as of the date of this prospectus, will beneficially own approximately 81.4% of the aggregate voting power of our company immediately after the completion of this offering due to the disparate voting powers associated with our dual-class share structure, assuming an initial offering price of US$8.50 per ADS, which is the midpoint of the estimated range and assuming the underwriters do not exercise their over-allotment option. See “Capitalization” and “Principal Shareholders.”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5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directors and officers will collectively own an aggregate of 82.3% of the total voting power of our outstanding ordinary shares immediately upon completion of this offering, assuming an initial offering price of US$8.50 per ADS, which is the midpoint of the estimated range and assuming the underwriters do not exercise their over-allotment option. See “Capitalization” and “Principal Shareholders.” As a result, they have substantial influence over our business, including significant corporate actions such as change of directors, mergers, change of control transactions and other significant corporate actions.</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result in increased share based compensation expenses.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adopted a stock option plan in 2010, or the 2010 Plan. We adopted another share incentive plan in 2017, or the 2017 Plan, in October 2017.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4" w:lineRule="exact"/>
        <w:rPr>
          <w:sz w:val="20"/>
          <w:szCs w:val="20"/>
          <w:color w:val="auto"/>
        </w:rPr>
      </w:pPr>
    </w:p>
    <w:p>
      <w:pPr>
        <w:ind w:right="100" w:firstLine="456"/>
        <w:spacing w:after="0" w:line="270" w:lineRule="auto"/>
        <w:rPr>
          <w:sz w:val="20"/>
          <w:szCs w:val="20"/>
          <w:color w:val="auto"/>
        </w:rPr>
      </w:pPr>
      <w:r>
        <w:rPr>
          <w:rFonts w:ascii="Times New Roman" w:cs="Times New Roman" w:eastAsia="Times New Roman" w:hAnsi="Times New Roman"/>
          <w:sz w:val="17"/>
          <w:szCs w:val="17"/>
          <w:color w:val="auto"/>
        </w:rPr>
        <w:t>We account for compensation costs for all share incentives using a fair-value based method and recognize expenses in our consolidated statements of comprehensive income in accordance with U.S. GAAP. Under our 2010 Plan, 120,067 options that were granted to Wing Hong Sammy Hsieh and 29,933 options that were granted to Yau Ping Ricky Ng shall vest immediately upon the earlier of the following: (i) our listing on a stock exchange with an expected market capitalization of no less than US$500 million immediately after completion of the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Therefore, assuming the number of ADSs offered by us as set forth on the cover page of the prospectus remains the same (and assuming the underwriters do not exercise their over-allotment option), if the initial public offering price per ADS is US$8.76 or above, the 120,067 options granted to Wing Hong Sammy Hsieh and 29,933 options granted to Yau Ping Ricky Ng will become immediately vested and exercisable prior to our listing and we expect Wing Hong Sammy Hsieh and Yau Ping Ricky Ng to exercise these options prior to our listing. This would also result in a share-based compensation expense of US$1.3 million in the fourth quarter of 2017.</w:t>
      </w:r>
    </w:p>
    <w:p>
      <w:pPr>
        <w:spacing w:after="0" w:line="17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our 2010 Plan, the maximum aggregate number of ordinary shares which may be issued pursuant to all awards under the plan is 2,398,137. As of the date of this prospectus, options to purchase 1,542,793 ordinary shares are outstanding, including unvested options to purchase 501,144 ordinary shares, and vested and unexercised options to purchase 1,041,649 ordinary shares. Under the 2017 Plan that will be effective upon completion of this offering, the maximum number of ordinary shares which may be issued pursuant to all awards under the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9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5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ADSs could adversely affect their market price.</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5,882,400 ADSs (representing 2,941,200 Class A ordinary shares) outstanding immediately after this offering, or 6,764,700 ADSs (representing 3,382,350 Class A ordinary shares) if the underwriters exercise their over-allotment option in full.</w:t>
      </w:r>
    </w:p>
    <w:p>
      <w:pPr>
        <w:spacing w:after="0" w:line="18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5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approval of the China Securities Regulatory Commission may be required in connection with this offering under PRC law.</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8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PRC counsel, Jingtian &amp; Gongcheng, has advised us based on their understanding of the current PRC law, rules and regulations that the CSRC’s approval is not required for the listing and trading of our ADSs on the NASDAQ Global Market in the context of this offering, given that:</w:t>
      </w:r>
    </w:p>
    <w:p>
      <w:pPr>
        <w:spacing w:after="0" w:line="67" w:lineRule="exact"/>
        <w:rPr>
          <w:sz w:val="20"/>
          <w:szCs w:val="20"/>
          <w:color w:val="auto"/>
        </w:rPr>
      </w:pPr>
    </w:p>
    <w:p>
      <w:pPr>
        <w:ind w:left="900" w:right="6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currently has not issued any definitive rule or interpretation concerning whether offerings like ours under this prospectus are subject to this regulation;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3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post-offering amended and restated memorandum and articles of association that we adopted effective immediately prior to the completion of this offering will contain anti-takeover provisions that could discourage a third party from acquiring us and adversely affect the rights of holders of our Class A ordinary shares and ADSs.</w:t>
      </w:r>
    </w:p>
    <w:p>
      <w:pPr>
        <w:spacing w:after="0" w:line="6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adopted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9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6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Upon completion of this offering, we will follow our home country practices and rely on certain exemptions provided by the Nasdaq Stock Market Rules to a foreign private issuer, including exemptions from the requirements to have:</w:t>
      </w:r>
    </w:p>
    <w:p>
      <w:pPr>
        <w:spacing w:after="0" w:line="89"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independent directors on our board of directors;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455" w:right="2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being involved in the selection of director nominees and determination of executive officer compensation;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executive sessions of independent directors.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6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Our directors will have discretion under our post-offering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our directors or officers by our shareholders may not be enforceable.</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5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5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US$8.30 per ADS, representing the difference between the assumed initial public offering price of US$8.50 per ADS, the midpoint of the estimated range of the initial public offering price, and our net tangible book value per ADS of US$0.20 as of September 30, 2017, after giving effect to the net proceeds to us from this offering. In addition, you may experience further dilution to the extent that our ordinary shares are issued upon the exercise of any share options or warrants. See “Dilution” for a more complete description of how the value of your investment in our ADSs will be diluted upon completion of this offering.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However, such reduced reporting requirements may make our ADSs less attractive to investors.</w:t>
      </w:r>
    </w:p>
    <w:p>
      <w:pPr>
        <w:spacing w:after="0" w:line="9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particularly after we cease to qualify as an emerging growth company.</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will incur additional legal, accounting and other expenses as a public reporting company, particularly after we cease to qualify as an emerging growth company, which occurs on the earliest of (a) the last day of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93"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2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8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this offering. If we do not deploy significant amounts of cash for active purposes, our risk of being a PFIC may substantially increase.</w:t>
      </w:r>
    </w:p>
    <w:p>
      <w:pPr>
        <w:spacing w:after="0" w:line="180"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00"/>
          </w:cols>
          <w:pgMar w:left="240" w:top="455" w:right="3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6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86"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online marketing industry, including online marketing technology industry in China;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clients and other marketers and marketing agencies;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platform, solutions, data analytics capabilities, technology and technology infrastructure;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content distribution channel partners;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 elsewhere;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US$41.9 million, or approximately US$48.8 million if the underwriters exercise their option to purchase additional ADSs in full, after deducting underwriting discounts and commissions and the estimated offering expenses payable by us. These estimates are based upon an assumed initial offering price of US$8.50 per ADS, the midpoint of the range shown on the front cover page of this prospectus. A US$1.00 change in the assumed initial public offering price of US$8.50 per ADS would, in the case of an increase, increase and, in the case of a decrease, decrease the net proceeds of this offering by US$5.5 million, or approximately US$6.3 million if the underwriters exercise their option to purchase additional ADSs in full, assuming an initial public offering price of US$8.50 per ADS, the midpoint of the range shown on the front cover page of this prospectus and after deducting underwriting discounts and commissions and the estimated offering expenses payable by us.</w:t>
      </w:r>
    </w:p>
    <w:p>
      <w:pPr>
        <w:spacing w:after="0" w:line="189"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2" w:lineRule="exact"/>
        <w:rPr>
          <w:sz w:val="20"/>
          <w:szCs w:val="20"/>
          <w:color w:val="auto"/>
        </w:rPr>
      </w:pPr>
    </w:p>
    <w:p>
      <w:pPr>
        <w:ind w:left="900" w:right="22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US$18.0 million of the net proceeds for research and development and expansion of our suite of solutions and service offerings;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US$8.0 million of the net proceeds for sales and marketing.</w:t>
      </w:r>
    </w:p>
    <w:p>
      <w:pPr>
        <w:spacing w:after="0" w:line="225"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2017:</w:t>
      </w:r>
    </w:p>
    <w:p>
      <w:pPr>
        <w:spacing w:after="0" w:line="131"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5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automatic conversion of all our preferred shares and redeemable ordinary shares into 10,268,077 Class A ordinary shares on a one-for-one basis upon completion of the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and (iii) the redesignation of all of the remaining ordinary shares into Class A ordinary shares on a one-for-one basis immediately prior to the completion of this offering; and</w:t>
      </w:r>
    </w:p>
    <w:p>
      <w:pPr>
        <w:spacing w:after="0" w:line="94" w:lineRule="exact"/>
        <w:rPr>
          <w:rFonts w:ascii="Times New Roman" w:cs="Times New Roman" w:eastAsia="Times New Roman" w:hAnsi="Times New Roman"/>
          <w:sz w:val="18"/>
          <w:szCs w:val="18"/>
          <w:color w:val="auto"/>
        </w:rPr>
      </w:pPr>
    </w:p>
    <w:p>
      <w:pPr>
        <w:ind w:left="900" w:right="20" w:hanging="325"/>
        <w:spacing w:after="0" w:line="254"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(i) the automatic conversion of all of our outstanding preferred shares and redeemable ordinary shares into 10,268,077 Class A ordinary shares on a one-for-one basis immediately upon completion of this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(iii) the redesignation of all of the remaining ordinary shares into Class A ordinary shares on a one-for-one basis immediately prior to the completion of this offering, and (iv) the sale of 2,941,200 Class A ordinary shares in the form of ADSs by us in this offering at an assumed initial public offering price of US$8.50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120,067 options that were granted to Wing Hong Sammy Hsieh and 29,933 options that were granted to Yau Ping Ricky Ng under our 2010 Plan shall vest immediately upon the earlier of the following: (i) our listing on a stock exchange with an expected market capitalization of no less than US$500 million immediately after completion of the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Therefore, assuming the number of ADSs offered by us as set forth on the cover page of the prospectus remains the same (and assuming the underwriters do not exercise their over-allotment option), if the initial public offering price is US$8.76 per ADS or above, these options will become immediately vested and exercisable prior to our listing and we expect Wing Hong Sammy Hsieh and Yau Ping Ricky Ng to exercise these options prior to our listing.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00" w:type="dxa"/>
            <w:vAlign w:val="bottom"/>
            <w:gridSpan w:val="3"/>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0" w:type="dxa"/>
            <w:vAlign w:val="bottom"/>
          </w:tcPr>
          <w:p>
            <w:pPr>
              <w:spacing w:after="0"/>
              <w:rPr>
                <w:sz w:val="1"/>
                <w:szCs w:val="1"/>
                <w:color w:val="auto"/>
              </w:rPr>
            </w:pPr>
          </w:p>
        </w:tc>
      </w:tr>
      <w:tr>
        <w:trPr>
          <w:trHeight w:val="117"/>
        </w:trPr>
        <w:tc>
          <w:tcPr>
            <w:tcW w:w="7540" w:type="dxa"/>
            <w:vAlign w:val="bottom"/>
          </w:tcPr>
          <w:p>
            <w:pPr>
              <w:spacing w:after="0"/>
              <w:rPr>
                <w:sz w:val="10"/>
                <w:szCs w:val="10"/>
                <w:color w:val="auto"/>
              </w:rPr>
            </w:pPr>
          </w:p>
        </w:tc>
        <w:tc>
          <w:tcPr>
            <w:tcW w:w="980" w:type="dxa"/>
            <w:vAlign w:val="bottom"/>
            <w:tcBorders>
              <w:top w:val="single" w:sz="8" w:color="auto"/>
            </w:tcBorders>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54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8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1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(US$0.001 par value; 2,500,000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2,476,190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 forma and a pro forma as adjusted basis; redemption amount of US$7,234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5,683</w:t>
            </w: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convertible redeemable preferred shares (US$0.001 par value; 3,000,000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as; 1,889,249 shares issued and outstanding on an actual basis; none outstanding on</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pro forma and a pro forma as adjusted basis; redemption amount of US$15,055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10,326</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 convertible redeemable preferred shares (US$0.001 par value; 1,650,000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1,599,186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 forma and a pro forma as adjusted basis; redemption amount of US$23,614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10,733</w:t>
            </w: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convertible redeemable preferred shares (US$0.001 par value; 4,500,000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2,493,018 shares issued and outstanding on an actual basis; none outstanding on a</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 forma and a pro forma as adjusted basis; redemption amount of US$64,815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43,956</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 convertible redeemable preferred shares (US$0.001 par value; 1,200,000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1,068,114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 forma and a pro forma as adjusted basis; redemption amount of US$29,059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18,845</w:t>
            </w: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Redeemable ordinary shares (US$0.001 par value; 742,320 shares issued and outstanding on an</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actual basis; none outstanding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16,724</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(deficit)/equity:</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(US$0.001 par value; 37,150,000 shares authorized; 13,633,106 shares issued</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outstanding on an actual basis; 19,080,575 Class A ordinary shares and 4,820,608 Class B</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ordinary shares outstanding on a pro forma basis; and 22,021,775 Class A ordinary shares and</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4,820,608 Class B ordinary shares outstanding on a pro forma as adjusted basis)</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ordinary shares</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ordinary shares</w:t>
            </w:r>
          </w:p>
        </w:tc>
        <w:tc>
          <w:tcPr>
            <w:tcW w:w="9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shares (2,125,382 shares on an actual, a pro forma and a pro forma as adjusted basis)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(2,121)</w:t>
            </w:r>
          </w:p>
        </w:tc>
        <w:tc>
          <w:tcPr>
            <w:tcW w:w="15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(2,121)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15"/>
                <w:szCs w:val="15"/>
                <w:color w:val="auto"/>
              </w:rPr>
              <w:t>(2)(3)</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66,349</w:t>
            </w:r>
          </w:p>
        </w:tc>
        <w:tc>
          <w:tcPr>
            <w:tcW w:w="15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240,546</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285,388</w:t>
            </w:r>
          </w:p>
        </w:tc>
        <w:tc>
          <w:tcPr>
            <w:tcW w:w="0" w:type="dxa"/>
            <w:vAlign w:val="bottom"/>
          </w:tcPr>
          <w:p>
            <w:pPr>
              <w:spacing w:after="0"/>
              <w:rPr>
                <w:sz w:val="1"/>
                <w:szCs w:val="1"/>
                <w:color w:val="auto"/>
              </w:rPr>
            </w:pPr>
          </w:p>
        </w:tc>
      </w:tr>
      <w:tr>
        <w:trPr>
          <w:trHeight w:val="234"/>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reserves</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81</w:t>
            </w: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46"/>
        </w:trPr>
        <w:tc>
          <w:tcPr>
            <w:tcW w:w="75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tcPr>
          <w:p>
            <w:pPr>
              <w:spacing w:after="0"/>
              <w:rPr>
                <w:sz w:val="15"/>
                <w:szCs w:val="15"/>
                <w:color w:val="auto"/>
              </w:rPr>
            </w:pPr>
          </w:p>
        </w:tc>
        <w:tc>
          <w:tcPr>
            <w:tcW w:w="298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0" w:type="dxa"/>
            <w:vAlign w:val="bottom"/>
          </w:tcPr>
          <w:p>
            <w:pPr>
              <w:spacing w:after="0"/>
              <w:rPr>
                <w:sz w:val="1"/>
                <w:szCs w:val="1"/>
                <w:color w:val="auto"/>
              </w:rPr>
            </w:pPr>
          </w:p>
        </w:tc>
      </w:tr>
      <w:tr>
        <w:trPr>
          <w:trHeight w:val="117"/>
        </w:trPr>
        <w:tc>
          <w:tcPr>
            <w:tcW w:w="84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40" w:type="dxa"/>
            <w:vAlign w:val="bottom"/>
            <w:tcBorders>
              <w:top w:val="single" w:sz="8" w:color="auto"/>
            </w:tcBorders>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(3,310)</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r>
              <w:rPr>
                <w:rFonts w:ascii="Times New Roman" w:cs="Times New Roman" w:eastAsia="Times New Roman" w:hAnsi="Times New Roman"/>
                <w:sz w:val="15"/>
                <w:szCs w:val="15"/>
                <w:color w:val="auto"/>
              </w:rPr>
              <w:t>(3)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(140,269)</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(140,269)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(141,478)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(deficit)/equity</w:t>
            </w:r>
            <w:r>
              <w:rPr>
                <w:rFonts w:ascii="Times New Roman" w:cs="Times New Roman" w:eastAsia="Times New Roman" w:hAnsi="Times New Roman"/>
                <w:sz w:val="15"/>
                <w:szCs w:val="15"/>
                <w:color w:val="auto"/>
              </w:rPr>
              <w:t>(1)(3)</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(79,256)</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94,951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mezzanine equity and shareholders’ equity</w:t>
            </w:r>
            <w:r>
              <w:rPr>
                <w:rFonts w:ascii="Times New Roman" w:cs="Times New Roman" w:eastAsia="Times New Roman" w:hAnsi="Times New Roman"/>
                <w:sz w:val="15"/>
                <w:szCs w:val="15"/>
                <w:color w:val="auto"/>
              </w:rPr>
              <w:t>(1)(3)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94,951</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340" w:right="460" w:hanging="332"/>
        <w:spacing w:after="0" w:line="233" w:lineRule="auto"/>
        <w:tabs>
          <w:tab w:leader="none" w:pos="3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pro forma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340" w:right="40" w:hanging="332"/>
        <w:spacing w:after="0" w:line="221" w:lineRule="auto"/>
        <w:tabs>
          <w:tab w:leader="none" w:pos="3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 US$8.50 per ADS, the midpoint of the estimated range of the initial public offering price shows on the front cover of this prospectus, would, in the case of an increase, increase and, in the case of a decrease, decrease each of additional paid-in capital, total shareholders’ deficit and total mezzanine equity and shareholders’ deficit by US$5.5 million.</w:t>
      </w:r>
    </w:p>
    <w:p>
      <w:pPr>
        <w:spacing w:after="0" w:line="1" w:lineRule="exact"/>
        <w:rPr>
          <w:rFonts w:ascii="Times New Roman" w:cs="Times New Roman" w:eastAsia="Times New Roman" w:hAnsi="Times New Roman"/>
          <w:sz w:val="12"/>
          <w:szCs w:val="12"/>
          <w:color w:val="auto"/>
        </w:rPr>
      </w:pPr>
    </w:p>
    <w:p>
      <w:pPr>
        <w:ind w:left="340" w:hanging="332"/>
        <w:spacing w:after="0" w:line="230" w:lineRule="auto"/>
        <w:tabs>
          <w:tab w:leader="none" w:pos="3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pro forma as adjusted amounts include (i) the impact of the derecognition of derivative liabilities amounting to US$67.9 million in relation to the conversion and redemption features of the convertible redeemable preferred shares upon the completion of this offering; and (ii) an expense of US$1.2 million as a result of redesignation of certain of our ordinary shares into Class B ordinary shares upon completion of this offering. Our receipt of waiver to amend the definition of qualified initial public offering as described in “Description of Share Capital — History of Security Issuances”, which made the anti-dilution provision in relation to the convertible redeemable preferred shares inapplicable, does not have any net impact to our capitalization.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negative net tangible book value as of September 30, 2017 was approximately US$33.1 million, or US$2.43 per ordinary share as of that date, and US$1.21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Dilution is determined by subtracting net tangible book value per ordinary share after giving effect to the additional proceeds we will receive from the offering after deducting underwriting discounts and commissions and estimated offering expenses payable by us, from the assumed initial public offering price, which is the midpoint of the estimated initial public offering price range set forth on the cover page of the prospectus adjusted to reflect the ADS-to-Class A ordinary share ratio.</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Without taking into account any other changes in net tangible book value after September 30, 2017, other than to give effect to (i) the automatic conversion of all of our issued and outstanding convertible preferred shares and redeemable ordinary shares into 10,268,077 Class A ordinary shares concurrently with the completion of this offering and (ii) the issuance and sale by us of 2,941,200 Class A ordinary shares in the form of ADSs in this offering at an assumed initial public offering price of US$8.50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 forma as adjusted net tangible book value as of September 30, 2017 would have been US$78.5 million, or US$2.92 per outstanding ordinary share and US$1.46 per ADS. This represents an immediate increase in pro forma net tangible book value of US$1.46 per ordinary share and US$0.73 per ADS to the existing shareholders and an immediate dilution in net tangible book value of US$14.08 per ordinary share and US$7.04 per ADS to investors purchasing ADSs in this offering. The following table illustrates such dilution: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173"/>
        </w:trPr>
        <w:tc>
          <w:tcPr>
            <w:tcW w:w="9320" w:type="dxa"/>
            <w:vAlign w:val="bottom"/>
          </w:tcPr>
          <w:p>
            <w:pPr>
              <w:spacing w:after="0"/>
              <w:rPr>
                <w:sz w:val="15"/>
                <w:szCs w:val="15"/>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per ordinary share as of September 30, 2017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9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per ordinary share after giving effect to the automatic conversion of all of our issued</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convertible preferred shares and redeemable ordinary shares into ordinary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198"/>
        </w:trPr>
        <w:tc>
          <w:tcPr>
            <w:tcW w:w="9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per ordinary share after giving effect to (i) the automatic conversion of all</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our issued and outstanding convertible preferred shares into ordinary shares and (ii) the issuance of 2,941,200</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in the form of 5,882,400 ADSs in this 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ordinary share to new investors in the offering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US$8.50 per ADS (the mid-point of the estimated initial public offering price range shown on the cover page of this prospectus) would increase (decrease) our pro forma net tangible book value after giving effect to the offering by US$5.5 million, the pro forma net tangible book value per ordinary share and per ADS after giving effect to the automatic</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conversion of our convertible preferred shares and this offering by US$0.21 per ordinary share and US$0.10 per ADS and the dilution in pro forma net tangible book value per ordinary share and per ADS to new investors in this offering by US$1.79 per ordinary share and US$0.90 per ADS, assuming no change to the number of ADSs offered by us as set forth on the cover page of this prospectus, and after deducting the estimated underwriting discounts and commissions and estimated offering expenses payable by us.</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basis as adjusted basis as of September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4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520" w:type="dxa"/>
            <w:vAlign w:val="bottom"/>
            <w:gridSpan w:val="4"/>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Average Price per</w:t>
            </w:r>
          </w:p>
        </w:tc>
        <w:tc>
          <w:tcPr>
            <w:tcW w:w="240" w:type="dxa"/>
            <w:vAlign w:val="bottom"/>
          </w:tcPr>
          <w:p>
            <w:pPr>
              <w:spacing w:after="0"/>
              <w:rPr>
                <w:sz w:val="13"/>
                <w:szCs w:val="13"/>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20" w:type="dxa"/>
            <w:vAlign w:val="bottom"/>
            <w:gridSpan w:val="4"/>
            <w:vMerge w:val="continue"/>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4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23,901,183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89.0%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118,103,595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70.3%</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US$4.94</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2,941,200</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50,000,400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29.7%</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US$17.00</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26,842,383</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168,103,995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 US$1.00 increase (decrease) in the assumed public offering price of US$8.50 per ADS (the mid-point of the estimated initial public offering price range shown on the cover page of this prospectus) would increase (decrease) total consideration paid by new investors by US$5.9 million, assuming that the number of shares offered by us, as set forth on the cover page of this prospectus, remains the same.</w:t>
      </w:r>
    </w:p>
    <w:p>
      <w:pPr>
        <w:spacing w:after="0" w:line="176"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62" w:lineRule="exact"/>
        <w:rPr>
          <w:sz w:val="20"/>
          <w:szCs w:val="20"/>
          <w:color w:val="auto"/>
        </w:rPr>
      </w:pPr>
    </w:p>
    <w:p>
      <w:pPr>
        <w:jc w:val="both"/>
        <w:ind w:right="560" w:firstLine="456"/>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options to purchase 1,542,793 ordinary shares are outstanding, including unvested options to purchase 501,144 ordinary shares, and vested and unexercised options to purchase 1,041,649 ordinary shares. To the extent that any of the unvested options later vest are exercised to purchase ordinary shares, there will be further dilution to new investors.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2010 Plan, the maximum number of ordinary shares that may be issued to the beneficiaries is 2,398,137, which have been issued to Arda Holdings Limited, or Arda, as trustee to the beneficiaries of the 2010 Plan. These ordinary shares issued to Arda are accounted for as our treasury shares until the options underlying these ordinary shares are vested and exercised into ordinary shares. Please refer to note 18 of our consolidated financial statements as of and for the years ended December 31, 2015 and 2016 and note 17 of our consolidated financial statement as of and for the nine months ended September 30, 2016 and 2017 included elsewhere in this prospectus for more information.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5"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referred to in this prospectus could have been or could be converted into U.S. dollars at any particular rate or at all. On November 24, 2017, the noon buying rate for Renminbi was RMB6.5998 to US$1.00 as set forth in the H.10 statistical release of the U.S. Federal Reserve Board.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980" w:type="dxa"/>
            <w:vAlign w:val="bottom"/>
            <w:gridSpan w:val="2"/>
            <w:vMerge w:val="continue"/>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Period-End</w:t>
            </w:r>
          </w:p>
        </w:tc>
        <w:tc>
          <w:tcPr>
            <w:tcW w:w="1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r>
              <w:rPr>
                <w:rFonts w:ascii="Times New Roman" w:cs="Times New Roman" w:eastAsia="Times New Roman" w:hAnsi="Times New Roman"/>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6.0537</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6.1478</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6.0537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6.4778</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6.2827</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6.1870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6.8098</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6.8843</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6.8098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6.9060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June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6.7793</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6.8066</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6.7793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6.7679</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6.7240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6.8039</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August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6.5888</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6.6670</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6.5888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6.7272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6.6533</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6.5697</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6.4773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6.6591</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October</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6.6328</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6.6167</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6.5712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6.6533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(through November 24, 2017)</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6.5998</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6.6238</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6.5998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Federal Reserve Statistical Release</w:t>
      </w:r>
    </w:p>
    <w:p>
      <w:pPr>
        <w:spacing w:after="0" w:line="4" w:lineRule="exact"/>
        <w:rPr>
          <w:sz w:val="20"/>
          <w:szCs w:val="20"/>
          <w:color w:val="auto"/>
        </w:rPr>
      </w:pPr>
    </w:p>
    <w:p>
      <w:pPr>
        <w:ind w:left="340" w:right="40" w:hanging="332"/>
        <w:spacing w:after="0" w:line="239" w:lineRule="auto"/>
        <w:tabs>
          <w:tab w:leader="none" w:pos="3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8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0"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2011, we set up our Singapore subsidiary, iClick Interactive (Singapore) Pte. Ltd., to provide localized services to clients in Southeast Asia.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217285" cy="5385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17285" cy="538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hanging="332"/>
        <w:spacing w:after="0" w:line="262" w:lineRule="auto"/>
        <w:tabs>
          <w:tab w:leader="none" w:pos="3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conduct substantially all our operations through the following consolidated subsidiaries:</w:t>
      </w:r>
    </w:p>
    <w:p>
      <w:pPr>
        <w:spacing w:after="0" w:line="252" w:lineRule="exact"/>
        <w:rPr>
          <w:sz w:val="20"/>
          <w:szCs w:val="20"/>
          <w:color w:val="auto"/>
        </w:rPr>
      </w:pPr>
    </w:p>
    <w:p>
      <w:pPr>
        <w:ind w:left="9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Limited: primarily focusing on providing both mobile audience solutions and other solutions to Hong Kong and overseas clients</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Tetris Media Limited and its subsidiary: primarily focusing on providing our other solutions to Hong Kong agency clients and its business are gradually being transferred to iClick Interactive Asia Limited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00"/>
          </w:cols>
          <w:pgMar w:left="240" w:top="455" w:right="3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Media Group Limited: primarily focusing on providing mobile audience solutions and other solutions to Hong Kong clients</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Search (Asia) Limited and its subsidiaries: promoting content distribution opportunities for the publisher under our sales agency arrangement</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(Singapore) Pte. Ltd: primarily focusing on providing both mobile audience solutions and other solutions to Singapore and other overseas clients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(Beijing) Advertisement Co., Ltd.: primarily focusing on providing our other solutions to PRC clients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Anhui Zhiyunzhong Information Technology Co., Ltd.: primarily focusing on providing mobile audience solutions to PRC clients</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OptAim (Beijing) Information Technology Co. Ltd.: primarily focusing on providing mobile audience solutions to PRC clients through our VIE and the VIE’s subsidiary</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OptAim Network Technology Co., Ltd. which is our VIE, and its subsidiary: primarily focusing on providing mobile audience solutions to PRC clients</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in the process of transferring the business operated by our VIE, OptAim Network, to our wholly owned subsidiaries. We expect that by the end of 2018, OptAim (Beijing) Information Technology Co., Ltd. and its subsidiary will replace Beijing OptAim Network Technology Co., Ltd. as contracting party for all our mobile audience solution business that are operated by OptAim. Please refer to “Risk Factors —Risks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OptAim Network</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“Risk Factors —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Network and Zhiyunzhong;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OptAim Network and Zhiyunzhong;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Equity Pledge Agreement</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60"/>
          </w:cols>
          <w:pgMar w:left="240" w:top="455" w:right="29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Powers of Attorney</w:t>
      </w:r>
    </w:p>
    <w:p>
      <w:pPr>
        <w:spacing w:after="0" w:line="12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Spousal Consent</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92" w:lineRule="exact"/>
        <w:rPr>
          <w:sz w:val="20"/>
          <w:szCs w:val="20"/>
          <w:color w:val="auto"/>
        </w:rPr>
      </w:pPr>
    </w:p>
    <w:p>
      <w:pPr>
        <w:ind w:right="41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OptAim Network and Zhiyunzhong Exclusive Business Cooperation Agreement</w:t>
      </w:r>
    </w:p>
    <w:p>
      <w:pPr>
        <w:ind w:firstLine="456"/>
        <w:spacing w:after="0" w:line="255" w:lineRule="auto"/>
        <w:rPr>
          <w:sz w:val="20"/>
          <w:szCs w:val="20"/>
          <w:color w:val="auto"/>
        </w:rPr>
      </w:pPr>
      <w:r>
        <w:rPr>
          <w:rFonts w:ascii="Times New Roman" w:cs="Times New Roman" w:eastAsia="Times New Roman" w:hAnsi="Times New Roman"/>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289" w:lineRule="exact"/>
        <w:rPr>
          <w:sz w:val="20"/>
          <w:szCs w:val="20"/>
          <w:color w:val="auto"/>
        </w:rPr>
      </w:pPr>
    </w:p>
    <w:p>
      <w:pPr>
        <w:ind w:right="43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Agreement that Provides Us with the Option to Purchase the Equity Interest in OptAim Network Second Amended and Restated Exclusive Call Option Agreement</w:t>
      </w: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opinion of Jingtian &amp; Gongcheng, our PRC legal counsel:</w:t>
      </w:r>
    </w:p>
    <w:p>
      <w:pPr>
        <w:spacing w:after="0" w:line="131" w:lineRule="exact"/>
        <w:rPr>
          <w:sz w:val="20"/>
          <w:szCs w:val="20"/>
          <w:color w:val="auto"/>
        </w:rPr>
      </w:pPr>
    </w:p>
    <w:p>
      <w:pPr>
        <w:ind w:left="900" w:right="26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67"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80"/>
          </w:cols>
          <w:pgMar w:left="240" w:top="455" w:right="2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OTHER DATA</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selected consolidated statements of comprehensive income/(loss) data for the year ended December 31, 2015 and 2016, and selected consolidated balance sheet data as of December 31, 2015 and 2016 have been derived from our audited consolidated financial statements included elsewhere in this prospectus. The selected consolidated statements of comprehensive income/(loss) data for the nine months ended September 30, 2016 and 2017 and the selected consolidated balance sheet data as of September 30, 2017 are derived from our unaudited condensed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9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20" w:type="dxa"/>
            <w:vAlign w:val="bottom"/>
            <w:gridSpan w:val="6"/>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 except for per share and share data)</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Comprehensive Loss: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6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65,242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95,357</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69,973</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(34,531)</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(61,048)</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(44,847)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(65,688)</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3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4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(8,106)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(8,584)</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(6,480)</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(31,385)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(28,266)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(20,733)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(12,745)</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(26,767)</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(7,165)</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(52,236)</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(63,617)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(29,153)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(107)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186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791</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(1,082)</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(377)</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(19,390)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186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555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(39,714)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(27,330)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(1,982)</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3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iClick Interactive Asia Group Limited’s ordinary</w:t>
            </w:r>
          </w:p>
        </w:tc>
        <w:tc>
          <w:tcPr>
            <w:tcW w:w="7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(41,797)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(29,659)</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(10,107)</w:t>
            </w: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(129)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iClick Interactive Asia Group Limited</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(39,843)</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5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2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6280" w:type="dxa"/>
            <w:vAlign w:val="bottom"/>
          </w:tcPr>
          <w:p>
            <w:pPr>
              <w:spacing w:after="0"/>
              <w:rPr>
                <w:sz w:val="13"/>
                <w:szCs w:val="13"/>
                <w:color w:val="auto"/>
              </w:rPr>
            </w:pPr>
          </w:p>
        </w:tc>
        <w:tc>
          <w:tcPr>
            <w:tcW w:w="4260" w:type="dxa"/>
            <w:vAlign w:val="bottom"/>
            <w:gridSpan w:val="7"/>
          </w:tcPr>
          <w:p>
            <w:pPr>
              <w:ind w:left="82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 except for per share and share data)</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iClick Interactive Asia Group Limited</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(2.26)</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(2.26)</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per share calculation</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11,661,049</w:t>
            </w:r>
          </w:p>
        </w:tc>
        <w:tc>
          <w:tcPr>
            <w:tcW w:w="1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13,151,063</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13,140,775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13,622,172</w:t>
            </w: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11,661,049</w:t>
            </w: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13,151,063</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13,140,775</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13,622,172</w:t>
            </w:r>
          </w:p>
        </w:tc>
      </w:tr>
      <w:tr>
        <w:trPr>
          <w:trHeight w:val="20"/>
        </w:trPr>
        <w:tc>
          <w:tcPr>
            <w:tcW w:w="6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balance sheet data as of December 31, 2015, 2016 and September 30,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240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10,395</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27,280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US$1,733, US$1,693 and US$602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of December 31, 2015, 2016 and September 30, 2017, respectively</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28,423</w:t>
            </w: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30,694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Rebates receivable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3,642</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2,250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media cost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24,793</w:t>
            </w: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34,409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19,095</w:t>
            </w: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14,804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48,496</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48,496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146,110</w:t>
            </w: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169,640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mezzanine equity and shareholders’ deficit:</w:t>
            </w: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115,124</w:t>
            </w: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126,572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3,705</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2,997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5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83,210</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104,383</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(55,929)</w:t>
            </w: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(64,312)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shareholders’ deficit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169,640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153,041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82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by US$71.1 million, or 172.0%, from US$41.3 million in 2015 to US$112.4 million in 2016 and by US$20.5 million, or 24.4%, from US$84.0 million in the nine months ended September 30, 2016 to US$104.5 million in the same period in 2017.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and 64.5% of our total gross billing in the nine months ended September 30, 2017, compared to 46.7% in the same period in 2016. Our net revenues from mobile audience solutions represented 60.6% of our net revenues in 2016, compared to 18.3% in 2015 and 78.7% of our net revenues in the nine months ended September 30, 2017, compared to 60.0% in the same period in 2016. In addition to mobile audience solutions, we have other online marketing solutions that are primarily focused on non-mobile app channels and search engine marketing.</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take a flexible approach to deliver our solutions in order to cater to the preferences and levels of internal resources and sophistication of clients. Clients may choose to access our solutions either through (i) self-service, when they have the flexibility to utilize our solutions “a la carte” to complement their existing marketing resources, or through (ii) managed service, when our account management team provides in-depth services that suit clients’ specific marketing objectives and budgets utilizing our solutions. We seamlessly address marketers’ needs and deliver a highly integrated customer experience throughout their marketing cycle.</w:t>
      </w:r>
    </w:p>
    <w:p>
      <w:pPr>
        <w:spacing w:after="0" w:line="18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clients refer to entities which enter into marketing campaign contracts with us and incur marketing spend during the relevant period. They include direct marketer clients and marketing agencies clients. We derived over 70% of our gross billing from direct marketer clients in 2015 and 2016 and around 60% of our gross billing from direct marketer clients in the nine months ended September 30, 2017.</w:t>
      </w:r>
    </w:p>
    <w:p>
      <w:pPr>
        <w:spacing w:after="0" w:line="17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from clients’ marketing spend through our platform as they utilize our solutions in cost-plus and specified action marketing campaigns, and to a lesser extent from incentives from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publisher under our sales agency arrangement. Our gross billing grew by 32.5% from US$178.2 million in 2015 to US$236.3 million in 2016. Our gross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billings decreased by 10.0% from US$179.8 million in the nine months ended September 30, 2016 to US$161.9 million in the same period in 2017 due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gross billing from other solutions as we terminated relationship with certain clients of other solutions in the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as part of our efforts to optimize the client base for other solutions to focus on profitability and liquidity. Our net revenues grew by 46.2%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US$65.2 million in 2015 to US$95.4 million in 2016 and by 22.1% from US$70.0 million in the nine months ended September 30, 2016 to US$85.5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same period in 2017. Our net loss amounted to US$39.7 million, US$27.3 million and US$15.9 million in 2015, 2016 and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Effect of Our Acquisition of OptAim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our acquisition of OptAim on July 24, 2015, OptAim has been our wholly owned subsidiary and has been consolidated into our results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Please refer to note 4(b) of our consolidated financial statements as of and for the years ended December 31, 2015 and 2016 included elsewhere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OptAim contributed US$41.1 million to our gross billing and US$11.7 million to our net revenues from July 24, 2015, when we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OptAim, to December 31, 2015, contributed US$105.7 million to our gross billing and US$51.1 million to our net revenues in 2016 and contributed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US$102.7 million to our gross billing and US$65.5 million to our net revenues in the nine months ended September 30, 2017. Intangible assets identified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our acquisition of OptAim are amortized. Amortization expenses of US$1.8 million, US$4.0 million and US$3.0 million were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cost of revenues in 2015, 2016 and the nine months ended September 30, 2017, respectively. In addition, as of September 30, 2017, we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US$48.5 million of goodwill, which represented approximately 31.7% of our total assets, primarily related to our acquisition of OptAim. Goodwill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at fair value and is not amortized, but is reviewed for impairment at least annually or more frequently if impairment indicators arise.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could substantially affect our results of operations in the periods of such charges. In addition, impairment charges would negatively impact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ratios and could limit our ability to obtain financing in the future. See “Risk Factors — Risks Related to Our Business and Industry — We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record significant impairment charges as a result of our acquisition of OptAim.”</w:t>
      </w:r>
    </w:p>
    <w:p>
      <w:pPr>
        <w:spacing w:after="0" w:line="20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Our operating expense as a percentage of net revenues decreased from 49.1% in the nine months ended September 30, 2016 to 34.1% in the same period in 2017 in part due to our streamlining of sales and marketing and general and administrative functions as we further integrated OptAim’s operations, which had been completed by the end of June 30, 2017.</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80"/>
          </w:cols>
          <w:pgMar w:left="240" w:top="455" w:right="2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6" w:lineRule="auto"/>
        <w:rPr>
          <w:sz w:val="20"/>
          <w:szCs w:val="20"/>
          <w:color w:val="auto"/>
        </w:rPr>
      </w:pPr>
      <w:r>
        <w:rPr>
          <w:rFonts w:ascii="Times New Roman" w:cs="Times New Roman" w:eastAsia="Times New Roman" w:hAnsi="Times New Roman"/>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280" w:type="dxa"/>
            <w:vAlign w:val="bottom"/>
          </w:tcPr>
          <w:p>
            <w:pPr>
              <w:spacing w:after="0"/>
              <w:rPr>
                <w:sz w:val="10"/>
                <w:szCs w:val="10"/>
                <w:color w:val="auto"/>
              </w:rPr>
            </w:pPr>
          </w:p>
        </w:tc>
        <w:tc>
          <w:tcPr>
            <w:tcW w:w="8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280" w:type="dxa"/>
            <w:vAlign w:val="bottom"/>
          </w:tcPr>
          <w:p>
            <w:pPr>
              <w:spacing w:after="0"/>
              <w:rPr>
                <w:sz w:val="10"/>
                <w:szCs w:val="10"/>
                <w:color w:val="auto"/>
              </w:rPr>
            </w:pPr>
          </w:p>
        </w:tc>
        <w:tc>
          <w:tcPr>
            <w:tcW w:w="86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940" w:type="dxa"/>
            <w:vAlign w:val="bottom"/>
          </w:tcPr>
          <w:p>
            <w:pPr>
              <w:jc w:val="right"/>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178,239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236,253</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179,812</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161,854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billing from mobile audience solutions</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41,323</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112,403</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83,956</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46.7</w:t>
            </w:r>
          </w:p>
        </w:tc>
        <w:tc>
          <w:tcPr>
            <w:tcW w:w="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104,438</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billing from other solutions</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136,916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123,850</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52.4</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95,856</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53.3</w:t>
            </w: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57,416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65,242</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95,357</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40.4</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69,973</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38.9</w:t>
            </w: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85,497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revenues from mobile audience solutions</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11,908</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57,761</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42,018</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67,252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revenues from other solutions</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53,334</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37,596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27,955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w:t>
            </w: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18,245</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(8,850)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(2,240)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(2,158)</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(2,291)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(11,583)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(8,999)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(6,715)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(7,423)</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right="280" w:hanging="332"/>
        <w:spacing w:after="0" w:line="262" w:lineRule="auto"/>
        <w:tabs>
          <w:tab w:leader="none" w:pos="3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Billing</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76" w:lineRule="exact"/>
        <w:rPr>
          <w:sz w:val="20"/>
          <w:szCs w:val="20"/>
          <w:color w:val="auto"/>
        </w:rPr>
      </w:pPr>
    </w:p>
    <w:p>
      <w:pPr>
        <w:jc w:val="both"/>
        <w:ind w:right="500" w:firstLine="456"/>
        <w:spacing w:after="0" w:line="266" w:lineRule="auto"/>
        <w:rPr>
          <w:sz w:val="20"/>
          <w:szCs w:val="20"/>
          <w:color w:val="auto"/>
        </w:rPr>
      </w:pPr>
      <w:r>
        <w:rPr>
          <w:rFonts w:ascii="Times New Roman" w:cs="Times New Roman" w:eastAsia="Times New Roman" w:hAnsi="Times New Roman"/>
          <w:sz w:val="18"/>
          <w:szCs w:val="18"/>
          <w:color w:val="auto"/>
        </w:rPr>
        <w:t>Gross billing derived from our sales agency arrangement was US$32.9 million and US$42.8 million in 2015 and 2016, and US$33.2 million and US$27.0 million in the nine months ended September 30, 2016 and 2017, respectively, none of which was recognized as net revenues for the respective periods.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Gross billing derived from our cost-plus marketing campaigns was US$106.6 million and US$121.4 million in 2015 and 2016, and US$94.3 million and US$62.4 million in the nine months ended September 30, 2016 and 2017, respectively, out of which US$19.5 million, US$15.4 million, US$11.1 million and US$7.0 million was recognized as net revenues for the respective periods.</w:t>
      </w:r>
    </w:p>
    <w:p>
      <w:pPr>
        <w:spacing w:after="0" w:line="176" w:lineRule="exact"/>
        <w:rPr>
          <w:sz w:val="20"/>
          <w:szCs w:val="20"/>
          <w:color w:val="auto"/>
        </w:rPr>
      </w:pPr>
    </w:p>
    <w:p>
      <w:pPr>
        <w:jc w:val="both"/>
        <w:ind w:right="540" w:firstLine="456"/>
        <w:spacing w:after="0" w:line="266" w:lineRule="auto"/>
        <w:rPr>
          <w:sz w:val="20"/>
          <w:szCs w:val="20"/>
          <w:color w:val="auto"/>
        </w:rPr>
      </w:pPr>
      <w:r>
        <w:rPr>
          <w:rFonts w:ascii="Times New Roman" w:cs="Times New Roman" w:eastAsia="Times New Roman" w:hAnsi="Times New Roman"/>
          <w:sz w:val="18"/>
          <w:szCs w:val="18"/>
          <w:color w:val="auto"/>
        </w:rPr>
        <w:t>Gross billing derived from our specified action marketing campaigns was US$38.7 million and US$72.1 million in 2015 and 2016, and US$52.3 million and US$72.5 million in the nine months ended September 30, 2016 and 2017, respectively, all of which was recognized as net revenues for the respective periods.</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Gross billing from our mobile audience solutions increased, both in absolute amount and as a percentage of total gross billing, from 2015 to 2016 and from the nine months ended September 30, 2016 to the same period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2017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from the nine months ended September 30, 2016 to the same period in 2017 and from the nine months ended September 30, 2016 to the same period in 2017 as we optimized the client base for other solutions to focus on profitability and liquidity. For example, we terminated relationship with certain clients for our other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gross billing per client increased by US$32,020, or 47.5%, from US$67,413 in 2015 to US$99,433 in 2016, while the total number of our clients decreased by 10.1% from 2,644 in 2015 to 2,376 in 2016. Our gross billing per client increased by US$19,436, or 22.5%, from US$86,489 in the nine months ended September 30, 2016 to US$105,925 in the same period in 2017, while the total number of our clients decreased by 26.5% from 2,079 in the nine months ended September 30, 2016 to 1,528 in the same period in 2017. This was due to our efforts in optimizing the client base for other solutions.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record incentives from the publisher under the sales agency arrangement as net revenues. We consider the publisher to be our customer under the sales agency arrangement. The amount of such incentives is determined based on a variety of factors, including yearly market spending at the publisher’s platforms. Under our sales agency arrangement, we do not receive any rebate from the publisher. Net revenues from our sales agency arrangement, which equal the incentives received from the publisher under the sales agency arrangement were US$7.1 million and US$7.9 million in 2015 and 2016, and US$6.6 million and US$6.0 million in the nine months ended September 30, 2016 and 2017, respectively.</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US$19.5 million and US$15.4 million in 2015 and 2016, and US$11.1 million and US$7.0 million in the nine months ended September 30, 2016 and 2017, respectively.</w:t>
      </w:r>
    </w:p>
    <w:p>
      <w:pPr>
        <w:spacing w:after="0" w:line="18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US$38.7 million and US$72.1 million in 2015 and 2016, and US$52.3 million and US$72.5 million in the nine months ended September 30, 2016 and 2017, respectively.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455" w:right="2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are recorded as cost of revenues as we consider these rebates are identifiable and separable from the incentive revenue generated from the publisher. In all other circumstances, rebates and discounts we grant are recorded as reduction of revenues.</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clients, including whether to conduct their marketing campaigns on a specified-action (i.e., gross) or cost-plus (i.e., net) basis in a particular period, which in turn depends on clients’ needs and goals. Please refer to “— Key Factors Affecting Our Results of Operations — Our Revenue Models” on the impact of our revenue recognition models on our results of operations.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Net revenues as a percentage of gross billing for mobile audience solutions increased from 28.8% in 2015 to 51.4% in 2016, and from 50.0% in the nine months ended September 30, 2016 to 64.4% in the same period in 2017 as a larger percentage of marketing campaigns involving mobile audience solutions were conducted on specified-action (i.e., gross) basis in 2016 compared to 2015 and in the nine months ended September 30, 2017 compared to the same period in 2016. US$54.2 million, or 48.2%, of gross billing from mobile audience solutions was recognized as net revenues on a gross basis in 2016, compared to US$7.9 million, or 19.1%, in 2015, and US$65.9 million, or 63.1%, of gross billing from mobile audience solutions was recognized as net revenues on a gross basis in the nine months ended September 30, 2017, compared to US$38.7 million, or 46.1%, in the same period in 2016. This was a result of the implementation of our go-to-market strategy for mobile audience solutions to capture a larger share of clients’ marketing spend for these solutions. According to Frost &amp; Sullivan, online marketing on mobile channels currently tends to focus on data traffic and action results, such as app-downloads and completion of other specified actions on mobile channels. In order to better control marketing costs and make their marketing spend more effective, instead of paying a fixed rate of service fees, marketers conducting marketing campaigns on mobile channels increasingly prefer to negotiate CPX ranges (e.g., CPM, CPC, CPA, CPS, CPL, etc.) with marketing technology companies for their services. These arrangements generally lead to marketing campaigns on specified-action (i.e., gross) basis. Our go-to-market strategy for mobile audience solutions is intended to be responsive to these industry trends.</w:t>
      </w:r>
    </w:p>
    <w:p>
      <w:pPr>
        <w:spacing w:after="0" w:line="191"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Net revenues as a percentage of gross billing for our other solutions decreased from 38.9% in 2015 to 30.4% in 2016 primarily because a larger percentage of marketing campaigns involving other solutions were conducted on cost-plus (i.e., net) basis in 2016 compared to 2015. US$17.9 million, or</w:t>
      </w:r>
    </w:p>
    <w:p>
      <w:pPr>
        <w:ind w:right="20"/>
        <w:spacing w:after="0" w:line="251" w:lineRule="auto"/>
        <w:rPr>
          <w:sz w:val="20"/>
          <w:szCs w:val="20"/>
          <w:color w:val="auto"/>
        </w:rPr>
      </w:pPr>
      <w:r>
        <w:rPr>
          <w:rFonts w:ascii="Times New Roman" w:cs="Times New Roman" w:eastAsia="Times New Roman" w:hAnsi="Times New Roman"/>
          <w:sz w:val="18"/>
          <w:szCs w:val="18"/>
          <w:color w:val="auto"/>
        </w:rPr>
        <w:t>14.4%, of gross billing from other solutions were recognized as net revenues on a gross basis in 2016, compared to US$30.8 million or 22.5% in 2015. Such negative impact on net revenues a percentage of gross billing for other solutions was partially offset by our termination of relationship with certain clients of other solutions, most of which conducted their marketing campaigns on a cost-plus (i.e., net) basis as we started a comprehensive review of our client base for other solutions in 2016 to focus on profitability and liquidity. Net revenues as a percentage of gross billing for other solutions increased slightly from 29.2% in the nine months ended September 30, 2016 to 31.8% in the same period in 2017 as we terminated relationship with certain clients of other solutions with low profitability in the first half of 2017 as part of our efforts to optimize our client base for other solutions. Such positive impact on net revenues as a percentage of gross billing for other solutions was partially offset by the fact that a larger percentage of marketing campaigns involving other solutions were conducted on a cost-plus (i.e., net) basis in the nine months ended September 30, 2017 compared to the same period in 2016. US$50.9 million, or 88.6%, of gross billing from other solutions was recognized as net revenues on a net basis in the nine months ended September 30, 2017, compared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US$82.3 million, or 85.8%, in the same period in 2016. According to Frost &amp; Sullivan, compared to online marketing on mobile channels, online marketing on non-mobile channels is more established and tends to increasingly focus on transparency of cost structure. Therefore, marketers conducting online marketing campaigns on non-mobile channels increasingly pay a fixed rate of service fees to marketing technology companies for their services. These arrangements generally lead to marketing campaigns on cost-plus (i.e., net)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We use adjusted EBITDA and adjusted net loss, each a non-GAAP financial measure, in evaluating our operating results and for financial and operational decision making purposes.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EBITDA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54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40" w:type="dxa"/>
            <w:vAlign w:val="bottom"/>
            <w:gridSpan w:val="4"/>
            <w:vMerge w:val="continue"/>
          </w:tcPr>
          <w:p>
            <w:pPr>
              <w:spacing w:after="0"/>
              <w:rPr>
                <w:sz w:val="15"/>
                <w:szCs w:val="15"/>
                <w:color w:val="auto"/>
              </w:rPr>
            </w:pPr>
          </w:p>
        </w:tc>
        <w:tc>
          <w:tcPr>
            <w:tcW w:w="18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gridSpan w:val="4"/>
          </w:tcPr>
          <w:p>
            <w:pPr>
              <w:jc w:val="right"/>
              <w:ind w:right="92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3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(39,714)</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(27,330)</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(8,381)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Add / (less):</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3,181</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5,824</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4,308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713</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489</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3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(555)</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222</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2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5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(3,824)</w:t>
            </w:r>
          </w:p>
        </w:tc>
        <w:tc>
          <w:tcPr>
            <w:tcW w:w="5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6,494</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21,244</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2,786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3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19,390</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(3,995)</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(1,497)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3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3,000</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2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(791)</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1,082</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377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(8,850)</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(2,240)</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(2,158)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88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net loss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52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2520" w:type="dxa"/>
            <w:vAlign w:val="bottom"/>
            <w:gridSpan w:val="4"/>
            <w:vMerge w:val="continue"/>
          </w:tcPr>
          <w:p>
            <w:pPr>
              <w:spacing w:after="0"/>
              <w:rPr>
                <w:sz w:val="15"/>
                <w:szCs w:val="15"/>
                <w:color w:val="auto"/>
              </w:rPr>
            </w:pPr>
          </w:p>
        </w:tc>
        <w:tc>
          <w:tcPr>
            <w:tcW w:w="18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gridSpan w:val="4"/>
          </w:tcPr>
          <w:p>
            <w:pPr>
              <w:jc w:val="right"/>
              <w:ind w:right="82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(39,714)</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(27,330)</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(8,381)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6,494</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21,244</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2,786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19,390</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(3,995)</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(1,497)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3,000</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(791)</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1,082</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net loss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5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mobile app channels;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models;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client base and increase client spending;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enlarge audience data set, strengthen data analytics capabilities and innovate technologies;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Mobile App Channels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involving our other solutions were conducted on a cost-plus (i.e., net) basis in 2016 compared to 2015 . See “— Key Operating and Financial Metrics — Net Revenues” and “— Key Factors Affecting Our Results — Our revenue models”.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21.3%, 21.8%, 21.6% and 27.5% of our clients in 2015, 2016, and the nine months ended September 30, 2016 and September 30, 2017, respectively.</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Models</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 Key Operating and Financial Metrics — Net Revenues” above for more details.</w:t>
      </w:r>
    </w:p>
    <w:p>
      <w:pPr>
        <w:spacing w:after="0" w:line="18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Our mobile audience solutions, on one hand and other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Optimize Client Base and Increase Client Spending</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growth and profitability are dependent upon our ability to optimize client base and increase client’s marketing spend on our platform. We started a comprehensive review of our client base for other solutions in 2016 to focus on profitability and liquidity. For example, we terminated relationship with certain clients for our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Furthermore, our growth and profitability also depend on our ability to attract more clients to our self-service model, and to further diversify our client base to capture the growth in additional industry verticals and geographic markets.</w:t>
      </w:r>
    </w:p>
    <w:p>
      <w:pPr>
        <w:spacing w:after="0" w:line="180"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Our ability to increase clients’ marketing spend on our platform depends on whether our solutions can effectively address clients’ evolving and diverse needs in a cost-efficient manner. To that end, we plan to develop and offer more tailored, innovative and user-friendly solutions and services and enhance our sales, marketing and account servicing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Enlarge Audience Data Set, Strengthen Data Analytics Capabilities and Innovate Technologies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89"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121"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82"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Network and Zhiyunzhong;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OptAim Network and Zhiyunzhong; and</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OptAim Network when and to the extent permitted by PRC law.</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7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80"/>
          </w:cols>
          <w:pgMar w:left="240" w:top="455" w:right="2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Determination Related to the Accounting for Business Combinations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services are the provisions of online marketing services. We derive revenue from these services based on the specific terms of the contracts which are (i) agreed incentive to be earned for being a sales agent of a publisher, (ii) cost-plus, or (iii) specified actions (i.e. CPM, CPC, CPA, CPS, CPL or ROI). Our revenue is presented either on a gross or net basis which is further discussed below.</w:t>
      </w:r>
    </w:p>
    <w:p>
      <w:pPr>
        <w:spacing w:after="0" w:line="176" w:lineRule="exact"/>
        <w:rPr>
          <w:sz w:val="20"/>
          <w:szCs w:val="20"/>
          <w:color w:val="auto"/>
        </w:rPr>
      </w:pPr>
    </w:p>
    <w:p>
      <w:pPr>
        <w:ind w:right="320" w:firstLine="456"/>
        <w:spacing w:after="0" w:line="276" w:lineRule="auto"/>
        <w:rPr>
          <w:sz w:val="20"/>
          <w:szCs w:val="20"/>
          <w:color w:val="auto"/>
        </w:rPr>
      </w:pPr>
      <w:r>
        <w:rPr>
          <w:rFonts w:ascii="Times New Roman" w:cs="Times New Roman" w:eastAsia="Times New Roman" w:hAnsi="Times New Roman"/>
          <w:sz w:val="17"/>
          <w:szCs w:val="17"/>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spacing w:after="0" w:line="1" w:lineRule="exact"/>
        <w:rPr>
          <w:sz w:val="20"/>
          <w:szCs w:val="20"/>
          <w:color w:val="auto"/>
        </w:rPr>
      </w:pPr>
    </w:p>
    <w:p>
      <w:pPr>
        <w:jc w:val="both"/>
        <w:ind w:right="60" w:firstLine="8"/>
        <w:spacing w:after="0" w:line="255"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agent</w:t>
      </w:r>
    </w:p>
    <w:p>
      <w:pPr>
        <w:spacing w:after="0" w:line="227" w:lineRule="exact"/>
        <w:rPr>
          <w:sz w:val="20"/>
          <w:szCs w:val="20"/>
          <w:color w:val="auto"/>
        </w:rPr>
      </w:pPr>
    </w:p>
    <w:p>
      <w:pPr>
        <w:jc w:val="both"/>
        <w:ind w:right="440" w:firstLine="456"/>
        <w:spacing w:after="0" w:line="261" w:lineRule="auto"/>
        <w:rPr>
          <w:sz w:val="20"/>
          <w:szCs w:val="20"/>
          <w:color w:val="auto"/>
        </w:rPr>
      </w:pPr>
      <w:r>
        <w:rPr>
          <w:rFonts w:ascii="Times New Roman" w:cs="Times New Roman" w:eastAsia="Times New Roman" w:hAnsi="Times New Roman"/>
          <w:sz w:val="18"/>
          <w:szCs w:val="18"/>
          <w:color w:val="auto"/>
        </w:rPr>
        <w:t>In the arrangement with a particular publisher, we act as a sales agent for this publisher by having marketing clients market with this publisher. In return, we earn incentives from this publisher based on contractually stipulated amounts once certain spending thresholds are achieved. We consider this particular publisher as our customer and record such incentives as net revenues. Incentives from this publisher are calculated on both a quarterly and an annual basis in accordance with the terms as listed in the arrangement.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Cost-Plus</w:t>
      </w:r>
    </w:p>
    <w:p>
      <w:pPr>
        <w:spacing w:after="0" w:line="11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For cost-plus advertisement campaigns, sales are valued at the fair value of the amount received. Discounts granted to clients under cost-plus marketing campaigns, along with free or extended marketing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Specified Actions</w:t>
      </w:r>
    </w:p>
    <w:p>
      <w:pPr>
        <w:spacing w:after="0" w:line="119"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Rebates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deduction from revenue and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cost-plus and specified action arrangements are recorded as reduction of cost of revenue under the specified actions arrangement while under the cost-plus arrangement, they are recorded as revenue. These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Under the sales agent arrangement, we grant rebates to our clients under this arrangement. The majority of the clients under our sales agent arrangement are not our customers under either the cost-plus arrangement or specified action arrangement. We record rebates granted to clients under the sales agent arrangement as cost of revenues as (i) we consider these rebates are for an identifiable benefit that is separable from the clients’ purchase of our services and (ii) we are able to reasonably estimate the fair value of the benefit received from granting these rebates.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Ordinary Shares, Preferred Shares and Share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Preferred Shares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determining fair value of our preferred shares, we, with the assistance of independent appraisers, adopted a two-step method as follows: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1: to derive the fair value of total equity by adopting the discounted cash flow (“DCF”) Method;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2: based on the total equity value derived in step 1, to derive the fair value of each class of shares by adopting equity allocation method.</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Factors, Assumptions, and Methodologies Used in Determining Fair Value of Total Equity</w:t>
      </w:r>
    </w:p>
    <w:p>
      <w:pPr>
        <w:spacing w:after="0" w:line="11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8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88"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total equity as of January 1, 2015, August 1, 2015, December 31, 2015, December 28, 2016, March 31, 2017, June 30, 2017 and September 30, 2017,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in millions</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6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7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7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7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7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7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7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r>
      <w:tr>
        <w:trPr>
          <w:trHeight w:val="365"/>
        </w:trPr>
        <w:tc>
          <w:tcPr>
            <w:tcW w:w="3540" w:type="dxa"/>
            <w:vAlign w:val="bottom"/>
          </w:tcPr>
          <w:p>
            <w:pPr>
              <w:spacing w:after="0"/>
              <w:rPr>
                <w:sz w:val="24"/>
                <w:szCs w:val="24"/>
                <w:color w:val="auto"/>
              </w:rPr>
            </w:pPr>
          </w:p>
        </w:tc>
        <w:tc>
          <w:tcPr>
            <w:tcW w:w="688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major assumptions used in calculating the fair value of total equity include:</w:t>
      </w:r>
    </w:p>
    <w:p>
      <w:pPr>
        <w:spacing w:after="0" w:line="223"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Weighted average cost of capital, or WACC. </w:t>
      </w:r>
      <w:r>
        <w:rPr>
          <w:rFonts w:ascii="Times New Roman" w:cs="Times New Roman" w:eastAsia="Times New Roman" w:hAnsi="Times New Roman"/>
          <w:sz w:val="18"/>
          <w:szCs w:val="18"/>
          <w:color w:val="auto"/>
        </w:rPr>
        <w:t>Our cash flows were discounted to present value using discount rates that reflect the risks the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17.8% and 18.2% for January 1, 2015, August 1, 2015, December 31, 2015, December 28, 2016, March 31, 2017, June 30, 2017 and September 30, 2017, respectively.</w:t>
      </w:r>
    </w:p>
    <w:p>
      <w:pPr>
        <w:spacing w:after="0" w:line="183"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Comparable companies. </w:t>
      </w:r>
      <w:r>
        <w:rPr>
          <w:rFonts w:ascii="Times New Roman" w:cs="Times New Roman" w:eastAsia="Times New Roman" w:hAnsi="Times New Roman"/>
          <w:sz w:val="18"/>
          <w:szCs w:val="18"/>
          <w:color w:val="auto"/>
        </w:rPr>
        <w:t>In deriving the WACCs, which are used as the discount rates under the income approach, four publicly traded companies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were selected for reference as our guideline companies.</w:t>
      </w:r>
    </w:p>
    <w:p>
      <w:pPr>
        <w:spacing w:after="0" w:line="15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Discount for lack of marketability, or DLOM</w:t>
      </w:r>
      <w:r>
        <w:rPr>
          <w:rFonts w:ascii="Times New Roman" w:cs="Times New Roman" w:eastAsia="Times New Roman" w:hAnsi="Times New Roman"/>
          <w:sz w:val="18"/>
          <w:szCs w:val="18"/>
          <w:color w:val="auto"/>
        </w:rPr>
        <w:t>. At the time of each issuance, we were a closely-held company and there was no public market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5.7% and 3.9% for January 1, 2015, August 1, 2015, December 31, 2015, December 28, 2016, March 31, 2017, June 30, 2017 and September 30, 2017, respectively.</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Factors Contributing to the Difference in Fair Value Determined of Total Equity</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determined fair value of total equity increased from US$324.6 million as of January 1, 2015 to US$485.4 million as of August 1, 2015, decrease to US$478.0 million as of December 31, 2015 and further to US$440.8 million as of December 31, 2016, and increase to US$513.5 million as of March 31, 2017 and further to US$566.2 million as of June 30, 2017, and decrease to US$520.8 million as of September 30, 2017. We believe the change in the fair value of our total equity was primarily attributable to the following factors:</w:t>
      </w:r>
    </w:p>
    <w:p>
      <w:pPr>
        <w:spacing w:after="0" w:line="7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Factors, Assumptions, and Methodologies Used in Determining Fair Value of Preferred Shares</w:t>
      </w:r>
    </w:p>
    <w:p>
      <w:pPr>
        <w:spacing w:after="0" w:line="11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key assumptions used in the equity allocation model with contingent claim to allocate the total equity value under the liquidation scenario and redemption scenario include:</w:t>
      </w:r>
    </w:p>
    <w:p>
      <w:pPr>
        <w:spacing w:after="0" w:line="65"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Current equity value. </w:t>
      </w:r>
      <w:r>
        <w:rPr>
          <w:rFonts w:ascii="Times New Roman" w:cs="Times New Roman" w:eastAsia="Times New Roman" w:hAnsi="Times New Roman"/>
          <w:sz w:val="18"/>
          <w:szCs w:val="18"/>
          <w:color w:val="auto"/>
        </w:rPr>
        <w:t>Current equity value is determined as the total equity value derived by step 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Life to expiration. </w:t>
      </w:r>
      <w:r>
        <w:rPr>
          <w:rFonts w:ascii="Times New Roman" w:cs="Times New Roman" w:eastAsia="Times New Roman" w:hAnsi="Times New Roman"/>
          <w:sz w:val="18"/>
          <w:szCs w:val="18"/>
          <w:color w:val="auto"/>
        </w:rPr>
        <w:t>Life to expiration is determined based on the remaining contractual life of each class of preferred shares;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4"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free interest rate. </w:t>
      </w:r>
      <w:r>
        <w:rPr>
          <w:rFonts w:ascii="Times New Roman" w:cs="Times New Roman" w:eastAsia="Times New Roman" w:hAnsi="Times New Roman"/>
          <w:sz w:val="18"/>
          <w:szCs w:val="18"/>
          <w:color w:val="auto"/>
        </w:rPr>
        <w:t>Risk free interest rate is determined based on the yield of U.S. Treasury Strips with a maturity life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to expiration; and</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volatility is determined based on our comparable companies.</w:t>
      </w:r>
    </w:p>
    <w:p>
      <w:pPr>
        <w:spacing w:after="0" w:line="22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June 30, 2017 and September 30, 2017, respectively: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6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6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r>
      <w:tr>
        <w:trPr>
          <w:trHeight w:val="173"/>
        </w:trPr>
        <w:tc>
          <w:tcPr>
            <w:tcW w:w="72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8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Scenario</w:t>
            </w:r>
          </w:p>
        </w:tc>
        <w:tc>
          <w:tcPr>
            <w:tcW w:w="8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Scenario</w:t>
            </w:r>
          </w:p>
        </w:tc>
        <w:tc>
          <w:tcPr>
            <w:tcW w:w="200" w:type="dxa"/>
            <w:vAlign w:val="bottom"/>
            <w:tcBorders>
              <w:bottom w:val="single" w:sz="8" w:color="CCEEFF"/>
            </w:tcBorders>
          </w:tcPr>
          <w:p>
            <w:pPr>
              <w:spacing w:after="0"/>
              <w:rPr>
                <w:sz w:val="15"/>
                <w:szCs w:val="15"/>
                <w:color w:val="auto"/>
              </w:rPr>
            </w:pP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bl>
    <w:p>
      <w:pPr>
        <w:spacing w:after="0" w:line="198"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ordinary shares and preferred shares as of January 1, 2015, August 1, 2015, December 31, 2015, December 28, 2016, March 31, 2017, June 30, 2017 and September 30, 2017, respectively.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60" w:type="dxa"/>
            <w:vAlign w:val="bottom"/>
            <w:gridSpan w:val="2"/>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Ordinary Shares</w:t>
            </w:r>
          </w:p>
        </w:tc>
      </w:tr>
      <w:tr>
        <w:trPr>
          <w:trHeight w:val="142"/>
        </w:trPr>
        <w:tc>
          <w:tcPr>
            <w:tcW w:w="44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 A</w:t>
            </w:r>
          </w:p>
        </w:tc>
        <w:tc>
          <w:tcPr>
            <w:tcW w:w="10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Series - B</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Series - C</w:t>
            </w:r>
          </w:p>
        </w:tc>
        <w:tc>
          <w:tcPr>
            <w:tcW w:w="14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Series - D</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Series - E</w:t>
            </w:r>
          </w:p>
        </w:tc>
        <w:tc>
          <w:tcPr>
            <w:tcW w:w="5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(US$ in millions)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8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58</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49</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8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58</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8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We grant share options to eligible employees and account for these share-based awards in accordance with ASC 718 Compensation — Stock Compensation.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8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years ended December 31, 2015 and 2016 and nine months ended September 30, 2017 were estimated using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560" w:type="dxa"/>
            <w:vAlign w:val="bottom"/>
            <w:vMerge w:val="restart"/>
          </w:tcPr>
          <w:p>
            <w:pPr>
              <w:spacing w:after="0"/>
              <w:rPr>
                <w:sz w:val="13"/>
                <w:szCs w:val="13"/>
                <w:color w:val="auto"/>
              </w:rPr>
            </w:pPr>
          </w:p>
        </w:tc>
        <w:tc>
          <w:tcPr>
            <w:tcW w:w="202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 yield</w:t>
            </w:r>
            <w:r>
              <w:rPr>
                <w:rFonts w:ascii="Times New Roman" w:cs="Times New Roman" w:eastAsia="Times New Roman" w:hAnsi="Times New Roman"/>
                <w:sz w:val="12"/>
                <w:szCs w:val="12"/>
                <w:b w:val="1"/>
                <w:bCs w:val="1"/>
                <w:color w:val="auto"/>
              </w:rPr>
              <w:t>(2)</w:t>
            </w:r>
          </w:p>
        </w:tc>
        <w:tc>
          <w:tcPr>
            <w:tcW w:w="960" w:type="dxa"/>
            <w:vAlign w:val="bottom"/>
            <w:vMerge w:val="restart"/>
          </w:tcPr>
          <w:p>
            <w:pPr>
              <w:spacing w:after="0"/>
              <w:rPr>
                <w:sz w:val="13"/>
                <w:szCs w:val="13"/>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Volatility rate</w:t>
            </w:r>
            <w:r>
              <w:rPr>
                <w:rFonts w:ascii="Times New Roman" w:cs="Times New Roman" w:eastAsia="Times New Roman" w:hAnsi="Times New Roman"/>
                <w:sz w:val="12"/>
                <w:szCs w:val="12"/>
                <w:b w:val="1"/>
                <w:bCs w:val="1"/>
                <w:color w:val="auto"/>
              </w:rPr>
              <w:t>(3)</w:t>
            </w:r>
          </w:p>
        </w:tc>
        <w:tc>
          <w:tcPr>
            <w:tcW w:w="960" w:type="dxa"/>
            <w:vAlign w:val="bottom"/>
            <w:vMerge w:val="restart"/>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Expected term (in</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35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r>
              <w:rPr>
                <w:rFonts w:ascii="Times New Roman" w:cs="Times New Roman" w:eastAsia="Times New Roman" w:hAnsi="Times New Roman"/>
                <w:sz w:val="12"/>
                <w:szCs w:val="12"/>
                <w:b w:val="1"/>
                <w:bCs w:val="1"/>
                <w:color w:val="auto"/>
                <w:w w:val="99"/>
              </w:rPr>
              <w:t>(1)</w:t>
            </w:r>
          </w:p>
        </w:tc>
        <w:tc>
          <w:tcPr>
            <w:tcW w:w="9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years)</w:t>
            </w:r>
            <w:r>
              <w:rPr>
                <w:rFonts w:ascii="Times New Roman" w:cs="Times New Roman" w:eastAsia="Times New Roman" w:hAnsi="Times New Roman"/>
                <w:sz w:val="12"/>
                <w:szCs w:val="12"/>
                <w:b w:val="1"/>
                <w:bCs w:val="1"/>
                <w:color w:val="auto"/>
              </w:rPr>
              <w:t>(4)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47.34%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2.37%</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53.47%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2.57%</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52.87%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6,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2.58%</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52.64%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2.52%</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55.54%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2016</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1.62%</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50.52%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2.67%</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50.75%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2017</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2.59%</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50.79%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2017</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2.35%</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47.59%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risk-free interest rate of periods within the contractual life of the share option is based on the yield of U.S. Treasury Strips sourced from Bloomberg as of the valuation dates.</w:t>
      </w:r>
    </w:p>
    <w:p>
      <w:pPr>
        <w:spacing w:after="0" w:line="3" w:lineRule="exact"/>
        <w:rPr>
          <w:rFonts w:ascii="Times New Roman" w:cs="Times New Roman" w:eastAsia="Times New Roman" w:hAnsi="Times New Roman"/>
          <w:sz w:val="12"/>
          <w:szCs w:val="12"/>
          <w:color w:val="auto"/>
        </w:rPr>
      </w:pPr>
    </w:p>
    <w:p>
      <w:pPr>
        <w:ind w:left="340" w:hanging="332"/>
        <w:spacing w:after="0" w:line="221" w:lineRule="auto"/>
        <w:tabs>
          <w:tab w:leader="none" w:pos="3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Company has no history or expectation of paying dividends on its ordinary shares.</w:t>
      </w:r>
    </w:p>
    <w:p>
      <w:pPr>
        <w:ind w:left="340" w:hanging="332"/>
        <w:spacing w:after="0" w:line="221" w:lineRule="auto"/>
        <w:tabs>
          <w:tab w:leader="none" w:pos="3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Expected volatility is estimated based on the average of historical volatilities of the comparable companies in the same industry as at the valuation dates.</w:t>
      </w:r>
    </w:p>
    <w:p>
      <w:pPr>
        <w:ind w:left="340" w:hanging="332"/>
        <w:spacing w:after="0"/>
        <w:tabs>
          <w:tab w:leader="none" w:pos="3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expected term is developed by assuming the share options will be exercised towards the end of maturity dates.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456"/>
        <w:spacing w:after="0" w:line="281" w:lineRule="auto"/>
        <w:rPr>
          <w:sz w:val="20"/>
          <w:szCs w:val="20"/>
          <w:color w:val="auto"/>
        </w:rPr>
      </w:pPr>
      <w:r>
        <w:rPr>
          <w:rFonts w:ascii="Times New Roman" w:cs="Times New Roman" w:eastAsia="Times New Roman" w:hAnsi="Times New Roman"/>
          <w:sz w:val="17"/>
          <w:szCs w:val="17"/>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fluctuation in growth in recent periods, and our historical growth rates may not be indicative of our future growth.”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69,973</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85,497</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(34,531)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(61,048)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(44,847)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(65,688)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34,309</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25,126</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(8,106)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(8,584)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(31,385)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(12,745)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(26,767)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(63,617)</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(34,378)</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(29,153)</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(21,525)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(29,308)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9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791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(19,390)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(40,231)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(27,108)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(15,385)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555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Please refer to “— Key Operating and Financial Metrics — Net Revenues”, “— Critical Accounting Policies — Revenue Recognition” and “— Critical Accounting Policies — Rebates” for a description of the components of our net revenues and revenue recognition policies.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our net revenues breakdown for our mobile audience solutions and other solutions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jc w:val="center"/>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42,018</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from other solutions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81.7</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37,596</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39.4</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27,955</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18,245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95,357</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69,973</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85,497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rebates received from publishers under cost-plus marketing campaigns, which were recognized as net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4500" w:type="dxa"/>
            <w:vAlign w:val="bottom"/>
          </w:tcPr>
          <w:p>
            <w:pPr>
              <w:spacing w:after="0"/>
              <w:rPr>
                <w:sz w:val="10"/>
                <w:szCs w:val="10"/>
                <w:color w:val="auto"/>
              </w:rPr>
            </w:pPr>
          </w:p>
        </w:tc>
        <w:tc>
          <w:tcPr>
            <w:tcW w:w="920" w:type="dxa"/>
            <w:vAlign w:val="bottom"/>
            <w:gridSpan w:val="2"/>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94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4500" w:type="dxa"/>
            <w:vAlign w:val="bottom"/>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178"/>
        </w:trPr>
        <w:tc>
          <w:tcPr>
            <w:tcW w:w="45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Rebates received from publishers for mobile audience</w:t>
            </w: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9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4,555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7,940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6,094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Rebates received from publishers for other solutions</w:t>
            </w:r>
            <w:r>
              <w:rPr>
                <w:rFonts w:ascii="Times New Roman" w:cs="Times New Roman" w:eastAsia="Times New Roman" w:hAnsi="Times New Roman"/>
                <w:sz w:val="15"/>
                <w:szCs w:val="15"/>
                <w:color w:val="auto"/>
              </w:rPr>
              <w:t>(1)</w:t>
            </w: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12,145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6,241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received from publishers</w:t>
            </w:r>
          </w:p>
        </w:tc>
        <w:tc>
          <w:tcPr>
            <w:tcW w:w="9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16,700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14,181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7,538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340" w:right="140" w:hanging="332"/>
        <w:spacing w:after="0" w:line="262"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US$4,138 thousand, US$974 thousand, US$848 thousand and US$429 thousand in 2015, 2016, nine months ended September 30, 2016 and nine months ended September 30, 2017 were received under cost-plus marketing campaigns from the publisher for which we acted as its sales agent under our sales agency arrangement.</w:t>
      </w:r>
    </w:p>
    <w:p>
      <w:pPr>
        <w:spacing w:after="0" w:line="16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incentive revenues received from the publisher under our sales agency arrangement, which were recognized as net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8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4580" w:type="dxa"/>
            <w:vAlign w:val="bottom"/>
          </w:tcPr>
          <w:p>
            <w:pPr>
              <w:spacing w:after="0"/>
              <w:rPr>
                <w:sz w:val="10"/>
                <w:szCs w:val="10"/>
                <w:color w:val="auto"/>
              </w:rPr>
            </w:pPr>
          </w:p>
        </w:tc>
        <w:tc>
          <w:tcPr>
            <w:tcW w:w="7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16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45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178"/>
        </w:trPr>
        <w:tc>
          <w:tcPr>
            <w:tcW w:w="45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Incentive revenues received from the publisher for our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mobile audience solutions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Incentive revenues received from the publisher for our other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solutions</w:t>
            </w:r>
            <w:r>
              <w:rPr>
                <w:rFonts w:ascii="Times New Roman" w:cs="Times New Roman" w:eastAsia="Times New Roman" w:hAnsi="Times New Roman"/>
                <w:sz w:val="15"/>
                <w:szCs w:val="15"/>
                <w:color w:val="auto"/>
              </w:rPr>
              <w:t>(1)</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7,098</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7,924</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6,595</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6,011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revenues received from the publisher</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7,098</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6,595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6,011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340" w:right="320" w:hanging="332"/>
        <w:spacing w:after="0" w:line="262"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 rebates in the amount of US$4,138 thousand, US$974 thousand, US$848 thousand and US$429 thousand in 2015, 2016, nine months ended September 30, 2016 and nine months ended September 30, 2017 received under cost-plus marketing campaigns from the publisher for which we acted as its sales agent under our sales agency arrangement.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table below shows our rebates and discounts we granted to marketers and marketing agencies under our cost-plus and specified action marketing campaigns for our mobile audience solutions and other solutions for the periods presented. These rebates and discounts are recognized as reduction of net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900" w:type="dxa"/>
            <w:vAlign w:val="bottom"/>
            <w:gridSpan w:val="2"/>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and discounts we granted</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2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Rebates and discounts we granted for mobile audience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solutions</w:t>
            </w:r>
            <w:r>
              <w:rPr>
                <w:rFonts w:ascii="Times New Roman" w:cs="Times New Roman" w:eastAsia="Times New Roman" w:hAnsi="Times New Roman"/>
                <w:sz w:val="15"/>
                <w:szCs w:val="15"/>
                <w:color w:val="auto"/>
              </w:rPr>
              <w:t>(1)</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(6,820)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(10,675)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and discounts we granted for other solutions</w:t>
            </w:r>
            <w:r>
              <w:rPr>
                <w:rFonts w:ascii="Times New Roman" w:cs="Times New Roman" w:eastAsia="Times New Roman" w:hAnsi="Times New Roman"/>
                <w:sz w:val="15"/>
                <w:szCs w:val="15"/>
                <w:color w:val="auto"/>
              </w:rPr>
              <w:t>(2)</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(8,162)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US$(412) thousand, US$(6,347) thousand, US$(3,996) thousand and US$(8,937) thousand were in connection with our specified action (i.e., gross) marketing campaigns, and</w:t>
      </w:r>
    </w:p>
    <w:p>
      <w:pPr>
        <w:spacing w:after="0" w:line="3" w:lineRule="exact"/>
        <w:rPr>
          <w:rFonts w:ascii="Times New Roman" w:cs="Times New Roman" w:eastAsia="Times New Roman" w:hAnsi="Times New Roman"/>
          <w:sz w:val="14"/>
          <w:szCs w:val="14"/>
          <w:color w:val="auto"/>
        </w:rPr>
      </w:pPr>
    </w:p>
    <w:p>
      <w:pPr>
        <w:ind w:left="340" w:right="1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US$(6,408) thousand, US$(4,328) thousand, US$(3,334) thousand and US$(4,194) thousand were in connection with our cost-plus (i.e., net) marketing campaigns in 2015, 2016 and the nine months ended September 30, 2016 and 2017, respectively.</w:t>
      </w:r>
    </w:p>
    <w:p>
      <w:pPr>
        <w:ind w:left="340" w:right="240" w:hanging="332"/>
        <w:spacing w:after="0" w:line="233"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US$(3,620) thousand, US$(2,047) thousand, US$(1,480) thousand and US$(639) thousand were in connection with our specified action (i.e., gross) marketing campaigns, and US$(4,542) thousand, US$(4,299) thousand, US$(3,742) thousand and US$(951) thousand were in connection with our cost-plus (i.e., net) marketing campaigns in 2015, 2016 and the nine months ended September 30, 2016 and 2017, respectively.</w:t>
      </w:r>
    </w:p>
    <w:p>
      <w:pPr>
        <w:spacing w:after="0" w:line="181"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2015, 2016 and the nine months ended September 30, 2016 and 2017, we derived 53.2%, 25.3%, 24.8% and</w:t>
      </w:r>
    </w:p>
    <w:p>
      <w:pPr>
        <w:spacing w:after="0" w:line="252" w:lineRule="auto"/>
        <w:rPr>
          <w:sz w:val="20"/>
          <w:szCs w:val="20"/>
          <w:color w:val="auto"/>
        </w:rPr>
      </w:pPr>
      <w:r>
        <w:rPr>
          <w:rFonts w:ascii="Times New Roman" w:cs="Times New Roman" w:eastAsia="Times New Roman" w:hAnsi="Times New Roman"/>
          <w:sz w:val="18"/>
          <w:szCs w:val="18"/>
          <w:color w:val="auto"/>
        </w:rPr>
        <w:t>17.2% of our net revenues from outside China, respectively. Our net revenues from clients in China increased significantly from 2015 to 2016 and from the nine months ended September 30, 2016 compared to the same period in 2017 as a result of our acquisition of OptAim, which used its consolidated subsidiaries in China to execute marketing campaign contracts, and as we continued to prioritize the execution of our mobile strategy. Clients for our mobile audience solutions are primarily based in China. Our net revenues from clients outside China decreased from 2015 to 2016 and from the nine months ended September 30, 2016 compared to the same period in 2017 as we continued to optimize the client base for other solutions to focus on profitability and liquidity. Clients outside of China primarily use our other solutions. The table below shows our net revenues breakdown by geographic region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3640" w:type="dxa"/>
            <w:vAlign w:val="bottom"/>
          </w:tcPr>
          <w:p>
            <w:pPr>
              <w:spacing w:after="0"/>
              <w:rPr>
                <w:sz w:val="10"/>
                <w:szCs w:val="10"/>
                <w:color w:val="auto"/>
              </w:rPr>
            </w:pPr>
          </w:p>
        </w:tc>
        <w:tc>
          <w:tcPr>
            <w:tcW w:w="10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38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36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52,640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34,442</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16,601</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23.8</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13,368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732</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1,311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2"/>
              </w:rPr>
              <w:t>69,973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85,497</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Margin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revenues primarily consists of:</w:t>
      </w:r>
    </w:p>
    <w:p>
      <w:pPr>
        <w:spacing w:after="0" w:line="129" w:lineRule="exact"/>
        <w:rPr>
          <w:sz w:val="20"/>
          <w:szCs w:val="20"/>
          <w:color w:val="auto"/>
        </w:rPr>
      </w:pPr>
    </w:p>
    <w:p>
      <w:pPr>
        <w:jc w:val="both"/>
        <w:ind w:left="900" w:right="280" w:hanging="325"/>
        <w:spacing w:after="0" w:line="261"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Media cost in connection with specified-action marketing campaigns</w:t>
      </w:r>
      <w:r>
        <w:rPr>
          <w:rFonts w:ascii="Times New Roman" w:cs="Times New Roman" w:eastAsia="Times New Roman" w:hAnsi="Times New Roman"/>
          <w:sz w:val="18"/>
          <w:szCs w:val="18"/>
          <w:color w:val="auto"/>
        </w:rPr>
        <w:t>. Media cost refers to cost we pay to publishers for acquisition of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opportunities, which is partially offset by rebates we receive from publishers in specified-action marketing campaigns. Media cost represented 81.8%, 88.2%, 88.0% and 92.1% of our cost of revenues in 2015, 2016 and the nine months ended September 30, 2016 and 2017, respectively.</w:t>
      </w:r>
    </w:p>
    <w:p>
      <w:pPr>
        <w:spacing w:after="0" w:line="85" w:lineRule="exact"/>
        <w:rPr>
          <w:rFonts w:ascii="Times New Roman" w:cs="Times New Roman" w:eastAsia="Times New Roman" w:hAnsi="Times New Roman"/>
          <w:sz w:val="18"/>
          <w:szCs w:val="18"/>
          <w:color w:val="auto"/>
        </w:rPr>
      </w:pPr>
    </w:p>
    <w:p>
      <w:pPr>
        <w:ind w:left="900" w:right="100" w:hanging="325"/>
        <w:spacing w:after="0" w:line="25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Rebates we grant under our sales agency arrangement</w:t>
      </w:r>
      <w:r>
        <w:rPr>
          <w:rFonts w:ascii="Times New Roman" w:cs="Times New Roman" w:eastAsia="Times New Roman" w:hAnsi="Times New Roman"/>
          <w:sz w:val="18"/>
          <w:szCs w:val="18"/>
          <w:color w:val="auto"/>
        </w:rPr>
        <w:t>. Rebates we grant under our sales agency arrangement are recognized as cost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represented 9.5%, 4.2%, 4.3% and 2.8% of our cost of revenues in 2015, 2016 and the nine months ended September 30, 2016 and 2017, respectively. The decrease from 2015 to 2016 was mainly due to the decrease in rebate rates for rebates we granted under our sales agency arrangement as a result of our increased bargaining power as we solidified our market position as the largest independent online marketing technology platform in China in terms of gross billing, partially offset by the increase in gross billing under our sales agency arrangement from US$46.4 million in 2015 to US$56.8 million in 2016. The decrease the nine months ended September 30, 2016 to the same period in 2017 was mainly due to a decrease in gross billing under our sales agency arrangement from US$33.7 million in the nine months ended September 30, 2016 to US$27.0 million in the same period in 2017, and the decrease in rebate rates for rebates to we granted under our sales agency arrangement as a result of our increased bargaining power as we solidified our market position as the largest independent online marketing technology platform in China in terms of gross billing.</w:t>
      </w:r>
    </w:p>
    <w:p>
      <w:pPr>
        <w:spacing w:after="0" w:line="8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the rebates we granted to marketers and marketing agencies under our sales agency arrangement for our mobile audience solutions and other solutions for the periods presented. These rebates are recognized as cost of revenues.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cost</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98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we granted</w:t>
            </w: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3"/>
              </w:rPr>
              <w:t>(3,291)</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(9.5)</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7"/>
              </w:rPr>
              <w:t>(2,568)</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Rebates we granted for mobile audience solutions</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we granted for other solutions</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(3,291)</w:t>
            </w:r>
          </w:p>
        </w:tc>
        <w:tc>
          <w:tcPr>
            <w:tcW w:w="1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(2,568)</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(1,942)</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(1,840)</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rebates received from website publishers under specified action marketing campaigns, which were recognized as deduction of cost of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9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3940" w:type="dxa"/>
            <w:vAlign w:val="bottom"/>
          </w:tcPr>
          <w:p>
            <w:pPr>
              <w:spacing w:after="0"/>
              <w:rPr>
                <w:sz w:val="10"/>
                <w:szCs w:val="10"/>
                <w:color w:val="auto"/>
              </w:rPr>
            </w:pPr>
          </w:p>
        </w:tc>
        <w:tc>
          <w:tcPr>
            <w:tcW w:w="96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4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20" w:type="dxa"/>
            <w:vAlign w:val="bottom"/>
          </w:tcPr>
          <w:p>
            <w:pPr>
              <w:spacing w:after="0"/>
              <w:rPr>
                <w:sz w:val="10"/>
                <w:szCs w:val="10"/>
                <w:color w:val="auto"/>
              </w:rPr>
            </w:pPr>
          </w:p>
        </w:tc>
        <w:tc>
          <w:tcPr>
            <w:tcW w:w="68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320" w:type="dxa"/>
            <w:vAlign w:val="bottom"/>
          </w:tcPr>
          <w:p>
            <w:pPr>
              <w:spacing w:after="0"/>
              <w:rPr>
                <w:sz w:val="10"/>
                <w:szCs w:val="10"/>
                <w:color w:val="auto"/>
              </w:rPr>
            </w:pPr>
          </w:p>
        </w:tc>
        <w:tc>
          <w:tcPr>
            <w:tcW w:w="680" w:type="dxa"/>
            <w:vAlign w:val="bottom"/>
          </w:tcPr>
          <w:p>
            <w:pPr>
              <w:jc w:val="right"/>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320" w:type="dxa"/>
            <w:vAlign w:val="bottom"/>
          </w:tcPr>
          <w:p>
            <w:pPr>
              <w:spacing w:after="0"/>
              <w:rPr>
                <w:sz w:val="10"/>
                <w:szCs w:val="10"/>
                <w:color w:val="auto"/>
              </w:rPr>
            </w:pPr>
          </w:p>
        </w:tc>
        <w:tc>
          <w:tcPr>
            <w:tcW w:w="1000" w:type="dxa"/>
            <w:vAlign w:val="bottom"/>
            <w:gridSpan w:val="2"/>
          </w:tcPr>
          <w:p>
            <w:pPr>
              <w:jc w:val="right"/>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10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394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32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5.5</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Rebates received from publishers for mobile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audience solutions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3,704</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11,217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Rebates received from publishers for other</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3" w:lineRule="exact"/>
        <w:rPr>
          <w:sz w:val="20"/>
          <w:szCs w:val="20"/>
          <w:color w:val="auto"/>
        </w:rPr>
      </w:pPr>
    </w:p>
    <w:p>
      <w:pPr>
        <w:jc w:val="both"/>
        <w:ind w:left="900" w:right="620" w:hanging="325"/>
        <w:spacing w:after="0" w:line="267"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expenses</w:t>
      </w:r>
      <w:r>
        <w:rPr>
          <w:rFonts w:ascii="Times New Roman" w:cs="Times New Roman" w:eastAsia="Times New Roman" w:hAnsi="Times New Roman"/>
          <w:sz w:val="18"/>
          <w:szCs w:val="18"/>
          <w:color w:val="auto"/>
        </w:rPr>
        <w:t>. This relates to amortization of computer software acquired in the acquisitions of Buzzinate and OptAim,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5.4%, 6.8%, 6.9% and 4.7% of our cost of revenues in 2015, 2016 and the nine months ended September 30, 2016 and 2017, respectively.</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mobile</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for mobile audience solutions</w:t>
            </w: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8,511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mobile audience solutions</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3,397</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9,549</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940" w:type="dxa"/>
            <w:vAlign w:val="bottom"/>
            <w:gridSpan w:val="2"/>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96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for other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34.1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other solutions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27,314</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51.2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24,760</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65.9</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18,366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65.7</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13,751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Due to competitive landscape and pricing pressure as mobile audience solutions are relatively nascent compared to other solutions, with companies competing for more market share as they enter into this market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the nine months ended September 30, 2016 and 2017, which was 48.2%, 46.1% and 63.1% respectively, compared to that for our other solutions in the same period, which was 14.4%, 14.2% and 11.4%, respectively. As a result, gross profit margins for our mobile audience solutions in 2015, 2016 and the nine months ended September 30, 2016 and 2017, which were 28.5%, 16.5%, 16.1% and 9.0%, respectively, were significantly lower than those for our other solutions, which were 51.2%, 65.9%, 65.7% and 75.4%, respectively, for the same periods.</w:t>
      </w:r>
    </w:p>
    <w:p>
      <w:pPr>
        <w:spacing w:after="0" w:line="18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Gross profit margin for sales agency arrangement represents gross profit as a percentage of net revenues derived from sales agency arrangement.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8"/>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0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(US$ in</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sales agency</w:t>
            </w:r>
          </w:p>
        </w:tc>
        <w:tc>
          <w:tcPr>
            <w:tcW w:w="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sales agency</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3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8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8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78"/>
        </w:trPr>
        <w:tc>
          <w:tcPr>
            <w:tcW w:w="28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Cost of revenues for sales agency</w:t>
            </w: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arrangement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5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2,568</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1,942</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1,840</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for sales agency</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arrangement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53.6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5,356</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67.6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4,653</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70.6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4,171</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0" w:type="dxa"/>
            <w:vAlign w:val="bottom"/>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cost-plus</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cost-plus</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(US$ in</w:t>
            </w: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cost-plus</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cost-plus</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8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0" w:type="dxa"/>
            <w:vAlign w:val="bottom"/>
          </w:tcPr>
          <w:p>
            <w:pPr>
              <w:spacing w:after="0"/>
              <w:rPr>
                <w:sz w:val="1"/>
                <w:szCs w:val="1"/>
                <w:color w:val="auto"/>
              </w:rPr>
            </w:pPr>
          </w:p>
        </w:tc>
      </w:tr>
      <w:tr>
        <w:trPr>
          <w:trHeight w:val="178"/>
        </w:trPr>
        <w:tc>
          <w:tcPr>
            <w:tcW w:w="34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Cost of revenues for cost-plus marketing</w:t>
            </w: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campaigns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2,664</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1,339</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for cost-plus marketing</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campaigns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17,603</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90.5</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12,714</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82.1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5,687</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9" w:lineRule="auto"/>
        <w:rPr>
          <w:sz w:val="20"/>
          <w:szCs w:val="20"/>
          <w:color w:val="auto"/>
        </w:rPr>
      </w:pPr>
      <w:r>
        <w:rPr>
          <w:rFonts w:ascii="Times New Roman" w:cs="Times New Roman" w:eastAsia="Times New Roman" w:hAnsi="Times New Roman"/>
          <w:sz w:val="17"/>
          <w:szCs w:val="17"/>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 specified action marketing campaigns represents gross profit as a percentage of net revenues derived from specified action marketing campaigns.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7"/>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8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revenues for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specified action</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specified action</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specified action</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2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specified action</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campaigns</w:t>
            </w:r>
          </w:p>
        </w:tc>
        <w:tc>
          <w:tcPr>
            <w:tcW w:w="0" w:type="dxa"/>
            <w:vAlign w:val="bottom"/>
          </w:tcPr>
          <w:p>
            <w:pPr>
              <w:spacing w:after="0"/>
              <w:rPr>
                <w:sz w:val="1"/>
                <w:szCs w:val="1"/>
                <w:color w:val="auto"/>
              </w:rPr>
            </w:pPr>
          </w:p>
        </w:tc>
      </w:tr>
      <w:tr>
        <w:trPr>
          <w:trHeight w:val="178"/>
        </w:trPr>
        <w:tc>
          <w:tcPr>
            <w:tcW w:w="23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Cost of revenues for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specified action</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campaigns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29,383</w:t>
            </w:r>
          </w:p>
        </w:tc>
        <w:tc>
          <w:tcPr>
            <w:tcW w:w="1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55,816</w:t>
            </w:r>
          </w:p>
        </w:tc>
        <w:tc>
          <w:tcPr>
            <w:tcW w:w="1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40,907</w:t>
            </w:r>
          </w:p>
        </w:tc>
        <w:tc>
          <w:tcPr>
            <w:tcW w:w="15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62,509</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for specified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action marketing</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campaigns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80" w:type="dxa"/>
            <w:vAlign w:val="bottom"/>
          </w:tcPr>
          <w:p>
            <w:pPr>
              <w:spacing w:after="0"/>
              <w:rPr>
                <w:sz w:val="20"/>
                <w:szCs w:val="20"/>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24.0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16,239</w:t>
            </w: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(8,106)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(31,385)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(28,266)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(20,733)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(17,648)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(12,745)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(26,767)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(7,165)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(6,927)</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(52,236)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(63,617)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(34,378)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(29,153)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900" w:right="180" w:hanging="325"/>
        <w:spacing w:after="0" w:line="284"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(i) advertising and market promotion expenses, and (ii)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welfare for sales and marketing personnel.</w:t>
      </w:r>
    </w:p>
    <w:p>
      <w:pPr>
        <w:spacing w:after="0" w:line="63" w:lineRule="exact"/>
        <w:rPr>
          <w:rFonts w:ascii="Times New Roman" w:cs="Times New Roman" w:eastAsia="Times New Roman" w:hAnsi="Times New Roman"/>
          <w:sz w:val="18"/>
          <w:szCs w:val="18"/>
          <w:color w:val="auto"/>
        </w:rPr>
      </w:pPr>
    </w:p>
    <w:p>
      <w:pPr>
        <w:ind w:left="900" w:hanging="325"/>
        <w:spacing w:after="0" w:line="257"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(i) salary and welfare for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clients was US$1.7 million, US$0.1 million, US$0.0 million and US$0.0 million in 2015, 2016 and the nine months ended September 30, 2016 and 2017, respectively. Professional service fees primarily related to legal and audit service in connection with our private placements and OptAim acquisition and preparation for this offering. We expect to continue to invest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66" w:lineRule="auto"/>
        <w:rPr>
          <w:sz w:val="20"/>
          <w:szCs w:val="20"/>
          <w:color w:val="auto"/>
        </w:rPr>
      </w:pPr>
      <w:r>
        <w:rPr>
          <w:rFonts w:ascii="Times New Roman" w:cs="Times New Roman" w:eastAsia="Times New Roman" w:hAnsi="Times New Roman"/>
          <w:sz w:val="18"/>
          <w:szCs w:val="18"/>
          <w:color w:val="auto"/>
        </w:rPr>
        <w:t>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80" w:lineRule="exact"/>
        <w:rPr>
          <w:sz w:val="20"/>
          <w:szCs w:val="20"/>
          <w:color w:val="auto"/>
        </w:rPr>
      </w:pPr>
    </w:p>
    <w:p>
      <w:pPr>
        <w:ind w:left="900" w:right="640" w:hanging="325"/>
        <w:spacing w:after="0" w:line="267"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consist primarily of (i) salary and welfare for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personnel, (ii) rental expenses and (iii) depreciation of office premise and (iv) servers utilized by research and development personnel.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Cayman Islands</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British Virgin Islands</w:t>
      </w:r>
    </w:p>
    <w:p>
      <w:pPr>
        <w:spacing w:after="0" w:line="121" w:lineRule="exact"/>
        <w:rPr>
          <w:sz w:val="20"/>
          <w:szCs w:val="20"/>
          <w:color w:val="auto"/>
        </w:rPr>
      </w:pPr>
    </w:p>
    <w:p>
      <w:pPr>
        <w:jc w:val="both"/>
        <w:ind w:right="60" w:firstLine="456"/>
        <w:spacing w:after="0" w:line="313" w:lineRule="auto"/>
        <w:rPr>
          <w:sz w:val="20"/>
          <w:szCs w:val="20"/>
          <w:color w:val="auto"/>
        </w:rPr>
      </w:pPr>
      <w:r>
        <w:rPr>
          <w:rFonts w:ascii="Times New Roman" w:cs="Times New Roman" w:eastAsia="Times New Roman" w:hAnsi="Times New Roman"/>
          <w:sz w:val="17"/>
          <w:szCs w:val="17"/>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right="320" w:firstLine="456"/>
        <w:spacing w:after="0" w:line="289" w:lineRule="auto"/>
        <w:rPr>
          <w:sz w:val="20"/>
          <w:szCs w:val="20"/>
          <w:color w:val="auto"/>
        </w:rPr>
      </w:pPr>
      <w:r>
        <w:rPr>
          <w:rFonts w:ascii="Times New Roman" w:cs="Times New Roman" w:eastAsia="Times New Roman" w:hAnsi="Times New Roman"/>
          <w:sz w:val="17"/>
          <w:szCs w:val="17"/>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7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00"/>
          </w:cols>
          <w:pgMar w:left="240" w:top="455" w:right="2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84" w:lineRule="exact"/>
        <w:rPr>
          <w:sz w:val="20"/>
          <w:szCs w:val="20"/>
          <w:color w:val="auto"/>
        </w:rPr>
      </w:pPr>
    </w:p>
    <w:p>
      <w:pPr>
        <w:ind w:right="41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Nine Months Ended September 30, 2017 Compared to Nine Months Ended September 30, 2016 </w:t>
      </w:r>
      <w:r>
        <w:rPr>
          <w:rFonts w:ascii="Times New Roman" w:cs="Times New Roman" w:eastAsia="Times New Roman" w:hAnsi="Times New Roman"/>
          <w:sz w:val="18"/>
          <w:szCs w:val="18"/>
          <w:b w:val="1"/>
          <w:bCs w:val="1"/>
          <w:i w:val="1"/>
          <w:iCs w:val="1"/>
          <w:color w:val="auto"/>
        </w:rPr>
        <w:t>Net Revenues</w:t>
      </w: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net revenues increased by US$15.5 million, or 22.1%, from US$70.0 million in the nine months ended September 30, 2016 to US$85.5 million in the same period in 2017, primarily as a result of an increase in our net revenues from our mobile audience solutions and partially offset by a decrease in our net revenues from our other solutions.</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Net revenues from our mobile audience solutions increased by US$25.2 million, or 60.1% from US$42.0 million in the nine months ended September 30, 2016 to US$67.3 million in the same period in 2017 as a result of an increase in gross billing from mobile audience solutions and a larger percentage of our gross billing from mobile audience solutions being recognized as net revenues on a gross basis in the nine months ended September 30, 2017 compared to the same period in 2016. US$38.7 million, or 46.1%, of gross billing from mobile audience solutions was recognized as net revenues on a gross basis in the nine months ended September 30, 2016, compared to US$65.9 million, or 63.1%, in the same period in 2017. Rebates received from publishers and recognized as net revenues decreased by US$0.1 million or 1.7% from US$6.2 million in the nine months ended September 30, 2016 to US$6.1 million in the nine months ended September 30, 2017 for our mobile audience solutions as gross billing from mobile audience solutions that was recognized on a net basis decreased. We did not receive any incentives from the publisher under our sales agency arrangement in the nine months ended September 30, 2016 and the same period in 2017 for our mobile audience solutions. Rebates and discounts granted to our clients and recognized as deduction of revenues increased by US$5.8 million, or 79.5% from US$7.3 million in the nine months ended September 30, 2016 to US$13.1 million in the same period in 2017 for our mobile solutions as gross billing from mobile audience solutions increased.</w:t>
      </w:r>
    </w:p>
    <w:p>
      <w:pPr>
        <w:spacing w:after="0" w:line="19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Net revenues from our other solutions decreased by US$9.7 million or 34.7% from US$28.0 million in the nine months ended September 30, 2016 to US$18.2 million in the same period in 2017 primarily as a result of a decrease in gross billing from other solutions and smaller percentage of our gross billing from other solutions being recognized as net revenues on a gross basis. US$13.6 million, or 14.2%, of gross billing from other solutions was recognized as net revenues on a gross basis in the nine months ended September 30, 2016, compared to US$6.6 million, or 11.4%, in the same period in 2017. Rebates received from publishers and recognized as net revenues decreased by US$3.9 million or 73.0% from US$5.3 million in the nine months ended September 30, 2016 to US$1.4 million in the same period in 2017 for our other solutions as gross billing from other solutions that were conducted on a cost-plus basis decreased. Incentives received from the publisher under our sales agency arrangement, which were recognized as net revenues decreased by US$0.6 million, or 8.9% from US$6.6 million in the nine months ended September 30, 2016 to US$6.0 million in the same period in 2017 for our other solutions due to a decrease in gross billing under the sales agency arrangement. Rebates granted to our clients and recognized as deduction of revenues decreased by US$3.6 million, or 69.2% from US$5.2 million in the nine months ended September 30, 2017 to US$1.6 million in the same period in 2017 for our other solutions as gross billing from other solutions decreased.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Profit Margin</w:t>
      </w:r>
    </w:p>
    <w:p>
      <w:pPr>
        <w:spacing w:after="0" w:line="250"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93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2020" w:type="dxa"/>
            <w:vAlign w:val="bottom"/>
            <w:gridSpan w:val="2"/>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 except %)</w:t>
            </w:r>
          </w:p>
        </w:tc>
        <w:tc>
          <w:tcPr>
            <w:tcW w:w="6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44,847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65,688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25,126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19,809</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1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35.9%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9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cost of revenues increased by US$20.9 million, or 46.7%, from US$44.8 million in the nine months ended September 30, 2016 to US$65.7 million in the same period in 2017, primarily as a result of an increase in media cost, which increased by US$21.1 million, or 53.6%, from US$39.4 million in the nine months ended September 30, 2016 to US$60.5 million in the same period in 2017 as a result of a larger percentage of gross billing being recognized as net revenues on a gross basis. 44.8% of our gross billing in the nine months ended September 30, 2017 was recognized as net revenues on a gross basis, compared to 29.1% in the same period in 2016. Cost of revenues for our mobile audience solutions increased by US$25.9 million, or 73.4%, from US$35.3 million to US$61.2 million, while cost of revenues for our other solutions decreased by US$5.1 million, or 53.1%, from US$9.6 million to US$4.5 million.</w:t>
      </w:r>
    </w:p>
    <w:p>
      <w:pPr>
        <w:spacing w:after="0" w:line="200" w:lineRule="exact"/>
        <w:rPr>
          <w:sz w:val="20"/>
          <w:szCs w:val="20"/>
          <w:color w:val="auto"/>
        </w:rPr>
      </w:pPr>
    </w:p>
    <w:p>
      <w:pPr>
        <w:spacing w:after="0" w:line="20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US$65.9 million, or 63.1%, of gross billing from mobile audience solutions was recognized as net revenues on a gross basis in the nine months ended September 30, 2017, compared to US$38.7 million, or 46.1%, in the same period in 2016. No rebate or discount we granted was recognized as cost of revenues for our mobile audience solutions in the nine months ended September 30, 2016 or 2017. Rebates received from website publishers recognized as deduction of cost of revenues increased by US$7.5 million, or 202.7% from US$3.7 million in the nine months ended September 30, 2016 to US$11.2 million in the same period in 2017 for our mobile audience solutions as gross billing from mobile audience solutions that was recognized as net revenues on a gross basis increased.</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decrease in cost of revenues from our other solutions was in line with the decrease of gross billing from other solutions and also due to a decreased percentage of gross billing from other solutions being recognized as net revenues on a gross basis. US$6.5 million, or 11.4%, of gross billing from other solutions was recognized as net revenues on a gross basis in the nine months ended September 30, 2017, compared to US$13.6 million or 14.2% in the same period in 2016. Rebates we granted and recognized as cost of revenues, which related to rebates we granted to marketers and marketing agencies under our sales agency arrangement decreased by US$0.1 million, or 5.3%, from US$1.9 million in the nine months ended September 30, 2016 to US$1.8 million in the same period in 2017 for other solutions in line with the decrease of gross billing from our sales agency arrangement. Rebates received from website publishers recognized as deduction of cost of revenues decreased by US$62,000, or 48.1%, from US$129,000 in the nine months ended September 30, 2016 to US$67,000 in the same period in 2017 for our other solutions as gross billing from other solutions that was recognized on a gross basis decreased.</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a result of the above, our gross profit decreased from US$25.1 million in the nine months ended September 30, 2016 to US$19.8 million in the same period in 2017. Specifically, gross profit for our mobile audience solutions decreased by US$0.7 million, or 10.4%, from US$6.8 million in the nine months ended September 30, 2016 to US$6.1 million in the same period in 2017, and gross profit for our other solutions decreased by US$4.6 million, or 25.1% from US$18.4 million in the nine months ended September 30, 2016 to US$13.8 million in the same period in 2017. Our gross profit margin decreased from 35.9% in the nine months ended September 30, 2016 to 23.2% in the same period in 2017 primarily due to the expansion in our mobile audience solutions. Gross profit margin for our mobile audience solutions decreased from 16.1% in the nine months ended September 30, 2016 to 9.0% in the same period in 2017 as a result of competitive pressure and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larger percentage of gross billing for our mobile audience solutions being recognized as net revenues on a gross basis in the nine months ended September 30, 2017 compared to the same period in 2016. Gross profit margin for our other solutions increased from 65.7% in the nine months ended September 30, 2016 to 75.4% in the nine months ended September 30, 2017 as we continued to optimize the client base for other solutions to focus on profitability and liquidity and as a result of a smaller percentage of gross billing for our other solutions being recognized as net revenues on a gross basis in the nine months ended September 30, 2017 compared to the same period in 2016.</w:t>
      </w:r>
    </w:p>
    <w:p>
      <w:pPr>
        <w:spacing w:after="0" w:line="18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21.6% and 27.5% of our clients in the nine months ended September 30, 2016 and September 30, 2017, respectively. In addition, consistent with the general industry trends for online marketing on mobile channels and on non-mobile channels, a larger percentage of gross billing from our mobile audience solutions was recognized as net revenues on a gross basis in the nine months ended September 30, 2017, which was 63.1%, compared to that for our other solutions in the same period, which was 11.4%. As a result, gross profit margins for our mobile audience solutions in the nine months ended September 30, 2016 and 2017 were significantly lower than those for our other solutions for the same periods.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operating expenses decreased by US$5.2 million, or 15.2%, during the nine months ended September 30, 2017 compared to the same period in 2016, primarily due to decreases in research and development expenses, sales and marketing expenses and general and administrative expenses. Our operating expenses as a percentage of net revenues decreased from 49.1% in the nine months ended September 30, 2016 to 34.1% in the same period in 2017.</w:t>
      </w:r>
    </w:p>
    <w:p>
      <w:pPr>
        <w:spacing w:after="0" w:line="80" w:lineRule="exact"/>
        <w:rPr>
          <w:sz w:val="20"/>
          <w:szCs w:val="20"/>
          <w:color w:val="auto"/>
        </w:rPr>
      </w:pPr>
    </w:p>
    <w:p>
      <w:pPr>
        <w:ind w:left="900" w:right="140" w:hanging="325"/>
        <w:spacing w:after="0" w:line="257"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decreased by US$3.1 million, or 14.9%, from US$20.7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2016 to US$17.6 million in the same period in 2017. The decrease was primarily due to a decrease in staff costs as we continued to optimize the client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29.6% in the nine months ended September 30, 2016 to 20.6% in the same period in 2017.</w:t>
      </w:r>
    </w:p>
    <w:p>
      <w:pPr>
        <w:spacing w:after="0" w:line="88" w:lineRule="exact"/>
        <w:rPr>
          <w:rFonts w:ascii="Times New Roman" w:cs="Times New Roman" w:eastAsia="Times New Roman" w:hAnsi="Times New Roman"/>
          <w:sz w:val="18"/>
          <w:szCs w:val="18"/>
          <w:color w:val="auto"/>
        </w:rPr>
      </w:pPr>
    </w:p>
    <w:p>
      <w:pPr>
        <w:ind w:left="900" w:right="260" w:hanging="325"/>
        <w:spacing w:after="0" w:line="259"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US$0.2 million, or 3.3%, from US$7.2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2016 to US$6.9 million in the same period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10.2% in the nine months ended September 30, 2016 to 8.1% in the same period in 2017.</w:t>
      </w:r>
    </w:p>
    <w:p>
      <w:pPr>
        <w:spacing w:after="0" w:line="85" w:lineRule="exact"/>
        <w:rPr>
          <w:rFonts w:ascii="Times New Roman" w:cs="Times New Roman" w:eastAsia="Times New Roman" w:hAnsi="Times New Roman"/>
          <w:sz w:val="18"/>
          <w:szCs w:val="18"/>
          <w:color w:val="auto"/>
        </w:rPr>
      </w:pPr>
    </w:p>
    <w:p>
      <w:pPr>
        <w:ind w:left="900" w:right="240" w:hanging="325"/>
        <w:spacing w:after="0" w:line="267"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by US$1.9 million, or 29.4%, from US$6.5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2016 to US$4.6 million in the same period in 2017, primarily due to a decrease in staff costs, as we continued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340"/>
        <w:spacing w:after="0" w:line="266" w:lineRule="auto"/>
        <w:rPr>
          <w:sz w:val="20"/>
          <w:szCs w:val="20"/>
          <w:color w:val="auto"/>
        </w:rPr>
      </w:pPr>
      <w:r>
        <w:rPr>
          <w:rFonts w:ascii="Times New Roman" w:cs="Times New Roman" w:eastAsia="Times New Roman" w:hAnsi="Times New Roman"/>
          <w:sz w:val="18"/>
          <w:szCs w:val="18"/>
          <w:color w:val="auto"/>
        </w:rPr>
        <w:t>to benefit from the synergies from the integration of the complementary research and development capabilities of OptAim and economies of scale. As a result, research and development expenses as a percentage of our net revenues decreased from 9.3% in the nine months ended September 30, 2016 to 5.4% in the same period in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interest expense was flat at US$0.4 million for the nine months ended September 30, 2016 and the same period in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Gains/(Losses), Net</w:t>
      </w:r>
    </w:p>
    <w:p>
      <w:pPr>
        <w:spacing w:after="0" w:line="12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other losses, net was US$0.4 million in the nine months ended September 30, 2016, compared to other gains, net of US$1.4 million in the same period in 2017. The change was primarily due to an decrease by US$1.7 million from US$0.4 million loss in the nine months ended September 30, 2016 to US$1.3 million gain in the same period in 2017 in net exchange gain mainly due to the depreciation of Renminbi against the US dollars.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(Loss)/Gain on Derivative Liabilities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fair value gain on derivative liabilities was US$1.5 million in the nine months ended September 30, 2016, compared to a fair value loss on derivative liabilities of US$7.1 million in the same period in 2017. The fair value gain or loss on derivative liabilities related to our preferred shares, the conversion and redemption features of which are required to be bifurcated and accounted for as derivative liabilities. The fair value gain on derivative liabilities of US$1.5 million in the nine months ended September 30, 2016 was primarily related to our series A, B and E preferred shares. The fair value loss on derivative liabilities of US$7.1 million in the nine months ended September 30, 2017 was primarily due to an increase in our enterprise value as a result of decrease in lack of marketability discount as we are approaching an initial public offering.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recorded an income tax benefit of US$0.2 million in the nine months ended September 30, 2016 and an income tax expense of US$0.5 million in the same period in 2017. Such change was resulted from fluctuations of composition of loss/profit before tax of our Hong Kong and PRC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increased by 89.5% from US$8.4 million in the nine months ended September 30, 2016 to US$15.9 million in the same period in 2017.</w:t>
      </w:r>
    </w:p>
    <w:p>
      <w:pPr>
        <w:spacing w:after="0" w:line="266" w:lineRule="exact"/>
        <w:rPr>
          <w:sz w:val="20"/>
          <w:szCs w:val="20"/>
          <w:color w:val="auto"/>
        </w:rPr>
      </w:pPr>
    </w:p>
    <w:p>
      <w:pPr>
        <w:ind w:right="54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2016 Compared to Year Ended December 31, 2015 </w:t>
      </w:r>
      <w:r>
        <w:rPr>
          <w:rFonts w:ascii="Times New Roman" w:cs="Times New Roman" w:eastAsia="Times New Roman" w:hAnsi="Times New Roman"/>
          <w:sz w:val="18"/>
          <w:szCs w:val="18"/>
          <w:b w:val="1"/>
          <w:bCs w:val="1"/>
          <w:i w:val="1"/>
          <w:iCs w:val="1"/>
          <w:color w:val="auto"/>
        </w:rPr>
        <w:t>Net Revenues</w:t>
      </w: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60"/>
          </w:cols>
          <w:pgMar w:left="240" w:top="455" w:right="2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arrangement in 2015 and 2016 for our mobile audience solutions. OptAim contributed US$51.1 million to our net revenues in 2016, compared to US$11.7 million from July 24, 2015, when we acquired OptAim, to December 31, 2015. All such net revenues contribution from OptAim related to our mobile audience solutions. Rebates and discounts we granted and recognized as deduction of revenues increased by US$3.9 million, or 56.5% from US$6.8 million in 2015 to US$10.7 million in 2016 for our mobile audience solutions as gross billing from mobile audience solutions increased.</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US$6.7 million or</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47.9% from US$14.0 million in 2015 to US$7.3 million in 2016 for our other solutions as gross billing from other solutions that were conducted on a cost-plus basis decreased. Incentives received from the publisher under our sales agency arrangement, which were recognized as net revenues increased by US$0.8 million, or 11.3% from US$7.1 million in 2015 to US$7.9 million in 2016 for our other solutions as a result of the increase in marketing spend by our clients. Rebates and discounts we granted and recognized as deduction of revenues decreased by US$3.5 million, or 31.9% from US$11.0 million in 2015 to US$7.5 million in 2016 for our other solutions.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Profit Margin</w:t>
      </w:r>
    </w:p>
    <w:p>
      <w:pPr>
        <w:spacing w:after="0" w:line="250"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7620</wp:posOffset>
            </wp:positionV>
            <wp:extent cx="12261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70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-3175</wp:posOffset>
            </wp:positionV>
            <wp:extent cx="12261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500"/>
        <w:spacing w:after="0" w:line="233" w:lineRule="auto"/>
        <w:rPr>
          <w:sz w:val="20"/>
          <w:szCs w:val="20"/>
          <w:color w:val="auto"/>
        </w:rPr>
      </w:pPr>
      <w:r>
        <w:rPr>
          <w:rFonts w:ascii="Times New Roman" w:cs="Times New Roman" w:eastAsia="Times New Roman" w:hAnsi="Times New Roman"/>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(34,531)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30,711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4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bl>
    <w:p>
      <w:pPr>
        <w:spacing w:after="0" w:line="198"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86" w:lineRule="exact"/>
        <w:rPr>
          <w:sz w:val="20"/>
          <w:szCs w:val="20"/>
          <w:color w:val="auto"/>
        </w:rPr>
      </w:pPr>
    </w:p>
    <w:p>
      <w:pPr>
        <w:jc w:val="both"/>
        <w:ind w:right="60" w:firstLine="456"/>
        <w:spacing w:after="0" w:line="257" w:lineRule="auto"/>
        <w:rPr>
          <w:sz w:val="20"/>
          <w:szCs w:val="20"/>
          <w:color w:val="auto"/>
        </w:rPr>
      </w:pPr>
      <w:r>
        <w:rPr>
          <w:rFonts w:ascii="Times New Roman" w:cs="Times New Roman" w:eastAsia="Times New Roman" w:hAnsi="Times New Roman"/>
          <w:sz w:val="18"/>
          <w:szCs w:val="18"/>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spacing w:after="0" w:line="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OptAim contributed US$47.0 million to our cost of revenues in 2016, compared to US$8.5 million from July 24, 2015, when we acquired OptAim, to December 31, 2015. All such cost of revenues contribution from OptAim related to our mobile audience solutions. No rebate or discount we granted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we granted and recognized as cost of revenues, which related to rebates we granted to marketers and marketing agencies under our sales agency arrangement decreased by 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8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profit margin for our other solutions increased from 51.2% in 2015 to 65.9% in 2016 as a result of a smaller percentage of gross billing for our other solutions being recognized as net revenues on a gross basis in 2016 compared to 2015.</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0" w:lineRule="exact"/>
        <w:rPr>
          <w:sz w:val="20"/>
          <w:szCs w:val="20"/>
          <w:color w:val="auto"/>
        </w:rPr>
      </w:pPr>
    </w:p>
    <w:p>
      <w:pPr>
        <w:ind w:left="900" w:right="480" w:hanging="325"/>
        <w:spacing w:after="0" w:line="26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decreased by US$3.1 million, or 9.9%, from US$31.4 million in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US$28.3 million in 2016. Sales and marketing expenses as a percentage of net revenues also decreased significantly from 48.1% in 2015 to</w:t>
      </w:r>
    </w:p>
    <w:p>
      <w:pPr>
        <w:ind w:left="900" w:right="4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 in 2016, as a result of synergies from the integration of complementary sales and marketing capabilities of OptAim and economies of scale, and as we optimized our sales and marketing efforts to focus on profitability and liquidity.</w:t>
      </w:r>
    </w:p>
    <w:p>
      <w:pPr>
        <w:spacing w:after="0" w:line="83" w:lineRule="exact"/>
        <w:rPr>
          <w:rFonts w:ascii="Times New Roman" w:cs="Times New Roman" w:eastAsia="Times New Roman" w:hAnsi="Times New Roman"/>
          <w:sz w:val="18"/>
          <w:szCs w:val="18"/>
          <w:color w:val="auto"/>
        </w:rPr>
      </w:pPr>
    </w:p>
    <w:p>
      <w:pPr>
        <w:ind w:left="900" w:right="120" w:hanging="325"/>
        <w:spacing w:after="0" w:line="267"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by US$14.1 million, or 111.0%, from US$12.7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2015 to US$26.8 million in 2016, primarily due to an increase in personnel costs of US$18.2 million related to share based compensation of US$17.6 million to one of our founders and certain other employees in the fourth quarter of 2016, and an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61" w:lineRule="auto"/>
        <w:rPr>
          <w:sz w:val="20"/>
          <w:szCs w:val="20"/>
          <w:color w:val="auto"/>
        </w:rPr>
      </w:pPr>
      <w:r>
        <w:rPr>
          <w:rFonts w:ascii="Times New Roman" w:cs="Times New Roman" w:eastAsia="Times New Roman" w:hAnsi="Times New Roman"/>
          <w:sz w:val="18"/>
          <w:szCs w:val="18"/>
          <w:color w:val="auto"/>
        </w:rPr>
        <w:t>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84" w:lineRule="exact"/>
        <w:rPr>
          <w:sz w:val="20"/>
          <w:szCs w:val="20"/>
          <w:color w:val="auto"/>
        </w:rPr>
      </w:pPr>
    </w:p>
    <w:p>
      <w:pPr>
        <w:ind w:left="900" w:right="60" w:hanging="325"/>
        <w:spacing w:after="0" w:line="290" w:lineRule="auto"/>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Research and development expenses</w:t>
      </w:r>
      <w:r>
        <w:rPr>
          <w:rFonts w:ascii="Times New Roman" w:cs="Times New Roman" w:eastAsia="Times New Roman" w:hAnsi="Times New Roman"/>
          <w:sz w:val="17"/>
          <w:szCs w:val="17"/>
          <w:color w:val="auto"/>
        </w:rPr>
        <w:t>. Our research and development expenses increased by US$0.5 million, or 5.9%, from US$8.1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Gains/(Losses), Net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(Loss)/Gain on Derivative Liabilities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Losses from an Equity Investee</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recorded an income tax benefit of US$0.6 million in 2015 and an income tax expense of US$0.2 million in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foregoing, our net loss decreased by 31.2% from US$39.7 million in 2015 to US$27.3 million in 2016.</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unaudited consolidated selected quarterly results of operations for the periods indicated. You should read the following table in conjunction with our audited consolidated financial statements and related notes included elsewhere in this prospectus. We have prepared the unaudited consolidated quarterly financial information on the same basis as our annual audited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6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2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gridSpan w:val="4"/>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24,048</w:t>
            </w: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24,704</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25,384</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25,884</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29,857</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(15,826)</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(16,844)</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(16,201)</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(19,527)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(22,904)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7,860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9,183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6,953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(2,178)</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(2,104)</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(1,771)</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(7,015)</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(6,650)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(7,533)</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(6,617)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(5,588)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(2,200)</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(2,229)</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(19,602)</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(2,374)</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(11,393)</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(10,933)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(29,239)</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(10,762)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(9,186)</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(3,171)</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(3,073)</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(20,056)</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(4,405)</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(199)</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(705)</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gain on re-measurement of equity investee</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(4,543)</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1,674</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2,498</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(7,430)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(7,297)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(8,019)</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(1,906)</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(18,487)</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(12,013)</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(7,972)</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(1,795)</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(18,949)</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(12,004)</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798"/>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key operating and financial metrics for each of the quarters for the period between April 1, 2016 to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56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560" w:type="dxa"/>
            <w:vAlign w:val="bottom"/>
            <w:gridSpan w:val="4"/>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1580" w:type="dxa"/>
            <w:vAlign w:val="bottom"/>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560" w:type="dxa"/>
            <w:vAlign w:val="bottom"/>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2017</w:t>
            </w:r>
          </w:p>
        </w:tc>
        <w:tc>
          <w:tcPr>
            <w:tcW w:w="156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1400" w:type="dxa"/>
            <w:vAlign w:val="bottom"/>
            <w:gridSpan w:val="3"/>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18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18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5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18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18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billing</w:t>
            </w:r>
            <w:r>
              <w:rPr>
                <w:rFonts w:ascii="Times New Roman" w:cs="Times New Roman" w:eastAsia="Times New Roman" w:hAnsi="Times New Roman"/>
                <w:sz w:val="11"/>
                <w:szCs w:val="11"/>
                <w:b w:val="1"/>
                <w:bCs w:val="1"/>
                <w:color w:val="auto"/>
                <w:w w:val="96"/>
              </w:rPr>
              <w:t>(1)</w:t>
            </w:r>
            <w:r>
              <w:rPr>
                <w:rFonts w:ascii="Times New Roman" w:cs="Times New Roman" w:eastAsia="Times New Roman" w:hAnsi="Times New Roman"/>
                <w:sz w:val="14"/>
                <w:szCs w:val="14"/>
                <w:b w:val="1"/>
                <w:bCs w:val="1"/>
                <w:color w:val="auto"/>
                <w:w w:val="96"/>
              </w:rPr>
              <w:t>)</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billing</w:t>
            </w:r>
            <w:r>
              <w:rPr>
                <w:rFonts w:ascii="Times New Roman" w:cs="Times New Roman" w:eastAsia="Times New Roman" w:hAnsi="Times New Roman"/>
                <w:sz w:val="11"/>
                <w:szCs w:val="11"/>
                <w:b w:val="1"/>
                <w:bCs w:val="1"/>
                <w:color w:val="auto"/>
                <w:w w:val="96"/>
              </w:rPr>
              <w:t>(1)</w:t>
            </w:r>
            <w:r>
              <w:rPr>
                <w:rFonts w:ascii="Times New Roman" w:cs="Times New Roman" w:eastAsia="Times New Roman" w:hAnsi="Times New Roman"/>
                <w:sz w:val="14"/>
                <w:szCs w:val="14"/>
                <w:b w:val="1"/>
                <w:bCs w:val="1"/>
                <w:color w:val="auto"/>
                <w:w w:val="96"/>
              </w:rPr>
              <w:t>)</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billing</w:t>
            </w:r>
            <w:r>
              <w:rPr>
                <w:rFonts w:ascii="Times New Roman" w:cs="Times New Roman" w:eastAsia="Times New Roman" w:hAnsi="Times New Roman"/>
                <w:sz w:val="11"/>
                <w:szCs w:val="11"/>
                <w:b w:val="1"/>
                <w:bCs w:val="1"/>
                <w:color w:val="auto"/>
                <w:w w:val="96"/>
              </w:rPr>
              <w:t>(1)</w:t>
            </w:r>
            <w:r>
              <w:rPr>
                <w:rFonts w:ascii="Times New Roman" w:cs="Times New Roman" w:eastAsia="Times New Roman" w:hAnsi="Times New Roman"/>
                <w:sz w:val="14"/>
                <w:szCs w:val="14"/>
                <w:b w:val="1"/>
                <w:bCs w:val="1"/>
                <w:color w:val="auto"/>
                <w:w w:val="96"/>
              </w:rPr>
              <w:t>)</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Operating Metrics:</w:t>
            </w: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Gross billing</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60,359</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61,138</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56,441</w:t>
            </w: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46,879</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56,541</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58,434</w:t>
            </w: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ind w:left="260"/>
              <w:spacing w:after="0" w:line="117" w:lineRule="exact"/>
              <w:rPr>
                <w:sz w:val="20"/>
                <w:szCs w:val="20"/>
                <w:color w:val="auto"/>
              </w:rPr>
            </w:pPr>
            <w:r>
              <w:rPr>
                <w:rFonts w:ascii="Times New Roman" w:cs="Times New Roman" w:eastAsia="Times New Roman" w:hAnsi="Times New Roman"/>
                <w:sz w:val="13"/>
                <w:szCs w:val="13"/>
                <w:color w:val="auto"/>
              </w:rPr>
              <w:t>Gross billing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26,546</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44.0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33,585</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54.9</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28,447</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50.4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24,993</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38,038</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67.3</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41,407</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70.9</w:t>
            </w:r>
          </w:p>
        </w:tc>
        <w:tc>
          <w:tcPr>
            <w:tcW w:w="0" w:type="dxa"/>
            <w:vAlign w:val="bottom"/>
          </w:tcPr>
          <w:p>
            <w:pPr>
              <w:spacing w:after="0"/>
              <w:rPr>
                <w:sz w:val="1"/>
                <w:szCs w:val="1"/>
                <w:color w:val="auto"/>
              </w:rPr>
            </w:pPr>
          </w:p>
        </w:tc>
      </w:tr>
      <w:tr>
        <w:trPr>
          <w:trHeight w:val="135"/>
        </w:trPr>
        <w:tc>
          <w:tcPr>
            <w:tcW w:w="212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Gross billing from other solutions</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33,813</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56.0</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27,553</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45.1</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27,994</w:t>
            </w: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49.6</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21,886</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18,503</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17,027</w:t>
            </w: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Financial Metrics:</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Net revenues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24,048</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24,704</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40.4</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25,384</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45.0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25,884</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55.2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29,857</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52.8</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29,756</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ind w:left="260"/>
              <w:spacing w:after="0" w:line="117" w:lineRule="exact"/>
              <w:rPr>
                <w:sz w:val="20"/>
                <w:szCs w:val="20"/>
                <w:color w:val="auto"/>
              </w:rPr>
            </w:pPr>
            <w:r>
              <w:rPr>
                <w:rFonts w:ascii="Times New Roman" w:cs="Times New Roman" w:eastAsia="Times New Roman" w:hAnsi="Times New Roman"/>
                <w:sz w:val="13"/>
                <w:szCs w:val="13"/>
                <w:color w:val="auto"/>
              </w:rPr>
              <w:t>Net revenues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24,991</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13,688</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51.6</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17,501</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52.1</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15,743</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55.3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18,170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72.7</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24,092</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63.3</w:t>
            </w:r>
          </w:p>
        </w:tc>
        <w:tc>
          <w:tcPr>
            <w:tcW w:w="840" w:type="dxa"/>
            <w:vAlign w:val="bottom"/>
            <w:gridSpan w:val="2"/>
            <w:vMerge w:val="continue"/>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60.4</w:t>
            </w:r>
          </w:p>
        </w:tc>
        <w:tc>
          <w:tcPr>
            <w:tcW w:w="0" w:type="dxa"/>
            <w:vAlign w:val="bottom"/>
          </w:tcPr>
          <w:p>
            <w:pPr>
              <w:spacing w:after="0"/>
              <w:rPr>
                <w:sz w:val="1"/>
                <w:szCs w:val="1"/>
                <w:color w:val="auto"/>
              </w:rPr>
            </w:pPr>
          </w:p>
        </w:tc>
      </w:tr>
      <w:tr>
        <w:trPr>
          <w:trHeight w:val="149"/>
        </w:trPr>
        <w:tc>
          <w:tcPr>
            <w:tcW w:w="2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revenues from other solutions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10,360</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30.6</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26.1</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9,641</w:t>
            </w:r>
          </w:p>
        </w:tc>
        <w:tc>
          <w:tcPr>
            <w:tcW w:w="2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34.4</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7,714</w:t>
            </w:r>
          </w:p>
        </w:tc>
        <w:tc>
          <w:tcPr>
            <w:tcW w:w="2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w:t>
            </w: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(798)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(744)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(1,911)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4"/>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Adjusted net loss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(2,342)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(2,238)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(2,284)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(3,479)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(2,123)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(1,821)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280" w:hanging="332"/>
        <w:spacing w:after="0" w:line="262" w:lineRule="auto"/>
        <w:tabs>
          <w:tab w:leader="none" w:pos="3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a reconciliation of our net loss to adjusted EBITDA for each of the quarters for the period between April 1, 2016 to September 30,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960" w:type="dxa"/>
            <w:vAlign w:val="bottom"/>
          </w:tcPr>
          <w:p>
            <w:pPr>
              <w:spacing w:after="0"/>
              <w:rPr>
                <w:sz w:val="10"/>
                <w:szCs w:val="10"/>
                <w:color w:val="auto"/>
              </w:rPr>
            </w:pPr>
          </w:p>
        </w:tc>
        <w:tc>
          <w:tcPr>
            <w:tcW w:w="92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0"/>
                <w:szCs w:val="10"/>
                <w:color w:val="auto"/>
              </w:rPr>
            </w:pPr>
          </w:p>
        </w:tc>
        <w:tc>
          <w:tcPr>
            <w:tcW w:w="126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6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4960" w:type="dxa"/>
            <w:vAlign w:val="bottom"/>
          </w:tcPr>
          <w:p>
            <w:pPr>
              <w:spacing w:after="0"/>
              <w:rPr>
                <w:sz w:val="15"/>
                <w:szCs w:val="15"/>
                <w:color w:val="auto"/>
              </w:rPr>
            </w:pPr>
          </w:p>
        </w:tc>
        <w:tc>
          <w:tcPr>
            <w:tcW w:w="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(loss)/profit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(7,972)</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(1,795)</w:t>
            </w:r>
          </w:p>
        </w:tc>
        <w:tc>
          <w:tcPr>
            <w:tcW w:w="1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(18,949)</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(12,004)</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(10,241)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Add/(less):</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1,451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1,402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140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4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141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(benefit)/expense</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(47)</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610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r>
      <w:tr>
        <w:trPr>
          <w:trHeight w:val="203"/>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EBITDA</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(6,428)</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w:t>
            </w: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(16,747)</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(10,436)</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(8,088)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922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18,458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861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r>
      <w:tr>
        <w:trPr>
          <w:trHeight w:val="219"/>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loss/(gain) on derivative liabilities</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4,543</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(1,674)</w:t>
            </w:r>
          </w:p>
        </w:tc>
        <w:tc>
          <w:tcPr>
            <w:tcW w:w="1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(2,498)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7,297</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(7,671)</w:t>
            </w:r>
          </w:p>
        </w:tc>
      </w:tr>
      <w:tr>
        <w:trPr>
          <w:trHeight w:val="203"/>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 of loss from an equity investee</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Compensation in relation to the acquisition of OptAim</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gains/(losses), net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165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(1,429)</w:t>
            </w:r>
          </w:p>
        </w:tc>
      </w:tr>
      <w:tr>
        <w:trPr>
          <w:trHeight w:val="27"/>
        </w:trPr>
        <w:tc>
          <w:tcPr>
            <w:tcW w:w="4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(798)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(744)</w:t>
            </w:r>
          </w:p>
        </w:tc>
        <w:tc>
          <w:tcPr>
            <w:tcW w:w="1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(1,911)</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(410)</w:t>
            </w:r>
          </w:p>
        </w:tc>
      </w:tr>
      <w:tr>
        <w:trPr>
          <w:trHeight w:val="20"/>
        </w:trPr>
        <w:tc>
          <w:tcPr>
            <w:tcW w:w="4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a reconciliation of our net loss to adjusted net loss for each of the quarters for the period between April 1, 2016 to September 30,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740" w:type="dxa"/>
            <w:vAlign w:val="bottom"/>
          </w:tcPr>
          <w:p>
            <w:pPr>
              <w:spacing w:after="0"/>
              <w:rPr>
                <w:sz w:val="10"/>
                <w:szCs w:val="10"/>
                <w:color w:val="auto"/>
              </w:rPr>
            </w:pPr>
          </w:p>
        </w:tc>
        <w:tc>
          <w:tcPr>
            <w:tcW w:w="960" w:type="dxa"/>
            <w:vAlign w:val="bottom"/>
            <w:gridSpan w:val="3"/>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2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00" w:type="dxa"/>
            <w:vAlign w:val="bottom"/>
          </w:tcPr>
          <w:p>
            <w:pPr>
              <w:spacing w:after="0"/>
              <w:rPr>
                <w:sz w:val="10"/>
                <w:szCs w:val="10"/>
                <w:color w:val="auto"/>
              </w:rPr>
            </w:pPr>
          </w:p>
        </w:tc>
        <w:tc>
          <w:tcPr>
            <w:tcW w:w="126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8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4740" w:type="dxa"/>
            <w:vAlign w:val="bottom"/>
          </w:tcPr>
          <w:p>
            <w:pPr>
              <w:spacing w:after="0"/>
              <w:rPr>
                <w:sz w:val="15"/>
                <w:szCs w:val="15"/>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w:t>
            </w: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(7,972)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w:t>
            </w:r>
          </w:p>
        </w:tc>
        <w:tc>
          <w:tcPr>
            <w:tcW w:w="1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(18,949)</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(12,004)</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(10,241)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6,361</w:t>
            </w: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923</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18,458</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1,062</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861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4,543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(1,674)</w:t>
            </w: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(2,498)</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7,430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4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9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705</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(1,429)</w:t>
            </w: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net loss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4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have experienced seasonality in our gross billing, mainly reflecting seasonal fluctuations of the online marketing business, which may be affected by the online spending cycles of consumers and marketers’ practices in marketing budget allocation. Please refer to “— Key Factors Affecting Our Results of Operations — Seasonality.” The seasonal trends that we have experienced in the past may not apply to, or be indicative of, our future operating results.</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addition, as we continued to optimize the client base for our other solutions to focus on sales profitability and liquidity, we may experience decrease in gross billing for a particular period. Furthermore, our ability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retain and attract clients may be affected by the competitiveness of our pricing and credit terms for our clients, which, in turn, may be constrained by our capital and financial resources for a particular period. Please refer to “Risk Factors — Risks Related to Our Business and Industry — We have experienced fluctuation in growth in recent periods, and our historical growth rates may not be indicative of our future growth.” and “— Failure to retain existing clients or attract new ones could adversely impact our business and results of operations.”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issuance of shares in private placements and bank financing. As of September 30, 2017, we had US$21.8 million in cash and cash equivalents, and borrowing capacity of US$12.1 million under our revolving credit facilities and term loan facilities of a total principal amount of US$19.9 million. As of September 30, 2017, our cash and cash equivalents primarily consisted of cash on hand, cash held at bank, and time deposits placed with banks or other financial institutions, which have original maturities of three months or less. As of September 30, 2017, we had violated certain financial covenants with respect to our bank borrowings extended by a bank, however, we have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9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28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9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80" w:type="dxa"/>
            <w:vAlign w:val="bottom"/>
            <w:gridSpan w:val="2"/>
          </w:tcPr>
          <w:p>
            <w:pPr>
              <w:jc w:val="right"/>
              <w:ind w:right="1028"/>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from/(used in) operating activities</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(9,797)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228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299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from/(used in) investing activities</w:t>
            </w:r>
          </w:p>
        </w:tc>
        <w:tc>
          <w:tcPr>
            <w:tcW w:w="12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(18,095)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2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(3,493)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(2,612)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24,564</w:t>
            </w:r>
          </w:p>
        </w:tc>
        <w:tc>
          <w:tcPr>
            <w:tcW w:w="228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5,092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(5,084)</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on exchange rate changes on cash and cash</w:t>
            </w: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2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(232)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(187)</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(30,504)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16,947</w:t>
            </w:r>
          </w:p>
        </w:tc>
        <w:tc>
          <w:tcPr>
            <w:tcW w:w="228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1,898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2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41,131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10,395</w:t>
            </w:r>
          </w:p>
        </w:tc>
        <w:tc>
          <w:tcPr>
            <w:tcW w:w="228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10,395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27,280</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10,395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27,280</w:t>
            </w:r>
          </w:p>
        </w:tc>
        <w:tc>
          <w:tcPr>
            <w:tcW w:w="228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12,106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21,873</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amounted to US$5.3 million in the nine months ended September 30, 2017, which was mainly attributable to a net loss of US$15.9 million and a net decrease in working capital of US$2.9 million, partially offset by non-cash items of US$13.5 million. The net decrease in working capital of US$2.9 million was primarily attributable to a decrease in accounts payable of US$6.1 million and a decrease in accrued liabilities and other current liabilities of US$4.3 million, partially offset by an increase in deferred revenue of US$4.2 million. The non-cash items of US$13.5 million were primarily attributable to fair value loss on derivative liabilities of US$7.1 million due to an increase in our enterprise value as a result of a decrease in lack of marketability discount as we are approaching an initial public offering, amortization of intangible assets of US$3.2 million relating to intangible asset and share-based compensation of US$2.8 million.</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amounted to US$3.9 million in 2016, which was mainly attributable to a net loss of $27.3 million, partially offset by a net increase in working capital of US$1.3 million and non-cash items of US$22.1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US$2.3 million. The increase in deferred revenue of US$10.8 million was primarily driven by an increase in receipt in advance from clients. The increase in prepaid media cost of US$9.6 million was primarily driven by an increase in prepaid media cost under our sales agency arrangement towards the end of 2016 to secure favorable rates for our incentive revenue as we had additional liquidity following our issuance of Series E convertible redeemable shares in December 2016. The non-cash items of US$22.1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8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240" w:top="455" w:right="31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increase in accrued liabilities and other current liabilities of US$9.3 million and a decrease in prepaid media costs of US$8.1 million, partially offset primarily by an increase in accounts receivable of US$13.7 million. The increase in accrued liabilities and other current liabilities of US$9.3 million was primarily driven by an increase in rebate provision to clients and accrued expenses. 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the nine months ended September 30, 2017 was US$5.1 million, due to a decrease in restricted cash of US$5.2 million.</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the nine months ended September 30, 2017 was US$5.1 million, which was primarily attributable to repayments from bank borrowings of US$5.1 million.</w:t>
      </w:r>
    </w:p>
    <w:p>
      <w:pPr>
        <w:spacing w:after="0" w:line="162"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made capital expenditures of US$2.7 million, US$0.9 million and US$0.1 million in 2015, 2016 and the nine months ended September 30, 2017, respectively. In these periods, our capital expenditures were mainly used for the purchase of property and equipment and purchase of software. Our capital expenditures for 2017 are expected to be approximately US$0.5 million, consisting primarily of expenditures related to the purchase of property and equipment and purchase of software. We will continue to make capital expenditures to support our business.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as of September 30,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0" w:type="dxa"/>
            <w:vAlign w:val="bottom"/>
            <w:gridSpan w:val="2"/>
          </w:tcPr>
          <w:p>
            <w:pPr>
              <w:jc w:val="center"/>
              <w:ind w:left="482"/>
              <w:spacing w:after="0" w:line="118" w:lineRule="exact"/>
              <w:rPr>
                <w:sz w:val="20"/>
                <w:szCs w:val="20"/>
                <w:color w:val="auto"/>
              </w:rPr>
            </w:pPr>
            <w:r>
              <w:rPr>
                <w:rFonts w:ascii="Times New Roman" w:cs="Times New Roman" w:eastAsia="Times New Roman" w:hAnsi="Times New Roman"/>
                <w:sz w:val="13"/>
                <w:szCs w:val="13"/>
                <w:b w:val="1"/>
                <w:bCs w:val="1"/>
                <w:color w:val="auto"/>
              </w:rPr>
              <w:t>1-</w:t>
            </w:r>
          </w:p>
        </w:tc>
        <w:tc>
          <w:tcPr>
            <w:tcW w:w="620" w:type="dxa"/>
            <w:vAlign w:val="bottom"/>
          </w:tcPr>
          <w:p>
            <w:pPr>
              <w:spacing w:after="0"/>
              <w:rPr>
                <w:sz w:val="10"/>
                <w:szCs w:val="10"/>
                <w:color w:val="auto"/>
              </w:rPr>
            </w:pPr>
          </w:p>
        </w:tc>
        <w:tc>
          <w:tcPr>
            <w:tcW w:w="44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3-</w:t>
            </w:r>
          </w:p>
        </w:tc>
        <w:tc>
          <w:tcPr>
            <w:tcW w:w="6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6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1,988</w:t>
            </w:r>
          </w:p>
        </w:tc>
        <w:tc>
          <w:tcPr>
            <w:tcW w:w="16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420</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 including interest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10,371</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9,951</w:t>
            </w:r>
          </w:p>
        </w:tc>
        <w:tc>
          <w:tcPr>
            <w:tcW w:w="16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420</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Our operating lease obligations relate to our leases of office premises. We lease our office premises under a non-cancelable operating lease arrangement. Rental expenses under operating leases for 2016 and the nine months ended September 30, 2017 were US$3.0 million and US$2.0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December 2015, we entered into a facility agreement for working capital loans with SPD Silicon Valley Bank, which was most recently amended in August 2017. Pursuant to the agreement as amended, we were granted a one-year revolving line of credit up to the lesser of (a) RMB50 million (US$7.5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(US$9.0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2017, when the loan matures and the principal is due and payable. We are allowed to voluntarily prepay the loan without prepayment charges. As of September 30, 2017, the total outstanding amount of the revolving loan was RMB30 million (US$4.6 million) and RMB20 million (US$3.0 million) was available to be drawn under this facility.</w:t>
      </w:r>
    </w:p>
    <w:p>
      <w:pPr>
        <w:spacing w:after="0" w:line="18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right="20" w:firstLine="8"/>
        <w:spacing w:after="0" w:line="251"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September 30, 2017, the total outstanding amount of the term loan was approximately US$0.3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September 30, 2017, the total outstanding amount under the revolving loan was US$2,950,000 and US$50,000 was available to be drawn under this facility. This loan also contains certain repayable on demand clause.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nine months granted by financial institutions times 115% per annum. We are required to make monthly interest payments through May 2018, when the loan matures and the principal is due and payable. We will be charged a prepayment fee if we prepay the loan before the maturity date. As of September 30, 2017, we had no outstanding balance under this revolving loan.</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July 2016, we entered into a facility agreement for working capital loans with SPD Silicon Valley Bank, which provides for a RMB12 million</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(US$1.8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The non-revolving loan was fully repaid on July 28, 2017.</w:t>
      </w:r>
    </w:p>
    <w:p>
      <w:pPr>
        <w:spacing w:after="0" w:line="19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March 2017, we entered into a facility agreement for working capital loans with Eastwest Bank, which provides for a RMB30 million (US$4.5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September 30, 2017, we had not drawn down under this revolving loan.</w:t>
      </w:r>
    </w:p>
    <w:p>
      <w:pPr>
        <w:spacing w:after="0" w:line="18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Other than those shown above, we did not have any significant capital and other commitments, long-term obligations, or guarantees as of September 30,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9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a change of our holding U.S. dollar equivalents of US$(0.9) million, US$(2.1) million, US$(3.1) million and US$2.2 million for cash and cash equivalents, accounts receivable, prepaid cost and deferred revenue, respectively. As of September 30, 2017, we had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Renminbi-denominated cash and cash equivalents, accounts receivable, prepaid cost and deferred revenue of RMB39.8 million, RMB164.0 million, RMB221.0 million and RMB186.0 million, respectively. We estimate that a 10% depreciation of Renminbi against the U.S. dollar based on the foreign exchange rate on September 30, 2017 would result in a change of our holding U.S. dollar equivalents of US$(0.6) million, US$(2.3) million, US$(3.1) million and US$2.6 million for cash and cash equivalents, accounts receivable, prepaid cost and deferred revenue, respectively.</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September 30, 2017 would result in a decrease of US$5.3 million and US$4.1 million in our net revenues and cost of revenues in the nine months ended September 30, 2016, respectively, and a 10% depreciation of Renminbi against the U.S. dollar based on the foreign exchange rate on September 30, 2017 would result in a decrease of US$7.1 million and US$6.3 million in our net revenues and cost of revenues in the nine months ended September 30, 2017, respectively.</w:t>
      </w:r>
    </w:p>
    <w:p>
      <w:pPr>
        <w:spacing w:after="0" w:line="18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September 30, 2017 was at floating rates.</w:t>
      </w:r>
    </w:p>
    <w:p>
      <w:pPr>
        <w:spacing w:after="0" w:line="176"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As of September 30, 2017, if interest rates increased/decreased by 1%, with all other variables having remained constant, and assuming the amount of bank borrowings outstanding at the end of the year was outstanding for the entire year, our net loss would have been US$78,452 higher/lower, respectively. These were mainly as a result of higher/lower interest expense for our bank borrowings at floating rates.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Standards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8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00"/>
          </w:cols>
          <w:pgMar w:left="240" w:top="455" w:right="2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80"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adopted ASU 2015-02 on January 1, 2017, and the impact of the adoption did not have a material impact on our consolidated financial statements.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We adopted ASU 2015-17 on January 1, 2017 and the impact of the adoption did not have a material impact on our consolidated financial statements.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adopted ASU 2016-09 on January 1, 2017 and the impact of the adoption did not have a material impact on our consolidated financial statements.</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All the information and data presented in this section have been derived from Frost &amp; Sullivan’s industry report in August,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Driven by continuous innovations in internet and mobile technologies and the increasing amount of time consumers spend on digital devices as well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data-driven potential of online marketing, marketers are increasingly shifting their marketing spend from offline channels, such as television advertising,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advertising and radio advertising, to online channels in order to achieve wider but more targeted audience reach and provide more tailored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RMB343.4 billion in 2016, representing a CAGR of 22.5%, which outpaced the growth of the overall marketing market. Online marketing spend in China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37.2% of total marketing spend in China, surging from 21.9% in 2012. This percentage is expected to continue to increase in the coming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reaching approximately 52.3% in 2020, when online marketing surpasses offline marketing as the primary segment in China’s marketing industry.</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6"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1" w:lineRule="exact"/>
        <w:rPr>
          <w:rFonts w:ascii="Times New Roman" w:cs="Times New Roman" w:eastAsia="Times New Roman" w:hAnsi="Times New Roman"/>
          <w:sz w:val="18"/>
          <w:szCs w:val="18"/>
          <w:color w:val="auto"/>
        </w:rPr>
      </w:pPr>
    </w:p>
    <w:p>
      <w:pPr>
        <w:ind w:left="900" w:right="40" w:hanging="325"/>
        <w:spacing w:after="0" w:line="258"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diagram below illustrates the historical and projected breakdown of the online marketing market in China by online and offline segments for each of the periods presented.</w:t>
      </w: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174625</wp:posOffset>
            </wp:positionV>
            <wp:extent cx="4373880" cy="13976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Online marketing is divided into the following four segments:</w:t>
      </w:r>
    </w:p>
    <w:p>
      <w:pPr>
        <w:spacing w:after="0" w:line="129" w:lineRule="exact"/>
        <w:rPr>
          <w:sz w:val="20"/>
          <w:szCs w:val="20"/>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Create</w:t>
      </w:r>
      <w:r>
        <w:rPr>
          <w:rFonts w:ascii="Times New Roman" w:cs="Times New Roman" w:eastAsia="Times New Roman" w:hAnsi="Times New Roman"/>
          <w:sz w:val="18"/>
          <w:szCs w:val="18"/>
          <w:color w:val="auto"/>
        </w:rPr>
        <w:t>: the creation, personalization curation and management of marketing content to be delivered to targeted audience;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Connect</w:t>
      </w:r>
      <w:r>
        <w:rPr>
          <w:rFonts w:ascii="Times New Roman" w:cs="Times New Roman" w:eastAsia="Times New Roman" w:hAnsi="Times New Roman"/>
          <w:sz w:val="18"/>
          <w:szCs w:val="18"/>
          <w:color w:val="auto"/>
        </w:rPr>
        <w:t>: the delivery of marketing content to targeted audience through marketing channels and forms;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w:t>
      </w:r>
      <w:r>
        <w:rPr>
          <w:rFonts w:ascii="Times New Roman" w:cs="Times New Roman" w:eastAsia="Times New Roman" w:hAnsi="Times New Roman"/>
          <w:sz w:val="18"/>
          <w:szCs w:val="18"/>
          <w:color w:val="auto"/>
        </w:rPr>
        <w:t>: the planning and management strategies to accomplish marketing objectives utilizing available resources;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Measure</w:t>
      </w:r>
      <w:r>
        <w:rPr>
          <w:rFonts w:ascii="Times New Roman" w:cs="Times New Roman" w:eastAsia="Times New Roman" w:hAnsi="Times New Roman"/>
          <w:sz w:val="18"/>
          <w:szCs w:val="18"/>
          <w:color w:val="auto"/>
        </w:rPr>
        <w:t>: the gathering of valuable audience insights through monitoring and analyzing campaign performance and other data traffic.</w:t>
      </w: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key trends shaping China’s online marketing market include:</w:t>
      </w:r>
    </w:p>
    <w:p>
      <w:pPr>
        <w:spacing w:after="0" w:line="129" w:lineRule="exact"/>
        <w:rPr>
          <w:sz w:val="20"/>
          <w:szCs w:val="20"/>
          <w:color w:val="auto"/>
        </w:rPr>
      </w:pPr>
    </w:p>
    <w:p>
      <w:pPr>
        <w:jc w:val="both"/>
        <w:ind w:left="900" w:right="380" w:hanging="325"/>
        <w:spacing w:after="0" w:line="267"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Integration of media resources</w:t>
      </w:r>
      <w:r>
        <w:rPr>
          <w:rFonts w:ascii="Times New Roman" w:cs="Times New Roman" w:eastAsia="Times New Roman" w:hAnsi="Times New Roman"/>
          <w:sz w:val="18"/>
          <w:szCs w:val="18"/>
          <w:color w:val="auto"/>
        </w:rPr>
        <w:t>. Marketers tend to promote their products and services through the most efficient channels. Companies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78" w:lineRule="exact"/>
        <w:rPr>
          <w:rFonts w:ascii="Times New Roman" w:cs="Times New Roman" w:eastAsia="Times New Roman" w:hAnsi="Times New Roman"/>
          <w:sz w:val="18"/>
          <w:szCs w:val="18"/>
          <w:color w:val="auto"/>
        </w:rPr>
      </w:pPr>
    </w:p>
    <w:p>
      <w:pPr>
        <w:jc w:val="both"/>
        <w:ind w:left="900" w:hanging="325"/>
        <w:spacing w:after="0" w:line="267"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Enrichment, diversification and personalization of marketing content. </w:t>
      </w:r>
      <w:r>
        <w:rPr>
          <w:rFonts w:ascii="Times New Roman" w:cs="Times New Roman" w:eastAsia="Times New Roman" w:hAnsi="Times New Roman"/>
          <w:sz w:val="18"/>
          <w:szCs w:val="18"/>
          <w:color w:val="auto"/>
        </w:rPr>
        <w:t>Content marketing is a strategic marketing approach focusing on creating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78" w:lineRule="exact"/>
        <w:rPr>
          <w:rFonts w:ascii="Times New Roman" w:cs="Times New Roman" w:eastAsia="Times New Roman" w:hAnsi="Times New Roman"/>
          <w:sz w:val="18"/>
          <w:szCs w:val="18"/>
          <w:color w:val="auto"/>
        </w:rPr>
      </w:pPr>
    </w:p>
    <w:p>
      <w:pPr>
        <w:ind w:left="900" w:right="60" w:hanging="325"/>
        <w:spacing w:after="0" w:line="267"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Rise of mobile marketing. </w:t>
      </w:r>
      <w:r>
        <w:rPr>
          <w:rFonts w:ascii="Times New Roman" w:cs="Times New Roman" w:eastAsia="Times New Roman" w:hAnsi="Times New Roman"/>
          <w:sz w:val="18"/>
          <w:szCs w:val="18"/>
          <w:color w:val="auto"/>
        </w:rPr>
        <w:t>Mobile marketing market has demonstrated tremendous growth potential with significant advantages in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78" w:lineRule="exact"/>
        <w:rPr>
          <w:rFonts w:ascii="Times New Roman" w:cs="Times New Roman" w:eastAsia="Times New Roman" w:hAnsi="Times New Roman"/>
          <w:sz w:val="18"/>
          <w:szCs w:val="18"/>
          <w:color w:val="auto"/>
        </w:rPr>
      </w:pPr>
    </w:p>
    <w:p>
      <w:pPr>
        <w:ind w:left="900" w:right="80" w:hanging="325"/>
        <w:spacing w:after="0" w:line="261"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of advanced online marketing technologies. </w:t>
      </w:r>
      <w:r>
        <w:rPr>
          <w:rFonts w:ascii="Times New Roman" w:cs="Times New Roman" w:eastAsia="Times New Roman" w:hAnsi="Times New Roman"/>
          <w:sz w:val="18"/>
          <w:szCs w:val="18"/>
          <w:color w:val="auto"/>
        </w:rPr>
        <w:t>Advanced technologies have proven to boost the efficiency and capability of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80"/>
          </w:cols>
          <w:pgMar w:left="240" w:top="455" w:right="3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20" w:hanging="325"/>
        <w:spacing w:after="0" w:line="261"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Rising significance of audience data management. </w:t>
      </w:r>
      <w:r>
        <w:rPr>
          <w:rFonts w:ascii="Times New Roman" w:cs="Times New Roman" w:eastAsia="Times New Roman" w:hAnsi="Times New Roman"/>
          <w:sz w:val="18"/>
          <w:szCs w:val="18"/>
          <w:color w:val="auto"/>
        </w:rPr>
        <w:t>Audience data management can help marketers gather valuable insights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main differences between China’s online marketing market and US’s online marketing market include:</w:t>
      </w:r>
    </w:p>
    <w:p>
      <w:pPr>
        <w:spacing w:after="0" w:line="129" w:lineRule="exact"/>
        <w:rPr>
          <w:sz w:val="20"/>
          <w:szCs w:val="20"/>
          <w:color w:val="auto"/>
        </w:rPr>
      </w:pPr>
    </w:p>
    <w:p>
      <w:pPr>
        <w:ind w:left="900" w:right="40" w:hanging="325"/>
        <w:spacing w:after="0" w:line="254"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Diverse marketing technology market in China compared to concentrated online marketing market in the US. </w:t>
      </w:r>
      <w:r>
        <w:rPr>
          <w:rFonts w:ascii="Times New Roman" w:cs="Times New Roman" w:eastAsia="Times New Roman" w:hAnsi="Times New Roman"/>
          <w:sz w:val="18"/>
          <w:szCs w:val="18"/>
          <w:color w:val="auto"/>
        </w:rPr>
        <w:t>In the US, the online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is relatively concentrated, with Google and Facebook, which provide value-added and advanced marketing services to meet advertisers’ various demands, accounting for over 80% of market share in terms of digital marketing in 2016. As such, successful marketing technology companies in the US tend to focus on specific functions such as distribution (for instance, whether to sell through a single distribution channel or multiple channels; online channels or offline channels), promotion (for instance, what type of promotion plan should be implemented, bundle sales, membership sales or discount sales), and positioning (for instance, what are the major target groups, how to segment the products, what business regions should be major focus), thereby consolidating their competitive advantages in the niche segments. In comparison, marketing technology market is relatively diverse and dynamic in China, with top three players, namely, Baidu, Alibaba, and Tencent occupying approximately 60% of the total digital marketing market and the rest of the market being shared by a large number of diverse players.</w:t>
      </w:r>
    </w:p>
    <w:p>
      <w:pPr>
        <w:spacing w:after="0" w:line="94" w:lineRule="exact"/>
        <w:rPr>
          <w:rFonts w:ascii="Times New Roman" w:cs="Times New Roman" w:eastAsia="Times New Roman" w:hAnsi="Times New Roman"/>
          <w:sz w:val="18"/>
          <w:szCs w:val="18"/>
          <w:color w:val="auto"/>
        </w:rPr>
      </w:pPr>
    </w:p>
    <w:p>
      <w:pPr>
        <w:ind w:left="900" w:right="200" w:hanging="325"/>
        <w:spacing w:after="0" w:line="261"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of real time bidding, or RTB-based display in China</w:t>
      </w:r>
      <w:r>
        <w:rPr>
          <w:rFonts w:ascii="Times New Roman" w:cs="Times New Roman" w:eastAsia="Times New Roman" w:hAnsi="Times New Roman"/>
          <w:sz w:val="18"/>
          <w:szCs w:val="18"/>
          <w:color w:val="auto"/>
        </w:rPr>
        <w:t>. Driven by the rapid development of marketing technology in China, RTB-based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 as a percentage of total advertising spend increased dramatically from approximately 2% in 2012 to approximately 16% in 2016, comparing to 34% of that in the US in 2016. Programmatic media buying is gaining ground in China and showing sign to replicate the trend in the US.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65" w:lineRule="exact"/>
        <w:rPr>
          <w:sz w:val="20"/>
          <w:szCs w:val="20"/>
          <w:color w:val="auto"/>
        </w:rPr>
      </w:pPr>
    </w:p>
    <w:p>
      <w:pPr>
        <w:ind w:left="900" w:right="60" w:hanging="325"/>
        <w:spacing w:after="0" w:line="284"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Create: </w:t>
      </w:r>
      <w:r>
        <w:rPr>
          <w:rFonts w:ascii="Times New Roman" w:cs="Times New Roman" w:eastAsia="Times New Roman" w:hAnsi="Times New Roman"/>
          <w:sz w:val="18"/>
          <w:szCs w:val="18"/>
          <w:color w:val="auto"/>
        </w:rPr>
        <w:t>technologies that assist marketers in designing marketing content, and include content creation tools, graphic creation tools, webinar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creation tools.</w:t>
      </w:r>
    </w:p>
    <w:p>
      <w:pPr>
        <w:spacing w:after="0" w:line="63" w:lineRule="exact"/>
        <w:rPr>
          <w:rFonts w:ascii="Times New Roman" w:cs="Times New Roman" w:eastAsia="Times New Roman" w:hAnsi="Times New Roman"/>
          <w:sz w:val="18"/>
          <w:szCs w:val="18"/>
          <w:color w:val="auto"/>
        </w:rPr>
      </w:pPr>
    </w:p>
    <w:p>
      <w:pPr>
        <w:ind w:left="900" w:right="440" w:hanging="325"/>
        <w:spacing w:after="0" w:line="284"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Connect: </w:t>
      </w:r>
      <w:r>
        <w:rPr>
          <w:rFonts w:ascii="Times New Roman" w:cs="Times New Roman" w:eastAsia="Times New Roman" w:hAnsi="Times New Roman"/>
          <w:sz w:val="18"/>
          <w:szCs w:val="18"/>
          <w:color w:val="auto"/>
        </w:rPr>
        <w:t>technologies that assist marketers in the delivery of marketing content to targeted audience, and include mobile apps design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engine tools, email tools, video and display processing, analyzing and compressing technologies.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80"/>
          </w:cols>
          <w:pgMar w:left="240" w:top="455" w:right="2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80" w:hanging="325"/>
        <w:spacing w:after="0" w:line="284"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w:t>
      </w:r>
      <w:r>
        <w:rPr>
          <w:rFonts w:ascii="Times New Roman" w:cs="Times New Roman" w:eastAsia="Times New Roman" w:hAnsi="Times New Roman"/>
          <w:sz w:val="18"/>
          <w:szCs w:val="18"/>
          <w:color w:val="auto"/>
        </w:rPr>
        <w:t>: technologies that assist marketers in accomplishing marketing objectives, and include client relationship management system, or CRM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marketing automation, account-based marketing, or ABM, project and product management tools.</w:t>
      </w:r>
    </w:p>
    <w:p>
      <w:pPr>
        <w:spacing w:after="0" w:line="63" w:lineRule="exact"/>
        <w:rPr>
          <w:rFonts w:ascii="Times New Roman" w:cs="Times New Roman" w:eastAsia="Times New Roman" w:hAnsi="Times New Roman"/>
          <w:sz w:val="18"/>
          <w:szCs w:val="18"/>
          <w:color w:val="auto"/>
        </w:rPr>
      </w:pPr>
    </w:p>
    <w:p>
      <w:pPr>
        <w:ind w:left="900" w:right="220" w:hanging="325"/>
        <w:spacing w:after="0" w:line="284"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Measure: </w:t>
      </w:r>
      <w:r>
        <w:rPr>
          <w:rFonts w:ascii="Times New Roman" w:cs="Times New Roman" w:eastAsia="Times New Roman" w:hAnsi="Times New Roman"/>
          <w:sz w:val="18"/>
          <w:szCs w:val="18"/>
          <w:color w:val="auto"/>
        </w:rPr>
        <w:t>technologies that assist marketers in monitoring and analyzing data to derive valuable insights, and include mobile and web analytic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cloud computing and data integration tools.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172085</wp:posOffset>
            </wp:positionV>
            <wp:extent cx="4528185" cy="16205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4"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65" w:lineRule="exact"/>
        <w:rPr>
          <w:sz w:val="20"/>
          <w:szCs w:val="20"/>
          <w:color w:val="auto"/>
        </w:rPr>
      </w:pPr>
    </w:p>
    <w:p>
      <w:pPr>
        <w:ind w:left="900" w:right="100" w:hanging="325"/>
        <w:spacing w:after="0" w:line="26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Big data era. </w:t>
      </w:r>
      <w:r>
        <w:rPr>
          <w:rFonts w:ascii="Times New Roman" w:cs="Times New Roman" w:eastAsia="Times New Roman" w:hAnsi="Times New Roman"/>
          <w:sz w:val="18"/>
          <w:szCs w:val="18"/>
          <w:color w:val="auto"/>
        </w:rPr>
        <w:t>The emergence and use of big data have transformed the planning and execution of marketing campaigns. Marketers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85" w:lineRule="exact"/>
        <w:rPr>
          <w:rFonts w:ascii="Times New Roman" w:cs="Times New Roman" w:eastAsia="Times New Roman" w:hAnsi="Times New Roman"/>
          <w:sz w:val="18"/>
          <w:szCs w:val="18"/>
          <w:color w:val="auto"/>
        </w:rPr>
      </w:pPr>
    </w:p>
    <w:p>
      <w:pPr>
        <w:ind w:left="900" w:right="220" w:hanging="325"/>
        <w:spacing w:after="0" w:line="26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Rising demand from small and medium-sized enterprises</w:t>
      </w:r>
      <w:r>
        <w:rPr>
          <w:rFonts w:ascii="Times New Roman" w:cs="Times New Roman" w:eastAsia="Times New Roman" w:hAnsi="Times New Roman"/>
          <w:sz w:val="18"/>
          <w:szCs w:val="18"/>
          <w:color w:val="auto"/>
        </w:rPr>
        <w:t>. With the help of online marketing technologies, small and medium-sized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85" w:lineRule="exact"/>
        <w:rPr>
          <w:rFonts w:ascii="Times New Roman" w:cs="Times New Roman" w:eastAsia="Times New Roman" w:hAnsi="Times New Roman"/>
          <w:sz w:val="18"/>
          <w:szCs w:val="18"/>
          <w:color w:val="auto"/>
        </w:rPr>
      </w:pPr>
    </w:p>
    <w:p>
      <w:pPr>
        <w:ind w:left="900" w:right="100" w:hanging="325"/>
        <w:spacing w:after="0" w:line="259"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Rising Demand from Multinational Companies. </w:t>
      </w:r>
      <w:r>
        <w:rPr>
          <w:rFonts w:ascii="Times New Roman" w:cs="Times New Roman" w:eastAsia="Times New Roman" w:hAnsi="Times New Roman"/>
          <w:sz w:val="18"/>
          <w:szCs w:val="18"/>
          <w:color w:val="auto"/>
        </w:rPr>
        <w:t>With rapid economic growth and increasing consumer spending power in China, multinational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60"/>
          </w:cols>
          <w:pgMar w:left="240" w:top="455" w:right="29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resources to bridge multinational companies to the China market are expected to benefit from this trend.</w:t>
      </w:r>
    </w:p>
    <w:p>
      <w:pPr>
        <w:spacing w:after="0" w:line="129" w:lineRule="exact"/>
        <w:rPr>
          <w:sz w:val="20"/>
          <w:szCs w:val="20"/>
          <w:color w:val="auto"/>
        </w:rPr>
      </w:pPr>
    </w:p>
    <w:p>
      <w:pPr>
        <w:ind w:left="900" w:hanging="325"/>
        <w:spacing w:after="0" w:line="259"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Rising demand from and outsourcing of certain services by publishers</w:t>
      </w:r>
      <w:r>
        <w:rPr>
          <w:rFonts w:ascii="Times New Roman" w:cs="Times New Roman" w:eastAsia="Times New Roman" w:hAnsi="Times New Roman"/>
          <w:sz w:val="18"/>
          <w:szCs w:val="18"/>
          <w:color w:val="auto"/>
        </w:rPr>
        <w:t>. Publishers are increasingly looking to online marketing technologies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85" w:lineRule="exact"/>
        <w:rPr>
          <w:rFonts w:ascii="Times New Roman" w:cs="Times New Roman" w:eastAsia="Times New Roman" w:hAnsi="Times New Roman"/>
          <w:sz w:val="18"/>
          <w:szCs w:val="18"/>
          <w:color w:val="auto"/>
        </w:rPr>
      </w:pPr>
    </w:p>
    <w:p>
      <w:pPr>
        <w:ind w:left="900" w:right="100" w:hanging="325"/>
        <w:spacing w:after="0" w:line="284"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consolidation. </w:t>
      </w:r>
      <w:r>
        <w:rPr>
          <w:rFonts w:ascii="Times New Roman" w:cs="Times New Roman" w:eastAsia="Times New Roman" w:hAnsi="Times New Roman"/>
          <w:sz w:val="18"/>
          <w:szCs w:val="18"/>
          <w:color w:val="auto"/>
        </w:rPr>
        <w:t>The trend of horizontal integration among small and medium-sized enterprises in the online marketing technology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expected to continue as these enterprises look to diversify their product portfolios and enhance technology capabilities.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80" w:lineRule="exact"/>
        <w:rPr>
          <w:sz w:val="20"/>
          <w:szCs w:val="20"/>
          <w:color w:val="auto"/>
        </w:rPr>
      </w:pPr>
    </w:p>
    <w:p>
      <w:pPr>
        <w:ind w:left="900" w:right="380" w:hanging="325"/>
        <w:spacing w:after="0" w:line="315"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to more diverse sources of data and wider range of content distribution opportunities. </w:t>
      </w:r>
      <w:r>
        <w:rPr>
          <w:rFonts w:ascii="Times New Roman" w:cs="Times New Roman" w:eastAsia="Times New Roman" w:hAnsi="Times New Roman"/>
          <w:sz w:val="17"/>
          <w:szCs w:val="17"/>
          <w:color w:val="auto"/>
        </w:rPr>
        <w:t>Non-independent online marketing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may be limited in their access to audience data and content distribution opportunities from their competing publishers.</w:t>
      </w:r>
    </w:p>
    <w:p>
      <w:pPr>
        <w:spacing w:after="0" w:line="40" w:lineRule="exact"/>
        <w:rPr>
          <w:rFonts w:ascii="Times New Roman" w:cs="Times New Roman" w:eastAsia="Times New Roman" w:hAnsi="Times New Roman"/>
          <w:sz w:val="17"/>
          <w:szCs w:val="17"/>
          <w:color w:val="auto"/>
        </w:rPr>
      </w:pPr>
    </w:p>
    <w:p>
      <w:pPr>
        <w:jc w:val="both"/>
        <w:ind w:left="900" w:right="640" w:hanging="325"/>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Neutrality. </w:t>
      </w:r>
      <w:r>
        <w:rPr>
          <w:rFonts w:ascii="Times New Roman" w:cs="Times New Roman" w:eastAsia="Times New Roman" w:hAnsi="Times New Roman"/>
          <w:sz w:val="18"/>
          <w:szCs w:val="18"/>
          <w:color w:val="auto"/>
        </w:rPr>
        <w:t>Independent online marketing technology companies are perceived to provide more neutral and unbiased value proposition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marketers as its selection of channels to deliver marketing content is solely driven by the evaluation as to which channels would achieve maximum results with minimal costs for marketers.</w:t>
      </w:r>
    </w:p>
    <w:p>
      <w:pPr>
        <w:spacing w:after="0" w:line="78" w:lineRule="exact"/>
        <w:rPr>
          <w:rFonts w:ascii="Times New Roman" w:cs="Times New Roman" w:eastAsia="Times New Roman" w:hAnsi="Times New Roman"/>
          <w:sz w:val="18"/>
          <w:szCs w:val="18"/>
          <w:color w:val="auto"/>
        </w:rPr>
      </w:pPr>
    </w:p>
    <w:p>
      <w:pPr>
        <w:ind w:left="900" w:hanging="325"/>
        <w:spacing w:after="0" w:line="290"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More focused business model</w:t>
      </w:r>
      <w:r>
        <w:rPr>
          <w:rFonts w:ascii="Times New Roman" w:cs="Times New Roman" w:eastAsia="Times New Roman" w:hAnsi="Times New Roman"/>
          <w:sz w:val="17"/>
          <w:szCs w:val="17"/>
          <w:color w:val="auto"/>
        </w:rPr>
        <w:t>. The primary business focus and business models of large internet companies with extensive resources of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 including Baidu, Alibaba, and Tencent, are not marketing technology-oriented or to provide tailored marketing services to advertisers. Independent marketing technology companies focus on marketing technology and provide customized solutions and services to advertisers.</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5.4%. The five largest independent online marketing technology companies in China accounted for a total market share of 13.3% in terms of gross billing in 2016.</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pie chart below illustrates the market shares of the top five largest independent online marketing technology companies in terms of gross billing and other independent online marketing technology companies in China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131445</wp:posOffset>
            </wp:positionV>
            <wp:extent cx="4699635" cy="2238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996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172085</wp:posOffset>
            </wp:positionV>
            <wp:extent cx="4399280" cy="1475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240" w:top="455" w:right="51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89"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Our platform appeals to marketers by offering omni-channel reach to the Chinese audience. We provide our clients with one-stop access to a wide variety of cross-channel content distribution opportunities, including those from the leading online publishers in China. We offer both mobile audience solutions and other solutions based on channels desired by our clients. In the 30 days leading up to September 30, 2017, we covered approximately 74,000 mobile apps and 2.6 million websites. We work closely with our content distribution partners to facilitate innovative and effective audience engagement. In the nine months ended September 30, 2017, our gross billing from mobile audience solutions and other solutions amounted to US$104.5 million and US$57.4 million, respectively.</w:t>
      </w:r>
    </w:p>
    <w:p>
      <w:pPr>
        <w:spacing w:after="0" w:line="18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our client base for other solutions to focus on profitability and liquidity. Our net revenues grew by 46.2% from US$65.2 million in 2015 to US$95.4 million in 2016 and grew by 22.1% from US$70.0 million in the nine months ended September 30, 2016 to US$85.5 million in the same period in 2017. Our net loss was US$39.7 million and US$27.3 million in 2015 and 2016, respectively, and US$8.4 million and US$15.9 million in the nine months ended September 30, 2016 and 2017,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following competitive strengths have contributed to our success and differentiated us from our competitors: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Leading independent online marketing technology platform in China with a highly scalable and flexible business model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were the largest independent online marketing technology platform in China in terms of gross billing in 2016, according to Frost &amp; Sullivan.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billing reached US$179.8 million and US$161.9 million in 2016 and the nine months ended September 30, 2017, leading to net revenues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US$70.0 million and US$85.5 million during these periods. We are also one of the first independent online marketing technology platforms in China to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data-driven approach to address marketers’ needs, according to Frost &amp; Sullivan.</w:t>
      </w:r>
    </w:p>
    <w:p>
      <w:pPr>
        <w:spacing w:after="0" w:line="20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measuring of the results of online marketing campaigns, to creating content catering to their potential customers across different channels. We offer both mobile audience solutions and other solutions based on channels desired by our clients. Our clients may choose to access our solutions through either self-service or managed service, which we believe are well suited to the current development stage of online marketing in China. Sophisticated marketers can access our solutions through self-service to run their campaigns on an “a-la-carte”, cost-effective basis. Through managed service, our account management team provides in-depth services utilizing our solutions, enables marketers to navigate through complicated and fragmented online marketing landscapes and manage their marketing activities based on specified objectives and budgets. Managed service is attractive to a wide spectrum of marketers because of the ease of use and helps us foster long-term strategic relationships with marketers to gain valuable insights into their audience data and refine our data algorithms.</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80"/>
          </w:cols>
          <w:pgMar w:left="240" w:top="455" w:right="2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Leveraging our market-leading position, we are well-positioned to attract and retain marketers and gain access to premium audience engagement opportunities, creating a virtuous cycle which we expect to continue to 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Largest independent Chinese consumer data set with omni-channel, targeted audience reach</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had the largest Chinese consumer data 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demographics, geographic location, device preference, spending history, personal interest and other online or offline behavioral pattern, which can be targeted for marketing campaigns by specific industry verticals. These user profiles are continually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occurs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8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sophisticated and automated platform powered by proprietary, cutting-edge technologies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88"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00"/>
          </w:cols>
          <w:pgMar w:left="240" w:top="455" w:right="2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diverse and loyal client base</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effective and flexible solutions, sophisticated data analytics capabilities, and market leadership position have earned us a strong and diverse client base from a broad range of industry verticals, including banking and finance, entertainment and media, and E-commerce. Our clients included over 150 multinational companies in both 2016 and nine months ended September 30, 2017, respectively, making us the No.1 independent online marketing technology platform bridging the largest number of multinational companies to the Chinese market, according to Frost &amp; Sullivan.</w:t>
      </w:r>
    </w:p>
    <w:p>
      <w:pPr>
        <w:spacing w:after="0" w:line="180"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to multinational companies, our diverse client base also includes small and medium-sized enterprises. We provide tailored and user-friendly solutions to cater to marketers and marketing agencies of different levels of sophistication and from different industry verticals. This allows us to serve a wide spectrum of clients to capture the growth potentials in the market segments or industry verticals that they represent.</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Through our close working relationship with direct marketer clients, we are able to better understand and anticipate market trends, customize our solutions, foster closer client relationships and increase client loyalty and retention. We derived over 70% of our gross billing from direct marketer clients in 2015 and 2016 and around 60% of our gross billing from direct marketer clients in the nine months ended September 30, 2017. Our gross billing per client increased by 47.5% from US$67,413 in 2015 to US$99,433 in 2016. Our gross billing per client increased by 22.5% from US$86,489 in the nine months ended September 30, 2016 to US$105,925 in the same period in 2017. All of these demonstrate the stickiness of our platform and the strength of our solutions in addressing direct marketer clients’ needs through differentiated and tailored service offerings.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knowledge and familiarity with China’s online marketing industry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8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74,000 mobile apps and 2.6 million websites in the 30 days leading up to September 30, 2017, to help marketers, especially multinational marketers, navigate the fragmented landscape to identify and reach their potential customers. In 2016, we derived approximately 30% of our gross billing from clients outside of China as measured by the location of our sales offices. We are also familiar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leadership with proven track record of organic growth and acquisition execution</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success is attributable to the deep industry experience and proven execution track record of our senior management team, with global perspectives and insightful knowledge in both technology and the online marketing industry. Our business is led by Sammy Hsieh, our chief executive officer and co-founder, Jian Tang,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management team has guided us through the development of the online marketing industry in recent years, ensuring that our products and services continue to be attractive to clients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85"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We believe that the extensive industry experience, strategic vision and proven execution capabilities of our senior management team, along with our entrepreneurial corporate culture, have led to our present success, and laid a solid foundation for us to achieve a higher level of success in China’s online marketing industry.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enhance our competitive strengths and pursue the following strategies to expand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Optimize and diversify our client base</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plan to continue to optimize and diversify our client base, including attracting clients to use our 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tier and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tier cities in China and invest in their training to strengthen their ability in attracting and retaining high-quality small and medium-sized enterprises locally and educate them to use our solutions on a self-serve basis. In addition, we believe mobile audience solutions have high growth potential in light of the increasing mobile penetration rate and users’ engagement with mobile apps. We plan to continue to prioritize our mobile strategy through improved functionalities of our platform, better understanding of and response to clients’ needs and preferences in mobile marketing campaigns and expanding and deepening cooperation with mobile content distribution channels to capture a larger share of online marketing spend on mobile channels. We also strive to diversify our client base and penetrate into new industry verticals and geographical markets to capture more growth opportunities. We plan to launch solutions with industry-specific features, such as more user data packages with industry focus, and interfaces to attract marketers and marketing agencies in additional industry verticals. In addition, we intend to continue to open overseas offices, increase our international presence and attract more overseas clients with timely and localized support. We plan to add new features to our existing solutions that are particularly relevant to overseas clients, such as multi-language, currency and time zone settings. Furthermore, we plan to roll out our self-service model in the overseas market to cater to more multinational companies. We believe this will empower a growing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number of multinational clients to transact in an automated fashion with minimal additional sales and marketing inputs from us, enabling us to scale up operations efficiently.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marketing spend on our platform</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strive to increase marketing spend of our clients on our platform by staying at the forefront of the online marketing industry and address marketers’ evolving needs with innovative solutions.</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second quarter of 2018. In addition, we are working on new partnership initiatives, which would make third-party applications available to our clients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clients better monitor and optimize their campaigns.</w:t>
      </w:r>
    </w:p>
    <w:p>
      <w:pPr>
        <w:spacing w:after="0" w:line="18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enlarge audience data set, strengthen data analytics capabilities and innovate technologies</w:t>
      </w:r>
    </w:p>
    <w:p>
      <w:pPr>
        <w:spacing w:after="0" w:line="121"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We place a high value on data expansion and technological innovation and intend to continue devoting substantial resources to that end. We will continue to collaborate with marketers, publishers and other third parties to increase the dimensions and varieties of our data assets. We plan to work on further integration of data management platforms of our clients,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84"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In addition, we plan to continue investing in our data science technologies, including refreshing and upgrading data modeling and segmentation technologies to meet marketer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data application across more aspects in online marketing and beyond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intend to broaden our solution offerings across more aspects in online marketing, including content creation and customer relationship management.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we plan to expand our data application to content optimization to help marketers decide how best to upgrade their marketing content.</w:t>
      </w:r>
    </w:p>
    <w:p>
      <w:pPr>
        <w:spacing w:after="0" w:line="207"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Explore strategic alliance and acquisition opportunities</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We plan to take advantage of the fragmented nature and rapid growth of the online marketing technology market in China to continue to explore investment, acquisition and business collaboration opportunities and will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21"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2" w:lineRule="exact"/>
        <w:rPr>
          <w:sz w:val="20"/>
          <w:szCs w:val="20"/>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their potential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and activate potential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measure the results of online marketing campaigns;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our solutions, including the solutions from OptAim are integrated in a single user-friendly platform, accessible through both PC and mobile devices.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172085</wp:posOffset>
            </wp:positionV>
            <wp:extent cx="5111115" cy="2298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Suite of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Audience Identification Solution: iAudience</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1410" cy="383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Audience Engagement and Activation Solutions: iAccess and iActivation</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60"/>
          </w:cols>
          <w:pgMar w:left="240" w:top="456" w:right="2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171450</wp:posOffset>
            </wp:positionV>
            <wp:extent cx="4931410" cy="3404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Audience Engagement Solution Designed for Small and Medium-Sized Enterprises – iExpress</w:t>
      </w:r>
    </w:p>
    <w:p>
      <w:pPr>
        <w:spacing w:after="0" w:line="119"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Campaign Results Monitoring and Measurement Solution: iNsights</w:t>
      </w:r>
    </w:p>
    <w:p>
      <w:pPr>
        <w:spacing w:after="0" w:line="119"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87" w:lineRule="exact"/>
        <w:rPr>
          <w:sz w:val="20"/>
          <w:szCs w:val="20"/>
          <w:color w:val="auto"/>
        </w:rPr>
      </w:pPr>
    </w:p>
    <w:p>
      <w:pPr>
        <w:jc w:val="both"/>
        <w:ind w:left="900" w:hanging="325"/>
        <w:spacing w:after="0" w:line="267"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path analyses </w:t>
      </w:r>
      <w:r>
        <w:rPr>
          <w:rFonts w:ascii="Times New Roman" w:cs="Times New Roman" w:eastAsia="Times New Roman" w:hAnsi="Times New Roman"/>
          <w:sz w:val="18"/>
          <w:szCs w:val="18"/>
          <w:color w:val="auto"/>
        </w:rPr>
        <w:t>– Holistic analyses of when, where and how a user interacts with various devices by the multiple touch points he or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come in contact with, including the “last mile” through which the user is converted, i.e., making a purchase or otherwise taking an action that the marketer desires; and</w:t>
      </w:r>
    </w:p>
    <w:p>
      <w:pPr>
        <w:spacing w:after="0" w:line="78" w:lineRule="exact"/>
        <w:rPr>
          <w:rFonts w:ascii="Times New Roman" w:cs="Times New Roman" w:eastAsia="Times New Roman" w:hAnsi="Times New Roman"/>
          <w:sz w:val="18"/>
          <w:szCs w:val="18"/>
          <w:color w:val="auto"/>
        </w:rPr>
      </w:pPr>
    </w:p>
    <w:p>
      <w:pPr>
        <w:ind w:left="900" w:right="640" w:hanging="325"/>
        <w:spacing w:after="0" w:line="267"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Cross-channel effectiveness analyses </w:t>
      </w:r>
      <w:r>
        <w:rPr>
          <w:rFonts w:ascii="Times New Roman" w:cs="Times New Roman" w:eastAsia="Times New Roman" w:hAnsi="Times New Roman"/>
          <w:sz w:val="18"/>
          <w:szCs w:val="18"/>
          <w:color w:val="auto"/>
        </w:rPr>
        <w:t>– Analyses of the effectiveness of the various marketing channels in achieving different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00"/>
          </w:cols>
          <w:pgMar w:left="240" w:top="455" w:right="2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Creation Solution: iExperience</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second quarter of 2018.</w:t>
      </w:r>
    </w:p>
    <w:p>
      <w:pPr>
        <w:spacing w:after="0" w:line="18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also leverage on our solutions such as iAudience, iAccess, and iActivation to design tailored solutions catering to clients’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Delivery Model</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take a flexible approach to delivering our solutions. Depending on the preferences and levels of internal resources and sophistication of clients, our solutions are delivered through:</w:t>
      </w:r>
    </w:p>
    <w:p>
      <w:pPr>
        <w:spacing w:after="0" w:line="67" w:lineRule="exact"/>
        <w:rPr>
          <w:sz w:val="20"/>
          <w:szCs w:val="20"/>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self-service, when clients have the flexibility to run their marketing campaigns on an “a la carte”, cost-effective basis;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7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 Please refer to “Management Discussion and Analysis of Financial Condition and Results of Operations — Key Operating and Financial Metrics — Net Revenues”, “— Critical Accounting Policies — Revenue Recognition” and “— Critical Accounting Policies — Rebates” for a description of our revenue recognition policies and accounting treatment of rebates.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and Data Analytics Capabilities and Technologies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Data Assets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80"/>
          </w:cols>
          <w:pgMar w:left="240" w:top="455" w:right="2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technology companies in China, according to Frost &amp; Sullivan. From approximately 74,000 mobile apps and 2.6 million websites that we covered, we analyzed approximately 633.5 million active profiled users in China in the 30 days leading up to September 30, 2017. According to the China Internet Network Information Center, or CNNIC, there were 731 million internet users and 695 million mobile internet users in China as of December 31, 2016. The average daily volume of the data we collected reached 0.9 terabytes in the 30 days leading up to September 30, 2017.</w:t>
      </w:r>
    </w:p>
    <w:p>
      <w:pPr>
        <w:spacing w:after="0" w:line="18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91" w:lineRule="exact"/>
        <w:rPr>
          <w:sz w:val="20"/>
          <w:szCs w:val="20"/>
          <w:color w:val="auto"/>
        </w:rPr>
      </w:pPr>
    </w:p>
    <w:p>
      <w:pPr>
        <w:ind w:left="900" w:hanging="325"/>
        <w:spacing w:after="0" w:line="259"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Intent data – </w:t>
      </w:r>
      <w:r>
        <w:rPr>
          <w:rFonts w:ascii="Times New Roman" w:cs="Times New Roman" w:eastAsia="Times New Roman" w:hAnsi="Times New Roman"/>
          <w:sz w:val="18"/>
          <w:szCs w:val="18"/>
          <w:color w:val="auto"/>
        </w:rPr>
        <w:t>Intent data refers to data that indicates the various intent of a user. Intent data directly identifies the interests and immediate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85" w:lineRule="exact"/>
        <w:rPr>
          <w:rFonts w:ascii="Times New Roman" w:cs="Times New Roman" w:eastAsia="Times New Roman" w:hAnsi="Times New Roman"/>
          <w:sz w:val="18"/>
          <w:szCs w:val="18"/>
          <w:color w:val="auto"/>
        </w:rPr>
      </w:pPr>
    </w:p>
    <w:p>
      <w:pPr>
        <w:ind w:left="900" w:right="280" w:hanging="325"/>
        <w:spacing w:after="0" w:line="259"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data – </w:t>
      </w:r>
      <w:r>
        <w:rPr>
          <w:rFonts w:ascii="Times New Roman" w:cs="Times New Roman" w:eastAsia="Times New Roman" w:hAnsi="Times New Roman"/>
          <w:sz w:val="18"/>
          <w:szCs w:val="18"/>
          <w:color w:val="auto"/>
        </w:rPr>
        <w:t>Interest data refers to the category and semantic meaning of the content of websites and apps that a user visits, including visit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85" w:lineRule="exact"/>
        <w:rPr>
          <w:rFonts w:ascii="Times New Roman" w:cs="Times New Roman" w:eastAsia="Times New Roman" w:hAnsi="Times New Roman"/>
          <w:sz w:val="18"/>
          <w:szCs w:val="18"/>
          <w:color w:val="auto"/>
        </w:rPr>
      </w:pPr>
    </w:p>
    <w:p>
      <w:pPr>
        <w:ind w:left="900" w:right="140" w:hanging="325"/>
        <w:spacing w:after="0" w:line="259"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transactional data – </w:t>
      </w:r>
      <w:r>
        <w:rPr>
          <w:rFonts w:ascii="Times New Roman" w:cs="Times New Roman" w:eastAsia="Times New Roman" w:hAnsi="Times New Roman"/>
          <w:sz w:val="18"/>
          <w:szCs w:val="18"/>
          <w:color w:val="auto"/>
        </w:rPr>
        <w:t>Online transactional data refers to a user’s behavior on online commerce platforms, including the items he or she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85" w:lineRule="exact"/>
        <w:rPr>
          <w:rFonts w:ascii="Times New Roman" w:cs="Times New Roman" w:eastAsia="Times New Roman" w:hAnsi="Times New Roman"/>
          <w:sz w:val="18"/>
          <w:szCs w:val="18"/>
          <w:color w:val="auto"/>
        </w:rPr>
      </w:pPr>
    </w:p>
    <w:p>
      <w:pPr>
        <w:ind w:left="900" w:right="40" w:hanging="325"/>
        <w:spacing w:after="0" w:line="257"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Offline purchase behavioral data – </w:t>
      </w:r>
      <w:r>
        <w:rPr>
          <w:rFonts w:ascii="Times New Roman" w:cs="Times New Roman" w:eastAsia="Times New Roman" w:hAnsi="Times New Roman"/>
          <w:sz w:val="18"/>
          <w:szCs w:val="18"/>
          <w:color w:val="auto"/>
        </w:rPr>
        <w:t>Offline purchase behavioral data refers to a user’s behavior in non-digitally connected environments,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8" w:lineRule="exact"/>
        <w:rPr>
          <w:rFonts w:ascii="Times New Roman" w:cs="Times New Roman" w:eastAsia="Times New Roman" w:hAnsi="Times New Roman"/>
          <w:sz w:val="18"/>
          <w:szCs w:val="18"/>
          <w:color w:val="auto"/>
        </w:rPr>
      </w:pPr>
    </w:p>
    <w:p>
      <w:pPr>
        <w:ind w:left="900" w:right="180" w:hanging="325"/>
        <w:spacing w:after="0" w:line="267"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Social data – </w:t>
      </w:r>
      <w:r>
        <w:rPr>
          <w:rFonts w:ascii="Times New Roman" w:cs="Times New Roman" w:eastAsia="Times New Roman" w:hAnsi="Times New Roman"/>
          <w:sz w:val="18"/>
          <w:szCs w:val="18"/>
          <w:color w:val="auto"/>
        </w:rPr>
        <w:t>Social data refers a user’s behavior on social networks, such as Sina Weibo and Tencent QZone, including the content the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00"/>
          </w:cols>
          <w:pgMar w:left="240" w:top="455" w:right="2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6" w:lineRule="auto"/>
        <w:rPr>
          <w:sz w:val="20"/>
          <w:szCs w:val="20"/>
          <w:color w:val="auto"/>
        </w:rPr>
      </w:pPr>
      <w:r>
        <w:rPr>
          <w:rFonts w:ascii="Times New Roman" w:cs="Times New Roman" w:eastAsia="Times New Roman" w:hAnsi="Times New Roman"/>
          <w:sz w:val="18"/>
          <w:szCs w:val="18"/>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80" w:lineRule="exact"/>
        <w:rPr>
          <w:sz w:val="20"/>
          <w:szCs w:val="20"/>
          <w:color w:val="auto"/>
        </w:rPr>
      </w:pPr>
    </w:p>
    <w:p>
      <w:pPr>
        <w:jc w:val="both"/>
        <w:ind w:left="900" w:right="100" w:hanging="325"/>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Demographic data – </w:t>
      </w:r>
      <w:r>
        <w:rPr>
          <w:rFonts w:ascii="Times New Roman" w:cs="Times New Roman" w:eastAsia="Times New Roman" w:hAnsi="Times New Roman"/>
          <w:sz w:val="18"/>
          <w:szCs w:val="18"/>
          <w:color w:val="auto"/>
        </w:rPr>
        <w:t>Demographic data refers to a user’s age, gender, income level and geographic location. In addition to inferred demographic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78" w:lineRule="exact"/>
        <w:rPr>
          <w:rFonts w:ascii="Times New Roman" w:cs="Times New Roman" w:eastAsia="Times New Roman" w:hAnsi="Times New Roman"/>
          <w:sz w:val="18"/>
          <w:szCs w:val="18"/>
          <w:color w:val="auto"/>
        </w:rPr>
      </w:pPr>
    </w:p>
    <w:p>
      <w:pPr>
        <w:ind w:left="900" w:right="100" w:hanging="325"/>
        <w:spacing w:after="0" w:line="25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Campaign performance data – </w:t>
      </w:r>
      <w:r>
        <w:rPr>
          <w:rFonts w:ascii="Times New Roman" w:cs="Times New Roman" w:eastAsia="Times New Roman" w:hAnsi="Times New Roman"/>
          <w:sz w:val="18"/>
          <w:szCs w:val="18"/>
          <w:color w:val="auto"/>
        </w:rPr>
        <w:t>Campaign performance data refers to a user’s interaction with, and response to, a given marketing message,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distill structured variables from large volume of unstructured data to construct context-rich user profiles. In the 30 days leading up to September 30, 2017, we analyzed approximately 633.5 million active profiled users, whose profiles include on average 19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Data Analytics Capabilities and Technologies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 Learning and Artificial Intelligence</w:t>
      </w:r>
    </w:p>
    <w:p>
      <w:pPr>
        <w:spacing w:after="0" w:line="133" w:lineRule="exact"/>
        <w:rPr>
          <w:sz w:val="20"/>
          <w:szCs w:val="20"/>
          <w:color w:val="auto"/>
        </w:rPr>
      </w:pPr>
    </w:p>
    <w:p>
      <w:pPr>
        <w:ind w:left="900" w:right="80" w:hanging="325"/>
        <w:spacing w:after="0" w:line="259"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Audience tracking engine </w:t>
      </w:r>
      <w:r>
        <w:rPr>
          <w:rFonts w:ascii="Times New Roman" w:cs="Times New Roman" w:eastAsia="Times New Roman" w:hAnsi="Times New Roman"/>
          <w:sz w:val="18"/>
          <w:szCs w:val="18"/>
          <w:color w:val="auto"/>
        </w:rPr>
        <w:t>- Our audience tracking engine monitors our audience across various devices and channels to identify which user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85" w:lineRule="exact"/>
        <w:rPr>
          <w:rFonts w:ascii="Times New Roman" w:cs="Times New Roman" w:eastAsia="Times New Roman" w:hAnsi="Times New Roman"/>
          <w:sz w:val="18"/>
          <w:szCs w:val="18"/>
          <w:color w:val="auto"/>
        </w:rPr>
      </w:pPr>
    </w:p>
    <w:p>
      <w:pPr>
        <w:ind w:left="900" w:right="40" w:hanging="325"/>
        <w:spacing w:after="0" w:line="267"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Contextual analysis engine - </w:t>
      </w:r>
      <w:r>
        <w:rPr>
          <w:rFonts w:ascii="Times New Roman" w:cs="Times New Roman" w:eastAsia="Times New Roman" w:hAnsi="Times New Roman"/>
          <w:sz w:val="18"/>
          <w:szCs w:val="18"/>
          <w:color w:val="auto"/>
        </w:rPr>
        <w:t>Our contextual analysis engine parses all data properties to understand the context and content which audiences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8" w:lineRule="exact"/>
        <w:rPr>
          <w:rFonts w:ascii="Times New Roman" w:cs="Times New Roman" w:eastAsia="Times New Roman" w:hAnsi="Times New Roman"/>
          <w:sz w:val="18"/>
          <w:szCs w:val="18"/>
          <w:color w:val="auto"/>
        </w:rPr>
      </w:pPr>
    </w:p>
    <w:p>
      <w:pPr>
        <w:ind w:left="900" w:right="60" w:hanging="325"/>
        <w:spacing w:after="0" w:line="267"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language processing algorithms - </w:t>
      </w:r>
      <w:r>
        <w:rPr>
          <w:rFonts w:ascii="Times New Roman" w:cs="Times New Roman" w:eastAsia="Times New Roman" w:hAnsi="Times New Roman"/>
          <w:sz w:val="18"/>
          <w:szCs w:val="18"/>
          <w:color w:val="auto"/>
        </w:rPr>
        <w:t>Our natural language processing algorithms, or NLP, are important elements of our contextual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 We use these algorithms to extract structure from unstructured data, so that it can be processed and analyzed effectively. Our NLP algorithms 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1" w:lineRule="auto"/>
        <w:rPr>
          <w:sz w:val="20"/>
          <w:szCs w:val="20"/>
          <w:color w:val="auto"/>
        </w:rPr>
      </w:pPr>
      <w:r>
        <w:rPr>
          <w:rFonts w:ascii="Times New Roman" w:cs="Times New Roman" w:eastAsia="Times New Roman" w:hAnsi="Times New Roman"/>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Predictive Analytics</w:t>
      </w:r>
    </w:p>
    <w:p>
      <w:pPr>
        <w:spacing w:after="0" w:line="133" w:lineRule="exact"/>
        <w:rPr>
          <w:sz w:val="20"/>
          <w:szCs w:val="20"/>
          <w:color w:val="auto"/>
        </w:rPr>
      </w:pPr>
    </w:p>
    <w:p>
      <w:pPr>
        <w:ind w:left="900" w:right="40" w:hanging="325"/>
        <w:spacing w:after="0" w:line="261"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User profiling engine - </w:t>
      </w:r>
      <w:r>
        <w:rPr>
          <w:rFonts w:ascii="Times New Roman" w:cs="Times New Roman" w:eastAsia="Times New Roman" w:hAnsi="Times New Roman"/>
          <w:sz w:val="18"/>
          <w:szCs w:val="18"/>
          <w:color w:val="auto"/>
        </w:rPr>
        <w:t>Combining the data collected through, and processed by, our contextual analysis engine and audience tracking engine,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September 30, 2017, we had designed an aggregate of 186 data labels for our user profiles.</w:t>
      </w:r>
    </w:p>
    <w:p>
      <w:pPr>
        <w:spacing w:after="0" w:line="85" w:lineRule="exact"/>
        <w:rPr>
          <w:rFonts w:ascii="Times New Roman" w:cs="Times New Roman" w:eastAsia="Times New Roman" w:hAnsi="Times New Roman"/>
          <w:sz w:val="18"/>
          <w:szCs w:val="18"/>
          <w:color w:val="auto"/>
        </w:rPr>
      </w:pPr>
    </w:p>
    <w:p>
      <w:pPr>
        <w:ind w:left="900" w:hanging="325"/>
        <w:spacing w:after="0" w:line="267"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Profile Segmentation Algorithms </w:t>
      </w:r>
      <w:r>
        <w:rPr>
          <w:rFonts w:ascii="Times New Roman" w:cs="Times New Roman" w:eastAsia="Times New Roman" w:hAnsi="Times New Roman"/>
          <w:sz w:val="18"/>
          <w:szCs w:val="18"/>
          <w:color w:val="auto"/>
        </w:rPr>
        <w:t>- We use various algorithms to organize user profiles, which are generated and updated dynamically in real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Real-Time Matching Technologies</w:t>
      </w:r>
    </w:p>
    <w:p>
      <w:pPr>
        <w:spacing w:after="0" w:line="133" w:lineRule="exact"/>
        <w:rPr>
          <w:sz w:val="20"/>
          <w:szCs w:val="20"/>
          <w:color w:val="auto"/>
        </w:rPr>
      </w:pPr>
    </w:p>
    <w:p>
      <w:pPr>
        <w:ind w:left="900" w:right="240" w:hanging="325"/>
        <w:spacing w:after="0" w:line="261"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user engagement algorithms </w:t>
      </w:r>
      <w:r>
        <w:rPr>
          <w:rFonts w:ascii="Times New Roman" w:cs="Times New Roman" w:eastAsia="Times New Roman" w:hAnsi="Times New Roman"/>
          <w:sz w:val="18"/>
          <w:szCs w:val="18"/>
          <w:color w:val="auto"/>
        </w:rPr>
        <w:t>– Our real time user engagement algorithms execute marketing decisions based on a wide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85" w:lineRule="exact"/>
        <w:rPr>
          <w:rFonts w:ascii="Times New Roman" w:cs="Times New Roman" w:eastAsia="Times New Roman" w:hAnsi="Times New Roman"/>
          <w:sz w:val="18"/>
          <w:szCs w:val="18"/>
          <w:color w:val="auto"/>
        </w:rPr>
      </w:pPr>
    </w:p>
    <w:p>
      <w:pPr>
        <w:ind w:left="900" w:right="20" w:hanging="325"/>
        <w:spacing w:after="0" w:line="259"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continuous real-time bid optimization algorithms </w:t>
      </w:r>
      <w:r>
        <w:rPr>
          <w:rFonts w:ascii="Times New Roman" w:cs="Times New Roman" w:eastAsia="Times New Roman" w:hAnsi="Times New Roman"/>
          <w:sz w:val="18"/>
          <w:szCs w:val="18"/>
          <w:color w:val="auto"/>
        </w:rPr>
        <w:t>– Our online continuous real-time bid optimization algorithms consider a wide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our policy is to immediately delete such information.</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Infrastructure</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65" w:lineRule="exact"/>
        <w:rPr>
          <w:sz w:val="20"/>
          <w:szCs w:val="20"/>
          <w:color w:val="auto"/>
        </w:rPr>
      </w:pPr>
    </w:p>
    <w:p>
      <w:pPr>
        <w:ind w:left="900" w:right="100" w:hanging="325"/>
        <w:spacing w:after="0" w:line="261"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analytics - </w:t>
      </w:r>
      <w:r>
        <w:rPr>
          <w:rFonts w:ascii="Times New Roman" w:cs="Times New Roman" w:eastAsia="Times New Roman" w:hAnsi="Times New Roman"/>
          <w:sz w:val="18"/>
          <w:szCs w:val="18"/>
          <w:color w:val="auto"/>
        </w:rPr>
        <w:t>Our cloud-based technology architecture is built to be fully distributed while having a single unified access layer.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85" w:lineRule="exact"/>
        <w:rPr>
          <w:rFonts w:ascii="Times New Roman" w:cs="Times New Roman" w:eastAsia="Times New Roman" w:hAnsi="Times New Roman"/>
          <w:sz w:val="18"/>
          <w:szCs w:val="18"/>
          <w:color w:val="auto"/>
        </w:rPr>
      </w:pPr>
    </w:p>
    <w:p>
      <w:pPr>
        <w:ind w:left="900" w:right="60" w:hanging="325"/>
        <w:spacing w:after="0" w:line="259"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 </w:t>
      </w:r>
      <w:r>
        <w:rPr>
          <w:rFonts w:ascii="Times New Roman" w:cs="Times New Roman" w:eastAsia="Times New Roman" w:hAnsi="Times New Roman"/>
          <w:sz w:val="18"/>
          <w:szCs w:val="18"/>
          <w:color w:val="auto"/>
        </w:rPr>
        <w:t>With modular architecture that is built to be horizontally scalable, our platform can be easily expanded as data storage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85" w:lineRule="exact"/>
        <w:rPr>
          <w:rFonts w:ascii="Times New Roman" w:cs="Times New Roman" w:eastAsia="Times New Roman" w:hAnsi="Times New Roman"/>
          <w:sz w:val="18"/>
          <w:szCs w:val="18"/>
          <w:color w:val="auto"/>
        </w:rPr>
      </w:pPr>
    </w:p>
    <w:p>
      <w:pPr>
        <w:jc w:val="both"/>
        <w:ind w:left="900" w:right="100" w:hanging="325"/>
        <w:spacing w:after="0" w:line="273" w:lineRule="auto"/>
        <w:tabs>
          <w:tab w:leader="none" w:pos="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Reliability - </w:t>
      </w:r>
      <w:r>
        <w:rPr>
          <w:rFonts w:ascii="Times New Roman" w:cs="Times New Roman" w:eastAsia="Times New Roman" w:hAnsi="Times New Roman"/>
          <w:sz w:val="17"/>
          <w:szCs w:val="17"/>
          <w:color w:val="auto"/>
        </w:rPr>
        <w:t>Our technology layers have built in software and hardware redundancy and will automatically switch if errors are detected. We built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spacing w:after="0" w:line="1" w:lineRule="exact"/>
        <w:rPr>
          <w:rFonts w:ascii="Times New Roman" w:cs="Times New Roman" w:eastAsia="Times New Roman" w:hAnsi="Times New Roman"/>
          <w:sz w:val="17"/>
          <w:szCs w:val="17"/>
          <w:color w:val="auto"/>
        </w:rPr>
      </w:pPr>
    </w:p>
    <w:p>
      <w:pPr>
        <w:ind w:left="900" w:right="6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Distribution Channels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81.6% and 88.6% of our media costs in 2015, 2016 and nine months ended September 30, 2017, respectively. Media cost for content distribution opportunities on our largest channel partner in each of 2015, 2016 and the nine months ended September 30, 2017 accounted for 55.0%, 42.2% and 61.1% of our media costs during the relevant periods, respectively, and media costs for content distribution opportunities on our second largest channel partner in each of 2015, 2016 and the nine months ended September 30, 2017 accounted for 22.6%, 36.1% and 25.7% of our media cost during the relevant periods,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addition, 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6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September 30, 2017, we covered approximately 74,000 mobile apps and 2.6 million websites. In 2016, our gross billing from mobile audience solutions and other solutions amounted to US$112.4 million and US$123.9 million, accounting for 47.6% and 52.4% of our gross billing, respectively. In the nine months ended September 30, 2017, our gross billings from mobile audience solutions and other solutions amounted to US$104.5 million and US$57.4 million, accounting for 64.5% and 35.5% of our gross billing, respectively. In 2016, our net revenues from mobile audience solutions and other solutions amounted to US$57.8 million and US$37.6 million, accounting for 60.6% and 39.4% of our net revenue, respectively. In the nine months ended September 30, 2017, our net revenues from mobile audience solutions and other solutions amounted to US$67.3 million and US$18.2 million, accounting for 78.7% and 21.3% of our net revenues, respectively.</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Revenues,” “—Key Components of Results of Operations — Cost of Revenues; Gross Profit Margin,” “—Critical Accounting Policies — Revenue Recognition — Sales Agency” and “—Critical Accounting Policies — Rebates” for a description of the accounting treatment of rebates and incentives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9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sell our solutions by entering into marketing campaign contracts with marketers or marketing agencies. We treat entities which enter into marketing campaign contracts with us and incur marketing spend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“marketers” include both direct marketer clients, and marketers that are represented by our marketing agency clients and have no direct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80"/>
          </w:cols>
          <w:pgMar w:left="240" w:top="455" w:right="2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contractual relationship with us, or end marketers. During 2016, we had over 2,000 clients including over 1,800 direct marketer clients and over 500 marketing agency clients, which represented over 1,100 end marketers. In the nine months ended September 30, 2017, we had over 1,500 clients, including over 1,100 direct marketer clients and over 400 agency clients, which represented over 1,200 end marketers.</w:t>
      </w:r>
    </w:p>
    <w:p>
      <w:pPr>
        <w:spacing w:after="0" w:line="17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and in the nine months ended September 30, 2017, respectively, as well as small and medium-sized enterprises. Our marketers come from a variety of regions, with headquarters in Europe, North America, South America, or Southeast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 Please refer to “Management’s Discussion and Analysis of Financial Condition and Results of Operations — Key Components of Results of Operations — Net Revenues” for our net revenues breakdown by geographic region.</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derived over 70% of our gross billing from direct marketer clients in 2015 and 2016 and around 60% of our gross billing from direct marketer clients in the nine months ended September 30, 2017. We have been strategically optimizing the client base for other solutions to focus on profitability and liquidity. As a result of these efforts, our gross billing per client increased by US$32,020, or 47.5%, from US$67,413 in 2015 to US$99,433 in 2016, and by US$19,436, or 22.5%, from US$86,489 in the nine months ended September 30, 2016 to US$105,925 in the same period in 2017.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clients decreased by 26.5% from 2,079 in the nine months ended September 30, 2016 to 1,528 in the same period in 2017.</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2016, we derived 18% of our net revenues from a marketer in the entertainment industry and 11% of our net revenues from a marketer in the e-commerce industry. In the nine months ended September 30, 2017, we derived 11% of our net revenues from a marketer in the entertainment industry. These marketers utilized our mobile audience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clients or attract new ones could adversely impact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Business Development and Account Management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sales and business development workforce is focused on attracting more clients for our mobile audience solutions, optimizing the client base for our other solutions to focus on profitability and liquidity, and attracting more clients to use our solutions through our self-service model. Leveraging our existing positions and reputations in industry sectors where we already have a strong presence, we are able to attract more direct marketer clients in those sectors. In addition, we are focused on diversifying our client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320"/>
          </w:cols>
          <w:pgMar w:left="240" w:top="455" w:right="3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sales and business development team is organized by geographic region, and is further divided into groups that focus on sales to marketers or to marketing agencies in each geographic region. As of September 30, 2017, we had 102 employees for sales and business development.</w:t>
      </w:r>
    </w:p>
    <w:p>
      <w:pPr>
        <w:spacing w:after="0" w:line="162"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w:t>
      </w:r>
    </w:p>
    <w:p>
      <w:pPr>
        <w:spacing w:after="0" w:line="184"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2017, we had two patents in application in China, and 13 registered trademarks and trademark application in China and Hong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400"/>
          </w:cols>
          <w:pgMar w:left="240" w:top="455" w:right="2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5.4%. According to Frost &amp; Sullivan, the five largest independent online marketing technology companies accounted for a total market share of 13.3%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9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380"/>
          </w:cols>
          <w:pgMar w:left="240" w:top="456" w:right="2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and 2016, we had a total of 596 and 554 employees, respectively. The table below provides a breakdown of our employees by function as of December 31, 2016:</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Operation support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As of September 30, 2017, we had a total of 440 employees, decreasing by 20.6% from 554 as of the end of December 31, 2016. The decrease primarily resulted from the decrease in headcount for sales and business development functions as we continued to optimize our client base to focus on profitability and liquidity, and for general and administrative functions as we further integrated OptAim’s operations, which had been completed by June 30, 2017.</w:t>
      </w:r>
    </w:p>
    <w:p>
      <w:pPr>
        <w:spacing w:after="0" w:line="18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88"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00"/>
          </w:cols>
          <w:pgMar w:left="24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Advertising Business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9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84"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52" w:lineRule="auto"/>
        <w:rPr>
          <w:sz w:val="20"/>
          <w:szCs w:val="20"/>
          <w:color w:val="auto"/>
        </w:rPr>
      </w:pPr>
      <w:r>
        <w:rPr>
          <w:rFonts w:ascii="Times New Roman" w:cs="Times New Roman" w:eastAsia="Times New Roman" w:hAnsi="Times New Roman"/>
          <w:sz w:val="18"/>
          <w:szCs w:val="18"/>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Privacy Protection</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 Rights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Computer Software Copyright</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On March 1, 2013, the Regulations for the Protection of Computer Software promulgated by the State Council came into effect. These regulations are formulated for protecting the rights and interests of computer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copyright owners, encouraging the development and application of computer software and promoting the development of software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21" w:lineRule="exact"/>
        <w:rPr>
          <w:sz w:val="20"/>
          <w:szCs w:val="20"/>
          <w:color w:val="auto"/>
        </w:rPr>
      </w:pPr>
    </w:p>
    <w:p>
      <w:pPr>
        <w:jc w:val="both"/>
        <w:ind w:right="540" w:firstLine="456"/>
        <w:spacing w:after="0" w:line="277" w:lineRule="auto"/>
        <w:rPr>
          <w:sz w:val="20"/>
          <w:szCs w:val="20"/>
          <w:color w:val="auto"/>
        </w:rPr>
      </w:pPr>
      <w:r>
        <w:rPr>
          <w:rFonts w:ascii="Times New Roman" w:cs="Times New Roman" w:eastAsia="Times New Roman" w:hAnsi="Times New Roman"/>
          <w:sz w:val="17"/>
          <w:szCs w:val="17"/>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Employment</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Enterprise Income Tax</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89"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for Share Transfers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w:t>
      </w:r>
    </w:p>
    <w:p>
      <w:pPr>
        <w:spacing w:after="0" w:line="121" w:lineRule="exact"/>
        <w:rPr>
          <w:sz w:val="20"/>
          <w:szCs w:val="20"/>
          <w:color w:val="auto"/>
        </w:rPr>
      </w:pPr>
    </w:p>
    <w:p>
      <w:pPr>
        <w:ind w:right="60" w:firstLine="456"/>
        <w:spacing w:after="0" w:line="271" w:lineRule="auto"/>
        <w:rPr>
          <w:sz w:val="20"/>
          <w:szCs w:val="20"/>
          <w:color w:val="auto"/>
        </w:rPr>
      </w:pPr>
      <w:r>
        <w:rPr>
          <w:rFonts w:ascii="Times New Roman" w:cs="Times New Roman" w:eastAsia="Times New Roman" w:hAnsi="Times New Roman"/>
          <w:sz w:val="17"/>
          <w:szCs w:val="17"/>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Withholding Tax</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60"/>
          </w:cols>
          <w:pgMar w:left="240" w:top="455" w:right="29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88"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Exchange</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Settlement and Overseas Remittance of Foreign-Invested Enterprises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9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On January 10, 2017, the People’s Bank of China promulgated the Circular on Management of Cross-border Financing. According to this circular, an enterprise shall file the cross-border financing contracts for the record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80"/>
          </w:cols>
          <w:pgMar w:left="240" w:top="456" w:right="2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Outbound Investment and Financing and Roundtrip Investment</w:t>
      </w:r>
    </w:p>
    <w:p>
      <w:pPr>
        <w:spacing w:after="0" w:line="121" w:lineRule="exact"/>
        <w:rPr>
          <w:sz w:val="20"/>
          <w:szCs w:val="20"/>
          <w:color w:val="auto"/>
        </w:rPr>
      </w:pPr>
    </w:p>
    <w:p>
      <w:pPr>
        <w:ind w:right="500" w:firstLine="456"/>
        <w:spacing w:after="0" w:line="258" w:lineRule="auto"/>
        <w:rPr>
          <w:sz w:val="20"/>
          <w:szCs w:val="20"/>
          <w:color w:val="auto"/>
        </w:rPr>
      </w:pPr>
      <w:r>
        <w:rPr>
          <w:rFonts w:ascii="Times New Roman" w:cs="Times New Roman" w:eastAsia="Times New Roman" w:hAnsi="Times New Roman"/>
          <w:sz w:val="18"/>
          <w:szCs w:val="18"/>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Dividend Distribution</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400"/>
          </w:cols>
          <w:pgMar w:left="240" w:top="456" w:right="2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January 2015, the MOFCOM published a consultation draft of PRC Foreign Investment Law for public review and comments. Among other things, the draft Foreign Investment Law expands the definition of foreign 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w:t>
      </w:r>
    </w:p>
    <w:p>
      <w:pPr>
        <w:spacing w:after="0" w:line="3" w:lineRule="exact"/>
        <w:rPr>
          <w:sz w:val="20"/>
          <w:szCs w:val="20"/>
          <w:color w:val="auto"/>
        </w:rPr>
      </w:pPr>
    </w:p>
    <w:p>
      <w:pPr>
        <w:ind w:right="40" w:firstLine="8"/>
        <w:spacing w:after="0" w:line="254"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86"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4"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80"/>
          </w:cols>
          <w:pgMar w:left="240" w:top="455" w:right="27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 Except for Messrs. Scott Moore, Dylan Huang and Honnus Cheung, the business address for our directors and executive officers is that of our principal executive office at: 15/F, Prosperity Millennia Plaza, 663 King’s Road, Quarry Bay, Hong Kong S.A.R. The business address of Mr. Scott Moore is Ad Lightning, Inc., 240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Ave. South, Suite 400, Seattle, WA 98104. The business address of Mr. Dylan Huang is Block C, Hengdian Building, No. 4 Wangjing East Road, Chaoyang District, Beijing, China. The business address of Ms. Honnus Cheung is Unit 3608, Level 36, AIA Tower, 183 Electric Road, Hong Kong.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91"/>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Jian Tang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Yau Ping Ricky 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Yu Long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Antares Au</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Moore*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Dylan Huang*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Honnus Cheung*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Jie Jiao</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Yan Lee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right="20" w:hanging="332"/>
        <w:spacing w:after="0" w:line="262" w:lineRule="auto"/>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Messrs. Scott Moore, Dylan Huang and Honnus Cheung has accepted our appointment to be a director of our company, effective upon the effectiveness of our registration statement on Form F-1, of which this prospectus is a part.</w:t>
      </w:r>
    </w:p>
    <w:p>
      <w:pPr>
        <w:spacing w:after="0" w:line="164"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Wing Hong Sammy Hsieh </w:t>
      </w:r>
      <w:r>
        <w:rPr>
          <w:rFonts w:ascii="Times New Roman" w:cs="Times New Roman" w:eastAsia="Times New Roman" w:hAnsi="Times New Roman"/>
          <w:sz w:val="18"/>
          <w:szCs w:val="18"/>
          <w:color w:val="auto"/>
        </w:rPr>
        <w:t>is our chairman of the board and co-founder and has served as our chief executive officer since 2009. Prior to founding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8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Jian Tang </w:t>
      </w:r>
      <w:r>
        <w:rPr>
          <w:rFonts w:ascii="Times New Roman" w:cs="Times New Roman" w:eastAsia="Times New Roman" w:hAnsi="Times New Roman"/>
          <w:sz w:val="18"/>
          <w:szCs w:val="18"/>
          <w:color w:val="auto"/>
        </w:rPr>
        <w:t>is our director and co-founder and has served as our chief operating officer since January 2016 and our chief technology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83" w:lineRule="exact"/>
        <w:rPr>
          <w:sz w:val="20"/>
          <w:szCs w:val="20"/>
          <w:color w:val="auto"/>
        </w:rPr>
      </w:pPr>
    </w:p>
    <w:p>
      <w:pPr>
        <w:ind w:right="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Yau Ping Ricky Ng </w:t>
      </w:r>
      <w:r>
        <w:rPr>
          <w:rFonts w:ascii="Times New Roman" w:cs="Times New Roman" w:eastAsia="Times New Roman" w:hAnsi="Times New Roman"/>
          <w:sz w:val="18"/>
          <w:szCs w:val="18"/>
          <w:color w:val="auto"/>
        </w:rPr>
        <w:t>is our director and co-founder. Mr. Ng has also served as director of both Aladdin Fintech (Beijing) Company Limited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bachelor’s degree in computer science from the Chinese University of Hong Kong. Mr. Ng was named by Campaign Asia as “Digital A-list Digital Entrepreneur” in 2015 and Vmarketing as “Top 100 digital figures in 2011-2012.”</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Ms. Yu Long </w:t>
      </w:r>
      <w:r>
        <w:rPr>
          <w:rFonts w:ascii="Times New Roman" w:cs="Times New Roman" w:eastAsia="Times New Roman" w:hAnsi="Times New Roman"/>
          <w:sz w:val="18"/>
          <w:szCs w:val="18"/>
          <w:color w:val="auto"/>
        </w:rPr>
        <w:t>was appointed as our director by Bertelsmann Asia Investments in February 2011 in connection with its subscription of our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8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Antares Au </w:t>
      </w:r>
      <w:r>
        <w:rPr>
          <w:rFonts w:ascii="Times New Roman" w:cs="Times New Roman" w:eastAsia="Times New Roman" w:hAnsi="Times New Roman"/>
          <w:sz w:val="18"/>
          <w:szCs w:val="18"/>
          <w:color w:val="auto"/>
        </w:rPr>
        <w:t>was appointed as our director by SSG Capital in February 2011 in connection with its subscription of our ordinary and series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shares. Mr. Au is a founding member and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8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Mr. Scott Moore </w:t>
      </w:r>
      <w:r>
        <w:rPr>
          <w:rFonts w:ascii="Times New Roman" w:cs="Times New Roman" w:eastAsia="Times New Roman" w:hAnsi="Times New Roman"/>
          <w:sz w:val="17"/>
          <w:szCs w:val="17"/>
          <w:color w:val="auto"/>
        </w:rPr>
        <w:t>will serve as our director commencing from the SEC’s declaration of effectiveness of our registration statement on Form F-1, of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prospectus is a part. Mr. Moore is the founder, chief executive officer and member of the board of directors of Ad Lightning, Inc. From September 2013 to April 2016, he served as chairman of the board of directors and chief executive officer of Cheezburger Networks, Inc. Prior to this, Mr. Moore was the chief digital officer of Hibu, plc. From 2009 to 2011, Mr. Moore was the executive producer at MSN US for Microsoft Corporation. During his employment with Microsoft Corporation, Mr. Moore also served on the board of directors of MSNBC.com, a joint venture of Microsoft Corporation and NBC Universal. Mr. Moore received his MBA degree from the University of Washington in 1994 and his bachelor’s degree in arts from the Harvard College in 1985.</w:t>
      </w:r>
    </w:p>
    <w:p>
      <w:pPr>
        <w:spacing w:after="0" w:line="169"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Dylan Huang </w:t>
      </w:r>
      <w:r>
        <w:rPr>
          <w:rFonts w:ascii="Times New Roman" w:cs="Times New Roman" w:eastAsia="Times New Roman" w:hAnsi="Times New Roman"/>
          <w:sz w:val="18"/>
          <w:szCs w:val="18"/>
          <w:color w:val="auto"/>
        </w:rPr>
        <w:t>will serve as our director commencing from the SEC’s declaration of effectiveness of our registration statement on Form F-1,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this prospectus is a part. Mr. Huang has served as the corporate vice president, group chief technology officer and general manager at Tencent Online Media Group since 2008, leading its media’s mobile initiative. He was the senior lead program manager, program manager, software design engineer and software design engineer in test at Microsoft Corporation from 2001 to 2008. Prior to this, Mr. Huang served as product design manager at Hangzhou Fusheng Electrical Appliance Co., Ltd., previously named Fusheng Motor. Co. Mr. Huang received his bachelor’s degree and doctor’s degree in electrical engineering from Zhejiang University and his MBA degree from Washington Business School.</w:t>
      </w:r>
    </w:p>
    <w:p>
      <w:pPr>
        <w:spacing w:after="0" w:line="183" w:lineRule="exact"/>
        <w:rPr>
          <w:sz w:val="20"/>
          <w:szCs w:val="20"/>
          <w:color w:val="auto"/>
        </w:rPr>
      </w:pPr>
    </w:p>
    <w:p>
      <w:pPr>
        <w:jc w:val="both"/>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Ms. Honnus Cheung </w:t>
      </w:r>
      <w:r>
        <w:rPr>
          <w:rFonts w:ascii="Times New Roman" w:cs="Times New Roman" w:eastAsia="Times New Roman" w:hAnsi="Times New Roman"/>
          <w:sz w:val="18"/>
          <w:szCs w:val="18"/>
          <w:color w:val="auto"/>
        </w:rPr>
        <w:t>will serve as our director commencing from the SEC’s declaration of effectiveness of our registration statement on Form F-1,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this prospectus is a part. Ms. Cheung has served as the chief financial officer at Travelzoo, Asia Pacific since September 2015. Ms. Cheung served as the group chief financial officer of Travelzoo (Asia Pacific) Inc from November 2009 to August 2015 and the Asia Pacific chief financial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80"/>
          </w:cols>
          <w:pgMar w:left="240" w:top="455" w:right="2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officer of Travelzoo Inc. from September 2007 to October 2009. Prior to working at Travelzoo, Ms. Cheung served as the regional finance director of Yahoo Asia Pacific operations from 1999 to 2007. Prior to working at Yahoo, Ms. Cheung worked various professional positions at American Standard and PricewaterhouseCoopers. Ms. Cheung received her bachelor’s degree in commerce from the University of Queensland, Australia and an MBA degree from Northwestern University, United States. Ms. Cheung is a fellow member of Hong Kong Institution of Certified Public Accountants of Hong Kong (FCPA) and Certified Practising Accountants of Australia (FCPA), respectively. She is also a fellow member of the Hong Kong Institute of Directors (FHKIoD).</w:t>
      </w:r>
    </w:p>
    <w:p>
      <w:pPr>
        <w:spacing w:after="0" w:line="18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Ms. Jie Jiao </w:t>
      </w:r>
      <w:r>
        <w:rPr>
          <w:rFonts w:ascii="Times New Roman" w:cs="Times New Roman" w:eastAsia="Times New Roman" w:hAnsi="Times New Roman"/>
          <w:sz w:val="18"/>
          <w:szCs w:val="18"/>
          <w:color w:val="auto"/>
        </w:rPr>
        <w:t>has served as our chief financial officer since May 2017 and was our head of finance from 2014 to 2016. Ms. Jiao has also served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83"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Yan Lee </w:t>
      </w:r>
      <w:r>
        <w:rPr>
          <w:rFonts w:ascii="Times New Roman" w:cs="Times New Roman" w:eastAsia="Times New Roman" w:hAnsi="Times New Roman"/>
          <w:sz w:val="18"/>
          <w:szCs w:val="18"/>
          <w:color w:val="auto"/>
        </w:rPr>
        <w:t>has served as our chief product officer since 2016. Mr. Lee has approximately ten years of experience in digital marketing and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Upon the effectiveness of our registration statement on Form F-1, of which this prospectus is a part, our board of directors will consist of eight directors, including executive directors and non-executive directors. Pursuant to our eighth amended and restated memorandum and articles of association, which will become effective immediately prior to the completion of this offering and will replace our current amended and restated memorandum and articles of association in its entirety, the size of our board of directors shall be limited to nine.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8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Honnus Cheung, Scott Moore and Dylan Huang, and is chaired by Honnus Cheung. Honnus Cheung,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Scott Moore and Dylan Huang each satisfy the “independence” requirements of the Rule 5605(c)(2)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89" w:lineRule="exact"/>
        <w:rPr>
          <w:sz w:val="20"/>
          <w:szCs w:val="20"/>
          <w:color w:val="auto"/>
        </w:rPr>
      </w:pPr>
    </w:p>
    <w:p>
      <w:pPr>
        <w:ind w:left="900" w:hanging="325"/>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material control deficiencies;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of directors.</w:t>
      </w:r>
    </w:p>
    <w:p>
      <w:pPr>
        <w:spacing w:after="0" w:line="221"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Dylan Huang, Wing Hong Sammy Hsieh and Jian Tang, and will be chaired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Dylan Huang. Dylan Huang satisfies the “independence” requirements of the Listing Rules of the NASDAQ Stock Market. The compensation committee will assist the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400"/>
          </w:cols>
          <w:pgMar w:left="240" w:top="456" w:right="2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82"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total compensation package for our executive officers and making recommendations to the board with respect to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directors and making recommendations to the board with respect to it; and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w:t>
      </w:r>
    </w:p>
    <w:p>
      <w:pPr>
        <w:spacing w:after="0" w:line="158"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will consist of Scott Moore, Wing Hong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Sammy Hsieh, and Jian Tang, and will be chaired by Scott Moore. Scott Moore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89" w:lineRule="exact"/>
        <w:rPr>
          <w:sz w:val="20"/>
          <w:szCs w:val="20"/>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30"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age, skills, experience and availability of service to us; and</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which will become effective immediately prior to the completion of this offering and will replace our current amended and restated memorandum and articles of association in its entirety,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any removal or appointment of chairman of the board is subject to shareholder approval by ordinary resolution.</w:t>
      </w:r>
    </w:p>
    <w:p>
      <w:pPr>
        <w:spacing w:after="0" w:line="266" w:lineRule="exact"/>
        <w:rPr>
          <w:sz w:val="20"/>
          <w:szCs w:val="20"/>
          <w:color w:val="auto"/>
        </w:rPr>
      </w:pPr>
    </w:p>
    <w:p>
      <w:pPr>
        <w:jc w:val="right"/>
        <w:ind w:right="5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and Indemnification Agreements with Executive Officers </w:t>
      </w:r>
      <w:r>
        <w:rPr>
          <w:rFonts w:ascii="Times New Roman" w:cs="Times New Roman" w:eastAsia="Times New Roman" w:hAnsi="Times New Roman"/>
          <w:sz w:val="18"/>
          <w:szCs w:val="18"/>
          <w:color w:val="auto"/>
        </w:rPr>
        <w:t>We have entered into employment agreements with each of our executive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Termination</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IP</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Non-Competition and Non-Solicitation</w:t>
      </w:r>
    </w:p>
    <w:p>
      <w:pPr>
        <w:spacing w:after="0" w:line="121" w:lineRule="exact"/>
        <w:rPr>
          <w:sz w:val="20"/>
          <w:szCs w:val="20"/>
          <w:color w:val="auto"/>
        </w:rPr>
      </w:pPr>
    </w:p>
    <w:p>
      <w:pPr>
        <w:jc w:val="center"/>
        <w:ind w:right="480"/>
        <w:spacing w:after="0" w:line="276"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spacing w:after="0" w:line="1" w:lineRule="exact"/>
        <w:rPr>
          <w:sz w:val="20"/>
          <w:szCs w:val="20"/>
          <w:color w:val="auto"/>
        </w:rPr>
      </w:pPr>
    </w:p>
    <w:p>
      <w:pPr>
        <w:ind w:right="260" w:firstLine="8"/>
        <w:spacing w:after="0" w:line="261" w:lineRule="auto"/>
        <w:tabs>
          <w:tab w:leader="none" w:pos="2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For the twelve months ended December 31, 2016 and nine months ended September 30, 2017, we paid an aggregate of approximately US$1 million and US$0.7 million in cash to our executive officers, and we did not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80"/>
          </w:cols>
          <w:pgMar w:left="240" w:top="456" w:right="2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 For incentive share grants to our executive officers, see “— Share Incentive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2010 Plan</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1,542,793 ordinary shares are outstanding, including unvested options to purchase 501,144 ordinary shares, and vested and unexercised options to purchase 1,041,649 ordinary shares.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2010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 of Awards. </w:t>
      </w:r>
      <w:r>
        <w:rPr>
          <w:rFonts w:ascii="Times New Roman" w:cs="Times New Roman" w:eastAsia="Times New Roman" w:hAnsi="Times New Roman"/>
          <w:sz w:val="18"/>
          <w:szCs w:val="18"/>
          <w:color w:val="auto"/>
        </w:rPr>
        <w:t>The 2010 Plan permits the award of options to purchase our ordinary shares.</w:t>
      </w:r>
    </w:p>
    <w:p>
      <w:pPr>
        <w:spacing w:after="0" w:line="22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Trustee. </w:t>
      </w:r>
      <w:r>
        <w:rPr>
          <w:rFonts w:ascii="Times New Roman" w:cs="Times New Roman" w:eastAsia="Times New Roman" w:hAnsi="Times New Roman"/>
          <w:sz w:val="18"/>
          <w:szCs w:val="18"/>
          <w:color w:val="auto"/>
        </w:rPr>
        <w:t>Mr. Wing Hong Sammy Hsieh through Arda upon trust serves as the trustee to the beneficiaries of the 2010 Plan. Upon a grantee’s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Any award granted under the 2010 Plan is evidenced by an award agreement that sets forth terms, conditions and limitations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employees of our company or any of our subsidiaries.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Unless otherwise stated in respective grants, subject to forfeiture and arrangement on termination of employment or service, 25%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our listing on a stock exchange with an expected market capitalization of no less than US$500 million immediately after the completion of this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400"/>
          </w:cols>
          <w:pgMar w:left="240" w:top="455" w:right="2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Exercise of Options. </w:t>
      </w:r>
      <w:r>
        <w:rPr>
          <w:rFonts w:ascii="Times New Roman" w:cs="Times New Roman" w:eastAsia="Times New Roman" w:hAnsi="Times New Roman"/>
          <w:sz w:val="17"/>
          <w:szCs w:val="17"/>
          <w:color w:val="auto"/>
        </w:rPr>
        <w:t>Vested options will become exercisable during the first five business days of January, April, July and October until the termination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53" w:lineRule="exact"/>
        <w:rPr>
          <w:sz w:val="20"/>
          <w:szCs w:val="20"/>
          <w:color w:val="auto"/>
        </w:rPr>
      </w:pPr>
    </w:p>
    <w:p>
      <w:pPr>
        <w:ind w:right="3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The participant will not be permitted to transfer, assign, dispose of, or create or purport to create any encumbrances over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71"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and amendment of the 2010 Plan. </w:t>
      </w:r>
      <w:r>
        <w:rPr>
          <w:rFonts w:ascii="Times New Roman" w:cs="Times New Roman" w:eastAsia="Times New Roman" w:hAnsi="Times New Roman"/>
          <w:sz w:val="18"/>
          <w:szCs w:val="18"/>
          <w:color w:val="auto"/>
        </w:rPr>
        <w:t>Our board of directors may amend or discontinue the 2010 Plan, provided that such amendment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termination shall not impair the rights of a participant under any award without such participant’s consent.</w:t>
      </w:r>
    </w:p>
    <w:p>
      <w:pPr>
        <w:spacing w:after="0" w:line="15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the date of this prospectus, the outstanding options granted under the 2010 Plan to our directors, executive officers and other grantees.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08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Yau</w:t>
            </w: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Ping Ricky Ng</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4.800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21, 2013</w:t>
            </w: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 Tang</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0.2687 – 4.0304</w:t>
            </w:r>
          </w:p>
        </w:tc>
        <w:tc>
          <w:tcPr>
            <w:tcW w:w="1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August 1, 2015</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w:t>
            </w:r>
          </w:p>
        </w:tc>
        <w:tc>
          <w:tcPr>
            <w:tcW w:w="0" w:type="dxa"/>
            <w:vAlign w:val="bottom"/>
          </w:tcPr>
          <w:p>
            <w:pPr>
              <w:spacing w:after="0"/>
              <w:rPr>
                <w:sz w:val="1"/>
                <w:szCs w:val="1"/>
                <w:color w:val="auto"/>
              </w:rPr>
            </w:pPr>
          </w:p>
        </w:tc>
      </w:tr>
      <w:tr>
        <w:trPr>
          <w:trHeight w:val="198"/>
        </w:trPr>
        <w:tc>
          <w:tcPr>
            <w:tcW w:w="3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Yan Lee</w:t>
            </w:r>
          </w:p>
        </w:tc>
        <w:tc>
          <w:tcPr>
            <w:tcW w:w="11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8.1290 – 8.1300</w:t>
            </w:r>
          </w:p>
        </w:tc>
        <w:tc>
          <w:tcPr>
            <w:tcW w:w="19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January 1, 2015</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 1, 2025 to January 1, 2027</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Jie Jiao</w:t>
            </w:r>
          </w:p>
        </w:tc>
        <w:tc>
          <w:tcPr>
            <w:tcW w:w="11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8.1290 – 8.1300</w:t>
            </w:r>
          </w:p>
        </w:tc>
        <w:tc>
          <w:tcPr>
            <w:tcW w:w="19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August 18, 2014</w:t>
            </w: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July 1, 2024 to January 1, 2027</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grantees</w:t>
            </w:r>
          </w:p>
        </w:tc>
        <w:tc>
          <w:tcPr>
            <w:tcW w:w="11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1,272,342</w:t>
            </w:r>
          </w:p>
        </w:tc>
        <w:tc>
          <w:tcPr>
            <w:tcW w:w="1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0.0100 – 20.0000</w:t>
            </w:r>
          </w:p>
        </w:tc>
        <w:tc>
          <w:tcPr>
            <w:tcW w:w="19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April 1, 2011 to</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April 1, 2020 to April 1, 2027</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our total outstanding ordinary shares.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and 2018 Performance-Based Incentive Shares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Share Incentive Plan</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2017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2017 Plan permits the awards of options, restricted shares and restricted share units.</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Our board of directors or a committee of one or more members of the board of directors will administer the 2017 Plan.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71" w:lineRule="exact"/>
        <w:rPr>
          <w:sz w:val="20"/>
          <w:szCs w:val="20"/>
          <w:color w:val="auto"/>
        </w:rPr>
      </w:pPr>
    </w:p>
    <w:p>
      <w:pPr>
        <w:jc w:val="both"/>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Awards granted under the 2017 Plan are evidenced by an award agreement that sets forth terms, conditions and limitations for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which may include the term of the award, the provisions applicable in the event of the grantee’s employment or service terminates, and our authority to unilaterally or bilaterally amend, modify, suspend, cancel or rescind the award.</w:t>
      </w:r>
    </w:p>
    <w:p>
      <w:pPr>
        <w:spacing w:after="0" w:line="171"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our employees, directors and consultants of our company. However, we may grant options that are intended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qualify as incentive share options only to our employees and employees of our parent companies and subsidiaries.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 agreement.</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Options. </w:t>
      </w:r>
      <w:r>
        <w:rPr>
          <w:rFonts w:ascii="Times New Roman" w:cs="Times New Roman" w:eastAsia="Times New Roman" w:hAnsi="Times New Roman"/>
          <w:sz w:val="18"/>
          <w:szCs w:val="18"/>
          <w:color w:val="auto"/>
        </w:rPr>
        <w:t>The plan administrator determines the exercise price for each award, which is stated in the award agreement. The vested portion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option will expire if not exercised prior to the time as the plan administrator determines at the time of its grant. However, the maximum exercisable term is ten years from the date of a grant.</w:t>
      </w:r>
    </w:p>
    <w:p>
      <w:pPr>
        <w:spacing w:after="0" w:line="171"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by will or the laws of descent and distribution,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otherwise provided by the plan administrator.</w:t>
      </w:r>
    </w:p>
    <w:p>
      <w:pPr>
        <w:spacing w:after="0" w:line="155"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and amendment of the 2017 Plan. </w:t>
      </w:r>
      <w:r>
        <w:rPr>
          <w:rFonts w:ascii="Times New Roman" w:cs="Times New Roman" w:eastAsia="Times New Roman" w:hAnsi="Times New Roman"/>
          <w:sz w:val="18"/>
          <w:szCs w:val="18"/>
          <w:color w:val="auto"/>
        </w:rPr>
        <w:t>Unless terminated earlier, the 2017 Plan has a term of ten years. Our board of directors has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60"/>
          </w:cols>
          <w:pgMar w:left="240" w:top="456" w:right="29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the date of this prospectus by:</w:t>
      </w:r>
    </w:p>
    <w:p>
      <w:pPr>
        <w:spacing w:after="0" w:line="131" w:lineRule="exact"/>
        <w:rPr>
          <w:sz w:val="20"/>
          <w:szCs w:val="20"/>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that we know beneficially owns or will beneficially own more than 5% of our outstanding ordinary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or executive officer who beneficially owns or will beneficially own more than 1% of our outstanding ordinary shares;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7"/>
          <w:szCs w:val="17"/>
          <w:color w:val="auto"/>
        </w:rPr>
        <w:t>The calculations in the table below are based on 23,903,183 ordinary shares on an as-converted basis outstanding as of the date of this prospectus, which include all exercised options, but do not include granted but unexercised options, whether or not they are vested, and 26,844,383 ordinary shares outstanding immediately upon completion of this offering, assuming an initial offering price of US$8.50 per ADS, which is the midpoint of the estimated range, and assuming the number of ADSs offered by us as set forth on the cover page of the prospectus remains the same (and assuming the underwriters do not exercise their over-allotment option), including (i) 2,941,200 Class A ordinary shares to be sold by us in this offering in the form of ADSs, assuming the underwriters do not exercise their over-allotment option to purchase additional ADSs, (ii) 19,082,575 Class A ordinary shares into which all of our outstanding ordinary shares (other than 4,820,608 ordinary shares held by Mr. Sammy Hsieh and Mr. Jian Tang) and preferred shares will automatically convert and redesignate immediately prior to the completion of this offering on a one-for-one basis, and (iii) 4,820,608 Class B ordinary shares redesignated from the 4,820,608 outstanding ordinary shares held by Mr. Sammy Hsieh and Mr. Jian Tang immediately prior to the completion of this offering.</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60"/>
          </w:cols>
          <w:pgMar w:left="240" w:top="456" w:right="3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Ordinary Shares Beneficially</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Owned After This Offering</w:t>
            </w: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40" w:type="dxa"/>
            <w:vAlign w:val="bottom"/>
            <w:gridSpan w:val="3"/>
            <w:vMerge w:val="restart"/>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Total Ordinary</w:t>
            </w: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7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1020" w:type="dxa"/>
            <w:vAlign w:val="bottom"/>
            <w:gridSpan w:val="2"/>
          </w:tcPr>
          <w:p>
            <w:pPr>
              <w:jc w:val="center"/>
              <w:ind w:left="295"/>
              <w:spacing w:after="0" w:line="149" w:lineRule="exact"/>
              <w:rPr>
                <w:sz w:val="20"/>
                <w:szCs w:val="20"/>
                <w:color w:val="auto"/>
              </w:rPr>
            </w:pPr>
            <w:r>
              <w:rPr>
                <w:rFonts w:ascii="Times New Roman" w:cs="Times New Roman" w:eastAsia="Times New Roman" w:hAnsi="Times New Roman"/>
                <w:sz w:val="14"/>
                <w:szCs w:val="14"/>
                <w:b w:val="1"/>
                <w:bCs w:val="1"/>
                <w:color w:val="auto"/>
              </w:rPr>
              <w:t>Shares on</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Prior to</w:t>
            </w:r>
          </w:p>
        </w:tc>
        <w:tc>
          <w:tcPr>
            <w:tcW w:w="166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6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 as-converted</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40" w:type="dxa"/>
            <w:vAlign w:val="bottom"/>
            <w:gridSpan w:val="3"/>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basis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7"/>
                <w:szCs w:val="7"/>
                <w:color w:val="auto"/>
              </w:rPr>
              <w:t>(i)</w:t>
            </w:r>
          </w:p>
        </w:tc>
        <w:tc>
          <w:tcPr>
            <w:tcW w:w="40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color w:val="auto"/>
              </w:rPr>
              <w:t>(ii)</w:t>
            </w:r>
          </w:p>
        </w:tc>
        <w:tc>
          <w:tcPr>
            <w:tcW w:w="240" w:type="dxa"/>
            <w:vAlign w:val="bottom"/>
          </w:tcPr>
          <w:p>
            <w:pPr>
              <w:spacing w:after="0"/>
              <w:rPr>
                <w:sz w:val="12"/>
                <w:szCs w:val="12"/>
                <w:color w:val="auto"/>
              </w:rPr>
            </w:pPr>
          </w:p>
        </w:tc>
        <w:tc>
          <w:tcPr>
            <w:tcW w:w="104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color w:val="auto"/>
              </w:rPr>
              <w:t>(iv)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color w:val="auto"/>
              </w:rPr>
              <w:t>(v)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color w:val="auto"/>
              </w:rPr>
              <w:t>(vi)</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color w:val="auto"/>
              </w:rPr>
              <w:t>(vii)</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 Hsieh</w:t>
            </w:r>
            <w:r>
              <w:rPr>
                <w:rFonts w:ascii="Times New Roman" w:cs="Times New Roman" w:eastAsia="Times New Roman" w:hAnsi="Times New Roman"/>
                <w:sz w:val="15"/>
                <w:szCs w:val="15"/>
                <w:color w:val="auto"/>
              </w:rPr>
              <w:t>(1)(10)</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2,775,335</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2,500,580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2,500,580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Tang</w:t>
            </w:r>
            <w:r>
              <w:rPr>
                <w:rFonts w:ascii="Times New Roman" w:cs="Times New Roman" w:eastAsia="Times New Roman" w:hAnsi="Times New Roman"/>
                <w:sz w:val="15"/>
                <w:szCs w:val="15"/>
                <w:color w:val="auto"/>
              </w:rPr>
              <w:t>(2)(10)</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2,339,480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2,340,067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Yau Ping Ricky Ng</w:t>
            </w:r>
            <w:r>
              <w:rPr>
                <w:rFonts w:ascii="Times New Roman" w:cs="Times New Roman" w:eastAsia="Times New Roman" w:hAnsi="Times New Roman"/>
                <w:sz w:val="15"/>
                <w:szCs w:val="15"/>
                <w:color w:val="auto"/>
              </w:rPr>
              <w:t>(3)(10)</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954,653</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955,292</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955,292</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 Long</w:t>
            </w:r>
          </w:p>
        </w:tc>
        <w:tc>
          <w:tcPr>
            <w:tcW w:w="14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Antares Au</w:t>
            </w: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Moore</w:t>
            </w:r>
            <w:r>
              <w:rPr>
                <w:rFonts w:ascii="Times New Roman" w:cs="Times New Roman" w:eastAsia="Times New Roman" w:hAnsi="Times New Roman"/>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Dylan Huang</w:t>
            </w:r>
            <w:r>
              <w:rPr>
                <w:rFonts w:ascii="Times New Roman" w:cs="Times New Roman" w:eastAsia="Times New Roman" w:hAnsi="Times New Roman"/>
                <w:sz w:val="15"/>
                <w:szCs w:val="15"/>
                <w:color w:val="auto"/>
              </w:rPr>
              <w:t>(iii)</w:t>
            </w: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Honnus Cheung</w:t>
            </w:r>
            <w:r>
              <w:rPr>
                <w:rFonts w:ascii="Times New Roman" w:cs="Times New Roman" w:eastAsia="Times New Roman" w:hAnsi="Times New Roman"/>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Jie Jiao</w:t>
            </w:r>
          </w:p>
        </w:tc>
        <w:tc>
          <w:tcPr>
            <w:tcW w:w="1440" w:type="dxa"/>
            <w:vAlign w:val="bottom"/>
            <w:gridSpan w:val="3"/>
          </w:tcPr>
          <w:p>
            <w:pPr>
              <w:ind w:left="900"/>
              <w:spacing w:after="0"/>
              <w:rPr>
                <w:sz w:val="20"/>
                <w:szCs w:val="20"/>
                <w:color w:val="auto"/>
              </w:rPr>
            </w:pPr>
            <w:r>
              <w:rPr>
                <w:rFonts w:ascii="Times New Roman" w:cs="Times New Roman" w:eastAsia="Times New Roman" w:hAnsi="Times New Roman"/>
                <w:sz w:val="15"/>
                <w:szCs w:val="15"/>
                <w:color w:val="auto"/>
              </w:rPr>
              <w:t>(i)</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(i)</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(i)</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(i)</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left="315"/>
              <w:spacing w:after="0"/>
              <w:rPr>
                <w:sz w:val="20"/>
                <w:szCs w:val="20"/>
                <w:color w:val="auto"/>
              </w:rPr>
            </w:pPr>
            <w:r>
              <w:rPr>
                <w:rFonts w:ascii="Times New Roman" w:cs="Times New Roman" w:eastAsia="Times New Roman" w:hAnsi="Times New Roman"/>
                <w:sz w:val="15"/>
                <w:szCs w:val="15"/>
                <w:color w:val="auto"/>
                <w:w w:val="98"/>
              </w:rPr>
              <w:t>(i)</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(i)</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Lee</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rPr>
              <w:t>(i)</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(i)</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5"/>
                <w:szCs w:val="15"/>
                <w:color w:val="auto"/>
                <w:w w:val="98"/>
              </w:rPr>
              <w:t>(i)</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(i)</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(i)</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6,165,290</w:t>
            </w: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1,070,798</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4,820,608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5,891,406</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Bertelsmann Asia Investments AG and its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w:t>
            </w:r>
            <w:r>
              <w:rPr>
                <w:rFonts w:ascii="Times New Roman" w:cs="Times New Roman" w:eastAsia="Times New Roman" w:hAnsi="Times New Roman"/>
                <w:sz w:val="15"/>
                <w:szCs w:val="15"/>
                <w:color w:val="auto"/>
              </w:rPr>
              <w:t>(4)</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3,281,417</w:t>
            </w: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3,281,417</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3,281,417</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Focus International Limited</w:t>
            </w:r>
            <w:r>
              <w:rPr>
                <w:rFonts w:ascii="Times New Roman" w:cs="Times New Roman" w:eastAsia="Times New Roman" w:hAnsi="Times New Roman"/>
                <w:sz w:val="15"/>
                <w:szCs w:val="15"/>
                <w:color w:val="auto"/>
              </w:rPr>
              <w:t>(5)</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3,235,338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3,235,338</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3,235,338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Equity Asia Limited</w:t>
            </w:r>
            <w:r>
              <w:rPr>
                <w:rFonts w:ascii="Times New Roman" w:cs="Times New Roman" w:eastAsia="Times New Roman" w:hAnsi="Times New Roman"/>
                <w:sz w:val="15"/>
                <w:szCs w:val="15"/>
                <w:color w:val="auto"/>
              </w:rPr>
              <w:t>(6)</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2,881,030</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2,881,030</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2,881,030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Wing Hong Sammy Hsieh</w:t>
            </w:r>
            <w:r>
              <w:rPr>
                <w:rFonts w:ascii="Times New Roman" w:cs="Times New Roman" w:eastAsia="Times New Roman" w:hAnsi="Times New Roman"/>
                <w:sz w:val="15"/>
                <w:szCs w:val="15"/>
                <w:color w:val="auto"/>
              </w:rPr>
              <w:t>(1)</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2,775,335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2,500,580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51.9</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2,500,580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Czerny Holdings Limited and Cervetto</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Holdings Limited</w:t>
            </w:r>
            <w:r>
              <w:rPr>
                <w:rFonts w:ascii="Times New Roman" w:cs="Times New Roman" w:eastAsia="Times New Roman" w:hAnsi="Times New Roman"/>
                <w:sz w:val="15"/>
                <w:szCs w:val="15"/>
                <w:color w:val="auto"/>
              </w:rPr>
              <w:t>(7)</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2,486,802</w:t>
            </w:r>
          </w:p>
        </w:tc>
        <w:tc>
          <w:tcPr>
            <w:tcW w:w="1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2,486,802</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2,486,802</w:t>
            </w:r>
          </w:p>
        </w:tc>
        <w:tc>
          <w:tcPr>
            <w:tcW w:w="24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Igomax Inc.</w:t>
            </w:r>
            <w:r>
              <w:rPr>
                <w:rFonts w:ascii="Times New Roman" w:cs="Times New Roman" w:eastAsia="Times New Roman" w:hAnsi="Times New Roman"/>
                <w:sz w:val="15"/>
                <w:szCs w:val="15"/>
                <w:color w:val="auto"/>
              </w:rPr>
              <w:t>(10)</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2,320,028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2,320,028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Maestro Investment Holdings Limited</w:t>
            </w:r>
            <w:r>
              <w:rPr>
                <w:rFonts w:ascii="Times New Roman" w:cs="Times New Roman" w:eastAsia="Times New Roman" w:hAnsi="Times New Roman"/>
                <w:sz w:val="15"/>
                <w:szCs w:val="15"/>
                <w:color w:val="auto"/>
              </w:rPr>
              <w:t>(8)</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2,011,997</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2,011,997</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2,011,997</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 &amp; K Investment Limited</w:t>
            </w:r>
            <w:r>
              <w:rPr>
                <w:rFonts w:ascii="Times New Roman" w:cs="Times New Roman" w:eastAsia="Times New Roman" w:hAnsi="Times New Roman"/>
                <w:sz w:val="15"/>
                <w:szCs w:val="15"/>
                <w:color w:val="auto"/>
              </w:rPr>
              <w:t>(9)</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1,532,955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1,532,955</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1,532,955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shares.</w:t>
      </w:r>
    </w:p>
    <w:p>
      <w:pPr>
        <w:spacing w:after="0" w:line="27" w:lineRule="exact"/>
        <w:rPr>
          <w:rFonts w:ascii="Times New Roman" w:cs="Times New Roman" w:eastAsia="Times New Roman" w:hAnsi="Times New Roman"/>
          <w:sz w:val="18"/>
          <w:szCs w:val="18"/>
          <w:color w:val="auto"/>
        </w:rPr>
      </w:pPr>
    </w:p>
    <w:p>
      <w:pPr>
        <w:ind w:left="460" w:right="140" w:hanging="452"/>
        <w:spacing w:after="0" w:line="254"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shares beneficially owned by such person or group by the sum of the total number of ordinary shares outstanding, which is 23,903,183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00" w:hanging="452"/>
        <w:spacing w:after="0" w:line="261"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Scott Moore, Dylan Huang and Honnus Cheung has accepted our appointment to be a director of our company, effective upon the SEC’s declaration of effectiveness of our registration statement on Form F-1, of which this prospectus is a part.</w:t>
      </w:r>
    </w:p>
    <w:p>
      <w:pPr>
        <w:ind w:left="460" w:hanging="452"/>
        <w:spacing w:after="0" w:line="250"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Class A ordinary shares beneficially owned by such person or group, including Class A ordinary shares that such person or group has the right to acquire within 60 days after the date of this prospectus, by the sum of (1) 22,023,775, which is the total number of Class A ordinary shares outstanding immediately after the completion of this offering (assuming the underwriters do not exercise their over-allotment option to purchase additional ADSs), and (2) the number of Class A ordinary shares that such person or group has the right to acquire upon the exercise of options, warrants or other rights within 60 days after the date of this prospectus.</w:t>
      </w:r>
    </w:p>
    <w:p>
      <w:pPr>
        <w:spacing w:after="0" w:line="2"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Class B ordinary shares beneficially owned by such person or group, including Class B ordinary shares that such person or group has the right to acquire within 60 days after the date of this prospectus, by the sum of (1) 4,820,608, which is the total number of Class B ordinary shares outstanding immediately after the completion of this offering, and (2) the number of Class B ordinary shares that such person or group has the right to acquire upon the exercise of options, warrants or other rights within 60 days after the date of this prospectus.</w:t>
      </w:r>
    </w:p>
    <w:p>
      <w:pPr>
        <w:spacing w:after="0" w:line="2"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ordinary shares beneficially owned by such person or group, including ordinary shares that such person or group has the right to acquire within 60 days after the date of this prospectus, by the sum of (1) 26,844,383, which is the total number of ordinary shares outstanding immediately after the completion of this offering (assuming the underwriters do not exercise their over-allotment option to purchase additional ADSs), and (2) the number of ordinary shares that such person or group has the right to acquire upon exercise of option, warrant or other right within 60 days after the date of this prospectus.</w:t>
      </w:r>
    </w:p>
    <w:p>
      <w:pPr>
        <w:spacing w:after="0" w:line="2" w:lineRule="exact"/>
        <w:rPr>
          <w:rFonts w:ascii="Times New Roman" w:cs="Times New Roman" w:eastAsia="Times New Roman" w:hAnsi="Times New Roman"/>
          <w:sz w:val="18"/>
          <w:szCs w:val="18"/>
          <w:color w:val="auto"/>
        </w:rPr>
      </w:pPr>
    </w:p>
    <w:p>
      <w:pPr>
        <w:ind w:left="460" w:right="100" w:hanging="452"/>
        <w:spacing w:after="0" w:line="265" w:lineRule="auto"/>
        <w:tabs>
          <w:tab w:leader="none" w:pos="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or group included in this column, the percentage of total voting power represents voting power based on both Class A and Class B ordinary shares held by such person or group immediately after the completion of this offering with respect to all of our outstanding Class A and Class B ordinary shares as one class immediately after the completion of this offering (assuming the underwriters do not exercise their over-allotment option to purchase additional ADSs). Each holder of Class A ordinary shares is entitled to one vote per share. Each holder of our Class B ordinary shares is entitled to 20 votes per share on all matters subject to a shareholder’s vote. Our Class B ordinary shares are convertible at any time by the holder into Class A ordinary shares on a one-for-one basis, whereas Class A ordinary shares are not convertible into Class B ordinary shares under any</w:t>
      </w:r>
    </w:p>
    <w:p>
      <w:pPr>
        <w:spacing w:after="0" w:line="1" w:lineRule="exact"/>
        <w:rPr>
          <w:sz w:val="20"/>
          <w:szCs w:val="20"/>
          <w:color w:val="auto"/>
        </w:rPr>
      </w:pPr>
    </w:p>
    <w:p>
      <w:pPr>
        <w:ind w:left="460" w:right="280"/>
        <w:spacing w:after="0" w:line="250" w:lineRule="auto"/>
        <w:rPr>
          <w:sz w:val="20"/>
          <w:szCs w:val="20"/>
          <w:color w:val="auto"/>
        </w:rPr>
      </w:pPr>
      <w:r>
        <w:rPr>
          <w:rFonts w:ascii="Times New Roman" w:cs="Times New Roman" w:eastAsia="Times New Roman" w:hAnsi="Times New Roman"/>
          <w:sz w:val="18"/>
          <w:szCs w:val="18"/>
          <w:color w:val="auto"/>
        </w:rPr>
        <w:t>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 w:lineRule="exact"/>
        <w:rPr>
          <w:sz w:val="20"/>
          <w:szCs w:val="20"/>
          <w:color w:val="auto"/>
        </w:rPr>
      </w:pPr>
    </w:p>
    <w:p>
      <w:pPr>
        <w:ind w:left="460" w:right="40" w:hanging="452"/>
        <w:spacing w:after="0" w:line="265" w:lineRule="auto"/>
        <w:tabs>
          <w:tab w:leader="none" w:pos="4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2,500,580 ordinary shares held by Wing Hong Sammy Hsieh as of the date of this prospectus; and (b) 274,755 ordinary shares held by Arda Holdings from the exercise of options under our 2010 Plan. These ordinary shares held by Arda Holdings will be transferred to the relevant beneficiaries of the 2010 Plan upon the closing of the initial public offering. Mr. Hsieh through Arda upon trust serves as the trustee to the beneficiaries of the 2010 Plan (the trustee shall only deal with the trust properties in such manner as our board from time to time directs in writing). The</w:t>
      </w:r>
    </w:p>
    <w:p>
      <w:pPr>
        <w:jc w:val="both"/>
        <w:ind w:left="460" w:right="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2,500,580 ordinary shares held by Mr. Hsieh will be re-designated as Class B ordinary shares immediately prior to the completion of this offering. The 274,755 ordinary shares held by Arda Holdings will be re-designated into Class A ordinary shares immediately prior to the completion of this offering.</w:t>
      </w:r>
    </w:p>
    <w:p>
      <w:pPr>
        <w:ind w:left="460" w:right="200" w:hanging="452"/>
        <w:spacing w:after="0" w:line="253"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2,320,028 ordinary shares held by Igomax Inc., a British Virgin Islands company wholly owned by Jian Tang, and (b) 20,039 ordinary shares that are issuable upon exercise of options held in trust by Mr. Tang on behalf of certain consultants of OptAim that are exercisable currently or within 60 days of the date of this prospectus. The 2,320,028 ordinary shares held by Igomax Inc. will be re-designated as Class B ordinary shares immediately prior to the completion of this offering. The 20,039 ordinary shares that are issuable upon exercise of options will be re-designated as Class A ordinary shares immediately prior to the completion of this offering.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400"/>
          </w:cols>
          <w:pgMar w:left="240" w:top="455" w:right="2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55"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880,653 ordinary shares held by Yau Ping Ricky Ng as of the date of this prospectus; and (b) 74,000 ordinary shares that are issuable upon exercise of options held by Mr. Ng that are exercisable currently or within 60 days of the date of this prospectus. The 880,653 ordinary shares will be re-designated as Class A ordinary shares immediately prior to the completion of this offering. The 74,000 ordinary shares that are issuable upon exercise of options will be re-designated as Class A ordinary shares immediately prior to the completion of this offering.</w:t>
      </w:r>
    </w:p>
    <w:p>
      <w:pPr>
        <w:spacing w:after="0" w:line="2"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 The 1,204,920 ordinary shares held by Bertelsmann Asia Investments AG and 592,088 ordinary shares held by BAI GmbH will be re-designated as Class A ordinary shares immediately prior to the completion of this offering and the 1,484,409 series B preferred shares held by Bertelsmann Asia Investments AG will be automatically converted into and re-designated as Class A ordinary shares immediately prior to the completion of this offering.</w:t>
      </w:r>
    </w:p>
    <w:p>
      <w:pPr>
        <w:spacing w:after="0" w:line="2"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 The 742,320 ordinary shares held by Blue Focus International Limited will be re-designated as Class A ordinary shares immediately prior to the completion of this offering and the 2,493,018 series D preferred shares held by Blue Focus International Limited will be automatically converted into and re-designated as Class A ordinary shares immediately prior to the completion of this offering.</w:t>
      </w:r>
    </w:p>
    <w:p>
      <w:pPr>
        <w:spacing w:after="0" w:line="2"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2,476,190 series A preferred shares and 404,840 series B preferred shares held by Sumitomo Corporation Equity Asia Limited, a company incorporated in Hong Kong wholly owned by Sumitomo. All of these shares will be automatically converted into and re-designated as Class A ordinary shares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which is the sole shareholder of SSG Capital Partners I GPGP, Ltd and SSG Capital Partners II GPGP, Ltd. The registered office address of Czerny Holdings Limited and Cervetto Holdings Limited is P.O. Box 957, Offshore Incorporations Center, Road Town, Tortola, British Virgin Islands. The 887,616 ordinary shares held by Czerny Holdings Limited will be re-designated as Class A ordinary shares immediately prior to the completion of this offering and the 1,599,186 series C preferred shares held by Czerny Holdings Limited will be automatically converted into and re-designated as Class A ordinary shares immediately prior to the completion of this offering.</w:t>
      </w:r>
    </w:p>
    <w:p>
      <w:pPr>
        <w:spacing w:after="0" w:line="4" w:lineRule="exact"/>
        <w:rPr>
          <w:rFonts w:ascii="Times New Roman" w:cs="Times New Roman" w:eastAsia="Times New Roman" w:hAnsi="Times New Roman"/>
          <w:sz w:val="18"/>
          <w:szCs w:val="18"/>
          <w:color w:val="auto"/>
        </w:rPr>
      </w:pPr>
    </w:p>
    <w:p>
      <w:pPr>
        <w:jc w:val="both"/>
        <w:ind w:left="460" w:right="2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2,011,997 ordinary shares held by Maestro Investment Holdings Limited, a company incorporated in British Virgin Islands. Jiping Liu is the sole shareholder of Maestro Investment Holdings Limited. All of these shares will be re-designated as Class A ordinary shares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1,532,955 ordinary shares held by O &amp; K Investment Limited, a company incorporated in Hong Kong. Sunee Chiraseivinupraphand is the sole shareholder of O &amp; K Investment Limited. Sunee Chiraseivinupraphand is spouse of Wing Hong Sammy Hsieh. All of these shares will be re-designated as Class A ordinary shares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460" w:right="380" w:hanging="452"/>
        <w:spacing w:after="0" w:line="255"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2016, Wing Hong Sammy Hsieh and Yau Ping Ricky Ng each transferred 247,088 and 176,138 ordinary shares to Igomax Inc. for nominal consideration as compensation of Jian Tang’s service to us. Please refer to note 19(c) of our consolidated financial statements. All of these shares will be re-designated as Class B ordinary shares immediately prior to the completion of this offering.</w:t>
      </w:r>
    </w:p>
    <w:p>
      <w:pPr>
        <w:spacing w:after="0" w:line="18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none of our ordinary shares or preferred shares issued and outstanding on an as converted basis were held by record holders in the United States. None of our shareholders has informed 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that it is affiliated with a registered broker-dealer or is in the business of underwriting securities. Immediately prior to the completion of this offering, our ordinary shares will be divided into Class A ordinary shares and Class B ordinary shares. Holders of Class A ordinary shares are entitled to one vote per share, while holders of Class B ordinary shares are entitled to 20 votes per share. Offering will represent Class A ordinary shares. See “Description of Share Capital” for a more detailed description of our Class A ordinary shares and Class B ordinary shares. We are not aware of any arrangement that may, at a subsequent date, result in a change of control of our company.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240" w:top="456" w:right="41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80"/>
          </w:cols>
          <w:pgMar w:left="240" w:top="456" w:right="3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right="420" w:firstLine="456"/>
        <w:spacing w:after="0" w:line="313" w:lineRule="auto"/>
        <w:rPr>
          <w:sz w:val="20"/>
          <w:szCs w:val="20"/>
          <w:color w:val="auto"/>
        </w:rPr>
      </w:pPr>
      <w:r>
        <w:rPr>
          <w:rFonts w:ascii="Times New Roman" w:cs="Times New Roman" w:eastAsia="Times New Roman" w:hAnsi="Times New Roman"/>
          <w:sz w:val="17"/>
          <w:szCs w:val="17"/>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3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we are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14,377,426 ordinary shares, including 274,755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See “Management — Share Incentive Plans — 2010 Plan.”</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Upon completion of the offering, we are authorized to issue up to a maximum of 100,000,000 shares, of which 80,000,000 shares shall be designated as Class A ordinary shares, 20,000,000 shares shall be designated as Class B ordinary shares and provided always that our directors may, in their absolute discretion and without your approval, create and designate out of our unissued shares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they may determine.</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there will be 22,023,775 Class A ordinary shares and 4,820,608 Class B ordinary shares issued and outstanding, assuming an initial public offering price of US$8.50 per ADS, which is the midpoint of the estimated range, and assuming the number of ADSs offered by us as set forth on the cover page of the prospectus remains the same (and assuming the underwriters do not exercise their over-allotment option), including (i) 2,941,200 Class A ordinary shares to be sold by us in this offering in the form of ADSs, assuming the underwriters do not exercise their over-allotment option to purchase additional ADSs, (ii) 19,082,575 Class A ordinary shares resulting from the automatic conversion and redesignation of all of our outstanding preferred shares and ordinary shares (other than 4,820,608 beneficially owned by Mr. Sammy Hsieh and Mr. Jian Tang) immediately prior to the completion of this offering on a one-for-one basis, and (iii) 4,820,608 Class B ordinary shares redesignated from the 4,820,608 outstanding ordinary shares held by Mr. Sammy Hsieh and Mr. Jian Tang immediately prior to the completion of this offering. See “Capitalization.”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Post-Offering Amended and Restated Memorandum and Articles of Association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adopted an eighth amended and restated memorandum and articles of association, which will become effective and replace our current seventh amended and restated memorandum and articles of association in its entirety immediately upon completion of this offering. The following are summaries of material provisions of our post-offering amended and restated memorandum and articles of association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82" w:lineRule="exact"/>
        <w:rPr>
          <w:sz w:val="20"/>
          <w:szCs w:val="20"/>
          <w:color w:val="auto"/>
        </w:rPr>
      </w:pPr>
    </w:p>
    <w:p>
      <w:pPr>
        <w:ind w:right="4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post-offering amended and restated memorandum and articles of association, the objects of our company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and we have the full power and authority to carry out any object not prohibited by the laws of the Cayman Islands.</w:t>
      </w:r>
    </w:p>
    <w:p>
      <w:pPr>
        <w:spacing w:after="0" w:line="158" w:lineRule="exact"/>
        <w:rPr>
          <w:sz w:val="20"/>
          <w:szCs w:val="20"/>
          <w:color w:val="auto"/>
        </w:rPr>
      </w:pPr>
    </w:p>
    <w:p>
      <w:pPr>
        <w:ind w:right="2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issued in registered form and are issued when registered in our register of members. Our shareholders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non-residents of the Cayman Islands may freely hold and vote their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Register of Members. </w:t>
      </w: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133" w:lineRule="exact"/>
        <w:rPr>
          <w:sz w:val="20"/>
          <w:szCs w:val="20"/>
          <w:color w:val="auto"/>
        </w:rPr>
      </w:pPr>
    </w:p>
    <w:p>
      <w:pPr>
        <w:ind w:left="900" w:right="260" w:hanging="446"/>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Our share capital is currently divided into Class A ordinary shares and Class B ordinary shares. On a show of hands each shareholder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87"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are convertible into Class A ordinary shares. All Class B ordinary shares are subject to automatic conversion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80"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our shareholders may transfer all or any of his or her ordinary shares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of transfer in the usual or common form or any other form approved by our board of directors.</w:t>
      </w:r>
    </w:p>
    <w:p>
      <w:pPr>
        <w:spacing w:after="0" w:line="16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900" w:right="120" w:hanging="325"/>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80"/>
          </w:cols>
          <w:pgMar w:left="240" w:top="456" w:right="27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4" w:lineRule="exact"/>
        <w:rPr>
          <w:sz w:val="20"/>
          <w:szCs w:val="20"/>
          <w:color w:val="auto"/>
        </w:rPr>
      </w:pPr>
    </w:p>
    <w:p>
      <w:pPr>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 purchase of shares), assets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74"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7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Ordinary Shares</w:t>
      </w:r>
      <w:r>
        <w:rPr>
          <w:rFonts w:ascii="Times New Roman" w:cs="Times New Roman" w:eastAsia="Times New Roman" w:hAnsi="Times New Roman"/>
          <w:sz w:val="18"/>
          <w:szCs w:val="18"/>
          <w:color w:val="auto"/>
        </w:rPr>
        <w:t>. We may issue shares on terms that such shares are subject to redemption, at our 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The rights attached to any class or series of shares (unless otherwise provided by the terms of issue of the shares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80" w:lineRule="exact"/>
        <w:rPr>
          <w:sz w:val="20"/>
          <w:szCs w:val="20"/>
          <w:color w:val="auto"/>
        </w:rPr>
      </w:pPr>
    </w:p>
    <w:p>
      <w:pPr>
        <w:ind w:right="3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and articles of association authorizes our board of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additional ordinary shares from time to time as our board of directors shall determine, to the extent of available authorized but unissued shares.</w:t>
      </w:r>
    </w:p>
    <w:p>
      <w:pPr>
        <w:spacing w:after="0" w:line="16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67" w:lineRule="exact"/>
        <w:rPr>
          <w:sz w:val="20"/>
          <w:szCs w:val="20"/>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420"/>
          </w:cols>
          <w:pgMar w:left="240" w:top="455" w:right="2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jc w:val="both"/>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 of shareholders or our corporate records. However, we will provide our shareholders with annual audited financial statements. See “Where You Can Find Additional Information.”</w:t>
      </w:r>
    </w:p>
    <w:p>
      <w:pPr>
        <w:spacing w:after="0" w:line="174"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post-offering amended and restated memorandum and articles of association may discourage, delay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prevent a change of control of our company or management that shareholders may consider favorable, including provisions that:</w:t>
      </w:r>
    </w:p>
    <w:p>
      <w:pPr>
        <w:spacing w:after="0" w:line="66" w:lineRule="exact"/>
        <w:rPr>
          <w:sz w:val="20"/>
          <w:szCs w:val="20"/>
          <w:color w:val="auto"/>
        </w:rPr>
      </w:pPr>
    </w:p>
    <w:p>
      <w:pPr>
        <w:ind w:left="900" w:right="340" w:hanging="325"/>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420" w:firstLine="456"/>
        <w:spacing w:after="0" w:line="313"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36" w:lineRule="exact"/>
        <w:rPr>
          <w:sz w:val="20"/>
          <w:szCs w:val="20"/>
          <w:color w:val="auto"/>
        </w:rPr>
      </w:pPr>
    </w:p>
    <w:p>
      <w:pPr>
        <w:ind w:right="3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General Meetings of Shareholders and Shareholder Proposals</w:t>
      </w:r>
      <w:r>
        <w:rPr>
          <w:rFonts w:ascii="Times New Roman" w:cs="Times New Roman" w:eastAsia="Times New Roman" w:hAnsi="Times New Roman"/>
          <w:sz w:val="18"/>
          <w:szCs w:val="18"/>
          <w:color w:val="auto"/>
        </w:rPr>
        <w:t>. Our shareholders’ general meetings may be held in such place within or outside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as our board of directors considers appropriate.</w:t>
      </w:r>
    </w:p>
    <w:p>
      <w:pPr>
        <w:spacing w:after="0" w:line="16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62"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7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Law. The Companies Law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8" w:lineRule="exact"/>
        <w:rPr>
          <w:sz w:val="20"/>
          <w:szCs w:val="20"/>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80"/>
          </w:cols>
          <w:pgMar w:left="240" w:top="456" w:right="2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7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Law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3" w:lineRule="exact"/>
        <w:rPr>
          <w:sz w:val="20"/>
          <w:szCs w:val="20"/>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affected within four months, the offeror may, within a two-month period commencing on the expiration of such four month period, require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400"/>
          </w:cols>
          <w:pgMar w:left="240" w:top="455" w:right="2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6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4"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 derivative action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85" w:lineRule="exact"/>
        <w:rPr>
          <w:sz w:val="20"/>
          <w:szCs w:val="20"/>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 which is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the company or illegal, which is therefore incapable of ratification by the shareholders,</w:t>
      </w:r>
    </w:p>
    <w:p>
      <w:pPr>
        <w:spacing w:after="0" w:line="13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requires a resolution with a qualified (or special) majority (i.e. more than a simple majority) which has not been obtained.</w:t>
      </w:r>
    </w:p>
    <w:p>
      <w:pPr>
        <w:spacing w:after="0" w:line="223"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85"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62"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400"/>
          </w:cols>
          <w:pgMar w:left="240" w:top="455" w:right="2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3"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 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4"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8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with or without cause or by our directors for cause.</w:t>
      </w:r>
    </w:p>
    <w:p>
      <w:pPr>
        <w:spacing w:after="0" w:line="180"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80"/>
          </w:cols>
          <w:pgMar w:left="240" w:top="456" w:right="2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0"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7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82"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80"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7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 amended and restated memorandum and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2014, we issued 274,752 ordinary shares to Big Tooth Corporation in recognition of Mr. Robert Tran’s consulting services to us.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80"/>
          </w:cols>
          <w:pgMar w:left="240" w:top="456" w:right="2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0" w:firstLine="456"/>
        <w:spacing w:after="0" w:line="282" w:lineRule="auto"/>
        <w:rPr>
          <w:sz w:val="20"/>
          <w:szCs w:val="20"/>
          <w:color w:val="auto"/>
        </w:rPr>
      </w:pPr>
      <w:r>
        <w:rPr>
          <w:rFonts w:ascii="Times New Roman" w:cs="Times New Roman" w:eastAsia="Times New Roman" w:hAnsi="Times New Roman"/>
          <w:sz w:val="18"/>
          <w:szCs w:val="18"/>
          <w:color w:val="auto"/>
        </w:rPr>
        <w:t>In December 2014, we issued 255,033 ordinary shares to Arda to reserve for future grant and exercise of options under the 2010 Plan. See “Management — Share Incentive Plans — 2010 Plan.”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2014, we issued 742,320 ordinary shares to BlueFocus International Limited for total consideration of US$12.0 million.</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February 2015, we issued 142,151 ordinary shares to the then shareholders of Buzzinate, as part of the consideration for the acquisition of all shares of Buzzinate.</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July 2015, we issued 2,535,091 ordinary shares to the then shareholders of OptAim, as part of the consideration for the acquisition of all shares of OptAim.</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July 2015, we issued 632,581 ordinary shares to Arda to reserve for future grant and exercise of options under the 2010 Plan. See “Management — Share Incentive Plans — 2010 Plan.”</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October 2015, we issued 945,663 ordinary shares to Arda to reserve for future grant and exercise of options under the 2010 Plan. See “Management — Share Incentive Plans — 2010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December 2014, we issued 2,493,018 series D convertible redeemable preferred shares to BlueFocus International Limited for total subscription price of US$48.0 million.</w:t>
      </w:r>
    </w:p>
    <w:p>
      <w:pPr>
        <w:spacing w:after="0" w:line="162"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In December 2016, we issued 1,068,114 series E convertible redeemable preferred shares to Shenwan Hongyuan Goldspring Fund I for a total subscription price of US$20.0 million.</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anti-dilution adjustment does not apply to issuance in a qualified initial public offering. The preferred shares will be automatically converted into ordinary shares at the then applicable conversion price upon completion of a qualified initial public offering.</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 qualified initial public offering as defined in our current memorandum and articles of association refers to our first firm commitment underwritten registered public offering with an offering price that implies a market capitalization immediately prior to such offering of not less than US$600,000,000 (if on or prior to December 31, 2017) or US$650,000,000 (if on or after January 1, 2018). We have received requisite waivers to amend the definition of qualified initial public offering so that this offering is deemed to be a qualified initial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420"/>
          </w:cols>
          <w:pgMar w:left="240" w:top="456" w:right="2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a description of the registration rights granted under the agreement.</w:t>
      </w:r>
    </w:p>
    <w:p>
      <w:pPr>
        <w:spacing w:after="0" w:line="2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Registration Rights. </w:t>
      </w:r>
      <w:r>
        <w:rPr>
          <w:rFonts w:ascii="Times New Roman" w:cs="Times New Roman" w:eastAsia="Times New Roman" w:hAnsi="Times New Roman"/>
          <w:sz w:val="18"/>
          <w:szCs w:val="18"/>
          <w:color w:val="auto"/>
        </w:rPr>
        <w:t>Holders of at least 25% of the registrable securities, which include our ordinary shares issued or issuable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Form F-3 Registration Rights. </w:t>
      </w:r>
      <w:r>
        <w:rPr>
          <w:rFonts w:ascii="Times New Roman" w:cs="Times New Roman" w:eastAsia="Times New Roman" w:hAnsi="Times New Roman"/>
          <w:sz w:val="18"/>
          <w:szCs w:val="18"/>
          <w:color w:val="auto"/>
        </w:rPr>
        <w:t>When we are eligible for registration on Form F-3, upon a written request from any holder of the registrable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Piggyback Registration Rights. </w:t>
      </w:r>
      <w:r>
        <w:rPr>
          <w:rFonts w:ascii="Times New Roman" w:cs="Times New Roman" w:eastAsia="Times New Roman" w:hAnsi="Times New Roman"/>
          <w:sz w:val="18"/>
          <w:szCs w:val="18"/>
          <w:color w:val="auto"/>
        </w:rPr>
        <w:t>If we propose to file a registration statement for a public offering for our own account or for the account of holder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8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Offering. </w:t>
      </w:r>
      <w:r>
        <w:rPr>
          <w:rFonts w:ascii="Times New Roman" w:cs="Times New Roman" w:eastAsia="Times New Roman" w:hAnsi="Times New Roman"/>
          <w:sz w:val="18"/>
          <w:szCs w:val="18"/>
          <w:color w:val="auto"/>
        </w:rPr>
        <w:t>The underwriters of any underwritten offering may in good faith request a reduction in the number of shares offered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8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Expenses of Registration. </w:t>
      </w:r>
      <w:r>
        <w:rPr>
          <w:rFonts w:ascii="Times New Roman" w:cs="Times New Roman" w:eastAsia="Times New Roman" w:hAnsi="Times New Roman"/>
          <w:sz w:val="18"/>
          <w:szCs w:val="18"/>
          <w:color w:val="auto"/>
        </w:rPr>
        <w:t>We will pay all expenses incurred in complying with the terms of the registration rights provisions, other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400"/>
          </w:cols>
          <w:pgMar w:left="240" w:top="455" w:right="2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 of Obligations</w:t>
      </w:r>
      <w:r>
        <w:rPr>
          <w:rFonts w:ascii="Times New Roman" w:cs="Times New Roman" w:eastAsia="Times New Roman" w:hAnsi="Times New Roman"/>
          <w:sz w:val="18"/>
          <w:szCs w:val="18"/>
          <w:color w:val="auto"/>
        </w:rPr>
        <w:t>. The registration rights set forth above shall terminate on the later of (i) the date that is five years from the date of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400"/>
          </w:cols>
          <w:pgMar w:left="240" w:top="455" w:right="2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depositary’s office is located at 4 New York Plaza, Floor 12, New York, NY, 10004.</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86"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F Street, NE, Washington, DC 20549. You may obtain information on the operation of the Public Reference Room by calling the SEC at 1-800-732-0330.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find the registration statement and the attached deposit agreement on the SEC’s website at http://www.sec.gov.</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400"/>
          </w:cols>
          <w:pgMar w:left="240" w:top="456" w:right="2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250" w:lineRule="exact"/>
        <w:rPr>
          <w:sz w:val="20"/>
          <w:szCs w:val="20"/>
          <w:color w:val="auto"/>
        </w:rPr>
      </w:pPr>
    </w:p>
    <w:p>
      <w:pPr>
        <w:ind w:left="900" w:hanging="325"/>
        <w:spacing w:after="0" w:line="254"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distribute any U.S. dollars available to it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216" w:lineRule="exact"/>
        <w:rPr>
          <w:rFonts w:ascii="Times New Roman" w:cs="Times New Roman" w:eastAsia="Times New Roman" w:hAnsi="Times New Roman"/>
          <w:sz w:val="18"/>
          <w:szCs w:val="18"/>
          <w:color w:val="auto"/>
        </w:rPr>
      </w:pPr>
    </w:p>
    <w:p>
      <w:pPr>
        <w:ind w:left="900" w:right="140" w:hanging="325"/>
        <w:spacing w:after="0" w:line="267"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the case of a distribution in shares, the depositary will issue additional ADRs to evidence the number of ADSs representing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200" w:lineRule="exact"/>
        <w:rPr>
          <w:rFonts w:ascii="Times New Roman" w:cs="Times New Roman" w:eastAsia="Times New Roman" w:hAnsi="Times New Roman"/>
          <w:sz w:val="18"/>
          <w:szCs w:val="18"/>
          <w:color w:val="auto"/>
        </w:rPr>
      </w:pPr>
    </w:p>
    <w:p>
      <w:pPr>
        <w:jc w:val="both"/>
        <w:ind w:left="900" w:right="220" w:hanging="325"/>
        <w:spacing w:after="0" w:line="267"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to receive additional shares</w:t>
      </w:r>
      <w:r>
        <w:rPr>
          <w:rFonts w:ascii="Times New Roman" w:cs="Times New Roman" w:eastAsia="Times New Roman" w:hAnsi="Times New Roman"/>
          <w:sz w:val="18"/>
          <w:szCs w:val="18"/>
          <w:color w:val="auto"/>
        </w:rPr>
        <w:t>. In the case of a distribution of rights to subscribe for additional shares or other rights, if we timely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81" w:lineRule="exact"/>
        <w:rPr>
          <w:sz w:val="20"/>
          <w:szCs w:val="20"/>
          <w:color w:val="auto"/>
        </w:rPr>
      </w:pPr>
    </w:p>
    <w:p>
      <w:pPr>
        <w:ind w:left="1480" w:hanging="567"/>
        <w:spacing w:after="0"/>
        <w:tabs>
          <w:tab w:leader="none" w:pos="1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30" w:lineRule="exact"/>
        <w:rPr>
          <w:rFonts w:ascii="Times New Roman" w:cs="Times New Roman" w:eastAsia="Times New Roman" w:hAnsi="Times New Roman"/>
          <w:sz w:val="18"/>
          <w:szCs w:val="18"/>
          <w:color w:val="auto"/>
        </w:rPr>
      </w:pPr>
    </w:p>
    <w:p>
      <w:pPr>
        <w:ind w:left="1480" w:right="100" w:hanging="567"/>
        <w:spacing w:after="0" w:line="282" w:lineRule="auto"/>
        <w:tabs>
          <w:tab w:leader="none" w:pos="1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86"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In the case of a distribution of securities or property other than those described above, the depositary may either (i)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400"/>
          </w:cols>
          <w:pgMar w:left="240" w:top="456" w:right="2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780" w:hanging="325"/>
        <w:spacing w:after="0" w:line="282"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80"/>
          </w:cols>
          <w:pgMar w:left="240" w:top="456" w:right="2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67" w:lineRule="exact"/>
        <w:rPr>
          <w:sz w:val="20"/>
          <w:szCs w:val="20"/>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w:t>
      </w:r>
    </w:p>
    <w:p>
      <w:pPr>
        <w:spacing w:after="0" w:line="3" w:lineRule="exact"/>
        <w:rPr>
          <w:sz w:val="20"/>
          <w:szCs w:val="20"/>
          <w:color w:val="auto"/>
        </w:rPr>
      </w:pPr>
    </w:p>
    <w:p>
      <w:pPr>
        <w:ind w:firstLine="8"/>
        <w:spacing w:after="0" w:line="252" w:lineRule="auto"/>
        <w:tabs>
          <w:tab w:leader="none" w:pos="2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400"/>
          </w:cols>
          <w:pgMar w:left="240" w:top="456" w:right="2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8"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76"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8"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and/or to whom ADSs are issued (including, without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limitation, issuance pursuant to a stock dividend or stock split declared by us or an exchange of stock regarding the ADSs or the deposited securities or a distribution of ADSs), whichever is applicable:</w:t>
      </w:r>
    </w:p>
    <w:p>
      <w:pPr>
        <w:spacing w:after="0" w:line="67" w:lineRule="exact"/>
        <w:rPr>
          <w:sz w:val="20"/>
          <w:szCs w:val="20"/>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for any cash distribution made pursuant to the deposit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US$1.50 per ADR or ADRs for transfers of certificated or direct registration ADRs;</w:t>
      </w:r>
    </w:p>
    <w:p>
      <w:pPr>
        <w:spacing w:after="0" w:line="130" w:lineRule="exact"/>
        <w:rPr>
          <w:rFonts w:ascii="Times New Roman" w:cs="Times New Roman" w:eastAsia="Times New Roman" w:hAnsi="Times New Roman"/>
          <w:sz w:val="18"/>
          <w:szCs w:val="18"/>
          <w:color w:val="auto"/>
        </w:rPr>
      </w:pPr>
    </w:p>
    <w:p>
      <w:pPr>
        <w:ind w:left="900" w:right="220" w:hanging="325"/>
        <w:spacing w:after="0" w:line="261"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85"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4"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67"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7"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420"/>
          </w:cols>
          <w:pgMar w:left="240" w:top="456" w:right="2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86" w:lineRule="exact"/>
        <w:rPr>
          <w:sz w:val="20"/>
          <w:szCs w:val="20"/>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400"/>
          </w:cols>
          <w:pgMar w:left="240" w:top="456" w:right="2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right="180" w:firstLine="456"/>
        <w:spacing w:after="0" w:line="276" w:lineRule="auto"/>
        <w:rPr>
          <w:sz w:val="20"/>
          <w:szCs w:val="20"/>
          <w:color w:val="auto"/>
        </w:rPr>
      </w:pPr>
      <w:r>
        <w:rPr>
          <w:rFonts w:ascii="Times New Roman" w:cs="Times New Roman" w:eastAsia="Times New Roman" w:hAnsi="Times New Roman"/>
          <w:sz w:val="17"/>
          <w:szCs w:val="17"/>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w:t>
      </w:r>
    </w:p>
    <w:p>
      <w:pPr>
        <w:spacing w:after="0" w:line="1" w:lineRule="exact"/>
        <w:rPr>
          <w:sz w:val="20"/>
          <w:szCs w:val="20"/>
          <w:color w:val="auto"/>
        </w:rPr>
      </w:pPr>
    </w:p>
    <w:p>
      <w:pPr>
        <w:ind w:firstLine="8"/>
        <w:spacing w:after="0" w:line="265" w:lineRule="auto"/>
        <w:tabs>
          <w:tab w:leader="none" w:pos="2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w:t>
      </w:r>
    </w:p>
    <w:p>
      <w:pPr>
        <w:spacing w:after="0" w:line="3" w:lineRule="exact"/>
        <w:rPr>
          <w:rFonts w:ascii="Times New Roman" w:cs="Times New Roman" w:eastAsia="Times New Roman" w:hAnsi="Times New Roman"/>
          <w:sz w:val="17"/>
          <w:szCs w:val="17"/>
          <w:color w:val="auto"/>
        </w:rPr>
      </w:pPr>
    </w:p>
    <w:p>
      <w:pPr>
        <w:ind w:right="60" w:firstLine="8"/>
        <w:spacing w:after="0" w:line="252" w:lineRule="auto"/>
        <w:tabs>
          <w:tab w:leader="none" w:pos="2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400"/>
          </w:cols>
          <w:pgMar w:left="240" w:top="455" w:right="2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67" w:lineRule="exact"/>
        <w:rPr>
          <w:sz w:val="20"/>
          <w:szCs w:val="20"/>
          <w:color w:val="auto"/>
        </w:rPr>
      </w:pPr>
    </w:p>
    <w:p>
      <w:pPr>
        <w:ind w:left="900" w:right="420" w:hanging="325"/>
        <w:spacing w:after="0" w:line="266"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1"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spacing w:after="0" w:line="2" w:lineRule="exact"/>
        <w:rPr>
          <w:sz w:val="20"/>
          <w:szCs w:val="20"/>
          <w:color w:val="auto"/>
        </w:rPr>
      </w:pPr>
    </w:p>
    <w:p>
      <w:pPr>
        <w:ind w:right="160" w:firstLine="8"/>
        <w:spacing w:after="0" w:line="255" w:lineRule="auto"/>
        <w:tabs>
          <w:tab w:leader="none" w:pos="2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86"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2" w:lineRule="exact"/>
        <w:rPr>
          <w:sz w:val="20"/>
          <w:szCs w:val="20"/>
          <w:color w:val="auto"/>
        </w:rPr>
      </w:pPr>
    </w:p>
    <w:p>
      <w:pPr>
        <w:ind w:left="900" w:right="60" w:hanging="325"/>
        <w:spacing w:after="0" w:line="255"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400"/>
          </w:cols>
          <w:pgMar w:left="240" w:top="456" w:right="2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66"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1"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relies upon any written notice, request, direction, instruction or document believed by it to be genuine and to have been signed, presented or given by the proper party or parties.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securities or the ADRs. We and our agents shall only be obligated to appear in, prosecute or defend any action, suit or other proceeding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deposited securities or the ADRs, which in our opinion may involve us in expense or liability, if indemnity satisfactory to us against all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fees and disbursements of counsel) and liability is furnished as often as may be required. The depositary and its agents may fully respond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demands or requests for information maintained by or on its behalf in connection with the deposit agreement, any registered holder or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ADRs, any ADRs or otherwise related to the deposit agreement or ADRs to the extent such information is requested or required by or pursuant to any 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including without limitation laws, rules, regulations, administrative or judicial process, banking, securities or other regulators. The depositary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liable for the acts or omissions made by, or the insolvency of, any securities depository, clearing agency or settlement system. Furthermore,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shall not be responsible for, and shall incur no liability in connection with or arising from, the insolvency of any custodian that is not a branch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JPMorgan Chase Bank, N.A. Notwithstanding anything to the contrary contained in the deposit agreement or any ADRs, the depositary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responsible for, and shall incur no liability in connection with or arising from, any act or omission to act on the part of the custodian except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custodian has (i) committed fraud or willful misconduct in the provision of custodial services to the depositary or (ii) failed to use reasonable care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of custodial services to the depositary as determined in accordance with the standards prevailing in the jurisdiction in which the custodian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The depositary and the custodian(s) may use third party delivery services and providers of information regarding matters such as pricing,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corporate actions, class action litigation and other services in connection with the ADRs and the deposit agreement, and use local agents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services such as attendance at annual meetings of issuers of securities. Although the depositary and the custodian will use reasonable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cause their agents to use reasonable care) in the selection and retention of such third party providers and local agents, they will not be responsible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errors or omissions made by them in providing the relevant information or services. The depositary shall not have any liability for the price received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sale of securities, the timing thereof or any delay in action or omission to act nor shall it be responsible for any error or delay in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omission to act, default or negligence on the part of the party so retained in connection with any such sale or proposed sale.</w:t>
      </w:r>
    </w:p>
    <w:p>
      <w:pPr>
        <w:spacing w:after="0" w:line="207"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67" w:lineRule="exact"/>
        <w:rPr>
          <w:sz w:val="20"/>
          <w:szCs w:val="20"/>
          <w:color w:val="auto"/>
        </w:rPr>
      </w:pPr>
    </w:p>
    <w:p>
      <w:pPr>
        <w:ind w:left="900" w:hanging="325"/>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 and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400"/>
          </w:cols>
          <w:pgMar w:left="240" w:top="456" w:right="2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282" w:lineRule="auto"/>
        <w:rPr>
          <w:sz w:val="20"/>
          <w:szCs w:val="20"/>
          <w:color w:val="auto"/>
        </w:rPr>
      </w:pPr>
      <w:r>
        <w:rPr>
          <w:rFonts w:ascii="Times New Roman" w:cs="Times New Roman" w:eastAsia="Times New Roman" w:hAnsi="Times New Roman"/>
          <w:sz w:val="18"/>
          <w:szCs w:val="18"/>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400"/>
          </w:cols>
          <w:pgMar w:left="240" w:top="456" w:right="2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we will have 5,882,400 ADSs outstanding, representing approximately 11.0% of our outstanding ordinary shares, assuming an initial public offering price of US$8.50 per ADS, which is the midpoint of the estimated range of the initial public offering price and assuming the number of ADSs offered by us as set forth on the cover page of the prospectus remains the same (and assuming the underwriters do not exercise their over-allotment option).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application has been made for the ADSs to be listed on the NASDAQ Global Market, we cannot assure you that a regular trading market will develop in the ADSs. We do not expect that a trading market will develop for our ordinary shares not represented by the ADSs.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88" w:lineRule="exact"/>
        <w:rPr>
          <w:sz w:val="20"/>
          <w:szCs w:val="20"/>
          <w:color w:val="auto"/>
        </w:rPr>
      </w:pPr>
    </w:p>
    <w:p>
      <w:pPr>
        <w:ind w:right="120" w:firstLine="456"/>
        <w:spacing w:after="0" w:line="269" w:lineRule="auto"/>
        <w:rPr>
          <w:sz w:val="20"/>
          <w:szCs w:val="20"/>
          <w:color w:val="auto"/>
        </w:rPr>
      </w:pPr>
      <w:r>
        <w:rPr>
          <w:rFonts w:ascii="Times New Roman" w:cs="Times New Roman" w:eastAsia="Times New Roman" w:hAnsi="Times New Roman"/>
          <w:sz w:val="17"/>
          <w:szCs w:val="17"/>
          <w:color w:val="auto"/>
        </w:rPr>
        <w:t>Each of our directors, executive officers and existing shareholders has agreed, subject to certain exceptions, not to offer, pledge, sell, contract to sell, sell any option or contract to purchase, purchase any option or contract to sell, grant any option, right or warrant to purchase, lend, or otherwise transfer or dispose of, directly or indirectly, or enter into any swap or other arrangement that transfers to another, in whole or in part, any of the economic consequences of ownership of,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180-day period, the ordinary shares or ADSs held by our directors, executive officers or our existing shareholders may be sold subject to the restrictions under Rule 144 under the Securities Act or by means of registered public offerings. 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representatives on behalf of the underwriters.</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All of our ordinary shares that will be outstanding upon completion of this offering, other than those Class A ordinary shares sold in this offering, are “restricted shares” as that term is defined in Rule 144 under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420"/>
          </w:cols>
          <w:pgMar w:left="240" w:top="45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affiliates may sell within any three-month period a number of restricted shares that does not exceed the greater of:</w:t>
      </w:r>
    </w:p>
    <w:p>
      <w:pPr>
        <w:spacing w:after="0" w:line="131" w:lineRule="exact"/>
        <w:rPr>
          <w:sz w:val="20"/>
          <w:szCs w:val="20"/>
          <w:color w:val="auto"/>
        </w:rPr>
      </w:pPr>
    </w:p>
    <w:p>
      <w:pPr>
        <w:ind w:left="900" w:right="100" w:hanging="325"/>
        <w:spacing w:after="0" w:line="282" w:lineRule="auto"/>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of the same class, in the form of ADSs or otherwise, which immediately after this offering will equal approximately 268,444 Class A ordinary shares assuming the underwriters do not exercise their over-allotment option; or</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of the same class, in the form of ADSs or otherwise, on the NASDAQ, during the four calendar weeks preceding the date on which notice of the sale is filed with the SEC.</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62"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covering all Class A ordinary shares which are either subject to outstanding equity incentive awards granted prior to this offering or that may be issued pursuant to equity awards which may be granted in future under our 2010 Plan and 2017 Plan. We expect to file the registration statement on Form S-8 as soon as practicable after the date of this prospectus. Shares registered on Form S-8 generally may be sold in the open market, except to the extent that the shares are subject to vesting restrictions or lock-up or other contractual restrictions.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400"/>
          </w:cols>
          <w:pgMar w:left="240" w:top="456" w:right="2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420"/>
          </w:cols>
          <w:pgMar w:left="240" w:top="45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62"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58"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60"/>
          </w:cols>
          <w:pgMar w:left="240" w:top="456" w:right="29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In general, if you are a U.S. Holder of ADSs, you will be treated, for U.S. federal income tax purposes, as the beneficial owner of the underlying ordinary shares that are represented by those ADSs.</w:t>
      </w:r>
    </w:p>
    <w:p>
      <w:pPr>
        <w:spacing w:after="0" w:line="16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4"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2" w:lineRule="exact"/>
        <w:rPr>
          <w:sz w:val="20"/>
          <w:szCs w:val="20"/>
          <w:color w:val="auto"/>
        </w:rPr>
      </w:pPr>
    </w:p>
    <w:p>
      <w:pPr>
        <w:ind w:left="900" w:right="120" w:hanging="325"/>
        <w:spacing w:after="0" w:line="26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not, in the year prior to the year in which the dividend was paid, and are not, in the year in which the dividend is paid, a PFIC.</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ADSs will be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400"/>
          </w:cols>
          <w:pgMar w:left="240" w:top="456" w:right="2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Dispositions of ADSs or Ordinary Shares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88"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Deposits and withdrawals of ordinary shares by U.S. Holders in exchange for ADSs will not result in the realization of gain or loss for U.S. federal income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Special U.S. tax rules apply to companies that are considered to be PFICs. We will be classified as a PFIC in a particular taxable year if either</w:t>
      </w:r>
    </w:p>
    <w:p>
      <w:pPr>
        <w:spacing w:after="0" w:line="131" w:lineRule="exact"/>
        <w:rPr>
          <w:sz w:val="20"/>
          <w:szCs w:val="20"/>
          <w:color w:val="auto"/>
        </w:rPr>
      </w:pPr>
    </w:p>
    <w:p>
      <w:pPr>
        <w:ind w:left="900" w:hanging="325"/>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percent or more of our gross income for the taxable year is passive income; or</w:t>
      </w:r>
    </w:p>
    <w:p>
      <w:pPr>
        <w:spacing w:after="0" w:line="130"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420"/>
          </w:cols>
          <w:pgMar w:left="240" w:top="456" w:right="2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8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0"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U.S. Holders should consult their own tax advisors regarding the U.S. federal income tax considerations discussed above and the desirability of making a mark-to-market election.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Dividends paid on, and proceeds from the sale or other disposition of, the ADSs or ordinary shares to a U.S. Holder generally may be subject to the information reporting requirements of the Code and may be subject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420"/>
          </w:cols>
          <w:pgMar w:left="240" w:top="455" w:right="2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80"/>
          </w:cols>
          <w:pgMar w:left="240" w:top="455" w:right="4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p>
        </w:tc>
        <w:tc>
          <w:tcPr>
            <w:tcW w:w="3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99"/>
              </w:rPr>
              <w:t>, we have agreed to sell to the underwriters named</w:t>
            </w:r>
          </w:p>
        </w:tc>
        <w:tc>
          <w:tcPr>
            <w:tcW w:w="0" w:type="dxa"/>
            <w:vAlign w:val="bottom"/>
          </w:tcPr>
          <w:p>
            <w:pPr>
              <w:spacing w:after="0"/>
              <w:rPr>
                <w:sz w:val="1"/>
                <w:szCs w:val="1"/>
                <w:color w:val="auto"/>
              </w:rPr>
            </w:pPr>
          </w:p>
        </w:tc>
      </w:tr>
      <w:tr>
        <w:trPr>
          <w:trHeight w:val="234"/>
        </w:trPr>
        <w:tc>
          <w:tcPr>
            <w:tcW w:w="11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below, for whom Network 1 Financial Securities, Inc. is acting as the representative, the following respective numbers of shares of ADSs:</w:t>
            </w:r>
          </w:p>
        </w:tc>
        <w:tc>
          <w:tcPr>
            <w:tcW w:w="0" w:type="dxa"/>
            <w:vAlign w:val="bottom"/>
          </w:tcPr>
          <w:p>
            <w:pPr>
              <w:spacing w:after="0"/>
              <w:rPr>
                <w:sz w:val="1"/>
                <w:szCs w:val="1"/>
                <w:color w:val="auto"/>
              </w:rPr>
            </w:pPr>
          </w:p>
        </w:tc>
      </w:tr>
      <w:tr>
        <w:trPr>
          <w:trHeight w:val="367"/>
        </w:trPr>
        <w:tc>
          <w:tcPr>
            <w:tcW w:w="7400" w:type="dxa"/>
            <w:vAlign w:val="bottom"/>
            <w:gridSpan w:val="3"/>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180" w:type="dxa"/>
            <w:vAlign w:val="bottom"/>
          </w:tcPr>
          <w:p>
            <w:pPr>
              <w:spacing w:after="0"/>
              <w:rPr>
                <w:sz w:val="24"/>
                <w:szCs w:val="24"/>
                <w:color w:val="auto"/>
              </w:rPr>
            </w:pPr>
          </w:p>
        </w:tc>
        <w:tc>
          <w:tcPr>
            <w:tcW w:w="27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3"/>
        </w:trPr>
        <w:tc>
          <w:tcPr>
            <w:tcW w:w="740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27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of ADSs</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7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Network 1</w:t>
            </w:r>
          </w:p>
        </w:tc>
        <w:tc>
          <w:tcPr>
            <w:tcW w:w="47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Financial Securities, Inc.</w:t>
            </w:r>
          </w:p>
        </w:tc>
        <w:tc>
          <w:tcPr>
            <w:tcW w:w="1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Shenwan Hongyuan Securities (H.K.) Limited</w:t>
            </w:r>
          </w:p>
        </w:tc>
        <w:tc>
          <w:tcPr>
            <w:tcW w:w="1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7"/>
              </w:rPr>
              <w:t>5,882,400</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882,300 additional ADSs from us at the initial public offering price less the underwriting discounts and commissions. The option may be exercised only to cover any over-allotments of ADSs.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propose to offer ADSs initially to the public at the public offering price on the cover page of this prospectus and to certain dealers at</w:t>
      </w:r>
    </w:p>
    <w:p>
      <w:pPr>
        <w:spacing w:after="0" w:line="27"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that price less a selling concession of US$ per ADS. After the initial public offering the underwriters may change the public offering price and concession and discount to broker/dealers. The underwriters may offer and sell ADSs through one or more of their respective affiliates or selling agents. Shenwan Hongyuan Securities (H.K.) Limited, one of the underwriters of this offering, is an affiliate of our existing shareholder and is not a broker-dealer registered with the SEC. Therefore, to the extent Shenwan Hongyuan Securities (H.K.) Limited intends to make any offers or sales of ADSs in the United States, it will do so only through one or more registered broker-dealers in compliance with applicable securities law and regulations, and FINRA rules.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r>
      <w:tr>
        <w:trPr>
          <w:trHeight w:val="119"/>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60" w:type="dxa"/>
            <w:vAlign w:val="bottom"/>
          </w:tcPr>
          <w:p>
            <w:pPr>
              <w:spacing w:after="0"/>
              <w:rPr>
                <w:sz w:val="10"/>
                <w:szCs w:val="10"/>
                <w:color w:val="auto"/>
              </w:rPr>
            </w:pPr>
          </w:p>
        </w:tc>
      </w:tr>
      <w:tr>
        <w:trPr>
          <w:trHeight w:val="171"/>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 by us</w:t>
            </w:r>
          </w:p>
        </w:tc>
        <w:tc>
          <w:tcPr>
            <w:tcW w:w="17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US$</w:t>
            </w:r>
          </w:p>
        </w:tc>
      </w:tr>
    </w:tbl>
    <w:p>
      <w:pPr>
        <w:spacing w:after="0" w:line="17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have also agreed to (i) pay the underwriters non-accountable expense allowance of 1% of the gross proceeds from this offering; (ii) reimburse the underwriters up to US$125,000 for certain out-of-pocket expenses; and (iii) reimburse the underwriters up to US$500,000 for the fees and expenses of the underwriters’ counsel, including the cost of the qualification of this offering with the Financial Industry Regulatory Authority, Inc.</w:t>
      </w:r>
    </w:p>
    <w:p>
      <w:pPr>
        <w:spacing w:after="0" w:line="17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offer, sell, contract to sell, pledge, sell any option or contract to purchase, purchase any option or contract to sell, grant any option, right or warrant to purchase, lend, or otherwise transfer or dispose of, directly or indirectly, or enter into any swap or other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420"/>
          </w:cols>
          <w:pgMar w:left="240" w:top="456" w:right="2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arrangement that transfers to another, in whole or in part, any of the economic consequences of ownership of, or file with the Securities and Exchange Commission a registration statement under the Securities Act relating to, any ADSs, our ordinary shares or securities convertible into or exchangeable or exercisable for any ADSs or our ordinary shares, without the prior written consent of Network 1 Financial Securities, Inc. for a period of 180 days after the date of this prospectus.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directors, executive officers and all of our existing shareholders have agreed that, subject to certain exceptions, they will not offer, sell, contract to sell, pledge, sell any option or contract to offer, pledge, sell, contract to sell, sell any option or contract to purchase, purchase any option or contract to sell, grant any option, right or warrant to purchase, lend, or otherwise transfer or dispose of purchase, purchase any option or contract to sell, grant any option, right or warrant to purchase, lend, or otherwise transfer or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without, in each case, the prior written consent of Network 1 Financial Securities, Inc. for a period of 180 days after the date of this prospectus.</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 on behalf of the underwriters.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ADSs on the NASDAQ Global Market.</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ADSs. The initial public offering price was determined by negotiations among us and the representative and will not necessarily reflect the market price of the ADSs following this offering. The principal factors that were considered in determining the initial public offering price included:</w:t>
      </w:r>
    </w:p>
    <w:p>
      <w:pPr>
        <w:spacing w:after="0" w:line="82" w:lineRule="exact"/>
        <w:rPr>
          <w:sz w:val="20"/>
          <w:szCs w:val="20"/>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67" w:lineRule="exact"/>
        <w:rPr>
          <w:sz w:val="20"/>
          <w:szCs w:val="20"/>
          <w:color w:val="auto"/>
        </w:rPr>
      </w:pPr>
    </w:p>
    <w:p>
      <w:pPr>
        <w:jc w:val="center"/>
        <w:ind w:left="5580" w:right="440" w:hanging="5005"/>
        <w:spacing w:after="0" w:line="595"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 210</w:t>
      </w:r>
    </w:p>
    <w:p>
      <w:pPr>
        <w:sectPr>
          <w:pgSz w:w="11900" w:h="16838" w:orient="portrait"/>
          <w:cols w:equalWidth="0" w:num="1">
            <w:col w:w="11320"/>
          </w:cols>
          <w:pgMar w:left="240" w:top="456"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6"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93" w:lineRule="exact"/>
        <w:rPr>
          <w:rFonts w:ascii="Times New Roman" w:cs="Times New Roman" w:eastAsia="Times New Roman" w:hAnsi="Times New Roman"/>
          <w:sz w:val="18"/>
          <w:szCs w:val="18"/>
          <w:color w:val="auto"/>
        </w:rPr>
      </w:pPr>
    </w:p>
    <w:p>
      <w:pPr>
        <w:ind w:left="900" w:right="20" w:hanging="325"/>
        <w:spacing w:after="0" w:line="255"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NASDAQ Global Market or otherwise and, if commenced, may be discontinued at any time.</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400"/>
          </w:cols>
          <w:pgMar w:left="240" w:top="456" w:right="2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21"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Canadian Purchasers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By purchasing ADSs in Canada and accepting delivery of a purchase confirmation, a purchaser is representing to us and the dealer from whom the purchase confirmation is received that:</w:t>
      </w:r>
    </w:p>
    <w:p>
      <w:pPr>
        <w:spacing w:after="0" w:line="67" w:lineRule="exact"/>
        <w:rPr>
          <w:sz w:val="20"/>
          <w:szCs w:val="20"/>
          <w:color w:val="auto"/>
        </w:rPr>
      </w:pPr>
    </w:p>
    <w:p>
      <w:pPr>
        <w:ind w:left="900" w:right="380" w:hanging="325"/>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400"/>
          </w:cols>
          <w:pgMar w:left="240" w:top="455" w:right="2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Statutory Rights of Action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Legal Rights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Dubai International Financial Center</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86" w:lineRule="exact"/>
        <w:rPr>
          <w:sz w:val="20"/>
          <w:szCs w:val="20"/>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80"/>
          </w:cols>
          <w:pgMar w:left="240" w:top="456" w:right="27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282" w:lineRule="auto"/>
        <w:rPr>
          <w:sz w:val="20"/>
          <w:szCs w:val="20"/>
          <w:color w:val="auto"/>
        </w:rPr>
      </w:pPr>
      <w:r>
        <w:rPr>
          <w:rFonts w:ascii="Times New Roman" w:cs="Times New Roman" w:eastAsia="Times New Roman" w:hAnsi="Times New Roman"/>
          <w:sz w:val="18"/>
          <w:szCs w:val="18"/>
          <w:color w:val="auto"/>
        </w:rPr>
        <w:t>Prospectus Directive), as permitted under the Prospectus Directive, subject to obtaining the prior consent of the representatives for any such offer; or</w:t>
      </w:r>
    </w:p>
    <w:p>
      <w:pPr>
        <w:spacing w:after="0" w:line="67" w:lineRule="exact"/>
        <w:rPr>
          <w:sz w:val="20"/>
          <w:szCs w:val="20"/>
          <w:color w:val="auto"/>
        </w:rPr>
      </w:pPr>
    </w:p>
    <w:p>
      <w:pPr>
        <w:ind w:left="900" w:right="340" w:hanging="325"/>
        <w:spacing w:after="0" w:line="282"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86" w:lineRule="exact"/>
        <w:rPr>
          <w:sz w:val="20"/>
          <w:szCs w:val="20"/>
          <w:color w:val="auto"/>
        </w:rPr>
      </w:pPr>
    </w:p>
    <w:p>
      <w:pPr>
        <w:ind w:left="900" w:hanging="325"/>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900" w:right="320" w:hanging="325"/>
        <w:spacing w:after="0" w:line="26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900" w:right="120" w:hanging="325"/>
        <w:spacing w:after="0" w:line="267"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xml:space="preserve">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 articles L.411-2, D.411-1, D.411-2, D.734-1, D.744-1, D.754-1 and D.764-1 of the French Code monétaire et financier;</w:t>
      </w:r>
    </w:p>
    <w:p>
      <w:pPr>
        <w:spacing w:after="0" w:line="8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900" w:right="200" w:hanging="325"/>
        <w:spacing w:after="0" w:line="313" w:lineRule="auto"/>
        <w:tabs>
          <w:tab w:leader="none" w:pos="9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transaction that, in accordance with article L.411-2-II-1°-or-2°-or 3° of the French Code monétaire et financier and article 211-2 of the General Regulations (</w:t>
      </w:r>
      <w:r>
        <w:rPr>
          <w:rFonts w:ascii="Times New Roman" w:cs="Times New Roman" w:eastAsia="Times New Roman" w:hAnsi="Times New Roman"/>
          <w:sz w:val="17"/>
          <w:szCs w:val="17"/>
          <w:i w:val="1"/>
          <w:iCs w:val="1"/>
          <w:color w:val="auto"/>
        </w:rPr>
        <w:t>Règlement Général</w:t>
      </w:r>
      <w:r>
        <w:rPr>
          <w:rFonts w:ascii="Times New Roman" w:cs="Times New Roman" w:eastAsia="Times New Roman" w:hAnsi="Times New Roman"/>
          <w:sz w:val="17"/>
          <w:szCs w:val="17"/>
          <w:color w:val="auto"/>
        </w:rPr>
        <w:t>) of the Autorité des Marchés Financiers, does not constitute a public offer (</w:t>
      </w:r>
      <w:r>
        <w:rPr>
          <w:rFonts w:ascii="Times New Roman" w:cs="Times New Roman" w:eastAsia="Times New Roman" w:hAnsi="Times New Roman"/>
          <w:sz w:val="17"/>
          <w:szCs w:val="17"/>
          <w:i w:val="1"/>
          <w:iCs w:val="1"/>
          <w:color w:val="auto"/>
        </w:rPr>
        <w:t>appel public à l’épargne</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ADSs may be resold directly or indirectly, only in compliance with articles L.411-1, L.411-2, L.412-1 and L.621-8 through L.621-8-3 of the French Code monétaire et financier.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420"/>
          </w:cols>
          <w:pgMar w:left="240" w:top="456" w:right="2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119"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color w:val="auto"/>
        </w:rPr>
        <w:t xml:space="preserve">The offering of ADSs has not been registered with the </w:t>
      </w:r>
      <w:r>
        <w:rPr>
          <w:rFonts w:ascii="Times New Roman" w:cs="Times New Roman" w:eastAsia="Times New Roman" w:hAnsi="Times New Roman"/>
          <w:sz w:val="18"/>
          <w:szCs w:val="18"/>
          <w:i w:val="1"/>
          <w:iCs w:val="1"/>
          <w:color w:val="auto"/>
        </w:rPr>
        <w:t>Commissione Nazionale per le Società e la Borsa</w:t>
      </w:r>
      <w:r>
        <w:rPr>
          <w:rFonts w:ascii="Times New Roman" w:cs="Times New Roman" w:eastAsia="Times New Roman" w:hAnsi="Times New Roman"/>
          <w:sz w:val="18"/>
          <w:szCs w:val="18"/>
          <w:color w:val="auto"/>
        </w:rPr>
        <w:t xml:space="preserve"> (“CONSOB”) pursuant to Italian securities legislation and, accordingly, no ADSs may be offered, sold or delivered, nor copies of this prospectus or any other documents relating to the ADSs may not be distributed in Italy except:</w:t>
      </w:r>
    </w:p>
    <w:p>
      <w:pPr>
        <w:spacing w:after="0" w:line="81" w:lineRule="exact"/>
        <w:rPr>
          <w:sz w:val="20"/>
          <w:szCs w:val="20"/>
          <w:color w:val="auto"/>
        </w:rPr>
      </w:pPr>
    </w:p>
    <w:p>
      <w:pPr>
        <w:ind w:left="900" w:right="18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as referred to in Article 100 of Legislative Decree No. 58 of February 24, 1998, as amended (the “Decree No. 58”) and defined in Article 26, paragraph 1, letter d) of CONSOB</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420"/>
          </w:cols>
          <w:pgMar w:left="240" w:top="455" w:right="2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82" w:lineRule="auto"/>
        <w:rPr>
          <w:sz w:val="20"/>
          <w:szCs w:val="20"/>
          <w:color w:val="auto"/>
        </w:rPr>
      </w:pPr>
      <w:r>
        <w:rPr>
          <w:rFonts w:ascii="Times New Roman" w:cs="Times New Roman" w:eastAsia="Times New Roman" w:hAnsi="Times New Roman"/>
          <w:sz w:val="18"/>
          <w:szCs w:val="18"/>
          <w:color w:val="auto"/>
        </w:rPr>
        <w:t>Regulation No. 16190 of October 29, 2007, as amended (“Regulation No. 16190”) pursuant to Article 34-ter, paragraph 1, letter. b) of CONSOB Regulation No. 11971 of May 14, 1999, as amended (“Regulation No. 11971”); or</w:t>
      </w:r>
    </w:p>
    <w:p>
      <w:pPr>
        <w:spacing w:after="0" w:line="67" w:lineRule="exact"/>
        <w:rPr>
          <w:sz w:val="20"/>
          <w:szCs w:val="20"/>
          <w:color w:val="auto"/>
        </w:rPr>
      </w:pPr>
    </w:p>
    <w:p>
      <w:pPr>
        <w:ind w:left="900" w:right="140" w:hanging="325"/>
        <w:spacing w:after="0" w:line="282"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an express exemption from compliance with the offer restrictions applies, as provided under Decree No. 58 or Regulation No. 11971.</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Any offer, sale or delivery of the ADSs or distribution of copies of this prospectus or any other documents relating to the ADSs in the Republic of Italy must be:</w:t>
      </w:r>
    </w:p>
    <w:p>
      <w:pPr>
        <w:spacing w:after="0" w:line="67" w:lineRule="exact"/>
        <w:rPr>
          <w:sz w:val="20"/>
          <w:szCs w:val="20"/>
          <w:color w:val="auto"/>
        </w:rPr>
      </w:pPr>
    </w:p>
    <w:p>
      <w:pPr>
        <w:ind w:left="900" w:right="320" w:hanging="325"/>
        <w:spacing w:after="0" w:line="266"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Law, and the implementing guidelines of the Bank of Italy, as amended; and</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notification requirement or limitation which may be imposed, from time to time, by CONSOB or the Bank of Italy or other competent authority.</w:t>
      </w:r>
    </w:p>
    <w:p>
      <w:pPr>
        <w:spacing w:after="0" w:line="162"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21"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Qatar</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ADSs have not been and will not be offered, sold or delivered at any time, directly or indirectly, in the State of Qatar (“Qatar”) in a manner that would constitute a public offering. This prospectus has not been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400"/>
          </w:cols>
          <w:pgMar w:left="240" w:top="456" w:right="2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86" w:lineRule="exact"/>
        <w:rPr>
          <w:sz w:val="20"/>
          <w:szCs w:val="20"/>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(the ‘‘SFA’’),</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480" w:right="100" w:hanging="567"/>
        <w:spacing w:after="0" w:line="282" w:lineRule="auto"/>
        <w:tabs>
          <w:tab w:leader="none" w:pos="14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480" w:right="700" w:hanging="567"/>
        <w:spacing w:after="0" w:line="282" w:lineRule="auto"/>
        <w:tabs>
          <w:tab w:leader="none" w:pos="14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420"/>
          </w:cols>
          <w:pgMar w:left="240" w:top="455" w:right="2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ADSs have not been, and are not being, publicly offered, sold, promoted or advertised in the United Arab Emirates (“U.A.E.”) other than in compliance with the laws of the U.A.E. Prospective investors in the Dubai International Financial Center should have regard to the specific selling restrictions on prospective investors in the Dubai International Financial Center set out below.</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66"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81"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ADSs in, from or otherwise involving the United Kingdom.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400"/>
          </w:cols>
          <w:pgMar w:left="240" w:top="456" w:right="2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229"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be incur in connection with the offer and sale of the ADSs. With the exception of the Securities and Exchange Commission registration fee, the Financial Industry Regulatory Authority, Inc., or FINRA, filing fee and the NASDAQ Global Market listing fee, all amounts are estimates.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US$7,580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US$18,500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US$150,000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US$400,000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Non-accountable expense allowance to the underwriters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US$500,004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US$1,190,000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US$1,620,000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20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US$1,125,916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US$5,012,000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0" w:type="dxa"/>
            <w:vAlign w:val="bottom"/>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219</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00"/>
          </w:cols>
          <w:pgMar w:left="240" w:top="456" w:right="3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420"/>
          </w:cols>
          <w:pgMar w:left="240" w:top="456" w:right="2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281" w:lineRule="auto"/>
        <w:rPr>
          <w:sz w:val="20"/>
          <w:szCs w:val="20"/>
          <w:color w:val="auto"/>
        </w:rPr>
      </w:pPr>
      <w:r>
        <w:rPr>
          <w:rFonts w:ascii="Times New Roman" w:cs="Times New Roman" w:eastAsia="Times New Roman" w:hAnsi="Times New Roman"/>
          <w:sz w:val="17"/>
          <w:szCs w:val="17"/>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6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80"/>
          </w:cols>
          <w:pgMar w:left="240" w:top="455" w:right="27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for the Years Ended December 31, 2015 and 2016</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10640" w:type="dxa"/>
            <w:vAlign w:val="bottom"/>
            <w:gridSpan w:val="19"/>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640" w:type="dxa"/>
            <w:vAlign w:val="bottom"/>
            <w:gridSpan w:val="19"/>
          </w:tcPr>
          <w:p>
            <w:pPr>
              <w:spacing w:after="0" w:line="194" w:lineRule="exact"/>
              <w:rPr>
                <w:rFonts w:ascii="Times New Roman" w:cs="Times New Roman" w:eastAsia="Times New Roman" w:hAnsi="Times New Roman"/>
                <w:sz w:val="18"/>
                <w:szCs w:val="18"/>
                <w:color w:val="0000EE"/>
              </w:rPr>
            </w:pPr>
            <w:hyperlink w:anchor="page228">
              <w:r>
                <w:rPr>
                  <w:rFonts w:ascii="Times New Roman" w:cs="Times New Roman" w:eastAsia="Times New Roman" w:hAnsi="Times New Roman"/>
                  <w:sz w:val="18"/>
                  <w:szCs w:val="18"/>
                  <w:color w:val="0000EE"/>
                </w:rPr>
                <w:t>Report of Independent Registered Public Accounting Firm</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229">
              <w:r>
                <w:rPr>
                  <w:rFonts w:ascii="Times New Roman" w:cs="Times New Roman" w:eastAsia="Times New Roman" w:hAnsi="Times New Roman"/>
                  <w:sz w:val="18"/>
                  <w:szCs w:val="18"/>
                  <w:color w:val="0000EE"/>
                  <w:w w:val="99"/>
                </w:rPr>
                <w:t>Consolidated Balance Sheets as of December 31, 2015 and 2016</w:t>
              </w:r>
            </w:hyperlink>
          </w:p>
        </w:tc>
        <w:tc>
          <w:tcPr>
            <w:tcW w:w="598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33">
              <w:r>
                <w:rPr>
                  <w:rFonts w:ascii="Times New Roman" w:cs="Times New Roman" w:eastAsia="Times New Roman" w:hAnsi="Times New Roman"/>
                  <w:sz w:val="18"/>
                  <w:szCs w:val="18"/>
                  <w:color w:val="0000EE"/>
                  <w:w w:val="99"/>
                </w:rPr>
                <w:t>Consolidated Statements of Comprehensive Loss for the years ended December 31, 2015 and 2016</w:t>
              </w:r>
            </w:hyperlink>
          </w:p>
        </w:tc>
        <w:tc>
          <w:tcPr>
            <w:tcW w:w="35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234">
              <w:r>
                <w:rPr>
                  <w:rFonts w:ascii="Times New Roman" w:cs="Times New Roman" w:eastAsia="Times New Roman" w:hAnsi="Times New Roman"/>
                  <w:sz w:val="18"/>
                  <w:szCs w:val="18"/>
                  <w:color w:val="0000EE"/>
                  <w:w w:val="99"/>
                </w:rPr>
                <w:t>Consolidated Statements of Changes in Shareholders’ Deficit for the years ended December 31, 2015 and 2016</w:t>
              </w:r>
            </w:hyperlink>
          </w:p>
        </w:tc>
        <w:tc>
          <w:tcPr>
            <w:tcW w:w="26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36">
              <w:r>
                <w:rPr>
                  <w:rFonts w:ascii="Times New Roman" w:cs="Times New Roman" w:eastAsia="Times New Roman" w:hAnsi="Times New Roman"/>
                  <w:sz w:val="18"/>
                  <w:szCs w:val="18"/>
                  <w:color w:val="0000EE"/>
                </w:rPr>
                <w:t>Consolidated Statements of Cash Flows for the years ended December 31, 2015 and 2016</w:t>
              </w:r>
            </w:hyperlink>
          </w:p>
        </w:tc>
        <w:tc>
          <w:tcPr>
            <w:tcW w:w="412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Notes to the Consolidated Financial Statements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6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96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w:anchor="page296">
              <w:r>
                <w:rPr>
                  <w:rFonts w:ascii="Times New Roman" w:cs="Times New Roman" w:eastAsia="Times New Roman" w:hAnsi="Times New Roman"/>
                  <w:sz w:val="18"/>
                  <w:szCs w:val="18"/>
                  <w:color w:val="0000EE"/>
                  <w:w w:val="99"/>
                </w:rPr>
                <w:t>Unaudited Interim Condensed Consolidated Balance Sheets as of December 31, 2016 and September 30, 2017</w:t>
              </w:r>
            </w:hyperlink>
          </w:p>
        </w:tc>
        <w:tc>
          <w:tcPr>
            <w:tcW w:w="2680" w:type="dxa"/>
            <w:vAlign w:val="bottom"/>
            <w:gridSpan w:val="6"/>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F-70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Times New Roman" w:cs="Times New Roman" w:eastAsia="Times New Roman" w:hAnsi="Times New Roman"/>
                <w:sz w:val="18"/>
                <w:szCs w:val="18"/>
                <w:color w:val="0000EE"/>
              </w:rPr>
            </w:pPr>
            <w:hyperlink w:anchor="page300">
              <w:r>
                <w:rPr>
                  <w:rFonts w:ascii="Times New Roman" w:cs="Times New Roman" w:eastAsia="Times New Roman" w:hAnsi="Times New Roman"/>
                  <w:sz w:val="18"/>
                  <w:szCs w:val="18"/>
                  <w:color w:val="0000EE"/>
                </w:rPr>
                <w:t>Unaudited Interim Condensed Consolidated Statements of Comprehensive Loss for the nine months ended September 30, 2016 and 2017</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Times New Roman" w:cs="Times New Roman" w:eastAsia="Times New Roman" w:hAnsi="Times New Roman"/>
                <w:sz w:val="18"/>
                <w:szCs w:val="18"/>
                <w:color w:val="0000EE"/>
              </w:rPr>
            </w:pPr>
            <w:hyperlink w:anchor="page301">
              <w:r>
                <w:rPr>
                  <w:rFonts w:ascii="Times New Roman" w:cs="Times New Roman" w:eastAsia="Times New Roman" w:hAnsi="Times New Roman"/>
                  <w:sz w:val="18"/>
                  <w:szCs w:val="18"/>
                  <w:color w:val="0000EE"/>
                </w:rPr>
                <w:t>Unaudited Interim Condensed Consolidated Statements of Changes in Shareholders’ Deficit for the nine months ended September 30, 2016 and</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301">
              <w:r>
                <w:rPr>
                  <w:rFonts w:ascii="Times New Roman" w:cs="Times New Roman" w:eastAsia="Times New Roman" w:hAnsi="Times New Roman"/>
                  <w:sz w:val="18"/>
                  <w:szCs w:val="18"/>
                  <w:color w:val="0000EE"/>
                  <w:w w:val="94"/>
                </w:rPr>
                <w:t>2017</w:t>
              </w:r>
            </w:hyperlink>
          </w:p>
        </w:tc>
        <w:tc>
          <w:tcPr>
            <w:tcW w:w="17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F-75</w:t>
            </w:r>
          </w:p>
        </w:tc>
        <w:tc>
          <w:tcPr>
            <w:tcW w:w="0" w:type="dxa"/>
            <w:vAlign w:val="bottom"/>
          </w:tcPr>
          <w:p>
            <w:pPr>
              <w:spacing w:after="0"/>
              <w:rPr>
                <w:sz w:val="1"/>
                <w:szCs w:val="1"/>
                <w:color w:val="auto"/>
              </w:rPr>
            </w:pPr>
          </w:p>
        </w:tc>
      </w:tr>
      <w:tr>
        <w:trPr>
          <w:trHeight w:val="196"/>
        </w:trPr>
        <w:tc>
          <w:tcPr>
            <w:tcW w:w="92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02">
              <w:r>
                <w:rPr>
                  <w:rFonts w:ascii="Times New Roman" w:cs="Times New Roman" w:eastAsia="Times New Roman" w:hAnsi="Times New Roman"/>
                  <w:sz w:val="18"/>
                  <w:szCs w:val="18"/>
                  <w:color w:val="0000EE"/>
                  <w:w w:val="99"/>
                </w:rPr>
                <w:t>Unaudited Interim Condensed Consolidated Statements of Cash Flows for the nine months ended September 30, 2016 and 2017</w:t>
              </w:r>
            </w:hyperlink>
          </w:p>
        </w:tc>
        <w:tc>
          <w:tcPr>
            <w:tcW w:w="14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03">
              <w:r>
                <w:rPr>
                  <w:rFonts w:ascii="Times New Roman" w:cs="Times New Roman" w:eastAsia="Times New Roman" w:hAnsi="Times New Roman"/>
                  <w:sz w:val="18"/>
                  <w:szCs w:val="18"/>
                  <w:color w:val="0000EE"/>
                  <w:w w:val="99"/>
                </w:rPr>
                <w:t>Notes to the Unaudited Interim Condensed Consolidated Financial Statements</w:t>
              </w:r>
            </w:hyperlink>
          </w:p>
        </w:tc>
        <w:tc>
          <w:tcPr>
            <w:tcW w:w="500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F-77</w:t>
            </w:r>
          </w:p>
        </w:tc>
        <w:tc>
          <w:tcPr>
            <w:tcW w:w="0" w:type="dxa"/>
            <w:vAlign w:val="bottom"/>
          </w:tcPr>
          <w:p>
            <w:pPr>
              <w:spacing w:after="0"/>
              <w:rPr>
                <w:sz w:val="1"/>
                <w:szCs w:val="1"/>
                <w:color w:val="auto"/>
              </w:rPr>
            </w:pPr>
          </w:p>
        </w:tc>
      </w:tr>
      <w:tr>
        <w:trPr>
          <w:trHeight w:val="430"/>
        </w:trPr>
        <w:tc>
          <w:tcPr>
            <w:tcW w:w="106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OPTAIM LIMITED (Note)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6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640" w:type="dxa"/>
            <w:vAlign w:val="bottom"/>
            <w:gridSpan w:val="19"/>
          </w:tcPr>
          <w:p>
            <w:pPr>
              <w:spacing w:after="0" w:line="174" w:lineRule="exact"/>
              <w:rPr>
                <w:rFonts w:ascii="Times New Roman" w:cs="Times New Roman" w:eastAsia="Times New Roman" w:hAnsi="Times New Roman"/>
                <w:sz w:val="18"/>
                <w:szCs w:val="18"/>
                <w:color w:val="0000EE"/>
              </w:rPr>
            </w:pPr>
            <w:hyperlink w:anchor="page342">
              <w:r>
                <w:rPr>
                  <w:rFonts w:ascii="Times New Roman" w:cs="Times New Roman" w:eastAsia="Times New Roman" w:hAnsi="Times New Roman"/>
                  <w:sz w:val="18"/>
                  <w:szCs w:val="18"/>
                  <w:color w:val="0000EE"/>
                </w:rPr>
                <w:t>Report of Independent Auditors</w:t>
              </w:r>
            </w:hyperlink>
          </w:p>
        </w:tc>
        <w:tc>
          <w:tcPr>
            <w:tcW w:w="72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F-116</w:t>
            </w:r>
          </w:p>
        </w:tc>
        <w:tc>
          <w:tcPr>
            <w:tcW w:w="0" w:type="dxa"/>
            <w:vAlign w:val="bottom"/>
          </w:tcPr>
          <w:p>
            <w:pPr>
              <w:spacing w:after="0"/>
              <w:rPr>
                <w:sz w:val="1"/>
                <w:szCs w:val="1"/>
                <w:color w:val="auto"/>
              </w:rPr>
            </w:pPr>
          </w:p>
        </w:tc>
      </w:tr>
      <w:tr>
        <w:trPr>
          <w:trHeight w:val="20"/>
        </w:trPr>
        <w:tc>
          <w:tcPr>
            <w:tcW w:w="23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43">
              <w:r>
                <w:rPr>
                  <w:rFonts w:ascii="Times New Roman" w:cs="Times New Roman" w:eastAsia="Times New Roman" w:hAnsi="Times New Roman"/>
                  <w:sz w:val="18"/>
                  <w:szCs w:val="18"/>
                  <w:color w:val="0000EE"/>
                  <w:w w:val="99"/>
                </w:rPr>
                <w:t>Consolidated Balance Sheet as of July 23, 2015</w:t>
              </w:r>
            </w:hyperlink>
          </w:p>
        </w:tc>
        <w:tc>
          <w:tcPr>
            <w:tcW w:w="7200" w:type="dxa"/>
            <w:vAlign w:val="bottom"/>
            <w:gridSpan w:val="14"/>
          </w:tcPr>
          <w:p>
            <w:pPr>
              <w:spacing w:after="0"/>
              <w:rPr>
                <w:sz w:val="18"/>
                <w:szCs w:val="18"/>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F-117</w:t>
            </w:r>
          </w:p>
        </w:tc>
        <w:tc>
          <w:tcPr>
            <w:tcW w:w="0" w:type="dxa"/>
            <w:vAlign w:val="bottom"/>
          </w:tcPr>
          <w:p>
            <w:pPr>
              <w:spacing w:after="0"/>
              <w:rPr>
                <w:sz w:val="1"/>
                <w:szCs w:val="1"/>
                <w:color w:val="auto"/>
              </w:rPr>
            </w:pPr>
          </w:p>
        </w:tc>
      </w:tr>
      <w:tr>
        <w:trPr>
          <w:trHeight w:val="210"/>
        </w:trPr>
        <w:tc>
          <w:tcPr>
            <w:tcW w:w="10640" w:type="dxa"/>
            <w:vAlign w:val="bottom"/>
            <w:gridSpan w:val="19"/>
          </w:tcPr>
          <w:p>
            <w:pPr>
              <w:spacing w:after="0" w:line="196" w:lineRule="exact"/>
              <w:rPr>
                <w:rFonts w:ascii="Times New Roman" w:cs="Times New Roman" w:eastAsia="Times New Roman" w:hAnsi="Times New Roman"/>
                <w:sz w:val="18"/>
                <w:szCs w:val="18"/>
                <w:color w:val="0000EE"/>
              </w:rPr>
            </w:pPr>
            <w:hyperlink w:anchor="page345">
              <w:r>
                <w:rPr>
                  <w:rFonts w:ascii="Times New Roman" w:cs="Times New Roman" w:eastAsia="Times New Roman" w:hAnsi="Times New Roman"/>
                  <w:sz w:val="18"/>
                  <w:szCs w:val="18"/>
                  <w:color w:val="0000EE"/>
                </w:rPr>
                <w:t>Consolidated Statement of Comprehensive Loss for the Period from January 1, 2015 to July 23, 2015</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F-119</w:t>
            </w:r>
          </w:p>
        </w:tc>
        <w:tc>
          <w:tcPr>
            <w:tcW w:w="0" w:type="dxa"/>
            <w:vAlign w:val="bottom"/>
          </w:tcPr>
          <w:p>
            <w:pPr>
              <w:spacing w:after="0"/>
              <w:rPr>
                <w:sz w:val="1"/>
                <w:szCs w:val="1"/>
                <w:color w:val="auto"/>
              </w:rPr>
            </w:pPr>
          </w:p>
        </w:tc>
      </w:tr>
      <w:tr>
        <w:trPr>
          <w:trHeight w:val="20"/>
        </w:trPr>
        <w:tc>
          <w:tcPr>
            <w:tcW w:w="664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gridSpan w:val="19"/>
          </w:tcPr>
          <w:p>
            <w:pPr>
              <w:spacing w:after="0" w:line="196" w:lineRule="exact"/>
              <w:rPr>
                <w:rFonts w:ascii="Times New Roman" w:cs="Times New Roman" w:eastAsia="Times New Roman" w:hAnsi="Times New Roman"/>
                <w:sz w:val="18"/>
                <w:szCs w:val="18"/>
                <w:color w:val="0000EE"/>
              </w:rPr>
            </w:pPr>
            <w:hyperlink w:anchor="page346">
              <w:r>
                <w:rPr>
                  <w:rFonts w:ascii="Times New Roman" w:cs="Times New Roman" w:eastAsia="Times New Roman" w:hAnsi="Times New Roman"/>
                  <w:sz w:val="18"/>
                  <w:szCs w:val="18"/>
                  <w:color w:val="0000EE"/>
                </w:rPr>
                <w:t>Consolidated Statement of Changes in Shareholders’ Equity for the Period from January 1, 2015 to July 23, 2015</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F-120</w:t>
            </w:r>
          </w:p>
        </w:tc>
        <w:tc>
          <w:tcPr>
            <w:tcW w:w="0" w:type="dxa"/>
            <w:vAlign w:val="bottom"/>
          </w:tcPr>
          <w:p>
            <w:pPr>
              <w:spacing w:after="0"/>
              <w:rPr>
                <w:sz w:val="1"/>
                <w:szCs w:val="1"/>
                <w:color w:val="auto"/>
              </w:rPr>
            </w:pPr>
          </w:p>
        </w:tc>
      </w:tr>
      <w:tr>
        <w:trPr>
          <w:trHeight w:val="210"/>
        </w:trPr>
        <w:tc>
          <w:tcPr>
            <w:tcW w:w="66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47">
              <w:r>
                <w:rPr>
                  <w:rFonts w:ascii="Times New Roman" w:cs="Times New Roman" w:eastAsia="Times New Roman" w:hAnsi="Times New Roman"/>
                  <w:sz w:val="18"/>
                  <w:szCs w:val="18"/>
                  <w:color w:val="0000EE"/>
                  <w:w w:val="99"/>
                </w:rPr>
                <w:t>Consolidated Statement of Cash Flows for the Period from January 1, 2015 to July 23, 2015</w:t>
              </w:r>
            </w:hyperlink>
          </w:p>
        </w:tc>
        <w:tc>
          <w:tcPr>
            <w:tcW w:w="1520" w:type="dxa"/>
            <w:vAlign w:val="bottom"/>
            <w:tcBorders>
              <w:top w:val="single" w:sz="8" w:color="0000EE"/>
            </w:tcBorders>
            <w:gridSpan w:val="5"/>
          </w:tcPr>
          <w:p>
            <w:pPr>
              <w:spacing w:after="0"/>
              <w:rPr>
                <w:sz w:val="18"/>
                <w:szCs w:val="18"/>
                <w:color w:val="auto"/>
              </w:rPr>
            </w:pPr>
          </w:p>
        </w:tc>
        <w:tc>
          <w:tcPr>
            <w:tcW w:w="248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F-121</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Times New Roman" w:cs="Times New Roman" w:eastAsia="Times New Roman" w:hAnsi="Times New Roman"/>
                <w:sz w:val="18"/>
                <w:szCs w:val="18"/>
                <w:color w:val="0000EE"/>
              </w:rPr>
            </w:pPr>
            <w:hyperlink w:anchor="page348">
              <w:r>
                <w:rPr>
                  <w:rFonts w:ascii="Times New Roman" w:cs="Times New Roman" w:eastAsia="Times New Roman" w:hAnsi="Times New Roman"/>
                  <w:sz w:val="18"/>
                  <w:szCs w:val="18"/>
                  <w:color w:val="0000EE"/>
                </w:rPr>
                <w:t>Notes to the Consolidated Financial Statements for the Period from January 1, 2015 to July 23, 2015</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20"/>
          </w:cols>
          <w:pgMar w:left="240" w:top="455" w:right="2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iClick Interactive Asia Group Limited</w:t>
      </w:r>
    </w:p>
    <w:p>
      <w:pPr>
        <w:spacing w:after="0" w:line="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2017, except for note 22, which is as of July 13, 2017</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240" w:top="456" w:right="31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Note</w:t>
            </w:r>
          </w:p>
        </w:tc>
        <w:tc>
          <w:tcPr>
            <w:tcW w:w="172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10,395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US$1,733 and US$1,693 as of December 31, 2015 and</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2016, respectively</w:t>
            </w: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28,423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7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24,793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7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19,095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48,496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71,404</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66,671</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6" w:right="2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172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 entity (“VIE”) and its subsidiary</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without recourse to the Company of US$426 and US$28 as of December 31, 2015 and 2016, respectively)</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revenue (including deferred revenue of the consolidated VIE and its subsidiary without recourse to the Company</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US$6,668 and US$11,878 as of December 31, 2015 and 2016, respectively)</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14,935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 other current liabilities of the consolidated</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VIE and its subsidiary without recourse to the Company of US$66 and US$404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14,808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63,724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due to a related party (including amount due to a related party of the consolidated VIE and its subsidiary without</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recourse to the Company of US$46 and US$nil as of December 31, 2015 and 2016, respectively)</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8,542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115,124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6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Note</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(US$0.001 par value; 2,500,000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2015 and 2016, respectively; 2,476,190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redemption amount of US$7,393 and US$6,737 as of December 31, 2015 and 2016, respectively)</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convertible redeemable preferred shares (US$0.001 par value; 3,000,000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2015 and 2016, respectively; 1,889,249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redemption amount of US$14,441 and US$14,625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 convertible redeemable preferred shares (US$0.001 par value; 1,650,000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2015 and 2016, respectively; 1,599,186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redemption amount of US$20,636 and US$22,288 as of December 31, 2015 and 2016, respectively)</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10,733</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198"/>
        </w:trPr>
        <w:tc>
          <w:tcPr>
            <w:tcW w:w="9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convertible redeemable preferred shares (US$0.001 par value; 4,500,000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2015 and 2016, respectively; 2,493,018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redemption amount of US$55,944 and US$58,874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43,956</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43,956</w:t>
            </w:r>
          </w:p>
        </w:tc>
        <w:tc>
          <w:tcPr>
            <w:tcW w:w="0" w:type="dxa"/>
            <w:vAlign w:val="bottom"/>
          </w:tcPr>
          <w:p>
            <w:pPr>
              <w:spacing w:after="0"/>
              <w:rPr>
                <w:sz w:val="1"/>
                <w:szCs w:val="1"/>
                <w:color w:val="auto"/>
              </w:rPr>
            </w:pPr>
          </w:p>
        </w:tc>
      </w:tr>
      <w:tr>
        <w:trPr>
          <w:trHeight w:val="198"/>
        </w:trPr>
        <w:tc>
          <w:tcPr>
            <w:tcW w:w="9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 convertible redeemable preferred shares (US$0.001 par value; 1,200,000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2016; 1,068,114 shares issued and outstanding as of December 31, 2016; redemption amount of US$20,000 as of</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18,845</w:t>
            </w:r>
          </w:p>
        </w:tc>
        <w:tc>
          <w:tcPr>
            <w:tcW w:w="0" w:type="dxa"/>
            <w:vAlign w:val="bottom"/>
          </w:tcPr>
          <w:p>
            <w:pPr>
              <w:spacing w:after="0"/>
              <w:rPr>
                <w:sz w:val="1"/>
                <w:szCs w:val="1"/>
                <w:color w:val="auto"/>
              </w:rPr>
            </w:pPr>
          </w:p>
        </w:tc>
      </w:tr>
      <w:tr>
        <w:trPr>
          <w:trHeight w:val="198"/>
        </w:trPr>
        <w:tc>
          <w:tcPr>
            <w:tcW w:w="9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Redeemable ordinary shares (US$0.001 par value; 742,320 shares issued and outstanding as of December 31, 2015 and</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2016, respectively)</w:t>
            </w:r>
          </w:p>
        </w:tc>
        <w:tc>
          <w:tcPr>
            <w:tcW w:w="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13,889</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15,445</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6" w:right="2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5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Note</w:t>
            </w:r>
          </w:p>
        </w:tc>
        <w:tc>
          <w:tcPr>
            <w:tcW w:w="17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(deficit)/equity</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(US$0.001 par value; 38,350,000 and 37,150,000 shares authorized as of December 31, 2015 and 2016,</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 13,104,300 and 13,609,208 shares issued and outstanding as of December 31, 2015 and 2016,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(2,654,188 and 2,149,280 shares as of December 31, 2015 and 2016, respectively)</w:t>
            </w: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53,917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65,687</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Statutory reserves</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(97,055)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(124,385)</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(55,929)</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(deficit)/equity</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146,110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(34,531)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(31,385)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(19,390)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(1,982)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6" w:right="2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Ordinary shares</w:t>
            </w:r>
          </w:p>
        </w:tc>
        <w:tc>
          <w:tcPr>
            <w:tcW w:w="17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Additional</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Accumulated</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Statutory</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gridSpan w:val="2"/>
            <w:vMerge w:val="continue"/>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2"/>
            <w:vMerge w:val="continue"/>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paid-in capital</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deficit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reserves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11,102,278</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(62,813)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OptAim Limited</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2,535,091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(600,169)</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51,641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(11,637)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127,997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(127,997)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(2,692)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2,591</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6" w:right="2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Ordinary shares</w:t>
            </w: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Additional</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Statutory</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8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Amount</w:t>
            </w:r>
          </w:p>
        </w:tc>
        <w:tc>
          <w:tcPr>
            <w:tcW w:w="10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shares</w:t>
            </w:r>
          </w:p>
        </w:tc>
        <w:tc>
          <w:tcPr>
            <w:tcW w:w="600" w:type="dxa"/>
            <w:vAlign w:val="bottom"/>
            <w:gridSpan w:val="2"/>
            <w:vMerge w:val="continue"/>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640" w:type="dxa"/>
            <w:vAlign w:val="bottom"/>
            <w:gridSpan w:val="2"/>
            <w:vMerge w:val="continue"/>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paid-in capital</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deficit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reserves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losses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13,104,300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(55,929)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436,773</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(436,773)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6,328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(6,329)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Reissuance of treasury shares upon exercise of</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13,609,208</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(39,714)</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1,138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6,494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(1,161)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(3,765)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8,100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(237)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(2,628)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(1,552)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(14,486)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6" w:right="2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(11,581)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7,589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(11,639)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41,131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Interests paid</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4(b))</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801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2,385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51" w:lineRule="exact"/>
        <w:rPr>
          <w:sz w:val="20"/>
          <w:szCs w:val="20"/>
          <w:color w:val="auto"/>
        </w:rPr>
      </w:pPr>
    </w:p>
    <w:p>
      <w:pPr>
        <w:ind w:left="460" w:hanging="452"/>
        <w:spacing w:after="0"/>
        <w:tabs>
          <w:tab w:leader="none" w:pos="4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1" w:lineRule="exact"/>
        <w:rPr>
          <w:rFonts w:ascii="Times New Roman" w:cs="Times New Roman" w:eastAsia="Times New Roman" w:hAnsi="Times New Roman"/>
          <w:sz w:val="18"/>
          <w:szCs w:val="18"/>
          <w:b w:val="1"/>
          <w:bCs w:val="1"/>
          <w:color w:val="auto"/>
        </w:rPr>
      </w:pPr>
    </w:p>
    <w:p>
      <w:pPr>
        <w:ind w:left="46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77"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7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9"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53" w:lineRule="exact"/>
        <w:rPr>
          <w:rFonts w:ascii="Times New Roman" w:cs="Times New Roman" w:eastAsia="Times New Roman" w:hAnsi="Times New Roman"/>
          <w:sz w:val="18"/>
          <w:szCs w:val="18"/>
          <w:b w:val="1"/>
          <w:bCs w:val="1"/>
          <w:color w:val="auto"/>
        </w:rPr>
      </w:pPr>
    </w:p>
    <w:p>
      <w:pPr>
        <w:ind w:left="460" w:right="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00"/>
          </w:cols>
          <w:pgMar w:left="240" w:top="456" w:right="2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the Group had net current liabilities of US$23,603, total shareholders’ deficit of US$64,312 and accumulated deficit of</w:t>
      </w:r>
    </w:p>
    <w:p>
      <w:pPr>
        <w:spacing w:after="0" w:line="27" w:lineRule="exact"/>
        <w:rPr>
          <w:rFonts w:ascii="Times New Roman" w:cs="Times New Roman" w:eastAsia="Times New Roman" w:hAnsi="Times New Roman"/>
          <w:sz w:val="18"/>
          <w:szCs w:val="18"/>
          <w:b w:val="1"/>
          <w:bCs w:val="1"/>
          <w:color w:val="auto"/>
        </w:rPr>
      </w:pPr>
    </w:p>
    <w:p>
      <w:pPr>
        <w:ind w:left="460"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82" w:lineRule="exact"/>
        <w:rPr>
          <w:rFonts w:ascii="Times New Roman" w:cs="Times New Roman" w:eastAsia="Times New Roman" w:hAnsi="Times New Roman"/>
          <w:sz w:val="18"/>
          <w:szCs w:val="18"/>
          <w:b w:val="1"/>
          <w:bCs w:val="1"/>
          <w:color w:val="auto"/>
        </w:rPr>
      </w:pPr>
    </w:p>
    <w:p>
      <w:pPr>
        <w:ind w:left="4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include the financial statements of the Company, its subsidiaries and consolidated VIEs and the VIE’s subsidiary (defined in Note 1(b))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 of direct</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Place of</w:t>
            </w: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or indirect</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Date of</w:t>
            </w:r>
          </w:p>
        </w:tc>
        <w:tc>
          <w:tcPr>
            <w:tcW w:w="4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Relationship</w:t>
            </w: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economic</w:t>
            </w: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ownership</w:t>
            </w: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Dormant</w:t>
            </w:r>
          </w:p>
        </w:tc>
        <w:tc>
          <w:tcPr>
            <w:tcW w:w="0" w:type="dxa"/>
            <w:vAlign w:val="bottom"/>
          </w:tcPr>
          <w:p>
            <w:pPr>
              <w:spacing w:after="0"/>
              <w:rPr>
                <w:sz w:val="1"/>
                <w:szCs w:val="1"/>
                <w:color w:val="auto"/>
              </w:rPr>
            </w:pPr>
          </w:p>
        </w:tc>
      </w:tr>
      <w:tr>
        <w:trPr>
          <w:trHeight w:val="30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July 2007</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2008</w:t>
            </w:r>
          </w:p>
        </w:tc>
        <w:tc>
          <w:tcPr>
            <w:tcW w:w="1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30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March 2009</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September 2010</w:t>
            </w:r>
          </w:p>
        </w:tc>
        <w:tc>
          <w:tcPr>
            <w:tcW w:w="1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8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August 2010</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British</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(“BVI”)</w:t>
            </w: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30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January 2011</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Singapore</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0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iClick Interactive (Beijing)</w:t>
            </w:r>
          </w:p>
        </w:tc>
        <w:tc>
          <w:tcPr>
            <w:tcW w:w="1400" w:type="dxa"/>
            <w:vAlign w:val="bottom"/>
            <w:gridSpan w:val="3"/>
            <w:shd w:val="clear" w:color="auto" w:fill="CCEEFF"/>
          </w:tcPr>
          <w:p>
            <w:pPr>
              <w:jc w:val="right"/>
              <w:ind w:right="440"/>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January 2011</w:t>
            </w:r>
          </w:p>
        </w:tc>
        <w:tc>
          <w:tcPr>
            <w:tcW w:w="1260" w:type="dxa"/>
            <w:vAlign w:val="bottom"/>
            <w:gridSpan w:val="2"/>
            <w:shd w:val="clear" w:color="auto" w:fill="CCEEFF"/>
          </w:tcPr>
          <w:p>
            <w:pPr>
              <w:ind w:left="440"/>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3520" w:type="dxa"/>
            <w:vAlign w:val="bottom"/>
            <w:gridSpan w:val="2"/>
            <w:shd w:val="clear" w:color="auto" w:fill="CCEEFF"/>
          </w:tcPr>
          <w:p>
            <w:pPr>
              <w:ind w:left="420"/>
              <w:spacing w:after="0" w:line="181" w:lineRule="exact"/>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6" w:right="2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direct</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Place of</w:t>
            </w: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indirect</w:t>
            </w:r>
          </w:p>
        </w:tc>
        <w:tc>
          <w:tcPr>
            <w:tcW w:w="460" w:type="dxa"/>
            <w:vAlign w:val="bottom"/>
          </w:tcPr>
          <w:p>
            <w:pPr>
              <w:spacing w:after="0"/>
              <w:rPr>
                <w:sz w:val="12"/>
                <w:szCs w:val="12"/>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Date of</w:t>
            </w:r>
          </w:p>
        </w:tc>
        <w:tc>
          <w:tcPr>
            <w:tcW w:w="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Relationship</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economic</w:t>
            </w:r>
          </w:p>
        </w:tc>
        <w:tc>
          <w:tcPr>
            <w:tcW w:w="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308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2960" w:type="dxa"/>
            <w:vAlign w:val="bottom"/>
            <w:gridSpan w:val="3"/>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Search Asia Technology</w:t>
            </w:r>
          </w:p>
        </w:tc>
        <w:tc>
          <w:tcPr>
            <w:tcW w:w="1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i-Click Interactive Taiwan</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Taiwan</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Limited Taiwan Branch</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Performance Media Group</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Tetris Media (Shanghai) Co., Ltd.</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July 2013</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PRC</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Buzzinate Company Limited</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March</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Technology development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Buzzinate (Shanghai) Information</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July 2009</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PRC</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Technology development service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OptAim Limited</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July 2014</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Cayman</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OptAim (HK) Limited</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July 2014</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OptAim (Beijing) Information</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November</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OptAim Network</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PRC</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Zhiyunzhong (Shanghai)</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VIE’s</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May 2010</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BVI</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9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OptAim VIE</w:t>
      </w:r>
    </w:p>
    <w:p>
      <w:pPr>
        <w:spacing w:after="0" w:line="11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Agreement</w:t>
      </w:r>
    </w:p>
    <w:p>
      <w:pPr>
        <w:spacing w:after="0" w:line="117" w:lineRule="exact"/>
        <w:rPr>
          <w:sz w:val="20"/>
          <w:szCs w:val="20"/>
          <w:color w:val="auto"/>
        </w:rPr>
      </w:pPr>
    </w:p>
    <w:p>
      <w:pPr>
        <w:ind w:left="920" w:right="100"/>
        <w:spacing w:after="0" w:line="256" w:lineRule="auto"/>
        <w:rPr>
          <w:sz w:val="20"/>
          <w:szCs w:val="20"/>
          <w:color w:val="auto"/>
        </w:rPr>
      </w:pPr>
      <w:r>
        <w:rPr>
          <w:rFonts w:ascii="Times New Roman" w:cs="Times New Roman" w:eastAsia="Times New Roman" w:hAnsi="Times New Roman"/>
          <w:sz w:val="18"/>
          <w:szCs w:val="18"/>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36" w:lineRule="exact"/>
        <w:rPr>
          <w:sz w:val="20"/>
          <w:szCs w:val="20"/>
          <w:color w:val="auto"/>
        </w:rPr>
      </w:pPr>
    </w:p>
    <w:p>
      <w:pPr>
        <w:ind w:left="900" w:hanging="446"/>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 Agreement</w:t>
      </w:r>
    </w:p>
    <w:p>
      <w:pPr>
        <w:spacing w:after="0" w:line="117"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18"/>
          <w:szCs w:val="18"/>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36" w:lineRule="exact"/>
        <w:rPr>
          <w:sz w:val="20"/>
          <w:szCs w:val="20"/>
          <w:color w:val="auto"/>
        </w:rPr>
      </w:pPr>
    </w:p>
    <w:p>
      <w:pPr>
        <w:ind w:left="900" w:hanging="446"/>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6" w:right="2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117" w:lineRule="exact"/>
        <w:rPr>
          <w:sz w:val="20"/>
          <w:szCs w:val="20"/>
          <w:color w:val="auto"/>
        </w:rPr>
      </w:pPr>
    </w:p>
    <w:p>
      <w:pPr>
        <w:ind w:left="460" w:right="120"/>
        <w:spacing w:after="0" w:line="256" w:lineRule="auto"/>
        <w:rPr>
          <w:sz w:val="20"/>
          <w:szCs w:val="20"/>
          <w:color w:val="auto"/>
        </w:rPr>
      </w:pPr>
      <w:r>
        <w:rPr>
          <w:rFonts w:ascii="Times New Roman" w:cs="Times New Roman" w:eastAsia="Times New Roman" w:hAnsi="Times New Roman"/>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0"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54"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67" w:lineRule="exact"/>
        <w:rPr>
          <w:sz w:val="20"/>
          <w:szCs w:val="20"/>
          <w:color w:val="auto"/>
        </w:rPr>
      </w:pPr>
    </w:p>
    <w:p>
      <w:pPr>
        <w:ind w:left="1460" w:right="60" w:hanging="547"/>
        <w:spacing w:after="0" w:line="282"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VIE whereby having the power to direct OptAim VIE’s activities that most significantly drive the economic results of OptAim VIE;</w:t>
      </w:r>
    </w:p>
    <w:p>
      <w:pPr>
        <w:spacing w:after="0" w:line="67" w:lineRule="exact"/>
        <w:rPr>
          <w:rFonts w:ascii="Times New Roman" w:cs="Times New Roman" w:eastAsia="Times New Roman" w:hAnsi="Times New Roman"/>
          <w:sz w:val="18"/>
          <w:szCs w:val="18"/>
          <w:color w:val="auto"/>
        </w:rPr>
      </w:pPr>
    </w:p>
    <w:p>
      <w:pPr>
        <w:ind w:left="1460" w:right="140" w:hanging="547"/>
        <w:spacing w:after="0" w:line="282" w:lineRule="auto"/>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the OptAim VIE as if it was their sole shareholder;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6" w:lineRule="auto"/>
        <w:rPr>
          <w:sz w:val="20"/>
          <w:szCs w:val="20"/>
          <w:color w:val="auto"/>
        </w:rPr>
      </w:pPr>
      <w:r>
        <w:rPr>
          <w:rFonts w:ascii="Times New Roman" w:cs="Times New Roman" w:eastAsia="Times New Roman" w:hAnsi="Times New Roman"/>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68" w:lineRule="exact"/>
        <w:rPr>
          <w:sz w:val="20"/>
          <w:szCs w:val="20"/>
          <w:color w:val="auto"/>
        </w:rPr>
      </w:pPr>
    </w:p>
    <w:p>
      <w:pPr>
        <w:ind w:left="460" w:right="180"/>
        <w:spacing w:after="0" w:line="261" w:lineRule="auto"/>
        <w:rPr>
          <w:sz w:val="20"/>
          <w:szCs w:val="20"/>
          <w:color w:val="auto"/>
        </w:rPr>
      </w:pPr>
      <w:r>
        <w:rPr>
          <w:rFonts w:ascii="Times New Roman" w:cs="Times New Roman" w:eastAsia="Times New Roman" w:hAnsi="Times New Roman"/>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2" w:lineRule="exact"/>
        <w:rPr>
          <w:sz w:val="20"/>
          <w:szCs w:val="20"/>
          <w:color w:val="auto"/>
        </w:rPr>
      </w:pPr>
    </w:p>
    <w:p>
      <w:pPr>
        <w:ind w:left="460" w:right="80"/>
        <w:spacing w:after="0" w:line="256" w:lineRule="auto"/>
        <w:rPr>
          <w:sz w:val="20"/>
          <w:szCs w:val="20"/>
          <w:color w:val="auto"/>
        </w:rPr>
      </w:pPr>
      <w:r>
        <w:rPr>
          <w:rFonts w:ascii="Times New Roman" w:cs="Times New Roman" w:eastAsia="Times New Roman" w:hAnsi="Times New Roman"/>
          <w:sz w:val="18"/>
          <w:szCs w:val="18"/>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80" w:lineRule="exact"/>
        <w:rPr>
          <w:sz w:val="20"/>
          <w:szCs w:val="20"/>
          <w:color w:val="auto"/>
        </w:rPr>
      </w:pPr>
    </w:p>
    <w:p>
      <w:pPr>
        <w:ind w:left="460" w:right="40"/>
        <w:spacing w:after="0" w:line="282" w:lineRule="auto"/>
        <w:rPr>
          <w:sz w:val="20"/>
          <w:szCs w:val="20"/>
          <w:color w:val="auto"/>
        </w:rPr>
      </w:pPr>
      <w:r>
        <w:rPr>
          <w:rFonts w:ascii="Times New Roman" w:cs="Times New Roman" w:eastAsia="Times New Roman" w:hAnsi="Times New Roman"/>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1" w:lineRule="exact"/>
        <w:rPr>
          <w:sz w:val="20"/>
          <w:szCs w:val="20"/>
          <w:color w:val="auto"/>
        </w:rPr>
      </w:pPr>
    </w:p>
    <w:p>
      <w:pPr>
        <w:ind w:left="460" w:hanging="452"/>
        <w:spacing w:after="0"/>
        <w:tabs>
          <w:tab w:leader="none" w:pos="4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68" w:lineRule="exact"/>
        <w:rPr>
          <w:rFonts w:ascii="Times New Roman" w:cs="Times New Roman" w:eastAsia="Times New Roman" w:hAnsi="Times New Roman"/>
          <w:sz w:val="18"/>
          <w:szCs w:val="18"/>
          <w:b w:val="1"/>
          <w:bCs w:val="1"/>
          <w:color w:val="auto"/>
        </w:rPr>
      </w:pPr>
    </w:p>
    <w:p>
      <w:pPr>
        <w:ind w:left="460" w:righ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6" w:right="2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(Continued)</w:t>
      </w:r>
    </w:p>
    <w:p>
      <w:pPr>
        <w:spacing w:after="0" w:line="134" w:lineRule="exact"/>
        <w:rPr>
          <w:rFonts w:ascii="Times New Roman" w:cs="Times New Roman" w:eastAsia="Times New Roman" w:hAnsi="Times New Roman"/>
          <w:sz w:val="18"/>
          <w:szCs w:val="18"/>
          <w:b w:val="1"/>
          <w:bCs w:val="1"/>
          <w:color w:val="auto"/>
        </w:rPr>
      </w:pPr>
    </w:p>
    <w:p>
      <w:pPr>
        <w:jc w:val="both"/>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68" w:lineRule="exact"/>
        <w:rPr>
          <w:rFonts w:ascii="Times New Roman" w:cs="Times New Roman" w:eastAsia="Times New Roman" w:hAnsi="Times New Roman"/>
          <w:sz w:val="18"/>
          <w:szCs w:val="18"/>
          <w:b w:val="1"/>
          <w:bCs w:val="1"/>
          <w:color w:val="auto"/>
        </w:rPr>
      </w:pPr>
    </w:p>
    <w:p>
      <w:pPr>
        <w:ind w:left="46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68" w:lineRule="exact"/>
        <w:rPr>
          <w:rFonts w:ascii="Times New Roman" w:cs="Times New Roman" w:eastAsia="Times New Roman" w:hAnsi="Times New Roman"/>
          <w:sz w:val="18"/>
          <w:szCs w:val="18"/>
          <w:b w:val="1"/>
          <w:bCs w:val="1"/>
          <w:color w:val="auto"/>
        </w:rPr>
      </w:pPr>
    </w:p>
    <w:p>
      <w:pPr>
        <w:ind w:left="4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00"/>
          </w:cols>
          <w:pgMar w:left="240" w:top="456" w:right="25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134" w:lineRule="exact"/>
        <w:rPr>
          <w:rFonts w:ascii="Times New Roman" w:cs="Times New Roman" w:eastAsia="Times New Roman" w:hAnsi="Times New Roman"/>
          <w:sz w:val="18"/>
          <w:szCs w:val="18"/>
          <w:b w:val="1"/>
          <w:bCs w:val="1"/>
          <w:color w:val="auto"/>
        </w:rPr>
      </w:pPr>
    </w:p>
    <w:p>
      <w:pPr>
        <w:ind w:left="460" w:righ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117" w:lineRule="exact"/>
        <w:rPr>
          <w:rFonts w:ascii="Times New Roman" w:cs="Times New Roman" w:eastAsia="Times New Roman" w:hAnsi="Times New Roman"/>
          <w:sz w:val="18"/>
          <w:szCs w:val="18"/>
          <w:b w:val="1"/>
          <w:bCs w:val="1"/>
          <w:color w:val="auto"/>
        </w:rPr>
      </w:pPr>
    </w:p>
    <w:p>
      <w:pPr>
        <w:ind w:left="460" w:right="20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30"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6" w:right="2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jc w:val="both"/>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68" w:lineRule="exact"/>
        <w:rPr>
          <w:rFonts w:ascii="Times New Roman" w:cs="Times New Roman" w:eastAsia="Times New Roman" w:hAnsi="Times New Roman"/>
          <w:sz w:val="18"/>
          <w:szCs w:val="18"/>
          <w:b w:val="1"/>
          <w:bCs w:val="1"/>
          <w:color w:val="auto"/>
        </w:rPr>
      </w:pPr>
    </w:p>
    <w:p>
      <w:pPr>
        <w:ind w:left="4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Rebates receivable</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240" w:top="455" w:right="31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55" w:right="259" w:bottom="1440" w:gutter="0" w:footer="0" w:header="0"/>
        </w:sectPr>
      </w:pP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shorter of lease term or 2 – 5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5 years</w:t>
      </w:r>
    </w:p>
    <w:p>
      <w:pPr>
        <w:spacing w:after="0" w:line="99" w:lineRule="exact"/>
        <w:rPr>
          <w:sz w:val="20"/>
          <w:szCs w:val="20"/>
          <w:color w:val="auto"/>
        </w:rPr>
      </w:pPr>
    </w:p>
    <w:p>
      <w:pPr>
        <w:sectPr>
          <w:pgSz w:w="11900" w:h="16838" w:orient="portrait"/>
          <w:cols w:equalWidth="0" w:num="2">
            <w:col w:w="5420" w:space="720"/>
            <w:col w:w="5260"/>
          </w:cols>
          <w:pgMar w:left="240" w:top="455" w:right="259" w:bottom="1440" w:gutter="0" w:footer="0" w:header="0"/>
          <w:type w:val="continuous"/>
        </w:sect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306" w:lineRule="exact"/>
        <w:rPr>
          <w:sz w:val="20"/>
          <w:szCs w:val="20"/>
          <w:color w:val="auto"/>
        </w:rPr>
      </w:pPr>
    </w:p>
    <w:p>
      <w:pPr>
        <w:ind w:left="460" w:hanging="452"/>
        <w:spacing w:after="0"/>
        <w:tabs>
          <w:tab w:leader="none" w:pos="4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2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07" w:lineRule="exact"/>
        <w:rPr>
          <w:sz w:val="20"/>
          <w:szCs w:val="20"/>
          <w:color w:val="auto"/>
        </w:rPr>
      </w:pPr>
    </w:p>
    <w:p>
      <w:pPr>
        <w:ind w:left="460"/>
        <w:spacing w:after="0"/>
        <w:tabs>
          <w:tab w:leader="none" w:pos="6120" w:val="left"/>
        </w:tabs>
        <w:rPr>
          <w:sz w:val="20"/>
          <w:szCs w:val="20"/>
          <w:color w:val="auto"/>
        </w:rPr>
      </w:pPr>
      <w:r>
        <w:rPr>
          <w:rFonts w:ascii="Times New Roman" w:cs="Times New Roman" w:eastAsia="Times New Roman" w:hAnsi="Times New Roman"/>
          <w:sz w:val="18"/>
          <w:szCs w:val="18"/>
          <w:color w:val="auto"/>
        </w:rPr>
        <w:t>Computer software and systems</w:t>
      </w:r>
      <w:r>
        <w:rPr>
          <w:sz w:val="20"/>
          <w:szCs w:val="20"/>
          <w:color w:val="auto"/>
        </w:rPr>
        <w:tab/>
      </w:r>
      <w:r>
        <w:rPr>
          <w:rFonts w:ascii="Times New Roman" w:cs="Times New Roman" w:eastAsia="Times New Roman" w:hAnsi="Times New Roman"/>
          <w:sz w:val="17"/>
          <w:szCs w:val="17"/>
          <w:color w:val="auto"/>
        </w:rPr>
        <w:t>2 – 5 years</w:t>
      </w:r>
    </w:p>
    <w:p>
      <w:pPr>
        <w:spacing w:after="0" w:line="370" w:lineRule="exact"/>
        <w:rPr>
          <w:sz w:val="20"/>
          <w:szCs w:val="20"/>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 and intangible assets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price over the amounts assigned to the fair value of the assets acquired and the liabilities assumed of an acquired business.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00"/>
          </w:cols>
          <w:pgMar w:left="240" w:top="455" w:right="259" w:bottom="1440" w:gutter="0" w:footer="0" w:header="0"/>
          <w:type w:val="continuous"/>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goodwill</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4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rFonts w:ascii="Times New Roman" w:cs="Times New Roman" w:eastAsia="Times New Roman" w:hAnsi="Times New Roman"/>
          <w:sz w:val="18"/>
          <w:szCs w:val="18"/>
          <w:b w:val="1"/>
          <w:bCs w:val="1"/>
          <w:color w:val="auto"/>
        </w:rPr>
      </w:pPr>
    </w:p>
    <w:p>
      <w:pPr>
        <w:ind w:left="460"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2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6" w:right="2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8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Cost-plus and agreed rebates to be earned from certain website publishers</w:t>
      </w:r>
    </w:p>
    <w:p>
      <w:pPr>
        <w:spacing w:after="0" w:line="119"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Specified actions</w:t>
      </w:r>
    </w:p>
    <w:p>
      <w:pPr>
        <w:spacing w:after="0" w:line="119" w:lineRule="exact"/>
        <w:rPr>
          <w:rFonts w:ascii="Times New Roman" w:cs="Times New Roman" w:eastAsia="Times New Roman" w:hAnsi="Times New Roman"/>
          <w:sz w:val="18"/>
          <w:szCs w:val="18"/>
          <w:b w:val="1"/>
          <w:bCs w:val="1"/>
          <w:color w:val="auto"/>
        </w:rPr>
      </w:pPr>
    </w:p>
    <w:p>
      <w:pPr>
        <w:ind w:left="4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3"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6" w:right="2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121" w:lineRule="exact"/>
        <w:rPr>
          <w:rFonts w:ascii="Times New Roman" w:cs="Times New Roman" w:eastAsia="Times New Roman" w:hAnsi="Times New Roman"/>
          <w:sz w:val="18"/>
          <w:szCs w:val="18"/>
          <w:b w:val="1"/>
          <w:bCs w:val="1"/>
          <w:color w:val="auto"/>
        </w:rPr>
      </w:pPr>
    </w:p>
    <w:p>
      <w:pPr>
        <w:ind w:left="4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21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media costs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20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consist primarily of (i) salary and welfare for research and development personnel, (ii) rental expenses and</w:t>
      </w:r>
    </w:p>
    <w:p>
      <w:pPr>
        <w:spacing w:after="0" w:line="27"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78"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07" w:lineRule="exact"/>
        <w:rPr>
          <w:sz w:val="20"/>
          <w:szCs w:val="20"/>
          <w:color w:val="auto"/>
        </w:rPr>
      </w:pPr>
    </w:p>
    <w:p>
      <w:pPr>
        <w:ind w:left="460" w:hanging="452"/>
        <w:spacing w:after="0"/>
        <w:tabs>
          <w:tab w:leader="none" w:pos="4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 expenses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6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6" w:right="2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121" w:lineRule="exact"/>
        <w:rPr>
          <w:rFonts w:ascii="Times New Roman" w:cs="Times New Roman" w:eastAsia="Times New Roman" w:hAnsi="Times New Roman"/>
          <w:sz w:val="18"/>
          <w:szCs w:val="18"/>
          <w:b w:val="1"/>
          <w:bCs w:val="1"/>
          <w:color w:val="auto"/>
        </w:rPr>
      </w:pPr>
    </w:p>
    <w:p>
      <w:pPr>
        <w:jc w:val="both"/>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1" w:lineRule="exact"/>
        <w:rPr>
          <w:sz w:val="20"/>
          <w:szCs w:val="20"/>
          <w:color w:val="auto"/>
        </w:rPr>
      </w:pPr>
    </w:p>
    <w:p>
      <w:pPr>
        <w:ind w:left="460" w:hanging="452"/>
        <w:spacing w:after="0"/>
        <w:tabs>
          <w:tab w:leader="none" w:pos="4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w:t>
      </w:r>
    </w:p>
    <w:p>
      <w:pPr>
        <w:spacing w:after="0" w:line="121" w:lineRule="exact"/>
        <w:rPr>
          <w:rFonts w:ascii="Times New Roman" w:cs="Times New Roman" w:eastAsia="Times New Roman" w:hAnsi="Times New Roman"/>
          <w:sz w:val="18"/>
          <w:szCs w:val="18"/>
          <w:b w:val="1"/>
          <w:bCs w:val="1"/>
          <w:color w:val="auto"/>
        </w:rPr>
      </w:pPr>
    </w:p>
    <w:p>
      <w:pPr>
        <w:ind w:left="4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1"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  Income taxes</w:t>
      </w:r>
    </w:p>
    <w:p>
      <w:pPr>
        <w:spacing w:after="0" w:line="121"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00"/>
          </w:cols>
          <w:pgMar w:left="240" w:top="455" w:right="25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right="7720" w:firstLine="8"/>
        <w:spacing w:after="0" w:line="385" w:lineRule="auto"/>
        <w:tabs>
          <w:tab w:leader="none" w:pos="446"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(ac) Share-based compensation</w:t>
      </w:r>
    </w:p>
    <w:p>
      <w:pPr>
        <w:spacing w:after="0" w:line="2"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granted to employees</w:t>
      </w:r>
    </w:p>
    <w:p>
      <w:pPr>
        <w:spacing w:after="0" w:line="119" w:lineRule="exact"/>
        <w:rPr>
          <w:sz w:val="20"/>
          <w:szCs w:val="20"/>
          <w:color w:val="auto"/>
        </w:rPr>
      </w:pPr>
    </w:p>
    <w:p>
      <w:pPr>
        <w:ind w:left="460" w:right="80"/>
        <w:spacing w:after="0" w:line="261" w:lineRule="auto"/>
        <w:rPr>
          <w:sz w:val="20"/>
          <w:szCs w:val="20"/>
          <w:color w:val="auto"/>
        </w:rPr>
      </w:pPr>
      <w:r>
        <w:rPr>
          <w:rFonts w:ascii="Times New Roman" w:cs="Times New Roman" w:eastAsia="Times New Roman" w:hAnsi="Times New Roman"/>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modification</w:t>
      </w:r>
    </w:p>
    <w:p>
      <w:pPr>
        <w:spacing w:after="0" w:line="119"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granted to non-employees</w:t>
      </w:r>
    </w:p>
    <w:p>
      <w:pPr>
        <w:spacing w:after="0" w:line="119"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  Statutory reserves</w:t>
      </w:r>
    </w:p>
    <w:p>
      <w:pPr>
        <w:spacing w:after="0" w:line="121" w:lineRule="exact"/>
        <w:rPr>
          <w:sz w:val="20"/>
          <w:szCs w:val="20"/>
          <w:color w:val="auto"/>
        </w:rPr>
      </w:pPr>
    </w:p>
    <w:p>
      <w:pPr>
        <w:ind w:left="460"/>
        <w:spacing w:after="0" w:line="313" w:lineRule="auto"/>
        <w:rPr>
          <w:sz w:val="20"/>
          <w:szCs w:val="20"/>
          <w:color w:val="auto"/>
        </w:rPr>
      </w:pPr>
      <w:r>
        <w:rPr>
          <w:rFonts w:ascii="Times New Roman" w:cs="Times New Roman" w:eastAsia="Times New Roman" w:hAnsi="Times New Roman"/>
          <w:sz w:val="17"/>
          <w:szCs w:val="17"/>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30" w:lineRule="exact"/>
        <w:rPr>
          <w:sz w:val="20"/>
          <w:szCs w:val="20"/>
          <w:color w:val="auto"/>
        </w:rPr>
      </w:pPr>
    </w:p>
    <w:p>
      <w:pPr>
        <w:jc w:val="both"/>
        <w:ind w:left="460" w:right="100"/>
        <w:spacing w:after="0" w:line="266" w:lineRule="auto"/>
        <w:rPr>
          <w:sz w:val="20"/>
          <w:szCs w:val="20"/>
          <w:color w:val="auto"/>
        </w:rPr>
      </w:pPr>
      <w:r>
        <w:rPr>
          <w:rFonts w:ascii="Times New Roman" w:cs="Times New Roman" w:eastAsia="Times New Roman" w:hAnsi="Times New Roman"/>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60"/>
          </w:cols>
          <w:pgMar w:left="240" w:top="456" w:right="29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right="7680" w:firstLine="8"/>
        <w:spacing w:after="0" w:line="393" w:lineRule="auto"/>
        <w:tabs>
          <w:tab w:leader="none" w:pos="446"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(ad) Statutory reserves (Continued)</w:t>
      </w:r>
    </w:p>
    <w:p>
      <w:pPr>
        <w:spacing w:after="0" w:line="1" w:lineRule="exact"/>
        <w:rPr>
          <w:sz w:val="20"/>
          <w:szCs w:val="20"/>
          <w:color w:val="auto"/>
        </w:rPr>
      </w:pPr>
    </w:p>
    <w:p>
      <w:pPr>
        <w:ind w:left="460" w:right="360"/>
        <w:spacing w:after="0" w:line="282" w:lineRule="auto"/>
        <w:rPr>
          <w:sz w:val="20"/>
          <w:szCs w:val="20"/>
          <w:color w:val="auto"/>
        </w:rPr>
      </w:pPr>
      <w:r>
        <w:rPr>
          <w:rFonts w:ascii="Times New Roman" w:cs="Times New Roman" w:eastAsia="Times New Roman" w:hAnsi="Times New Roman"/>
          <w:sz w:val="18"/>
          <w:szCs w:val="18"/>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legal requirements in the PRC to fund these reserves by transfer of cash to restricted accounts, and the Group was not done so.</w:t>
      </w:r>
    </w:p>
    <w:p>
      <w:pPr>
        <w:spacing w:after="0" w:line="117" w:lineRule="exact"/>
        <w:rPr>
          <w:sz w:val="20"/>
          <w:szCs w:val="20"/>
          <w:color w:val="auto"/>
        </w:rPr>
      </w:pPr>
    </w:p>
    <w:p>
      <w:pPr>
        <w:ind w:left="460" w:right="240"/>
        <w:spacing w:after="0" w:line="266" w:lineRule="auto"/>
        <w:rPr>
          <w:sz w:val="20"/>
          <w:szCs w:val="20"/>
          <w:color w:val="auto"/>
        </w:rPr>
      </w:pPr>
      <w:r>
        <w:rPr>
          <w:rFonts w:ascii="Times New Roman" w:cs="Times New Roman" w:eastAsia="Times New Roman" w:hAnsi="Times New Roman"/>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(ae)</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21"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(af)</w:t>
      </w:r>
      <w:r>
        <w:rPr>
          <w:sz w:val="20"/>
          <w:szCs w:val="20"/>
          <w:color w:val="auto"/>
        </w:rPr>
        <w:tab/>
      </w:r>
      <w:r>
        <w:rPr>
          <w:rFonts w:ascii="Times New Roman" w:cs="Times New Roman" w:eastAsia="Times New Roman" w:hAnsi="Times New Roman"/>
          <w:sz w:val="17"/>
          <w:szCs w:val="17"/>
          <w:b w:val="1"/>
          <w:bCs w:val="1"/>
          <w:color w:val="auto"/>
        </w:rPr>
        <w:t>Dividends</w:t>
      </w:r>
    </w:p>
    <w:p>
      <w:pPr>
        <w:spacing w:after="0" w:line="121"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  Loss per share</w:t>
      </w:r>
    </w:p>
    <w:p>
      <w:pPr>
        <w:spacing w:after="0" w:line="121" w:lineRule="exact"/>
        <w:rPr>
          <w:sz w:val="20"/>
          <w:szCs w:val="20"/>
          <w:color w:val="auto"/>
        </w:rPr>
      </w:pPr>
    </w:p>
    <w:p>
      <w:pPr>
        <w:ind w:left="460" w:right="340"/>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6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  Comprehensive loss</w:t>
      </w:r>
    </w:p>
    <w:p>
      <w:pPr>
        <w:spacing w:after="0" w:line="121"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20"/>
          </w:cols>
          <w:pgMar w:left="240" w:top="456" w:right="3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right="7780" w:firstLine="8"/>
        <w:spacing w:after="0" w:line="393" w:lineRule="auto"/>
        <w:tabs>
          <w:tab w:leader="none" w:pos="446"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(ah) Comprehensive loss (Continued)</w:t>
      </w:r>
    </w:p>
    <w:p>
      <w:pPr>
        <w:spacing w:after="0" w:line="1" w:lineRule="exact"/>
        <w:rPr>
          <w:sz w:val="20"/>
          <w:szCs w:val="20"/>
          <w:color w:val="auto"/>
        </w:rPr>
      </w:pPr>
    </w:p>
    <w:p>
      <w:pPr>
        <w:ind w:left="460" w:right="220"/>
        <w:spacing w:after="0" w:line="282" w:lineRule="auto"/>
        <w:rPr>
          <w:sz w:val="20"/>
          <w:szCs w:val="20"/>
          <w:color w:val="auto"/>
        </w:rPr>
      </w:pPr>
      <w:r>
        <w:rPr>
          <w:rFonts w:ascii="Times New Roman" w:cs="Times New Roman" w:eastAsia="Times New Roman" w:hAnsi="Times New Roman"/>
          <w:sz w:val="18"/>
          <w:szCs w:val="18"/>
          <w:color w:val="auto"/>
        </w:rPr>
        <w:t>Comprehensive loss is reported in the consolidated statements of comprehensive loss. Accumulated other comprehensive losses of the Group include the foreign currency translation adjustments.</w:t>
      </w:r>
    </w:p>
    <w:p>
      <w:pPr>
        <w:spacing w:after="0" w:line="3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(ai)</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(aj)</w:t>
      </w:r>
      <w:r>
        <w:rPr>
          <w:sz w:val="20"/>
          <w:szCs w:val="20"/>
          <w:color w:val="auto"/>
        </w:rPr>
        <w:tab/>
      </w:r>
      <w:r>
        <w:rPr>
          <w:rFonts w:ascii="Times New Roman" w:cs="Times New Roman" w:eastAsia="Times New Roman" w:hAnsi="Times New Roman"/>
          <w:sz w:val="17"/>
          <w:szCs w:val="17"/>
          <w:b w:val="1"/>
          <w:bCs w:val="1"/>
          <w:color w:val="auto"/>
        </w:rPr>
        <w:t>Recently issued accounting pronouncements</w:t>
      </w:r>
    </w:p>
    <w:p>
      <w:pPr>
        <w:spacing w:after="0" w:line="121" w:lineRule="exact"/>
        <w:rPr>
          <w:sz w:val="20"/>
          <w:szCs w:val="20"/>
          <w:color w:val="auto"/>
        </w:rPr>
      </w:pPr>
    </w:p>
    <w:p>
      <w:pPr>
        <w:ind w:left="460" w:right="100"/>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1"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6"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76"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(aj)</w:t>
      </w:r>
      <w:r>
        <w:rPr>
          <w:sz w:val="20"/>
          <w:szCs w:val="20"/>
          <w:color w:val="auto"/>
        </w:rPr>
        <w:tab/>
      </w:r>
      <w:r>
        <w:rPr>
          <w:rFonts w:ascii="Times New Roman" w:cs="Times New Roman" w:eastAsia="Times New Roman" w:hAnsi="Times New Roman"/>
          <w:sz w:val="17"/>
          <w:szCs w:val="17"/>
          <w:b w:val="1"/>
          <w:bCs w:val="1"/>
          <w:color w:val="auto"/>
        </w:rPr>
        <w:t>Recently issued accounting pronouncements (Continued)</w:t>
      </w:r>
    </w:p>
    <w:p>
      <w:pPr>
        <w:spacing w:after="0" w:line="135" w:lineRule="exact"/>
        <w:rPr>
          <w:sz w:val="20"/>
          <w:szCs w:val="20"/>
          <w:color w:val="auto"/>
        </w:rPr>
      </w:pPr>
    </w:p>
    <w:p>
      <w:pPr>
        <w:ind w:left="460" w:right="20"/>
        <w:spacing w:after="0" w:line="257" w:lineRule="auto"/>
        <w:rPr>
          <w:sz w:val="20"/>
          <w:szCs w:val="20"/>
          <w:color w:val="auto"/>
        </w:rPr>
      </w:pPr>
      <w:r>
        <w:rPr>
          <w:rFonts w:ascii="Times New Roman" w:cs="Times New Roman" w:eastAsia="Times New Roman" w:hAnsi="Times New Roman"/>
          <w:sz w:val="18"/>
          <w:szCs w:val="18"/>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spacing w:after="0" w:line="2" w:lineRule="exact"/>
        <w:rPr>
          <w:sz w:val="20"/>
          <w:szCs w:val="20"/>
          <w:color w:val="auto"/>
        </w:rPr>
      </w:pPr>
    </w:p>
    <w:p>
      <w:pPr>
        <w:ind w:left="460" w:right="240" w:firstLine="4"/>
        <w:spacing w:after="0" w:line="261" w:lineRule="auto"/>
        <w:tabs>
          <w:tab w:leader="none" w:pos="72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72" w:lineRule="exact"/>
        <w:rPr>
          <w:sz w:val="20"/>
          <w:szCs w:val="20"/>
          <w:color w:val="auto"/>
        </w:rPr>
      </w:pPr>
    </w:p>
    <w:p>
      <w:pPr>
        <w:ind w:left="460" w:right="180"/>
        <w:spacing w:after="0" w:line="266" w:lineRule="auto"/>
        <w:rPr>
          <w:sz w:val="20"/>
          <w:szCs w:val="20"/>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68" w:lineRule="exact"/>
        <w:rPr>
          <w:sz w:val="20"/>
          <w:szCs w:val="20"/>
          <w:color w:val="auto"/>
        </w:rPr>
      </w:pPr>
    </w:p>
    <w:p>
      <w:pPr>
        <w:ind w:left="460" w:right="300"/>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72"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2"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4"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76"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80"/>
          </w:cols>
          <w:pgMar w:left="240" w:top="456" w:right="27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(aj)</w:t>
      </w:r>
      <w:r>
        <w:rPr>
          <w:sz w:val="20"/>
          <w:szCs w:val="20"/>
          <w:color w:val="auto"/>
        </w:rPr>
        <w:tab/>
      </w:r>
      <w:r>
        <w:rPr>
          <w:rFonts w:ascii="Times New Roman" w:cs="Times New Roman" w:eastAsia="Times New Roman" w:hAnsi="Times New Roman"/>
          <w:sz w:val="17"/>
          <w:szCs w:val="17"/>
          <w:b w:val="1"/>
          <w:bCs w:val="1"/>
          <w:color w:val="auto"/>
        </w:rPr>
        <w:t>Recently issued accounting pronouncements (Continued)</w:t>
      </w:r>
    </w:p>
    <w:p>
      <w:pPr>
        <w:spacing w:after="0" w:line="135"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0" w:lineRule="exact"/>
        <w:rPr>
          <w:sz w:val="20"/>
          <w:szCs w:val="20"/>
          <w:color w:val="auto"/>
        </w:rPr>
      </w:pPr>
    </w:p>
    <w:p>
      <w:pPr>
        <w:ind w:left="460" w:right="60"/>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80" w:lineRule="exact"/>
        <w:rPr>
          <w:sz w:val="20"/>
          <w:szCs w:val="20"/>
          <w:color w:val="auto"/>
        </w:rPr>
      </w:pPr>
    </w:p>
    <w:p>
      <w:pPr>
        <w:ind w:left="460" w:right="160"/>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0" w:lineRule="exact"/>
        <w:rPr>
          <w:sz w:val="20"/>
          <w:szCs w:val="20"/>
          <w:color w:val="auto"/>
        </w:rPr>
      </w:pPr>
    </w:p>
    <w:p>
      <w:pPr>
        <w:ind w:left="460" w:right="240"/>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2" w:lineRule="exact"/>
        <w:rPr>
          <w:sz w:val="20"/>
          <w:szCs w:val="20"/>
          <w:color w:val="auto"/>
        </w:rPr>
      </w:pPr>
    </w:p>
    <w:p>
      <w:pPr>
        <w:ind w:left="460" w:right="80"/>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5" w:right="2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the Company’s PRC subsidiaries and the OptAim VIE;</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67" w:lineRule="exact"/>
        <w:rPr>
          <w:rFonts w:ascii="Times New Roman" w:cs="Times New Roman" w:eastAsia="Times New Roman" w:hAnsi="Times New Roman"/>
          <w:sz w:val="18"/>
          <w:szCs w:val="18"/>
          <w:color w:val="auto"/>
        </w:rPr>
      </w:pPr>
    </w:p>
    <w:p>
      <w:pPr>
        <w:jc w:val="both"/>
        <w:ind w:left="900" w:right="20" w:hanging="446"/>
        <w:spacing w:after="0" w:line="266" w:lineRule="auto"/>
        <w:tabs>
          <w:tab w:leader="none" w:pos="9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66" w:lineRule="auto"/>
        <w:rPr>
          <w:sz w:val="20"/>
          <w:szCs w:val="20"/>
          <w:color w:val="auto"/>
        </w:rPr>
      </w:pPr>
      <w:r>
        <w:rPr>
          <w:rFonts w:ascii="Times New Roman" w:cs="Times New Roman" w:eastAsia="Times New Roman" w:hAnsi="Times New Roman"/>
          <w:sz w:val="18"/>
          <w:szCs w:val="18"/>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456" w:right="2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7"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78" w:lineRule="exact"/>
        <w:rPr>
          <w:rFonts w:ascii="Times New Roman" w:cs="Times New Roman" w:eastAsia="Times New Roman" w:hAnsi="Times New Roman"/>
          <w:sz w:val="18"/>
          <w:szCs w:val="18"/>
          <w:b w:val="1"/>
          <w:bCs w:val="1"/>
          <w:color w:val="auto"/>
        </w:rPr>
      </w:pPr>
    </w:p>
    <w:p>
      <w:pPr>
        <w:ind w:left="4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79"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75" w:lineRule="exact"/>
        <w:rPr>
          <w:rFonts w:ascii="Times New Roman" w:cs="Times New Roman" w:eastAsia="Times New Roman" w:hAnsi="Times New Roman"/>
          <w:sz w:val="18"/>
          <w:szCs w:val="18"/>
          <w:b w:val="1"/>
          <w:bCs w:val="1"/>
          <w:color w:val="auto"/>
        </w:rPr>
      </w:pPr>
    </w:p>
    <w:p>
      <w:pPr>
        <w:ind w:left="460" w:right="7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6" w:right="2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53"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profit/(loss)</w:t>
            </w: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Times New Roman" w:cs="Times New Roman" w:eastAsia="Times New Roman" w:hAnsi="Times New Roman"/>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6" w:right="65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81" w:lineRule="exact"/>
        <w:rPr>
          <w:rFonts w:ascii="Times New Roman" w:cs="Times New Roman" w:eastAsia="Times New Roman" w:hAnsi="Times New Roman"/>
          <w:sz w:val="18"/>
          <w:szCs w:val="18"/>
          <w:b w:val="1"/>
          <w:bCs w:val="1"/>
          <w:color w:val="auto"/>
        </w:rPr>
      </w:pPr>
    </w:p>
    <w:p>
      <w:pPr>
        <w:ind w:left="4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80"/>
          </w:cols>
          <w:pgMar w:left="240" w:top="456" w:right="27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134" w:lineRule="exact"/>
        <w:rPr>
          <w:rFonts w:ascii="Times New Roman" w:cs="Times New Roman" w:eastAsia="Times New Roman" w:hAnsi="Times New Roman"/>
          <w:sz w:val="18"/>
          <w:szCs w:val="18"/>
          <w:b w:val="1"/>
          <w:bCs w:val="1"/>
          <w:color w:val="auto"/>
        </w:rPr>
      </w:pPr>
    </w:p>
    <w:p>
      <w:pPr>
        <w:ind w:left="46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1"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53"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estimated fair values of the Company’s financial assets and liabilities classified under the appropriate level of the fair value hierarchy as described above was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Quoted prices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Significant</w:t>
            </w: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active</w:t>
            </w:r>
          </w:p>
        </w:tc>
        <w:tc>
          <w:tcPr>
            <w:tcW w:w="1300" w:type="dxa"/>
            <w:vAlign w:val="bottom"/>
            <w:vMerge w:val="continue"/>
          </w:tcPr>
          <w:p>
            <w:pPr>
              <w:spacing w:after="0"/>
              <w:rPr>
                <w:sz w:val="12"/>
                <w:szCs w:val="12"/>
                <w:color w:val="auto"/>
              </w:rPr>
            </w:pPr>
          </w:p>
        </w:tc>
        <w:tc>
          <w:tcPr>
            <w:tcW w:w="1160" w:type="dxa"/>
            <w:vAlign w:val="bottom"/>
            <w:gridSpan w:val="2"/>
            <w:vMerge w:val="restart"/>
          </w:tcPr>
          <w:p>
            <w:pPr>
              <w:jc w:val="center"/>
              <w:ind w:left="156"/>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for</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identical</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160" w:type="dxa"/>
            <w:vAlign w:val="bottom"/>
            <w:gridSpan w:val="2"/>
          </w:tcPr>
          <w:p>
            <w:pPr>
              <w:jc w:val="center"/>
              <w:ind w:left="156"/>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4"/>
                <w:szCs w:val="14"/>
                <w:color w:val="auto"/>
                <w:w w:val="98"/>
              </w:rPr>
              <w:t>Total fair</w:t>
            </w: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assets</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inputs</w:t>
            </w:r>
          </w:p>
        </w:tc>
        <w:tc>
          <w:tcPr>
            <w:tcW w:w="1160" w:type="dxa"/>
            <w:vAlign w:val="bottom"/>
            <w:gridSpan w:val="2"/>
          </w:tcPr>
          <w:p>
            <w:pPr>
              <w:jc w:val="center"/>
              <w:ind w:left="156"/>
              <w:spacing w:after="0" w:line="158"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value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1)</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16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10,395</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10,395</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1,552</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63,724</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63,724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27,280</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27,280</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12,982</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12,982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60,525</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revenues</w:t>
      </w:r>
    </w:p>
    <w:p>
      <w:pPr>
        <w:spacing w:after="0" w:line="121"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06" w:lineRule="exact"/>
        <w:rPr>
          <w:sz w:val="20"/>
          <w:szCs w:val="20"/>
          <w:color w:val="auto"/>
        </w:rPr>
      </w:pPr>
    </w:p>
    <w:p>
      <w:pPr>
        <w:ind w:left="900" w:hanging="446"/>
        <w:spacing w:after="0"/>
        <w:tabs>
          <w:tab w:leader="none" w:pos="90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w:t>
      </w:r>
    </w:p>
    <w:p>
      <w:pPr>
        <w:spacing w:after="0" w:line="121"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00"/>
          </w:cols>
          <w:pgMar w:left="240" w:top="455" w:right="2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 (Continued)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6" w:lineRule="auto"/>
        <w:rPr>
          <w:sz w:val="20"/>
          <w:szCs w:val="20"/>
          <w:color w:val="auto"/>
        </w:rPr>
      </w:pPr>
      <w:r>
        <w:rPr>
          <w:rFonts w:ascii="Times New Roman" w:cs="Times New Roman" w:eastAsia="Times New Roman" w:hAnsi="Times New Roman"/>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1"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21"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18"/>
          <w:szCs w:val="18"/>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37" w:lineRule="exact"/>
        <w:rPr>
          <w:sz w:val="20"/>
          <w:szCs w:val="20"/>
          <w:color w:val="auto"/>
        </w:rPr>
      </w:pPr>
    </w:p>
    <w:p>
      <w:pPr>
        <w:ind w:left="460" w:hanging="452"/>
        <w:spacing w:after="0"/>
        <w:tabs>
          <w:tab w:leader="none" w:pos="4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25" w:lineRule="exact"/>
        <w:rPr>
          <w:sz w:val="20"/>
          <w:szCs w:val="20"/>
          <w:color w:val="auto"/>
        </w:rPr>
      </w:pPr>
    </w:p>
    <w:p>
      <w:pPr>
        <w:ind w:left="460" w:hanging="452"/>
        <w:spacing w:after="0"/>
        <w:tabs>
          <w:tab w:leader="none" w:pos="4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Buzzinate</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1" w:lineRule="exact"/>
        <w:rPr>
          <w:rFonts w:ascii="Times New Roman" w:cs="Times New Roman" w:eastAsia="Times New Roman" w:hAnsi="Times New Roman"/>
          <w:sz w:val="18"/>
          <w:szCs w:val="18"/>
          <w:b w:val="1"/>
          <w:bCs w:val="1"/>
          <w:color w:val="auto"/>
        </w:rPr>
      </w:pPr>
    </w:p>
    <w:p>
      <w:pPr>
        <w:ind w:left="460"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80"/>
          </w:cols>
          <w:pgMar w:left="240" w:top="455" w:right="27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Buzzinate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 of carrying value of the equity method investment in Buzzinate from January 1, 2015 to February 13, 2015 (the “period”) is as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Intangible asset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1,975</w:t>
            </w:r>
          </w:p>
        </w:tc>
      </w:tr>
      <w:tr>
        <w:trPr>
          <w:trHeight w:val="223"/>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2"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456" w:right="2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Buzzinate (Continued)</w:t>
      </w:r>
    </w:p>
    <w:p>
      <w:pPr>
        <w:spacing w:after="0" w:line="134"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19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color w:val="auto"/>
        </w:rPr>
        <w:t>Gross carrying</w:t>
      </w:r>
    </w:p>
    <w:p>
      <w:pPr>
        <w:ind w:left="6860"/>
        <w:spacing w:after="0" w:line="226" w:lineRule="auto"/>
        <w:tabs>
          <w:tab w:leader="none" w:pos="9320" w:val="left"/>
        </w:tabs>
        <w:rPr>
          <w:sz w:val="20"/>
          <w:szCs w:val="20"/>
          <w:color w:val="auto"/>
        </w:rPr>
      </w:pPr>
      <w:r>
        <w:rPr>
          <w:rFonts w:ascii="Times New Roman" w:cs="Times New Roman" w:eastAsia="Times New Roman" w:hAnsi="Times New Roman"/>
          <w:sz w:val="14"/>
          <w:szCs w:val="14"/>
          <w:color w:val="auto"/>
        </w:rPr>
        <w:t>Estimated useful life</w:t>
      </w:r>
      <w:r>
        <w:rPr>
          <w:sz w:val="20"/>
          <w:szCs w:val="20"/>
          <w:color w:val="auto"/>
        </w:rPr>
        <w:tab/>
      </w:r>
      <w:r>
        <w:rPr>
          <w:rFonts w:ascii="Times New Roman" w:cs="Times New Roman" w:eastAsia="Times New Roman" w:hAnsi="Times New Roman"/>
          <w:sz w:val="14"/>
          <w:szCs w:val="14"/>
          <w:color w:val="auto"/>
        </w:rPr>
        <w:t>amount</w:t>
      </w:r>
    </w:p>
    <w:p>
      <w:pPr>
        <w:ind w:left="9300"/>
        <w:spacing w:after="0" w:line="234" w:lineRule="auto"/>
        <w:rPr>
          <w:sz w:val="20"/>
          <w:szCs w:val="20"/>
          <w:color w:val="auto"/>
        </w:rPr>
      </w:pPr>
      <w:r>
        <w:rPr>
          <w:rFonts w:ascii="Times New Roman" w:cs="Times New Roman" w:eastAsia="Times New Roman" w:hAnsi="Times New Roman"/>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Times New Roman" w:cs="Times New Roman" w:eastAsia="Times New Roman" w:hAnsi="Times New Roman"/>
          <w:sz w:val="18"/>
          <w:szCs w:val="18"/>
          <w:color w:val="auto"/>
        </w:rPr>
        <w:t>A self-developed computer software and systems</w:t>
      </w:r>
      <w:r>
        <w:rPr>
          <w:sz w:val="20"/>
          <w:szCs w:val="20"/>
          <w:color w:val="auto"/>
        </w:rPr>
        <w:tab/>
      </w:r>
      <w:r>
        <w:rPr>
          <w:rFonts w:ascii="Times New Roman" w:cs="Times New Roman" w:eastAsia="Times New Roman" w:hAnsi="Times New Roman"/>
          <w:sz w:val="18"/>
          <w:szCs w:val="18"/>
          <w:color w:val="auto"/>
        </w:rPr>
        <w:t>5 years</w:t>
      </w:r>
      <w:r>
        <w:rPr>
          <w:sz w:val="20"/>
          <w:szCs w:val="20"/>
          <w:color w:val="auto"/>
        </w:rPr>
        <w:tab/>
      </w:r>
      <w:r>
        <w:rPr>
          <w:rFonts w:ascii="Times New Roman" w:cs="Times New Roman" w:eastAsia="Times New Roman" w:hAnsi="Times New Roman"/>
          <w:sz w:val="18"/>
          <w:szCs w:val="18"/>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1" w:lineRule="exact"/>
        <w:rPr>
          <w:sz w:val="20"/>
          <w:szCs w:val="20"/>
          <w:color w:val="auto"/>
        </w:rPr>
      </w:pPr>
    </w:p>
    <w:p>
      <w:pPr>
        <w:jc w:val="both"/>
        <w:ind w:left="460" w:right="80"/>
        <w:spacing w:after="0" w:line="266" w:lineRule="auto"/>
        <w:rPr>
          <w:sz w:val="20"/>
          <w:szCs w:val="20"/>
          <w:color w:val="auto"/>
        </w:rPr>
      </w:pPr>
      <w:r>
        <w:rPr>
          <w:rFonts w:ascii="Times New Roman" w:cs="Times New Roman" w:eastAsia="Times New Roman" w:hAnsi="Times New Roman"/>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1" w:lineRule="exact"/>
        <w:rPr>
          <w:sz w:val="20"/>
          <w:szCs w:val="20"/>
          <w:color w:val="auto"/>
        </w:rPr>
      </w:pPr>
    </w:p>
    <w:p>
      <w:pPr>
        <w:ind w:left="460" w:hanging="452"/>
        <w:spacing w:after="0"/>
        <w:tabs>
          <w:tab w:leader="none" w:pos="4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OptAim</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68"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68"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was recorded as a business combination. The following table summarizes the estimated fair values of the assets acquired and liabilities assumed at the date of acquisition:</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of consideration transferred:</w:t>
      </w: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 the Company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Times New Roman" w:cs="Times New Roman" w:eastAsia="Times New Roman" w:hAnsi="Times New Roman"/>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OptAim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purchase consideration payable of US$15,976 was settled and there is no adjustment to the purchase consideration amounts.</w:t>
      </w:r>
    </w:p>
    <w:p>
      <w:pPr>
        <w:spacing w:after="0" w:line="117"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1"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71"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19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color w:val="auto"/>
        </w:rPr>
        <w:t>Gross carrying</w:t>
      </w:r>
    </w:p>
    <w:p>
      <w:pPr>
        <w:ind w:left="6940"/>
        <w:spacing w:after="0" w:line="226" w:lineRule="auto"/>
        <w:tabs>
          <w:tab w:leader="none" w:pos="9320" w:val="left"/>
        </w:tabs>
        <w:rPr>
          <w:sz w:val="20"/>
          <w:szCs w:val="20"/>
          <w:color w:val="auto"/>
        </w:rPr>
      </w:pPr>
      <w:r>
        <w:rPr>
          <w:rFonts w:ascii="Times New Roman" w:cs="Times New Roman" w:eastAsia="Times New Roman" w:hAnsi="Times New Roman"/>
          <w:sz w:val="14"/>
          <w:szCs w:val="14"/>
          <w:color w:val="auto"/>
        </w:rPr>
        <w:t>Estimated useful life</w:t>
      </w:r>
      <w:r>
        <w:rPr>
          <w:sz w:val="20"/>
          <w:szCs w:val="20"/>
          <w:color w:val="auto"/>
        </w:rPr>
        <w:tab/>
      </w:r>
      <w:r>
        <w:rPr>
          <w:rFonts w:ascii="Times New Roman" w:cs="Times New Roman" w:eastAsia="Times New Roman" w:hAnsi="Times New Roman"/>
          <w:sz w:val="14"/>
          <w:szCs w:val="14"/>
          <w:color w:val="auto"/>
        </w:rPr>
        <w:t>amount</w:t>
      </w:r>
    </w:p>
    <w:p>
      <w:pPr>
        <w:ind w:left="9300"/>
        <w:spacing w:after="0" w:line="234" w:lineRule="auto"/>
        <w:rPr>
          <w:sz w:val="20"/>
          <w:szCs w:val="20"/>
          <w:color w:val="auto"/>
        </w:rPr>
      </w:pPr>
      <w:r>
        <w:rPr>
          <w:rFonts w:ascii="Times New Roman" w:cs="Times New Roman" w:eastAsia="Times New Roman" w:hAnsi="Times New Roman"/>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Times New Roman" w:cs="Times New Roman" w:eastAsia="Times New Roman" w:hAnsi="Times New Roman"/>
          <w:sz w:val="18"/>
          <w:szCs w:val="18"/>
          <w:color w:val="auto"/>
        </w:rPr>
        <w:t>A self-developed computer software and systems</w:t>
      </w:r>
      <w:r>
        <w:rPr>
          <w:sz w:val="20"/>
          <w:szCs w:val="20"/>
          <w:color w:val="auto"/>
        </w:rPr>
        <w:tab/>
      </w:r>
      <w:r>
        <w:rPr>
          <w:rFonts w:ascii="Times New Roman" w:cs="Times New Roman" w:eastAsia="Times New Roman" w:hAnsi="Times New Roman"/>
          <w:sz w:val="18"/>
          <w:szCs w:val="18"/>
          <w:color w:val="auto"/>
        </w:rPr>
        <w:t>5 years</w:t>
      </w:r>
      <w:r>
        <w:rPr>
          <w:sz w:val="20"/>
          <w:szCs w:val="20"/>
          <w:color w:val="auto"/>
        </w:rPr>
        <w:tab/>
      </w:r>
      <w:r>
        <w:rPr>
          <w:rFonts w:ascii="Times New Roman" w:cs="Times New Roman" w:eastAsia="Times New Roman" w:hAnsi="Times New Roman"/>
          <w:sz w:val="18"/>
          <w:szCs w:val="18"/>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Times New Roman" w:cs="Times New Roman" w:eastAsia="Times New Roman" w:hAnsi="Times New Roman"/>
                <w:sz w:val="14"/>
                <w:szCs w:val="14"/>
                <w:color w:val="auto"/>
                <w:w w:val="9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bl>
    <w:p>
      <w:pPr>
        <w:spacing w:after="0" w:line="71"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pro-forma adjustments directly attributable to the business combination reflected in the reported pro-forma net revenue and net loss.</w:t>
      </w:r>
    </w:p>
    <w:p>
      <w:pPr>
        <w:spacing w:after="0" w:line="54" w:lineRule="exact"/>
        <w:rPr>
          <w:sz w:val="20"/>
          <w:szCs w:val="20"/>
          <w:color w:val="auto"/>
        </w:rPr>
      </w:pPr>
    </w:p>
    <w:p>
      <w:pPr>
        <w:ind w:left="460" w:right="400"/>
        <w:spacing w:after="0" w:line="282" w:lineRule="auto"/>
        <w:rPr>
          <w:sz w:val="20"/>
          <w:szCs w:val="20"/>
          <w:color w:val="auto"/>
        </w:rPr>
      </w:pPr>
      <w:r>
        <w:rPr>
          <w:rFonts w:ascii="Times New Roman" w:cs="Times New Roman" w:eastAsia="Times New Roman" w:hAnsi="Times New Roman"/>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00"/>
          </w:cols>
          <w:pgMar w:left="240" w:top="455" w:right="25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ind w:left="460" w:hanging="452"/>
        <w:spacing w:after="0"/>
        <w:tabs>
          <w:tab w:leader="none" w:pos="4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86"/>
        </w:trPr>
        <w:tc>
          <w:tcPr>
            <w:tcW w:w="6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Amount</w:t>
            </w:r>
          </w:p>
        </w:tc>
        <w:tc>
          <w:tcPr>
            <w:tcW w:w="4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equivalent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Amount</w:t>
            </w:r>
          </w:p>
        </w:tc>
        <w:tc>
          <w:tcPr>
            <w:tcW w:w="4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43,725</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SGD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Euro (“EUR”)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21" w:lineRule="exact"/>
        <w:rPr>
          <w:sz w:val="20"/>
          <w:szCs w:val="20"/>
          <w:color w:val="auto"/>
        </w:rPr>
      </w:pPr>
    </w:p>
    <w:p>
      <w:pPr>
        <w:ind w:left="460" w:hanging="452"/>
        <w:spacing w:after="0"/>
        <w:tabs>
          <w:tab w:leader="none" w:pos="4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6350</wp:posOffset>
            </wp:positionV>
            <wp:extent cx="10547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Times New Roman" w:cs="Times New Roman" w:eastAsia="Times New Roman" w:hAnsi="Times New Roman"/>
          <w:sz w:val="18"/>
          <w:szCs w:val="18"/>
          <w:color w:val="auto"/>
        </w:rPr>
        <w:t>Investment in treasury instruments</w:t>
      </w:r>
      <w:r>
        <w:rPr>
          <w:sz w:val="20"/>
          <w:szCs w:val="20"/>
          <w:color w:val="auto"/>
        </w:rPr>
        <w:tab/>
      </w:r>
      <w:r>
        <w:rPr>
          <w:rFonts w:ascii="Times New Roman" w:cs="Times New Roman" w:eastAsia="Times New Roman" w:hAnsi="Times New Roman"/>
          <w:sz w:val="18"/>
          <w:szCs w:val="18"/>
          <w:color w:val="auto"/>
        </w:rPr>
        <w:t>1,552</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1"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54"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color w:val="auto"/>
        </w:rPr>
        <w:t>Interest income generated from short-term investments are recorded using the effective interest method. It was recorded in “other losses, net” on the consolidated statement of comprehensive loss.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Times New Roman" w:cs="Times New Roman" w:eastAsia="Times New Roman" w:hAnsi="Times New Roman"/>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56" w:right="439" w:bottom="1440" w:gutter="0" w:footer="0" w:header="0"/>
        </w:sectPr>
      </w:pPr>
    </w:p>
    <w:bookmarkStart w:id="266" w:name="page267"/>
    <w:bookmarkEnd w:id="2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equipment</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(3,011)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Times New Roman" w:cs="Times New Roman" w:eastAsia="Times New Roman" w:hAnsi="Times New Roman"/>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4619"/>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64" w:lineRule="exact"/>
        <w:rPr>
          <w:sz w:val="20"/>
          <w:szCs w:val="20"/>
          <w:color w:val="auto"/>
        </w:rPr>
      </w:pPr>
    </w:p>
    <w:p>
      <w:pPr>
        <w:ind w:left="460" w:hanging="452"/>
        <w:spacing w:after="0"/>
        <w:tabs>
          <w:tab w:leader="none" w:pos="4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4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software</w:t>
            </w:r>
          </w:p>
        </w:tc>
        <w:tc>
          <w:tcPr>
            <w:tcW w:w="4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(2,461)</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Times New Roman" w:cs="Times New Roman" w:eastAsia="Times New Roman" w:hAnsi="Times New Roman"/>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6" w:right="1440"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9040" w:type="dxa"/>
            <w:vAlign w:val="bottom"/>
            <w:gridSpan w:val="2"/>
          </w:tcPr>
          <w:p>
            <w:pPr>
              <w:jc w:val="right"/>
              <w:ind w:right="6230"/>
              <w:spacing w:after="0"/>
              <w:rPr>
                <w:sz w:val="20"/>
                <w:szCs w:val="20"/>
                <w:color w:val="auto"/>
              </w:rPr>
            </w:pPr>
            <w:r>
              <w:rPr>
                <w:rFonts w:ascii="Times New Roman" w:cs="Times New Roman" w:eastAsia="Times New Roman" w:hAnsi="Times New Roman"/>
                <w:sz w:val="18"/>
                <w:szCs w:val="18"/>
                <w:b w:val="1"/>
                <w:bCs w:val="1"/>
                <w:color w:val="auto"/>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Computer</w:t>
            </w:r>
          </w:p>
        </w:tc>
      </w:t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2017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2018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2019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2020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2021</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OptAim</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45,538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25,697</w:t>
            </w:r>
          </w:p>
        </w:tc>
        <w:tc>
          <w:tcPr>
            <w:tcW w:w="8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Times New Roman" w:cs="Times New Roman" w:eastAsia="Times New Roman" w:hAnsi="Times New Roman"/>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56" w:right="49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900" w:right="40" w:hanging="446"/>
        <w:spacing w:after="0" w:line="258"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89" w:lineRule="exact"/>
        <w:rPr>
          <w:rFonts w:ascii="Times New Roman" w:cs="Times New Roman" w:eastAsia="Times New Roman" w:hAnsi="Times New Roman"/>
          <w:sz w:val="18"/>
          <w:szCs w:val="18"/>
          <w:color w:val="auto"/>
        </w:rPr>
      </w:pPr>
    </w:p>
    <w:p>
      <w:pPr>
        <w:ind w:left="900" w:right="80" w:hanging="446"/>
        <w:spacing w:after="0" w:line="261"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85"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3" w:lineRule="exact"/>
        <w:rPr>
          <w:rFonts w:ascii="Times New Roman" w:cs="Times New Roman" w:eastAsia="Times New Roman" w:hAnsi="Times New Roman"/>
          <w:sz w:val="18"/>
          <w:szCs w:val="18"/>
          <w:color w:val="auto"/>
        </w:rPr>
      </w:pPr>
    </w:p>
    <w:p>
      <w:pPr>
        <w:ind w:left="900" w:right="320" w:hanging="446"/>
        <w:spacing w:after="0" w:line="258"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89" w:lineRule="exact"/>
        <w:rPr>
          <w:rFonts w:ascii="Times New Roman" w:cs="Times New Roman" w:eastAsia="Times New Roman" w:hAnsi="Times New Roman"/>
          <w:sz w:val="18"/>
          <w:szCs w:val="18"/>
          <w:color w:val="auto"/>
        </w:rPr>
      </w:pPr>
    </w:p>
    <w:p>
      <w:pPr>
        <w:ind w:left="900" w:right="60" w:hanging="446"/>
        <w:spacing w:after="0" w:line="261"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the benchmark interest rate determined by the People’s Bank of China for loans over six months granted by financial institutions plus 20.0% per annum. Restricted cash amounting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455" w:right="2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61" w:lineRule="auto"/>
        <w:tabs>
          <w:tab w:leader="none" w:pos="9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85" w:lineRule="exact"/>
        <w:rPr>
          <w:rFonts w:ascii="Times New Roman" w:cs="Times New Roman" w:eastAsia="Times New Roman" w:hAnsi="Times New Roman"/>
          <w:sz w:val="18"/>
          <w:szCs w:val="18"/>
          <w:color w:val="auto"/>
        </w:rPr>
      </w:pPr>
    </w:p>
    <w:p>
      <w:pPr>
        <w:ind w:left="900" w:right="160" w:hanging="446"/>
        <w:spacing w:after="0" w:line="261" w:lineRule="auto"/>
        <w:tabs>
          <w:tab w:leader="none" w:pos="9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85" w:lineRule="exact"/>
        <w:rPr>
          <w:rFonts w:ascii="Times New Roman" w:cs="Times New Roman" w:eastAsia="Times New Roman" w:hAnsi="Times New Roman"/>
          <w:sz w:val="18"/>
          <w:szCs w:val="18"/>
          <w:color w:val="auto"/>
        </w:rPr>
      </w:pPr>
    </w:p>
    <w:p>
      <w:pPr>
        <w:jc w:val="both"/>
        <w:ind w:left="900" w:right="360" w:hanging="446"/>
        <w:spacing w:after="0" w:line="289" w:lineRule="auto"/>
        <w:tabs>
          <w:tab w:leader="none" w:pos="90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weighted average interest rate for bank loans outstanding as of December 31, 2015 and 2016 was 6.03% and 5.99% per annum, respectively.</w:t>
      </w:r>
    </w:p>
    <w:p>
      <w:pPr>
        <w:spacing w:after="0" w:line="370" w:lineRule="exact"/>
        <w:rPr>
          <w:sz w:val="20"/>
          <w:szCs w:val="20"/>
          <w:color w:val="auto"/>
        </w:rPr>
      </w:pPr>
    </w:p>
    <w:p>
      <w:pPr>
        <w:ind w:left="460" w:right="7800" w:hanging="452"/>
        <w:spacing w:after="0" w:line="378" w:lineRule="auto"/>
        <w:tabs>
          <w:tab w:leader="none" w:pos="449"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w:t>
      </w:r>
      <w:r>
        <w:rPr>
          <w:rFonts w:ascii="Times New Roman" w:cs="Times New Roman" w:eastAsia="Times New Roman" w:hAnsi="Times New Roman"/>
          <w:sz w:val="18"/>
          <w:szCs w:val="18"/>
          <w:i w:val="1"/>
          <w:iCs w:val="1"/>
          <w:color w:val="auto"/>
        </w:rPr>
        <w:t>Series A preferred shares</w:t>
      </w:r>
    </w:p>
    <w:p>
      <w:pPr>
        <w:ind w:left="4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9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B preferred shares</w:t>
      </w:r>
    </w:p>
    <w:p>
      <w:pPr>
        <w:spacing w:after="0" w:line="119" w:lineRule="exact"/>
        <w:rPr>
          <w:rFonts w:ascii="Times New Roman" w:cs="Times New Roman" w:eastAsia="Times New Roman" w:hAnsi="Times New Roman"/>
          <w:sz w:val="18"/>
          <w:szCs w:val="18"/>
          <w:b w:val="1"/>
          <w:bCs w:val="1"/>
          <w:color w:val="auto"/>
        </w:rPr>
      </w:pPr>
    </w:p>
    <w:p>
      <w:pPr>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00"/>
          </w:cols>
          <w:pgMar w:left="240" w:top="456" w:right="2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B preferred shares (Continued)</w:t>
      </w:r>
    </w:p>
    <w:p>
      <w:pPr>
        <w:spacing w:after="0" w:line="1" w:lineRule="exact"/>
        <w:rPr>
          <w:rFonts w:ascii="Times New Roman" w:cs="Times New Roman" w:eastAsia="Times New Roman" w:hAnsi="Times New Roman"/>
          <w:sz w:val="18"/>
          <w:szCs w:val="18"/>
          <w:b w:val="1"/>
          <w:bCs w:val="1"/>
          <w:color w:val="auto"/>
        </w:rPr>
      </w:pPr>
    </w:p>
    <w:p>
      <w:pPr>
        <w:ind w:left="46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preferred shares at US$5.53 per share (“Series B Warrants”) at the option of Investors B. During the year ended December 31, 2013, the Series B Warrants were fully exercised.</w:t>
      </w:r>
    </w:p>
    <w:p>
      <w:pPr>
        <w:spacing w:after="0" w:line="53"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24, 2015, the Company repurchased from Investor B-1 723,808 Series B-1 preferred shares at a consideration of US$11,581.</w:t>
      </w:r>
    </w:p>
    <w:p>
      <w:pPr>
        <w:spacing w:after="0" w:line="117" w:lineRule="exact"/>
        <w:rPr>
          <w:rFonts w:ascii="Times New Roman" w:cs="Times New Roman" w:eastAsia="Times New Roman" w:hAnsi="Times New Roman"/>
          <w:sz w:val="18"/>
          <w:szCs w:val="18"/>
          <w:b w:val="1"/>
          <w:bCs w:val="1"/>
          <w:color w:val="auto"/>
        </w:rPr>
      </w:pPr>
    </w:p>
    <w:p>
      <w:pPr>
        <w:ind w:left="46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C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D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E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455" w:right="2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20" w:hanging="452"/>
        <w:spacing w:after="0" w:line="385" w:lineRule="auto"/>
        <w:tabs>
          <w:tab w:leader="none" w:pos="449"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E preferred shares (Continued)</w:t>
      </w:r>
    </w:p>
    <w:p>
      <w:pPr>
        <w:spacing w:after="0" w:line="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key terms of the Series A, B, C, D and E preferred shares are as follows:</w:t>
      </w:r>
    </w:p>
    <w:p>
      <w:pPr>
        <w:spacing w:after="0" w:line="3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approval and declaration by the Board of Directors, the holders of the preferred shares are entitled to receive dividends in the following order:</w:t>
      </w:r>
    </w:p>
    <w:p>
      <w:pPr>
        <w:spacing w:after="0" w:line="67" w:lineRule="exact"/>
        <w:rPr>
          <w:rFonts w:ascii="Times New Roman" w:cs="Times New Roman" w:eastAsia="Times New Roman" w:hAnsi="Times New Roman"/>
          <w:sz w:val="18"/>
          <w:szCs w:val="18"/>
          <w:b w:val="1"/>
          <w:bCs w:val="1"/>
          <w:color w:val="auto"/>
        </w:rPr>
      </w:pPr>
    </w:p>
    <w:p>
      <w:pPr>
        <w:ind w:left="1460" w:right="120" w:hanging="547"/>
        <w:spacing w:after="0" w:line="266" w:lineRule="auto"/>
        <w:tabs>
          <w:tab w:leader="none" w:pos="14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1"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40" w:hanging="547"/>
        <w:spacing w:after="0" w:line="282" w:lineRule="auto"/>
        <w:tabs>
          <w:tab w:leader="none" w:pos="14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dividends shall be distributed on a pro rata basis to holders of all the preferred shares and ordinary shares on a fully diluted and as-if converted basis.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460" w:right="100"/>
        <w:spacing w:after="0" w:line="256" w:lineRule="auto"/>
        <w:rPr>
          <w:sz w:val="20"/>
          <w:szCs w:val="20"/>
          <w:color w:val="auto"/>
        </w:rPr>
      </w:pPr>
      <w:r>
        <w:rPr>
          <w:rFonts w:ascii="Times New Roman" w:cs="Times New Roman" w:eastAsia="Times New Roman" w:hAnsi="Times New Roman"/>
          <w:sz w:val="18"/>
          <w:szCs w:val="18"/>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80"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400"/>
          </w:cols>
          <w:pgMar w:left="240" w:top="456" w:right="25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Liquidation preference (Continued)</w:t>
      </w:r>
    </w:p>
    <w:p>
      <w:pPr>
        <w:spacing w:after="0" w:line="1" w:lineRule="exact"/>
        <w:rPr>
          <w:rFonts w:ascii="Times New Roman" w:cs="Times New Roman" w:eastAsia="Times New Roman" w:hAnsi="Times New Roman"/>
          <w:sz w:val="18"/>
          <w:szCs w:val="18"/>
          <w:b w:val="1"/>
          <w:bCs w:val="1"/>
          <w:color w:val="auto"/>
        </w:rPr>
      </w:pPr>
    </w:p>
    <w:p>
      <w:pPr>
        <w:ind w:left="4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75"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79" w:lineRule="exact"/>
        <w:rPr>
          <w:rFonts w:ascii="Times New Roman" w:cs="Times New Roman" w:eastAsia="Times New Roman" w:hAnsi="Times New Roman"/>
          <w:sz w:val="18"/>
          <w:szCs w:val="18"/>
          <w:b w:val="1"/>
          <w:bCs w:val="1"/>
          <w:color w:val="auto"/>
        </w:rPr>
      </w:pPr>
    </w:p>
    <w:p>
      <w:pPr>
        <w:ind w:left="4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Conversion rights</w:t>
      </w:r>
    </w:p>
    <w:p>
      <w:pPr>
        <w:spacing w:after="0" w:line="119" w:lineRule="exact"/>
        <w:rPr>
          <w:rFonts w:ascii="Times New Roman" w:cs="Times New Roman" w:eastAsia="Times New Roman" w:hAnsi="Times New Roman"/>
          <w:sz w:val="18"/>
          <w:szCs w:val="18"/>
          <w:b w:val="1"/>
          <w:bCs w:val="1"/>
          <w:color w:val="auto"/>
        </w:rPr>
      </w:pPr>
    </w:p>
    <w:p>
      <w:pPr>
        <w:ind w:left="46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5"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Anti-dilution provision</w:t>
      </w:r>
    </w:p>
    <w:p>
      <w:pPr>
        <w:spacing w:after="0" w:line="119" w:lineRule="exact"/>
        <w:rPr>
          <w:rFonts w:ascii="Times New Roman" w:cs="Times New Roman" w:eastAsia="Times New Roman" w:hAnsi="Times New Roman"/>
          <w:sz w:val="18"/>
          <w:szCs w:val="18"/>
          <w:b w:val="1"/>
          <w:bCs w:val="1"/>
          <w:color w:val="auto"/>
        </w:rPr>
      </w:pPr>
    </w:p>
    <w:p>
      <w:pPr>
        <w:ind w:left="460" w:right="1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30" w:lineRule="exact"/>
        <w:rPr>
          <w:rFonts w:ascii="Times New Roman" w:cs="Times New Roman" w:eastAsia="Times New Roman" w:hAnsi="Times New Roman"/>
          <w:sz w:val="18"/>
          <w:szCs w:val="18"/>
          <w:b w:val="1"/>
          <w:bCs w:val="1"/>
          <w:color w:val="auto"/>
        </w:rPr>
      </w:pPr>
    </w:p>
    <w:p>
      <w:pPr>
        <w:jc w:val="both"/>
        <w:ind w:left="460"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6" w:right="23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Anti-dilution provision (Continued)</w:t>
      </w:r>
    </w:p>
    <w:p>
      <w:pPr>
        <w:spacing w:after="0" w:line="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75"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w:t>
      </w:r>
    </w:p>
    <w:p>
      <w:pPr>
        <w:spacing w:after="0" w:line="119"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53"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C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71" w:lineRule="exact"/>
        <w:rPr>
          <w:rFonts w:ascii="Times New Roman" w:cs="Times New Roman" w:eastAsia="Times New Roman" w:hAnsi="Times New Roman"/>
          <w:sz w:val="18"/>
          <w:szCs w:val="18"/>
          <w:b w:val="1"/>
          <w:bCs w:val="1"/>
          <w:color w:val="auto"/>
        </w:rPr>
      </w:pPr>
    </w:p>
    <w:p>
      <w:pPr>
        <w:ind w:left="46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D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78"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455" w:right="23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spacing w:after="0" w:line="2"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2"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8"/>
          <w:szCs w:val="18"/>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81"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81"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456" w:right="2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20" w:hanging="452"/>
        <w:spacing w:after="0" w:line="385" w:lineRule="auto"/>
        <w:tabs>
          <w:tab w:leader="none" w:pos="449"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spacing w:after="0" w:line="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75" w:lineRule="exact"/>
        <w:rPr>
          <w:rFonts w:ascii="Times New Roman" w:cs="Times New Roman" w:eastAsia="Times New Roman" w:hAnsi="Times New Roman"/>
          <w:sz w:val="18"/>
          <w:szCs w:val="18"/>
          <w:b w:val="1"/>
          <w:bCs w:val="1"/>
          <w:color w:val="auto"/>
        </w:rPr>
      </w:pPr>
    </w:p>
    <w:p>
      <w:pPr>
        <w:ind w:left="4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and 2016, the fair values of these conversion features and redemption features which required to be bifurcated and accounted for as derivative liabilities are as follows:</w:t>
      </w:r>
    </w:p>
    <w:p>
      <w:pPr>
        <w:spacing w:after="0" w:line="6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(63,724)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76" w:lineRule="exact"/>
        <w:rPr>
          <w:sz w:val="20"/>
          <w:szCs w:val="20"/>
          <w:color w:val="auto"/>
        </w:rPr>
      </w:pPr>
    </w:p>
    <w:p>
      <w:pPr>
        <w:ind w:left="460" w:right="100"/>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2.2% - 22.7%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Times New Roman" w:cs="Times New Roman" w:eastAsia="Times New Roman" w:hAnsi="Times New Roman"/>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16</w:t>
            </w: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C</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D</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E</w:t>
      </w:r>
    </w:p>
    <w:p>
      <w:pPr>
        <w:spacing w:after="0" w:line="25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13550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Times New Roman" w:cs="Times New Roman" w:eastAsia="Times New Roman" w:hAnsi="Times New Roman"/>
          <w:sz w:val="18"/>
          <w:szCs w:val="18"/>
          <w:color w:val="auto"/>
        </w:rPr>
        <w:t>Issuance of preferred shares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left="460" w:right="22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1" w:lineRule="exact"/>
        <w:rPr>
          <w:sz w:val="20"/>
          <w:szCs w:val="20"/>
          <w:color w:val="auto"/>
        </w:rPr>
      </w:pPr>
    </w:p>
    <w:p>
      <w:pPr>
        <w:ind w:left="460" w:hanging="452"/>
        <w:spacing w:after="0"/>
        <w:tabs>
          <w:tab w:leader="none" w:pos="4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ordinary shares</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60"/>
          </w:cols>
          <w:pgMar w:left="240" w:top="456" w:right="39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ordinary shares (Continued)</w:t>
      </w:r>
    </w:p>
    <w:p>
      <w:pPr>
        <w:spacing w:after="0" w:line="134" w:lineRule="exact"/>
        <w:rPr>
          <w:rFonts w:ascii="Times New Roman" w:cs="Times New Roman" w:eastAsia="Times New Roman" w:hAnsi="Times New Roman"/>
          <w:sz w:val="18"/>
          <w:szCs w:val="18"/>
          <w:b w:val="1"/>
          <w:bCs w:val="1"/>
          <w:color w:val="auto"/>
        </w:rPr>
      </w:pPr>
    </w:p>
    <w:p>
      <w:pPr>
        <w:ind w:left="4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Investor D shall have an option to require the Company to repurchase all of the ordinary shares if a qualified IPO is not consummated by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these ordinary shares are contingently redeemable, they are classified as mezzanine equity. The Company recognizes the accretion charge using the effective interest method.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79" w:lineRule="exact"/>
        <w:rPr>
          <w:rFonts w:ascii="Times New Roman" w:cs="Times New Roman" w:eastAsia="Times New Roman" w:hAnsi="Times New Roman"/>
          <w:sz w:val="18"/>
          <w:szCs w:val="18"/>
          <w:b w:val="1"/>
          <w:bCs w:val="1"/>
          <w:color w:val="auto"/>
        </w:rPr>
      </w:pPr>
    </w:p>
    <w:p>
      <w:pPr>
        <w:ind w:left="460"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82" w:lineRule="exact"/>
        <w:rPr>
          <w:rFonts w:ascii="Times New Roman" w:cs="Times New Roman" w:eastAsia="Times New Roman" w:hAnsi="Times New Roman"/>
          <w:sz w:val="18"/>
          <w:szCs w:val="18"/>
          <w:b w:val="1"/>
          <w:bCs w:val="1"/>
          <w:color w:val="auto"/>
        </w:rPr>
      </w:pPr>
    </w:p>
    <w:p>
      <w:pPr>
        <w:ind w:left="46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Purchase</w:t>
            </w:r>
          </w:p>
        </w:tc>
        <w:tc>
          <w:tcPr>
            <w:tcW w:w="64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r>
      <w:tr>
        <w:trPr>
          <w:trHeight w:val="18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Purchase date</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consideration</w:t>
            </w:r>
          </w:p>
        </w:tc>
        <w:tc>
          <w:tcPr>
            <w:tcW w:w="64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purchased</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Times New Roman" w:cs="Times New Roman" w:eastAsia="Times New Roman" w:hAnsi="Times New Roman"/>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w:t>
      </w:r>
    </w:p>
    <w:p>
      <w:pPr>
        <w:spacing w:after="0" w:line="117" w:lineRule="exact"/>
        <w:rPr>
          <w:rFonts w:ascii="Times New Roman" w:cs="Times New Roman" w:eastAsia="Times New Roman" w:hAnsi="Times New Roman"/>
          <w:sz w:val="18"/>
          <w:szCs w:val="18"/>
          <w:color w:val="auto"/>
        </w:rPr>
      </w:pPr>
    </w:p>
    <w:p>
      <w:pPr>
        <w:ind w:left="460" w:righ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68" w:lineRule="exact"/>
        <w:rPr>
          <w:rFonts w:ascii="Times New Roman" w:cs="Times New Roman" w:eastAsia="Times New Roman" w:hAnsi="Times New Roman"/>
          <w:sz w:val="18"/>
          <w:szCs w:val="18"/>
          <w:color w:val="auto"/>
        </w:rPr>
      </w:pPr>
    </w:p>
    <w:p>
      <w:pPr>
        <w:ind w:left="4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Vesting</w:t>
            </w:r>
          </w:p>
        </w:tc>
        <w:tc>
          <w:tcPr>
            <w:tcW w:w="880" w:type="dxa"/>
            <w:vAlign w:val="bottom"/>
          </w:tcPr>
          <w:p>
            <w:pPr>
              <w:jc w:val="center"/>
              <w:ind w:left="13"/>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34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Number of</w:t>
            </w:r>
          </w:p>
        </w:tc>
        <w:tc>
          <w:tcPr>
            <w:tcW w:w="8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Term</w:t>
            </w:r>
          </w:p>
        </w:tc>
        <w:tc>
          <w:tcPr>
            <w:tcW w:w="820" w:type="dxa"/>
            <w:vAlign w:val="bottom"/>
            <w:vMerge w:val="continue"/>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4540" w:type="dxa"/>
            <w:vAlign w:val="bottom"/>
            <w:vMerge w:val="continue"/>
          </w:tcPr>
          <w:p>
            <w:pPr>
              <w:spacing w:after="0"/>
              <w:rPr>
                <w:sz w:val="15"/>
                <w:szCs w:val="15"/>
                <w:color w:val="auto"/>
              </w:rPr>
            </w:pPr>
          </w:p>
        </w:tc>
        <w:tc>
          <w:tcPr>
            <w:tcW w:w="346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206,845</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11.25</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iv)</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25,308</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49,871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10,421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ix)</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11,165</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xi)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147,007</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113,311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79,116</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20" w:hanging="574"/>
        <w:spacing w:after="0" w:line="261" w:lineRule="auto"/>
        <w:tabs>
          <w:tab w:leader="none" w:pos="9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ind w:left="920" w:right="440" w:hanging="574"/>
        <w:spacing w:after="0" w:line="261" w:lineRule="auto"/>
        <w:tabs>
          <w:tab w:leader="none" w:pos="9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340"/>
          </w:cols>
          <w:pgMar w:left="240" w:top="456" w:right="31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920" w:right="100" w:hanging="574"/>
        <w:spacing w:after="0" w:line="257"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4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right="4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right="6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8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80" w:hanging="574"/>
        <w:spacing w:after="0" w:line="250"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hanging="574"/>
        <w:spacing w:after="0" w:line="255" w:lineRule="auto"/>
        <w:tabs>
          <w:tab w:leader="none" w:pos="9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380"/>
          </w:cols>
          <w:pgMar w:left="240" w:top="456" w:right="27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Weighted</w:t>
            </w: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w w:val="99"/>
              </w:rPr>
              <w:t>Weighted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w w:val="99"/>
              </w:rPr>
              <w:t>Weighted</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00" w:type="dxa"/>
            <w:vAlign w:val="bottom"/>
            <w:gridSpan w:val="2"/>
            <w:vMerge w:val="continue"/>
          </w:tcPr>
          <w:p>
            <w:pPr>
              <w:spacing w:after="0"/>
              <w:rPr>
                <w:sz w:val="12"/>
                <w:szCs w:val="12"/>
                <w:color w:val="auto"/>
              </w:rPr>
            </w:pP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7"/>
              </w:rPr>
              <w:t>grant</w:t>
            </w:r>
          </w:p>
        </w:tc>
        <w:tc>
          <w:tcPr>
            <w:tcW w:w="10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date fair</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10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w w:val="99"/>
              </w:rPr>
              <w:t>contractual</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price ($)</w:t>
            </w: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life (years)</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967,653</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4.58</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(123,265)</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(68,135)</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928,597</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3.68</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10.77</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12,615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68"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54" w:lineRule="exact"/>
        <w:rPr>
          <w:sz w:val="20"/>
          <w:szCs w:val="20"/>
          <w:color w:val="auto"/>
        </w:rPr>
      </w:pPr>
    </w:p>
    <w:p>
      <w:pPr>
        <w:ind w:left="460" w:right="140"/>
        <w:spacing w:after="0" w:line="266" w:lineRule="auto"/>
        <w:rPr>
          <w:sz w:val="20"/>
          <w:szCs w:val="20"/>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68"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76" w:lineRule="exact"/>
        <w:rPr>
          <w:sz w:val="20"/>
          <w:szCs w:val="20"/>
          <w:color w:val="auto"/>
        </w:rPr>
      </w:pPr>
    </w:p>
    <w:p>
      <w:pPr>
        <w:ind w:left="460" w:right="40"/>
        <w:spacing w:after="0" w:line="289" w:lineRule="auto"/>
        <w:rPr>
          <w:sz w:val="20"/>
          <w:szCs w:val="20"/>
          <w:color w:val="auto"/>
        </w:rPr>
      </w:pPr>
      <w:r>
        <w:rPr>
          <w:rFonts w:ascii="Times New Roman" w:cs="Times New Roman" w:eastAsia="Times New Roman" w:hAnsi="Times New Roman"/>
          <w:sz w:val="17"/>
          <w:szCs w:val="17"/>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360"/>
          </w:cols>
          <w:pgMar w:left="240" w:top="455" w:right="29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4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4000" w:type="dxa"/>
            <w:vAlign w:val="bottom"/>
            <w:vMerge w:val="restart"/>
          </w:tcPr>
          <w:p>
            <w:pPr>
              <w:jc w:val="center"/>
              <w:ind w:left="2494"/>
              <w:spacing w:after="0"/>
              <w:rPr>
                <w:sz w:val="20"/>
                <w:szCs w:val="20"/>
                <w:color w:val="auto"/>
              </w:rPr>
            </w:pPr>
            <w:r>
              <w:rPr>
                <w:rFonts w:ascii="Times New Roman" w:cs="Times New Roman" w:eastAsia="Times New Roman" w:hAnsi="Times New Roman"/>
                <w:sz w:val="14"/>
                <w:szCs w:val="14"/>
                <w:color w:val="auto"/>
              </w:rPr>
              <w:t>Risk-free</w:t>
            </w:r>
          </w:p>
        </w:tc>
        <w:tc>
          <w:tcPr>
            <w:tcW w:w="11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w w:val="99"/>
              </w:rPr>
              <w:t>Dividend</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Volatility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Expected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term</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Times New Roman" w:cs="Times New Roman" w:eastAsia="Times New Roman" w:hAnsi="Times New Roman"/>
                <w:sz w:val="14"/>
                <w:szCs w:val="14"/>
                <w:color w:val="auto"/>
              </w:rPr>
              <w:t>interest rate</w:t>
            </w:r>
          </w:p>
        </w:tc>
        <w:tc>
          <w:tcPr>
            <w:tcW w:w="11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color w:val="auto"/>
                <w:w w:val="99"/>
              </w:rPr>
              <w:t>yield</w:t>
            </w:r>
          </w:p>
        </w:tc>
        <w:tc>
          <w:tcPr>
            <w:tcW w:w="11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rate</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4000" w:type="dxa"/>
            <w:vAlign w:val="bottom"/>
          </w:tcPr>
          <w:p>
            <w:pPr>
              <w:jc w:val="center"/>
              <w:ind w:left="2494"/>
              <w:spacing w:after="0"/>
              <w:rPr>
                <w:sz w:val="20"/>
                <w:szCs w:val="20"/>
                <w:color w:val="auto"/>
              </w:rPr>
            </w:pPr>
            <w:r>
              <w:rPr>
                <w:rFonts w:ascii="Times New Roman" w:cs="Times New Roman" w:eastAsia="Times New Roman" w:hAnsi="Times New Roman"/>
                <w:sz w:val="14"/>
                <w:szCs w:val="14"/>
                <w:color w:val="auto"/>
              </w:rPr>
              <w:t>(Note i)</w:t>
            </w: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(Note ii)</w:t>
            </w:r>
          </w:p>
        </w:tc>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(Note iii)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(Note iv)</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47.34%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2.57%</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52.87%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52.60%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July 6,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2.58%</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52.64%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52.78%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2.52%</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55.54%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49.37%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1.62%</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50.52%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900" w:right="500" w:hanging="446"/>
        <w:spacing w:after="0" w:line="261" w:lineRule="auto"/>
        <w:tabs>
          <w:tab w:leader="none" w:pos="9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900" w:right="700" w:hanging="446"/>
        <w:spacing w:after="0" w:line="250" w:lineRule="auto"/>
        <w:tabs>
          <w:tab w:leader="none" w:pos="9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from a shareholder</w:t>
      </w:r>
    </w:p>
    <w:p>
      <w:pPr>
        <w:spacing w:after="0" w:line="117" w:lineRule="exact"/>
        <w:rPr>
          <w:rFonts w:ascii="Times New Roman" w:cs="Times New Roman" w:eastAsia="Times New Roman" w:hAnsi="Times New Roman"/>
          <w:sz w:val="18"/>
          <w:szCs w:val="18"/>
          <w:color w:val="auto"/>
        </w:rPr>
      </w:pPr>
    </w:p>
    <w:p>
      <w:pPr>
        <w:ind w:left="4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 with performance conditions</w:t>
      </w:r>
    </w:p>
    <w:p>
      <w:pPr>
        <w:spacing w:after="0" w:line="117" w:lineRule="exact"/>
        <w:rPr>
          <w:rFonts w:ascii="Times New Roman" w:cs="Times New Roman" w:eastAsia="Times New Roman" w:hAnsi="Times New Roman"/>
          <w:sz w:val="18"/>
          <w:szCs w:val="18"/>
          <w:color w:val="auto"/>
        </w:rPr>
      </w:pPr>
    </w:p>
    <w:p>
      <w:pPr>
        <w:ind w:left="46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456" w:right="23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 with performance conditions (Continued)</w:t>
      </w:r>
    </w:p>
    <w:p>
      <w:pPr>
        <w:spacing w:after="0" w:line="130" w:lineRule="exact"/>
        <w:rPr>
          <w:rFonts w:ascii="Times New Roman" w:cs="Times New Roman" w:eastAsia="Times New Roman" w:hAnsi="Times New Roman"/>
          <w:sz w:val="18"/>
          <w:szCs w:val="18"/>
          <w:color w:val="auto"/>
        </w:rPr>
      </w:pPr>
    </w:p>
    <w:p>
      <w:pPr>
        <w:ind w:left="4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w:t>
      </w:r>
    </w:p>
    <w:p>
      <w:pPr>
        <w:spacing w:after="0" w:line="117"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rPr>
                <w:sz w:val="17"/>
                <w:szCs w:val="17"/>
                <w:color w:val="auto"/>
              </w:rPr>
            </w:pPr>
          </w:p>
        </w:tc>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(923)</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17" w:lineRule="exact"/>
        <w:rPr>
          <w:rFonts w:ascii="Times New Roman" w:cs="Times New Roman" w:eastAsia="Times New Roman" w:hAnsi="Times New Roman"/>
          <w:sz w:val="18"/>
          <w:szCs w:val="18"/>
          <w:color w:val="auto"/>
        </w:rPr>
      </w:pPr>
    </w:p>
    <w:p>
      <w:pPr>
        <w:ind w:left="460"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profits tax</w:t>
      </w:r>
    </w:p>
    <w:p>
      <w:pPr>
        <w:spacing w:after="0" w:line="117" w:lineRule="exact"/>
        <w:rPr>
          <w:rFonts w:ascii="Times New Roman" w:cs="Times New Roman" w:eastAsia="Times New Roman" w:hAnsi="Times New Roman"/>
          <w:sz w:val="18"/>
          <w:szCs w:val="18"/>
          <w:color w:val="auto"/>
        </w:rPr>
      </w:pPr>
    </w:p>
    <w:p>
      <w:pPr>
        <w:ind w:left="46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incorporated in Hong Kong are subject to Hong Kong profits tax at a rate of 16.5% on the estimated assessable profit for the years ended December 31, 2015 and 2016.</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w:t>
      </w:r>
    </w:p>
    <w:p>
      <w:pPr>
        <w:spacing w:after="0" w:line="117" w:lineRule="exact"/>
        <w:rPr>
          <w:rFonts w:ascii="Times New Roman" w:cs="Times New Roman" w:eastAsia="Times New Roman" w:hAnsi="Times New Roman"/>
          <w:sz w:val="18"/>
          <w:szCs w:val="18"/>
          <w:color w:val="auto"/>
        </w:rPr>
      </w:pPr>
    </w:p>
    <w:p>
      <w:pPr>
        <w:ind w:left="460"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53" w:lineRule="exact"/>
        <w:rPr>
          <w:rFonts w:ascii="Times New Roman" w:cs="Times New Roman" w:eastAsia="Times New Roman" w:hAnsi="Times New Roman"/>
          <w:sz w:val="18"/>
          <w:szCs w:val="18"/>
          <w:color w:val="auto"/>
        </w:rPr>
      </w:pPr>
    </w:p>
    <w:p>
      <w:pPr>
        <w:ind w:left="460" w:right="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79"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9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income tax expense</w:t>
      </w:r>
    </w:p>
    <w:p>
      <w:pPr>
        <w:spacing w:after="0" w:line="11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Times New Roman" w:cs="Times New Roman" w:eastAsia="Times New Roman" w:hAnsi="Times New Roman"/>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8540" w:hanging="452"/>
        <w:spacing w:after="0" w:line="408" w:lineRule="auto"/>
        <w:tabs>
          <w:tab w:leader="none" w:pos="449"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(Continued) </w:t>
      </w:r>
      <w:r>
        <w:rPr>
          <w:rFonts w:ascii="Times New Roman" w:cs="Times New Roman" w:eastAsia="Times New Roman" w:hAnsi="Times New Roman"/>
          <w:sz w:val="17"/>
          <w:szCs w:val="17"/>
          <w:i w:val="1"/>
          <w:iCs w:val="1"/>
          <w:color w:val="auto"/>
        </w:rPr>
        <w:t>Deferred tax assets and liabilities</w:t>
      </w:r>
    </w:p>
    <w:p>
      <w:pPr>
        <w:spacing w:after="0" w:line="1" w:lineRule="exact"/>
        <w:rPr>
          <w:rFonts w:ascii="Times New Roman" w:cs="Times New Roman" w:eastAsia="Times New Roman" w:hAnsi="Times New Roman"/>
          <w:sz w:val="17"/>
          <w:szCs w:val="17"/>
          <w:b w:val="1"/>
          <w:bCs w:val="1"/>
          <w:color w:val="auto"/>
        </w:rPr>
      </w:pPr>
    </w:p>
    <w:p>
      <w:pPr>
        <w:ind w:left="460" w:right="5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5,804</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-213360</wp:posOffset>
            </wp:positionV>
            <wp:extent cx="3003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-213360</wp:posOffset>
            </wp:positionV>
            <wp:extent cx="3003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18" w:lineRule="exact"/>
        <w:rPr>
          <w:sz w:val="20"/>
          <w:szCs w:val="20"/>
          <w:color w:val="auto"/>
        </w:rPr>
      </w:pPr>
    </w:p>
    <w:p>
      <w:pPr>
        <w:ind w:left="900" w:right="160" w:hanging="446"/>
        <w:spacing w:after="0" w:line="256" w:lineRule="auto"/>
        <w:tabs>
          <w:tab w:leader="none" w:pos="9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9140" w:hanging="452"/>
        <w:spacing w:after="0" w:line="385" w:lineRule="auto"/>
        <w:tabs>
          <w:tab w:leader="none" w:pos="449"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(Continued) </w:t>
      </w:r>
      <w:r>
        <w:rPr>
          <w:rFonts w:ascii="Times New Roman" w:cs="Times New Roman" w:eastAsia="Times New Roman" w:hAnsi="Times New Roman"/>
          <w:sz w:val="18"/>
          <w:szCs w:val="18"/>
          <w:i w:val="1"/>
          <w:iCs w:val="1"/>
          <w:color w:val="auto"/>
        </w:rPr>
        <w:t>Tax loss carryforwards</w:t>
      </w:r>
    </w:p>
    <w:p>
      <w:pPr>
        <w:spacing w:after="0" w:line="1"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2015</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72"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Reconciliation between the expense of income taxes computed by applying the statutory tax rate to loss before income taxes and the actual provision for income taxes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(527)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4,684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8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900" w:right="100" w:hanging="446"/>
        <w:spacing w:after="0" w:line="282" w:lineRule="auto"/>
        <w:tabs>
          <w:tab w:leader="none" w:pos="9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420"/>
          </w:cols>
          <w:pgMar w:left="240" w:top="456" w:right="2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to previously issued financial statements</w:t>
      </w:r>
    </w:p>
    <w:p>
      <w:pPr>
        <w:spacing w:after="0" w:line="117" w:lineRule="exact"/>
        <w:rPr>
          <w:rFonts w:ascii="Times New Roman" w:cs="Times New Roman" w:eastAsia="Times New Roman" w:hAnsi="Times New Roman"/>
          <w:sz w:val="18"/>
          <w:szCs w:val="18"/>
          <w:color w:val="auto"/>
        </w:rPr>
      </w:pPr>
    </w:p>
    <w:p>
      <w:pPr>
        <w:ind w:left="460"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6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For the year ended 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40" w:type="dxa"/>
            <w:vAlign w:val="bottom"/>
          </w:tcPr>
          <w:p>
            <w:pPr>
              <w:spacing w:after="0"/>
              <w:rPr>
                <w:sz w:val="10"/>
                <w:szCs w:val="10"/>
                <w:color w:val="auto"/>
              </w:rPr>
            </w:pPr>
          </w:p>
        </w:tc>
        <w:tc>
          <w:tcPr>
            <w:tcW w:w="112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As</w:t>
            </w:r>
          </w:p>
        </w:tc>
        <w:tc>
          <w:tcPr>
            <w:tcW w:w="0" w:type="dxa"/>
            <w:vAlign w:val="bottom"/>
          </w:tcPr>
          <w:p>
            <w:pPr>
              <w:spacing w:after="0"/>
              <w:rPr>
                <w:sz w:val="1"/>
                <w:szCs w:val="1"/>
                <w:color w:val="auto"/>
              </w:rPr>
            </w:pPr>
          </w:p>
        </w:tc>
      </w:tr>
      <w:tr>
        <w:trPr>
          <w:trHeight w:val="149"/>
        </w:trPr>
        <w:tc>
          <w:tcPr>
            <w:tcW w:w="8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Consolidated Statements of Comprehensive Loss</w:t>
            </w: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Revision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540" w:type="dxa"/>
            <w:vAlign w:val="bottom"/>
            <w:vMerge w:val="continue"/>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Reported</w:t>
            </w:r>
          </w:p>
        </w:tc>
        <w:tc>
          <w:tcPr>
            <w:tcW w:w="94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Revised</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(41,797)</w:t>
            </w:r>
          </w:p>
        </w:tc>
        <w:tc>
          <w:tcPr>
            <w:tcW w:w="0" w:type="dxa"/>
            <w:vAlign w:val="bottom"/>
          </w:tcPr>
          <w:p>
            <w:pPr>
              <w:spacing w:after="0"/>
              <w:rPr>
                <w:sz w:val="1"/>
                <w:szCs w:val="1"/>
                <w:color w:val="auto"/>
              </w:rPr>
            </w:pPr>
          </w:p>
        </w:tc>
      </w:tr>
      <w:tr>
        <w:trPr>
          <w:trHeight w:val="324"/>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0.23</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60" w:hanging="452"/>
        <w:spacing w:after="0"/>
        <w:tabs>
          <w:tab w:leader="none" w:pos="4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w:t>
      </w:r>
    </w:p>
    <w:p>
      <w:pPr>
        <w:spacing w:after="0" w:line="11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(39,714)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(1,982)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(Continued)</w:t>
      </w:r>
    </w:p>
    <w:p>
      <w:pPr>
        <w:spacing w:after="0" w:line="130" w:lineRule="exact"/>
        <w:rPr>
          <w:rFonts w:ascii="Times New Roman" w:cs="Times New Roman" w:eastAsia="Times New Roman" w:hAnsi="Times New Roman"/>
          <w:sz w:val="18"/>
          <w:szCs w:val="18"/>
          <w:color w:val="auto"/>
        </w:rPr>
      </w:pPr>
    </w:p>
    <w:p>
      <w:pPr>
        <w:ind w:left="46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1" w:lineRule="exact"/>
        <w:rPr>
          <w:rFonts w:ascii="Times New Roman" w:cs="Times New Roman" w:eastAsia="Times New Roman" w:hAnsi="Times New Roman"/>
          <w:sz w:val="18"/>
          <w:szCs w:val="18"/>
          <w:color w:val="auto"/>
        </w:rPr>
      </w:pPr>
    </w:p>
    <w:p>
      <w:pPr>
        <w:ind w:left="460"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53" w:lineRule="exact"/>
        <w:rPr>
          <w:rFonts w:ascii="Times New Roman" w:cs="Times New Roman" w:eastAsia="Times New Roman" w:hAnsi="Times New Roman"/>
          <w:sz w:val="18"/>
          <w:szCs w:val="18"/>
          <w:color w:val="auto"/>
        </w:rPr>
      </w:pPr>
    </w:p>
    <w:p>
      <w:pPr>
        <w:ind w:left="4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director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380"/>
          </w:cols>
          <w:pgMar w:left="240" w:top="455" w:right="27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ind w:left="460" w:hanging="452"/>
        <w:spacing w:after="0"/>
        <w:tabs>
          <w:tab w:leader="none" w:pos="4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commitments</w:t>
      </w:r>
    </w:p>
    <w:p>
      <w:pPr>
        <w:spacing w:after="0" w:line="121"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53" w:lineRule="exact"/>
        <w:rPr>
          <w:rFonts w:ascii="Times New Roman" w:cs="Times New Roman" w:eastAsia="Times New Roman" w:hAnsi="Times New Roman"/>
          <w:sz w:val="18"/>
          <w:szCs w:val="18"/>
          <w:b w:val="1"/>
          <w:bCs w:val="1"/>
          <w:color w:val="auto"/>
        </w:rPr>
      </w:pPr>
    </w:p>
    <w:p>
      <w:pPr>
        <w:ind w:left="460"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office rental expenses under all operating leases were US$2,636,718 and US$3,024,404 for the years ended December 31, 2015 and 2016, respectively.</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future minimum payments under non-cancellable operating leases for office rental consist of the following:</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94"/>
              </w:rPr>
              <w:t>2017</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F-64</w:t>
            </w:r>
          </w:p>
        </w:tc>
      </w:tr>
    </w:tbl>
    <w:p>
      <w:pPr>
        <w:sectPr>
          <w:pgSz w:w="11900" w:h="16838" w:orient="portrait"/>
          <w:cols w:equalWidth="0" w:num="1">
            <w:col w:w="11360"/>
          </w:cols>
          <w:pgMar w:left="240" w:top="455" w:right="29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and 2016, no purchase commitments were related to the purchase of space for its online marketing services.</w:t>
      </w:r>
    </w:p>
    <w:p>
      <w:pPr>
        <w:spacing w:after="0" w:line="36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1" w:lineRule="exact"/>
        <w:rPr>
          <w:sz w:val="20"/>
          <w:szCs w:val="20"/>
          <w:color w:val="auto"/>
        </w:rPr>
      </w:pPr>
    </w:p>
    <w:p>
      <w:pPr>
        <w:ind w:left="460" w:hanging="452"/>
        <w:spacing w:after="0"/>
        <w:tabs>
          <w:tab w:leader="none" w:pos="4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evaluated subsequent events through May 18, 2017, the date on which these financial statements were issued.</w:t>
      </w:r>
    </w:p>
    <w:p>
      <w:pPr>
        <w:spacing w:after="0" w:line="36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84"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320"/>
          </w:cols>
          <w:pgMar w:left="240" w:top="455" w:right="33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80" w:lineRule="exact"/>
        <w:rPr>
          <w:sz w:val="20"/>
          <w:szCs w:val="20"/>
          <w:color w:val="auto"/>
        </w:rPr>
      </w:pPr>
    </w:p>
    <w:p>
      <w:pPr>
        <w:jc w:val="both"/>
        <w:ind w:right="620"/>
        <w:spacing w:after="0" w:line="261" w:lineRule="auto"/>
        <w:rPr>
          <w:sz w:val="20"/>
          <w:szCs w:val="20"/>
          <w:color w:val="auto"/>
        </w:rPr>
      </w:pPr>
      <w:r>
        <w:rPr>
          <w:rFonts w:ascii="Times New Roman" w:cs="Times New Roman" w:eastAsia="Times New Roman" w:hAnsi="Times New Roman"/>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5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400"/>
          </w:cols>
          <w:pgMar w:left="240" w:top="456" w:right="25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39,284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55,011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94,364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64,005</w:t>
            </w:r>
          </w:p>
        </w:tc>
        <w:tc>
          <w:tcPr>
            <w:tcW w:w="0" w:type="dxa"/>
            <w:vAlign w:val="bottom"/>
          </w:tcPr>
          <w:p>
            <w:pPr>
              <w:spacing w:after="0"/>
              <w:rPr>
                <w:sz w:val="1"/>
                <w:szCs w:val="1"/>
                <w:color w:val="auto"/>
              </w:rPr>
            </w:pPr>
          </w:p>
        </w:tc>
      </w:tr>
      <w:tr>
        <w:trPr>
          <w:trHeight w:val="22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F-67</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5,487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2016)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(46,159)</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F-68</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(7,455)</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(19,390)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(1,982)</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F-69</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Note</w:t>
            </w: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(Note 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27,280</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21,873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5,234</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US$1,693 and US$602 as</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December 31, 2016 and September 30, 2017, respectively</w:t>
            </w:r>
          </w:p>
        </w:tc>
        <w:tc>
          <w:tcPr>
            <w:tcW w:w="10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30,694</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29,742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10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34,409</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33,574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90,168</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969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14,804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48,496</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48,496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62,873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62,873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153,041</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420"/>
          </w:cols>
          <w:pgMar w:left="240" w:top="455" w:right="23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Note</w:t>
            </w: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(Note 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2016</w:t>
            </w:r>
          </w:p>
        </w:tc>
        <w:tc>
          <w:tcPr>
            <w:tcW w:w="48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 entity</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(“VIE”) and its subsidiary without recourse to the Company of US$28 and US$29 as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2016 and September 30, 2017, respectively)</w:t>
            </w:r>
          </w:p>
        </w:tc>
        <w:tc>
          <w:tcPr>
            <w:tcW w:w="9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9,189</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3,118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revenue (including deferred revenue of the consolidated VIE and its subsidiary</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without recourse to the Company of US$11,878 and US$8,593 as December 31, 2016 and</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2017, respectively)</w:t>
            </w: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25,697</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29,876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 other current</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of the consolidated VIE and its subsidiary without recourse to the Company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US$404 and US$331 as of December 31, 2016 and September 30, 2017, respectively)</w:t>
            </w:r>
          </w:p>
        </w:tc>
        <w:tc>
          <w:tcPr>
            <w:tcW w:w="9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15,091</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10,802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60,525</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67,655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9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12,982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54,672</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126,030</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9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420"/>
          </w:cols>
          <w:pgMar w:left="240" w:top="456" w:right="239"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w w:val="98"/>
              </w:rPr>
              <w:t>September 30,</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Note</w:t>
            </w:r>
          </w:p>
        </w:tc>
        <w:tc>
          <w:tcPr>
            <w:tcW w:w="1460" w:type="dxa"/>
            <w:vAlign w:val="bottom"/>
            <w:gridSpan w:val="3"/>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(Note 22)</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color w:val="auto"/>
              </w:rPr>
              <w:t>2017</w:t>
            </w:r>
          </w:p>
        </w:tc>
        <w:tc>
          <w:tcPr>
            <w:tcW w:w="6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redeemable preferred shares (US$0.001 par value; 2,500,000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as of December 31, 2016 and September 30, 2017; 2,476,190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forma basis as of September 30, 2017 (unaudited); redemption amount of US$6,737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US$7,234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5,597</w:t>
            </w:r>
          </w:p>
        </w:tc>
        <w:tc>
          <w:tcPr>
            <w:tcW w:w="6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5,683</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 redeemable preferred shares (US$0.001 par value; 3,000,000 shares</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authorized as of December 31, 2016 and September 30, 2017; 1,889,249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forma basis as of September 30, 2017 (unaudited); redemption amount of US$14,625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US$15,055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9,807</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10,326</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Series C convertible redeemable preferred shares (US$0.001 par value; 1,650,000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as of December 31, 2016 and September 30, 2017; 1,599,186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forma basis as of September 30, 2017 (unaudited); redemption amount of US$22,288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US$23,614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10,733</w:t>
            </w:r>
          </w:p>
        </w:tc>
        <w:tc>
          <w:tcPr>
            <w:tcW w:w="6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10,733</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D convertible redeemable preferred shares (US$0.001 par value; 4,500,000 shares</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authorized as of December 31, 2016 and September 30, 2017; 2,493,018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forma basis as of September 30, 2017 (unaudited); redemption amount of US$60,852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US$64,815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43,956</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43,956</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Series E convertible redeemable preferred shares (US$0.001 par value; 1,200,000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as of December 31, 2016 and September 30, 2017; 1,068,114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forma basis as of September 30, 2017 (unaudited); redemption amount of US$20,000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US$29,059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18,845</w:t>
            </w:r>
          </w:p>
        </w:tc>
        <w:tc>
          <w:tcPr>
            <w:tcW w:w="6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18,845</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ordinary shares (US$0.001 par value; 742,320 shares issued and outstanding as</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December 31, 2016 and September 30, 2017; none outstanding on a pro forma basis as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September 30, 2017 (unaudited))</w:t>
            </w:r>
          </w:p>
        </w:tc>
        <w:tc>
          <w:tcPr>
            <w:tcW w:w="124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15,445</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16,724</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12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104,383</w:t>
            </w:r>
          </w:p>
        </w:tc>
        <w:tc>
          <w:tcPr>
            <w:tcW w:w="2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106,267</w:t>
            </w:r>
          </w:p>
        </w:tc>
        <w:tc>
          <w:tcPr>
            <w:tcW w:w="640" w:type="dxa"/>
            <w:vAlign w:val="bottom"/>
          </w:tcPr>
          <w:p>
            <w:pPr>
              <w:spacing w:after="0"/>
              <w:rPr>
                <w:sz w:val="17"/>
                <w:szCs w:val="17"/>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420"/>
          </w:cols>
          <w:pgMar w:left="240" w:top="455" w:right="23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w w:val="99"/>
              </w:rPr>
              <w:t>December 31,</w:t>
            </w:r>
          </w:p>
        </w:tc>
        <w:tc>
          <w:tcPr>
            <w:tcW w:w="12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w w:val="98"/>
              </w:rPr>
              <w:t>September 30,</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color w:val="auto"/>
              </w:rPr>
              <w:t>Note</w:t>
            </w:r>
          </w:p>
        </w:tc>
        <w:tc>
          <w:tcPr>
            <w:tcW w:w="12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(Note 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2016</w:t>
            </w:r>
          </w:p>
        </w:tc>
        <w:tc>
          <w:tcPr>
            <w:tcW w:w="46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2017</w:t>
            </w: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(deficit)/equity</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(US$0.001 par value; 37,150,000 shares as of December 31, 2016 and</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2017; 13,609,208 and 13,633,106 shares issued and outstanding as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2016 and September 30, 2017, respectively; 23,901,183 outstanding on a pro</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forma basis as of September 30, 2017 (unaudited))</w:t>
            </w:r>
          </w:p>
        </w:tc>
        <w:tc>
          <w:tcPr>
            <w:tcW w:w="9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(2,149,280 and 2,125,382 shares as of December 31, 2016 and September 30,</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2017, respectively; 2,125,382 shares on a pro forma basis as of September 30, 2017</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(unaudited))</w:t>
            </w:r>
          </w:p>
        </w:tc>
        <w:tc>
          <w:tcPr>
            <w:tcW w:w="9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(2,468)</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(2,121)</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65,687</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66,349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9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(3,241)</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(3,310)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(124,385)</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(140,269)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(140,269)</w:t>
            </w: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tc>
        <w:tc>
          <w:tcPr>
            <w:tcW w:w="9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4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(79,256)</w:t>
            </w: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169,640</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153,041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420"/>
          </w:cols>
          <w:pgMar w:left="240" w:top="456" w:right="23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7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Note</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September 30,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2016</w:t>
            </w:r>
          </w:p>
        </w:tc>
        <w:tc>
          <w:tcPr>
            <w:tcW w:w="3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69,973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(44,847)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(6,480)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(20,733)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(7,165)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(34,378)</w:t>
            </w:r>
          </w:p>
        </w:tc>
        <w:tc>
          <w:tcPr>
            <w:tcW w:w="3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(9,252)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17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gains/(losses) on derivative liabilities</w:t>
            </w: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(8,621)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7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1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iClick Interactive Asia Group Limited’s ordinary shareholders</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iClick Interactive Asia Group Limited</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iClick Interactive Asia Group Limited</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7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7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per share calculation: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7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13,140,775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13,622,172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7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13,140,775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13,622,172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420"/>
          </w:cols>
          <w:pgMar w:left="240" w:top="455" w:right="23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DEFICIT FOR THE NINE MONTHS ENDED SEPTEMBER 30, 2016 AND 2017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Ordinary shares</w:t>
            </w:r>
          </w:p>
        </w:tc>
        <w:tc>
          <w:tcPr>
            <w:tcW w:w="18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Treasury shares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06"/>
        </w:trPr>
        <w:tc>
          <w:tcPr>
            <w:tcW w:w="32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w w:val="99"/>
              </w:rPr>
              <w:t>Accumulated</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7"/>
              </w:rPr>
              <w:t>Statutory</w:t>
            </w: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Amount</w:t>
            </w:r>
          </w:p>
        </w:tc>
        <w:tc>
          <w:tcPr>
            <w:tcW w:w="10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Amount</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0" w:type="dxa"/>
            <w:vAlign w:val="bottom"/>
          </w:tcPr>
          <w:p>
            <w:pPr>
              <w:spacing w:after="0"/>
              <w:rPr>
                <w:sz w:val="1"/>
                <w:szCs w:val="1"/>
                <w:color w:val="auto"/>
              </w:rPr>
            </w:pPr>
          </w:p>
        </w:tc>
      </w:tr>
      <w:tr>
        <w:trPr>
          <w:trHeight w:val="153"/>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2016</w:t>
            </w:r>
          </w:p>
        </w:tc>
        <w:tc>
          <w:tcPr>
            <w:tcW w:w="900" w:type="dxa"/>
            <w:vAlign w:val="bottom"/>
            <w:gridSpan w:val="2"/>
          </w:tcPr>
          <w:p>
            <w:pPr>
              <w:jc w:val="center"/>
              <w:ind w:right="20"/>
              <w:spacing w:after="0" w:line="153"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20" w:type="dxa"/>
            <w:vAlign w:val="bottom"/>
            <w:gridSpan w:val="2"/>
          </w:tcPr>
          <w:p>
            <w:pPr>
              <w:jc w:val="right"/>
              <w:ind w:right="460"/>
              <w:spacing w:after="0" w:line="153" w:lineRule="exact"/>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2"/>
            <w:vMerge w:val="continue"/>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rPr>
              <w:t>capital</w:t>
            </w:r>
          </w:p>
        </w:tc>
        <w:tc>
          <w:tcPr>
            <w:tcW w:w="1020" w:type="dxa"/>
            <w:vAlign w:val="bottom"/>
            <w:gridSpan w:val="2"/>
          </w:tcPr>
          <w:p>
            <w:pPr>
              <w:jc w:val="right"/>
              <w:ind w:right="460"/>
              <w:spacing w:after="0" w:line="153" w:lineRule="exact"/>
              <w:rPr>
                <w:sz w:val="20"/>
                <w:szCs w:val="20"/>
                <w:color w:val="auto"/>
              </w:rPr>
            </w:pPr>
            <w:r>
              <w:rPr>
                <w:rFonts w:ascii="Times New Roman" w:cs="Times New Roman" w:eastAsia="Times New Roman" w:hAnsi="Times New Roman"/>
                <w:sz w:val="14"/>
                <w:szCs w:val="14"/>
                <w:color w:val="auto"/>
              </w:rPr>
              <w:t>deficit</w:t>
            </w:r>
          </w:p>
        </w:tc>
        <w:tc>
          <w:tcPr>
            <w:tcW w:w="7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reserves</w:t>
            </w:r>
          </w:p>
        </w:tc>
        <w:tc>
          <w:tcPr>
            <w:tcW w:w="940" w:type="dxa"/>
            <w:vAlign w:val="bottom"/>
            <w:gridSpan w:val="2"/>
          </w:tcPr>
          <w:p>
            <w:pPr>
              <w:jc w:val="center"/>
              <w:ind w:right="40"/>
              <w:spacing w:after="0" w:line="153" w:lineRule="exact"/>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13,104,300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2,654,188</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(9,783)</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53,917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(97,055)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59,135</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(59,135)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(8,381)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2016</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13,163,435</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2,595,053</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54,247</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(105,436)</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2017</w:t>
            </w:r>
          </w:p>
        </w:tc>
        <w:tc>
          <w:tcPr>
            <w:tcW w:w="9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13,609,208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2,149,280</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(2,468)</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65,687</w:t>
            </w:r>
          </w:p>
        </w:tc>
        <w:tc>
          <w:tcPr>
            <w:tcW w:w="240" w:type="dxa"/>
            <w:vAlign w:val="bottom"/>
          </w:tcPr>
          <w:p>
            <w:pPr>
              <w:spacing w:after="0"/>
              <w:rPr>
                <w:sz w:val="16"/>
                <w:szCs w:val="16"/>
                <w:color w:val="auto"/>
              </w:rPr>
            </w:pPr>
          </w:p>
        </w:tc>
        <w:tc>
          <w:tcPr>
            <w:tcW w:w="76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(124,385)</w:t>
            </w:r>
          </w:p>
        </w:tc>
        <w:tc>
          <w:tcPr>
            <w:tcW w:w="260" w:type="dxa"/>
            <w:vAlign w:val="bottom"/>
          </w:tcPr>
          <w:p>
            <w:pPr>
              <w:spacing w:after="0"/>
              <w:rPr>
                <w:sz w:val="16"/>
                <w:szCs w:val="16"/>
                <w:color w:val="auto"/>
              </w:rPr>
            </w:pPr>
          </w:p>
        </w:tc>
        <w:tc>
          <w:tcPr>
            <w:tcW w:w="5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6"/>
                <w:szCs w:val="16"/>
                <w:color w:val="auto"/>
              </w:rPr>
            </w:pPr>
          </w:p>
        </w:tc>
        <w:tc>
          <w:tcPr>
            <w:tcW w:w="8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(3,241)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23,898</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(23,898)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(605)</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(1,279)</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(15,884)</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2017</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13,633,106</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2,125,382</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66,349</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(140,269)</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Total</w:t>
      </w:r>
    </w:p>
    <w:p>
      <w:pPr>
        <w:jc w:val="center"/>
        <w:ind w:right="80"/>
        <w:spacing w:after="0" w:line="226" w:lineRule="auto"/>
        <w:rPr>
          <w:sz w:val="20"/>
          <w:szCs w:val="20"/>
          <w:color w:val="auto"/>
        </w:rPr>
      </w:pPr>
      <w:r>
        <w:rPr>
          <w:rFonts w:ascii="Times New Roman" w:cs="Times New Roman" w:eastAsia="Times New Roman" w:hAnsi="Times New Roman"/>
          <w:sz w:val="14"/>
          <w:szCs w:val="14"/>
          <w:color w:val="auto"/>
        </w:rPr>
        <w:t>shareholders’</w:t>
      </w:r>
    </w:p>
    <w:p>
      <w:pPr>
        <w:jc w:val="center"/>
        <w:ind w:right="80"/>
        <w:spacing w:after="0" w:line="234" w:lineRule="auto"/>
        <w:rPr>
          <w:sz w:val="20"/>
          <w:szCs w:val="20"/>
          <w:color w:val="auto"/>
        </w:rPr>
      </w:pPr>
      <w:r>
        <w:rPr>
          <w:rFonts w:ascii="Times New Roman" w:cs="Times New Roman" w:eastAsia="Times New Roman" w:hAnsi="Times New Roman"/>
          <w:sz w:val="14"/>
          <w:szCs w:val="14"/>
          <w:color w:val="auto"/>
        </w:rPr>
        <w:t>deficit</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(55,929)</w:t>
      </w:r>
    </w:p>
    <w:p>
      <w:pPr>
        <w:spacing w:after="0" w:line="2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127</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2,786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(8,381)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(63,348)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4972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34290</wp:posOffset>
            </wp:positionV>
            <wp:extent cx="4972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(64,312)</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2,841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(1,279)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(15,884)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(79,256)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4972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34290</wp:posOffset>
            </wp:positionV>
            <wp:extent cx="4972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10340" w:space="200"/>
            <w:col w:w="840"/>
          </w:cols>
          <w:pgMar w:left="240" w:top="45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380"/>
          </w:cols>
          <w:pgMar w:left="240" w:top="456" w:right="279" w:bottom="1440" w:gutter="0" w:footer="0" w:header="0"/>
          <w:type w:val="continuous"/>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904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(8,381)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1,094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3,214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Recoveries of doubtful accounts previously provided for</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2,786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Fair value (gains)/losses on derivative liabilities</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(1,497)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(786)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(3,291)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Prepayments and other assets</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(927)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 and other current liabilities</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(588)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7,870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Rebates receivables</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2,109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media costs</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(203)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(1,592)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 payable</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491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6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(872)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 short-term investments</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1,552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(Increase)/decrease in restricted cash</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(4,169)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in)/provided by investing activities</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(3,493)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bank borrowings</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6,810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bank borrowings</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(1,800)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amounts due to related parties</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(46)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5,092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(5,084)</w:t>
            </w:r>
          </w:p>
        </w:tc>
        <w:tc>
          <w:tcPr>
            <w:tcW w:w="0" w:type="dxa"/>
            <w:vAlign w:val="bottom"/>
          </w:tcPr>
          <w:p>
            <w:pPr>
              <w:spacing w:after="0"/>
              <w:rPr>
                <w:sz w:val="1"/>
                <w:szCs w:val="1"/>
                <w:color w:val="auto"/>
              </w:rPr>
            </w:pPr>
          </w:p>
        </w:tc>
      </w:tr>
      <w:tr>
        <w:trPr>
          <w:trHeight w:val="204"/>
        </w:trPr>
        <w:tc>
          <w:tcPr>
            <w:tcW w:w="9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6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period</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10,395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Effect on exchange rate changes on cash and cash equivalents</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(187)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12,106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 paid</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(489)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to Series A preferred shares redemption value</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Accretion to Series B preferred shares redemption value</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493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to redeemable ordinary shares redemption value</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1,151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420"/>
          </w:cols>
          <w:pgMar w:left="240" w:top="456" w:right="23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303" w:lineRule="exact"/>
        <w:rPr>
          <w:sz w:val="20"/>
          <w:szCs w:val="20"/>
          <w:color w:val="auto"/>
        </w:rPr>
      </w:pPr>
    </w:p>
    <w:p>
      <w:pPr>
        <w:ind w:left="460" w:hanging="452"/>
        <w:spacing w:after="0"/>
        <w:tabs>
          <w:tab w:leader="none" w:pos="4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1" w:lineRule="exact"/>
        <w:rPr>
          <w:rFonts w:ascii="Times New Roman" w:cs="Times New Roman" w:eastAsia="Times New Roman" w:hAnsi="Times New Roman"/>
          <w:sz w:val="18"/>
          <w:szCs w:val="18"/>
          <w:b w:val="1"/>
          <w:bCs w:val="1"/>
          <w:color w:val="auto"/>
        </w:rPr>
      </w:pPr>
    </w:p>
    <w:p>
      <w:pPr>
        <w:ind w:left="46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77"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7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9"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w:t>
      </w:r>
    </w:p>
    <w:p>
      <w:pPr>
        <w:spacing w:after="0" w:line="68" w:lineRule="exact"/>
        <w:rPr>
          <w:rFonts w:ascii="Times New Roman" w:cs="Times New Roman" w:eastAsia="Times New Roman" w:hAnsi="Times New Roman"/>
          <w:sz w:val="18"/>
          <w:szCs w:val="18"/>
          <w:b w:val="1"/>
          <w:bCs w:val="1"/>
          <w:color w:val="auto"/>
        </w:rPr>
      </w:pPr>
    </w:p>
    <w:p>
      <w:pPr>
        <w:ind w:left="4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and September 30, 2017, the Group had net current liabilities of US$22,536, and US$32,159, total shareholders’ deficit of US$64,312 and US$79,256 and accumulated deficit of US$124,385 and US$140,269. During the nine months ended September 30, 2016 and 2017, the Group incurred a net loss of US$8,381 and US$15,884 and a net operating cash inflow/(outflow) of US$299 and US$(5,280). In December 2016, the Company entered into an agreement to issue Series E preferred shares for a total cash consideration of US$20,000 and management considered such additional funding to enable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400"/>
          </w:cols>
          <w:pgMar w:left="240" w:top="455" w:right="25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34" w:lineRule="exact"/>
        <w:rPr>
          <w:rFonts w:ascii="Times New Roman" w:cs="Times New Roman" w:eastAsia="Times New Roman" w:hAnsi="Times New Roman"/>
          <w:sz w:val="18"/>
          <w:szCs w:val="18"/>
          <w:b w:val="1"/>
          <w:bCs w:val="1"/>
          <w:color w:val="auto"/>
        </w:rPr>
      </w:pPr>
    </w:p>
    <w:p>
      <w:pPr>
        <w:ind w:left="4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to operate without significant curtailment of its operation and to meet its financial obligations as and when they fall due. Accordingly, the management is of the opinion that the financial statements have been prepared on a going concern basis.</w:t>
      </w:r>
    </w:p>
    <w:p>
      <w:pPr>
        <w:spacing w:after="0" w:line="53" w:lineRule="exact"/>
        <w:rPr>
          <w:rFonts w:ascii="Times New Roman" w:cs="Times New Roman" w:eastAsia="Times New Roman" w:hAnsi="Times New Roman"/>
          <w:sz w:val="18"/>
          <w:szCs w:val="18"/>
          <w:b w:val="1"/>
          <w:bCs w:val="1"/>
          <w:color w:val="auto"/>
        </w:rPr>
      </w:pPr>
    </w:p>
    <w:p>
      <w:pPr>
        <w:ind w:left="4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condensed consolidated financial statements include the financial statements of the Company, its subsidiaries and consolidated VIEs and the VIE’s subsidiary (defined in Note 1(b))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9"/>
              </w:rPr>
              <w:t>% of direct</w:t>
            </w:r>
          </w:p>
        </w:tc>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Place of</w:t>
            </w: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or indirect</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Relationship</w:t>
            </w: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w w:val="99"/>
              </w:rPr>
              <w:t>economic</w:t>
            </w:r>
          </w:p>
        </w:tc>
        <w:tc>
          <w:tcPr>
            <w:tcW w:w="1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Date of incorporation</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308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262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9"/>
              </w:rPr>
              <w:t>ownership</w:t>
            </w:r>
          </w:p>
        </w:tc>
        <w:tc>
          <w:tcPr>
            <w:tcW w:w="1820" w:type="dxa"/>
            <w:vAlign w:val="bottom"/>
            <w:gridSpan w:val="2"/>
            <w:vMerge w:val="continue"/>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6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Digital Marketing Group</w:t>
            </w:r>
          </w:p>
        </w:tc>
        <w:tc>
          <w:tcPr>
            <w:tcW w:w="9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Subsidiary</w:t>
            </w:r>
          </w:p>
        </w:tc>
        <w:tc>
          <w:tcPr>
            <w:tcW w:w="460" w:type="dxa"/>
            <w:vAlign w:val="bottom"/>
            <w:vMerge w:val="continue"/>
            <w:shd w:val="clear" w:color="auto" w:fill="CCEEFF"/>
          </w:tcPr>
          <w:p>
            <w:pPr>
              <w:spacing w:after="0"/>
              <w:rPr>
                <w:sz w:val="13"/>
                <w:szCs w:val="13"/>
                <w:color w:val="auto"/>
              </w:rPr>
            </w:pPr>
          </w:p>
        </w:tc>
        <w:tc>
          <w:tcPr>
            <w:tcW w:w="700" w:type="dxa"/>
            <w:vAlign w:val="bottom"/>
            <w:shd w:val="clear" w:color="auto" w:fill="CCEEFF"/>
          </w:tcPr>
          <w:p>
            <w:pPr>
              <w:jc w:val="right"/>
              <w:ind w:right="225"/>
              <w:spacing w:after="0" w:line="161" w:lineRule="exact"/>
              <w:rPr>
                <w:sz w:val="20"/>
                <w:szCs w:val="20"/>
                <w:color w:val="auto"/>
              </w:rPr>
            </w:pPr>
            <w:r>
              <w:rPr>
                <w:rFonts w:ascii="Times New Roman" w:cs="Times New Roman" w:eastAsia="Times New Roman" w:hAnsi="Times New Roman"/>
                <w:sz w:val="17"/>
                <w:szCs w:val="17"/>
                <w:color w:val="auto"/>
                <w:w w:val="95"/>
              </w:rPr>
              <w:t>100%</w:t>
            </w:r>
          </w:p>
        </w:tc>
        <w:tc>
          <w:tcPr>
            <w:tcW w:w="460" w:type="dxa"/>
            <w:vAlign w:val="bottom"/>
            <w:vMerge w:val="continue"/>
            <w:shd w:val="clear" w:color="auto" w:fill="CCEEFF"/>
          </w:tcPr>
          <w:p>
            <w:pPr>
              <w:spacing w:after="0"/>
              <w:rPr>
                <w:sz w:val="13"/>
                <w:szCs w:val="13"/>
                <w:color w:val="auto"/>
              </w:rPr>
            </w:pPr>
          </w:p>
        </w:tc>
        <w:tc>
          <w:tcPr>
            <w:tcW w:w="13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October 2006</w:t>
            </w:r>
          </w:p>
        </w:tc>
        <w:tc>
          <w:tcPr>
            <w:tcW w:w="440" w:type="dxa"/>
            <w:vAlign w:val="bottom"/>
            <w:vMerge w:val="continue"/>
            <w:shd w:val="clear" w:color="auto" w:fill="CCEEFF"/>
          </w:tcPr>
          <w:p>
            <w:pPr>
              <w:spacing w:after="0"/>
              <w:rPr>
                <w:sz w:val="13"/>
                <w:szCs w:val="13"/>
                <w:color w:val="auto"/>
              </w:rPr>
            </w:pPr>
          </w:p>
        </w:tc>
        <w:tc>
          <w:tcPr>
            <w:tcW w:w="9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Hong Kong</w:t>
            </w:r>
          </w:p>
        </w:tc>
        <w:tc>
          <w:tcPr>
            <w:tcW w:w="440" w:type="dxa"/>
            <w:vAlign w:val="bottom"/>
            <w:vMerge w:val="continue"/>
            <w:shd w:val="clear" w:color="auto" w:fill="CCEEFF"/>
          </w:tcPr>
          <w:p>
            <w:pPr>
              <w:spacing w:after="0"/>
              <w:rPr>
                <w:sz w:val="13"/>
                <w:szCs w:val="13"/>
                <w:color w:val="auto"/>
              </w:rPr>
            </w:pPr>
          </w:p>
        </w:tc>
        <w:tc>
          <w:tcPr>
            <w:tcW w:w="3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Dormant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Limited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Tetris Media Limited</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July 2007</w:t>
            </w: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iClick Interactive Asia Limited</w:t>
            </w:r>
          </w:p>
        </w:tc>
        <w:tc>
          <w:tcPr>
            <w:tcW w:w="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shd w:val="clear" w:color="auto" w:fill="CCEEFF"/>
          </w:tcPr>
          <w:p>
            <w:pPr>
              <w:jc w:val="right"/>
              <w:ind w:right="225"/>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December 2008</w:t>
            </w:r>
          </w:p>
        </w:tc>
        <w:tc>
          <w:tcPr>
            <w:tcW w:w="13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Hong Kong</w:t>
            </w:r>
          </w:p>
        </w:tc>
        <w:tc>
          <w:tcPr>
            <w:tcW w:w="30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68"/>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Optimix Media Asia Limited</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tcPr>
          <w:p>
            <w:pPr>
              <w:spacing w:after="0"/>
              <w:rPr>
                <w:sz w:val="23"/>
                <w:szCs w:val="23"/>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March 2009</w:t>
            </w: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China Search (Asia) Limited</w:t>
            </w:r>
          </w:p>
        </w:tc>
        <w:tc>
          <w:tcPr>
            <w:tcW w:w="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shd w:val="clear" w:color="auto" w:fill="CCEEFF"/>
          </w:tcPr>
          <w:p>
            <w:pPr>
              <w:jc w:val="right"/>
              <w:ind w:right="225"/>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September 2010</w:t>
            </w:r>
          </w:p>
        </w:tc>
        <w:tc>
          <w:tcPr>
            <w:tcW w:w="13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Hong Kong</w:t>
            </w:r>
          </w:p>
        </w:tc>
        <w:tc>
          <w:tcPr>
            <w:tcW w:w="30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48"/>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Diablo Holdings Corporation</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2010</w:t>
            </w: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British</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Virgin</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Islands</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(“BVI”)</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Harmattan Capital Holdings</w:t>
            </w:r>
          </w:p>
        </w:tc>
        <w:tc>
          <w:tcPr>
            <w:tcW w:w="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shd w:val="clear" w:color="auto" w:fill="CCEEFF"/>
          </w:tcPr>
          <w:p>
            <w:pPr>
              <w:jc w:val="right"/>
              <w:ind w:right="225"/>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August 2010</w:t>
            </w:r>
          </w:p>
        </w:tc>
        <w:tc>
          <w:tcPr>
            <w:tcW w:w="13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BVI</w:t>
            </w:r>
          </w:p>
        </w:tc>
        <w:tc>
          <w:tcPr>
            <w:tcW w:w="30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Corporation</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iClick Interactive (Singapore)</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2011</w:t>
            </w: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Pte. Ltd.</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iClick Interactive (Beijing)</w:t>
            </w:r>
          </w:p>
        </w:tc>
        <w:tc>
          <w:tcPr>
            <w:tcW w:w="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shd w:val="clear" w:color="auto" w:fill="CCEEFF"/>
          </w:tcPr>
          <w:p>
            <w:pPr>
              <w:jc w:val="right"/>
              <w:ind w:right="225"/>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January 2011</w:t>
            </w:r>
          </w:p>
        </w:tc>
        <w:tc>
          <w:tcPr>
            <w:tcW w:w="13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30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Advertisement Co., Ltd.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Search Asia Technology</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2011</w:t>
            </w: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PRC</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(Shenzhen) Co., Ltd.</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i-Click Interactive Taiwan</w:t>
            </w:r>
          </w:p>
        </w:tc>
        <w:tc>
          <w:tcPr>
            <w:tcW w:w="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Subsidiary’s</w:t>
            </w:r>
          </w:p>
        </w:tc>
        <w:tc>
          <w:tcPr>
            <w:tcW w:w="1160" w:type="dxa"/>
            <w:vAlign w:val="bottom"/>
            <w:gridSpan w:val="2"/>
            <w:shd w:val="clear" w:color="auto" w:fill="CCEEFF"/>
          </w:tcPr>
          <w:p>
            <w:pPr>
              <w:jc w:val="right"/>
              <w:ind w:right="225"/>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46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September 2011</w:t>
            </w:r>
          </w:p>
        </w:tc>
        <w:tc>
          <w:tcPr>
            <w:tcW w:w="13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Taiwan</w:t>
            </w:r>
          </w:p>
        </w:tc>
        <w:tc>
          <w:tcPr>
            <w:tcW w:w="30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Limited Taiwan Branch</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branch</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48"/>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Performance Media Group</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Subsidiary</w:t>
            </w:r>
          </w:p>
        </w:tc>
        <w:tc>
          <w:tcPr>
            <w:tcW w:w="11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2013</w:t>
            </w: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Limited</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420"/>
          </w:cols>
          <w:pgMar w:left="240" w:top="456" w:right="23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30" w:lineRule="exact"/>
        <w:rPr>
          <w:rFonts w:ascii="Times New Roman" w:cs="Times New Roman" w:eastAsia="Times New Roman" w:hAnsi="Times New Roman"/>
          <w:sz w:val="18"/>
          <w:szCs w:val="18"/>
          <w:b w:val="1"/>
          <w:bCs w:val="1"/>
          <w:color w:val="auto"/>
        </w:rPr>
      </w:pPr>
    </w:p>
    <w:p>
      <w:pPr>
        <w:ind w:left="4140" w:hanging="157"/>
        <w:spacing w:after="0"/>
        <w:tabs>
          <w:tab w:leader="none" w:pos="4140"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direct</w:t>
      </w:r>
    </w:p>
    <w:tbl>
      <w:tblPr>
        <w:tblLayout w:type="fixed"/>
        <w:tblInd w:w="0" w:type="dxa"/>
        <w:tblCellMar>
          <w:top w:w="0" w:type="dxa"/>
          <w:left w:w="0" w:type="dxa"/>
          <w:bottom w:w="0" w:type="dxa"/>
          <w:right w:w="0" w:type="dxa"/>
        </w:tblCellMar>
      </w:tblPr>
      <w:tr>
        <w:trPr>
          <w:trHeight w:val="136"/>
        </w:trPr>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color w:val="auto"/>
              </w:rPr>
              <w:t>or indirect</w:t>
            </w:r>
          </w:p>
        </w:tc>
        <w:tc>
          <w:tcPr>
            <w:tcW w:w="1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2"/>
          </w:tcPr>
          <w:p>
            <w:pPr>
              <w:jc w:val="center"/>
              <w:ind w:right="460"/>
              <w:spacing w:after="0" w:line="136" w:lineRule="exact"/>
              <w:rPr>
                <w:sz w:val="20"/>
                <w:szCs w:val="20"/>
                <w:color w:val="auto"/>
              </w:rPr>
            </w:pPr>
            <w:r>
              <w:rPr>
                <w:rFonts w:ascii="Times New Roman" w:cs="Times New Roman" w:eastAsia="Times New Roman" w:hAnsi="Times New Roman"/>
                <w:sz w:val="14"/>
                <w:szCs w:val="14"/>
                <w:color w:val="auto"/>
              </w:rPr>
              <w:t>Place of</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Relationship</w:t>
            </w:r>
          </w:p>
        </w:tc>
        <w:tc>
          <w:tcPr>
            <w:tcW w:w="1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economic</w:t>
            </w:r>
          </w:p>
        </w:tc>
        <w:tc>
          <w:tcPr>
            <w:tcW w:w="1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Date of incorporation</w:t>
            </w: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29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ownership</w:t>
            </w:r>
          </w:p>
        </w:tc>
        <w:tc>
          <w:tcPr>
            <w:tcW w:w="1920" w:type="dxa"/>
            <w:vAlign w:val="bottom"/>
            <w:gridSpan w:val="2"/>
            <w:vMerge w:val="continue"/>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establishment</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 w:type="dxa"/>
            <w:vAlign w:val="bottom"/>
            <w:tcBorders>
              <w:top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80"/>
              </w:rPr>
              <w:t>Tetris</w:t>
            </w:r>
          </w:p>
        </w:tc>
        <w:tc>
          <w:tcPr>
            <w:tcW w:w="2280" w:type="dxa"/>
            <w:vAlign w:val="bottom"/>
            <w:tcBorders>
              <w:top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7"/>
                <w:szCs w:val="17"/>
                <w:color w:val="auto"/>
              </w:rPr>
              <w:t>Media (Shanghai) Co.,</w:t>
            </w:r>
          </w:p>
        </w:tc>
        <w:tc>
          <w:tcPr>
            <w:tcW w:w="860" w:type="dxa"/>
            <w:vAlign w:val="bottom"/>
            <w:tcBorders>
              <w:top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Subsidiary</w:t>
            </w:r>
          </w:p>
        </w:tc>
        <w:tc>
          <w:tcPr>
            <w:tcW w:w="4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278"/>
              <w:spacing w:after="0" w:line="16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July 2013</w:t>
            </w:r>
          </w:p>
        </w:tc>
        <w:tc>
          <w:tcPr>
            <w:tcW w:w="4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The PRC</w:t>
            </w:r>
          </w:p>
        </w:tc>
        <w:tc>
          <w:tcPr>
            <w:tcW w:w="440" w:type="dxa"/>
            <w:vAlign w:val="bottom"/>
            <w:tcBorders>
              <w:top w:val="single" w:sz="8" w:color="CCEEFF"/>
            </w:tcBorders>
            <w:shd w:val="clear" w:color="auto" w:fill="CCEEFF"/>
          </w:tcPr>
          <w:p>
            <w:pPr>
              <w:spacing w:after="0"/>
              <w:rPr>
                <w:sz w:val="13"/>
                <w:szCs w:val="13"/>
                <w:color w:val="auto"/>
              </w:rPr>
            </w:pPr>
          </w:p>
        </w:tc>
        <w:tc>
          <w:tcPr>
            <w:tcW w:w="2960" w:type="dxa"/>
            <w:vAlign w:val="bottom"/>
            <w:tcBorders>
              <w:top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51"/>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Ltd.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Buzzinate Company Limited</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76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March 2009</w:t>
            </w: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Technology development</w:t>
            </w: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Buzzinate (Shanghai)</w:t>
            </w:r>
          </w:p>
        </w:tc>
        <w:tc>
          <w:tcPr>
            <w:tcW w:w="13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760" w:type="dxa"/>
            <w:vAlign w:val="bottom"/>
            <w:shd w:val="clear" w:color="auto" w:fill="CCEEFF"/>
          </w:tcPr>
          <w:p>
            <w:pPr>
              <w:jc w:val="right"/>
              <w:ind w:right="27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July 2009</w:t>
            </w:r>
          </w:p>
        </w:tc>
        <w:tc>
          <w:tcPr>
            <w:tcW w:w="14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2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Technology development</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Information Technology</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0" w:type="dxa"/>
            <w:vAlign w:val="bottom"/>
          </w:tcPr>
          <w:p>
            <w:pPr>
              <w:spacing w:after="0"/>
              <w:rPr>
                <w:sz w:val="1"/>
                <w:szCs w:val="1"/>
                <w:color w:val="auto"/>
              </w:rPr>
            </w:pPr>
          </w:p>
        </w:tc>
      </w:tr>
      <w:tr>
        <w:trPr>
          <w:trHeight w:val="224"/>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OptAim Limited</w:t>
            </w:r>
          </w:p>
        </w:tc>
        <w:tc>
          <w:tcPr>
            <w:tcW w:w="13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760" w:type="dxa"/>
            <w:vAlign w:val="bottom"/>
          </w:tcPr>
          <w:p>
            <w:pPr>
              <w:jc w:val="right"/>
              <w:ind w:right="27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15"/>
                <w:szCs w:val="15"/>
                <w:color w:val="auto"/>
              </w:rPr>
            </w:pPr>
          </w:p>
        </w:tc>
        <w:tc>
          <w:tcPr>
            <w:tcW w:w="19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July 2014</w:t>
            </w:r>
          </w:p>
        </w:tc>
        <w:tc>
          <w:tcPr>
            <w:tcW w:w="14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Cayman</w:t>
            </w:r>
          </w:p>
        </w:tc>
        <w:tc>
          <w:tcPr>
            <w:tcW w:w="2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Islands</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OptAim (HK) Limited</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Subsidiary</w:t>
            </w:r>
          </w:p>
        </w:tc>
        <w:tc>
          <w:tcPr>
            <w:tcW w:w="7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2014</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181"/>
        </w:trPr>
        <w:tc>
          <w:tcPr>
            <w:tcW w:w="26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OptAim (Beijing) Information</w:t>
            </w:r>
          </w:p>
        </w:tc>
        <w:tc>
          <w:tcPr>
            <w:tcW w:w="13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760" w:type="dxa"/>
            <w:vAlign w:val="bottom"/>
          </w:tcPr>
          <w:p>
            <w:pPr>
              <w:jc w:val="right"/>
              <w:ind w:right="27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15"/>
                <w:szCs w:val="15"/>
                <w:color w:val="auto"/>
              </w:rPr>
            </w:pPr>
          </w:p>
        </w:tc>
        <w:tc>
          <w:tcPr>
            <w:tcW w:w="19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November 2014</w:t>
            </w:r>
          </w:p>
        </w:tc>
        <w:tc>
          <w:tcPr>
            <w:tcW w:w="14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2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22"/>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Technology Co., Ltd.</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Beijing OptAim Network</w:t>
            </w:r>
          </w:p>
        </w:tc>
        <w:tc>
          <w:tcPr>
            <w:tcW w:w="13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VIE</w:t>
            </w:r>
          </w:p>
        </w:tc>
        <w:tc>
          <w:tcPr>
            <w:tcW w:w="760" w:type="dxa"/>
            <w:vAlign w:val="bottom"/>
            <w:shd w:val="clear" w:color="auto" w:fill="CCEEFF"/>
          </w:tcPr>
          <w:p>
            <w:pPr>
              <w:jc w:val="right"/>
              <w:ind w:right="278"/>
              <w:spacing w:after="0" w:line="183"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September 2012</w:t>
            </w:r>
          </w:p>
        </w:tc>
        <w:tc>
          <w:tcPr>
            <w:tcW w:w="14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The PRC</w:t>
            </w:r>
          </w:p>
        </w:tc>
        <w:tc>
          <w:tcPr>
            <w:tcW w:w="29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24"/>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Technology 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Zhiyunzhong (Shanghai)</w:t>
            </w:r>
          </w:p>
        </w:tc>
        <w:tc>
          <w:tcPr>
            <w:tcW w:w="13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VIE’s</w:t>
            </w:r>
          </w:p>
        </w:tc>
        <w:tc>
          <w:tcPr>
            <w:tcW w:w="760" w:type="dxa"/>
            <w:vAlign w:val="bottom"/>
          </w:tcPr>
          <w:p>
            <w:pPr>
              <w:jc w:val="right"/>
              <w:ind w:right="27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15"/>
                <w:szCs w:val="15"/>
                <w:color w:val="auto"/>
              </w:rPr>
            </w:pPr>
          </w:p>
        </w:tc>
        <w:tc>
          <w:tcPr>
            <w:tcW w:w="19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September 2014</w:t>
            </w:r>
          </w:p>
        </w:tc>
        <w:tc>
          <w:tcPr>
            <w:tcW w:w="14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2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22"/>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Technology Co., Ltd.</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Arda Holdings Limited</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VIE</w:t>
            </w:r>
          </w:p>
        </w:tc>
        <w:tc>
          <w:tcPr>
            <w:tcW w:w="7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May 2010</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BVI</w:t>
            </w: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 hold treasury shares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60" w:hanging="452"/>
        <w:spacing w:after="0"/>
        <w:tabs>
          <w:tab w:leader="none" w:pos="46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7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OptAim VIE</w:t>
      </w:r>
    </w:p>
    <w:p>
      <w:pPr>
        <w:spacing w:after="0" w:line="11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relationships with Beijing OptAim and its shareholders are governed by the following contractual arrangements:</w:t>
      </w:r>
    </w:p>
    <w:p>
      <w:pPr>
        <w:spacing w:after="0" w:line="131" w:lineRule="exact"/>
        <w:rPr>
          <w:sz w:val="20"/>
          <w:szCs w:val="20"/>
          <w:color w:val="auto"/>
        </w:rPr>
      </w:pPr>
    </w:p>
    <w:p>
      <w:pPr>
        <w:ind w:left="900" w:hanging="446"/>
        <w:spacing w:after="0"/>
        <w:tabs>
          <w:tab w:leader="none" w:pos="9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Agreement</w:t>
      </w:r>
    </w:p>
    <w:p>
      <w:pPr>
        <w:spacing w:after="0" w:line="117"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18"/>
          <w:szCs w:val="18"/>
          <w:color w:val="auto"/>
        </w:rPr>
        <w:t>Under the cooperative agreement between OptAim WFOE, Beijing OptAim and Shanghai OptAim, OptAim WFOE has the exclusive right to provide to Beijing OptAim and Shanghai OptAim, among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420"/>
          </w:cols>
          <w:pgMar w:left="240" w:top="455" w:right="239" w:bottom="1440" w:gutter="0" w:footer="0" w:header="0"/>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Cooperative Agreement (Continued)</w:t>
      </w:r>
    </w:p>
    <w:p>
      <w:pPr>
        <w:spacing w:after="0" w:line="112"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18"/>
          <w:szCs w:val="18"/>
          <w:color w:val="auto"/>
        </w:rPr>
        <w:t>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89" w:lineRule="exact"/>
        <w:rPr>
          <w:sz w:val="20"/>
          <w:szCs w:val="20"/>
          <w:color w:val="auto"/>
        </w:rPr>
      </w:pPr>
    </w:p>
    <w:p>
      <w:pPr>
        <w:ind w:left="900" w:hanging="446"/>
        <w:spacing w:after="0"/>
        <w:tabs>
          <w:tab w:leader="none" w:pos="9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 Agreement</w:t>
      </w:r>
    </w:p>
    <w:p>
      <w:pPr>
        <w:spacing w:after="0" w:line="117"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18"/>
          <w:szCs w:val="18"/>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93" w:lineRule="exact"/>
        <w:rPr>
          <w:sz w:val="20"/>
          <w:szCs w:val="20"/>
          <w:color w:val="auto"/>
        </w:rPr>
      </w:pPr>
    </w:p>
    <w:p>
      <w:pPr>
        <w:ind w:left="900" w:hanging="446"/>
        <w:spacing w:after="0"/>
        <w:tabs>
          <w:tab w:leader="none" w:pos="9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86" w:lineRule="exact"/>
        <w:rPr>
          <w:sz w:val="20"/>
          <w:szCs w:val="20"/>
          <w:color w:val="auto"/>
        </w:rPr>
      </w:pPr>
    </w:p>
    <w:p>
      <w:pPr>
        <w:ind w:left="900" w:hanging="446"/>
        <w:spacing w:after="0"/>
        <w:tabs>
          <w:tab w:leader="none" w:pos="9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117" w:lineRule="exact"/>
        <w:rPr>
          <w:sz w:val="20"/>
          <w:szCs w:val="20"/>
          <w:color w:val="auto"/>
        </w:rPr>
      </w:pPr>
    </w:p>
    <w:p>
      <w:pPr>
        <w:ind w:left="920" w:right="40"/>
        <w:spacing w:after="0" w:line="255" w:lineRule="auto"/>
        <w:rPr>
          <w:sz w:val="20"/>
          <w:szCs w:val="20"/>
          <w:color w:val="auto"/>
        </w:rPr>
      </w:pPr>
      <w:r>
        <w:rPr>
          <w:rFonts w:ascii="Times New Roman" w:cs="Times New Roman" w:eastAsia="Times New Roman" w:hAnsi="Times New Roman"/>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920" w:right="60"/>
        <w:spacing w:after="0" w:line="282" w:lineRule="auto"/>
        <w:rPr>
          <w:sz w:val="20"/>
          <w:szCs w:val="20"/>
          <w:color w:val="auto"/>
        </w:rPr>
      </w:pPr>
      <w:r>
        <w:rPr>
          <w:rFonts w:ascii="Times New Roman" w:cs="Times New Roman" w:eastAsia="Times New Roman" w:hAnsi="Times New Roman"/>
          <w:sz w:val="18"/>
          <w:szCs w:val="18"/>
          <w:color w:val="auto"/>
        </w:rPr>
        <w:t>The shareholders of Beijing OptAim are in the process of registering the equity pledge with the relevant office of the Administration for Industry and Commerce in accordance with the PRC Property Rights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420"/>
          </w:cols>
          <w:pgMar w:left="240" w:top="455" w:right="239" w:bottom="1440" w:gutter="0" w:footer="0" w:header="0"/>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Pledge Agreement (Continued)</w:t>
      </w:r>
    </w:p>
    <w:p>
      <w:pPr>
        <w:spacing w:after="0" w:line="131" w:lineRule="exact"/>
        <w:rPr>
          <w:sz w:val="20"/>
          <w:szCs w:val="20"/>
          <w:color w:val="auto"/>
        </w:rPr>
      </w:pPr>
    </w:p>
    <w:p>
      <w:pPr>
        <w:ind w:left="920" w:right="480"/>
        <w:spacing w:after="0" w:line="282" w:lineRule="auto"/>
        <w:rPr>
          <w:sz w:val="20"/>
          <w:szCs w:val="20"/>
          <w:color w:val="auto"/>
        </w:rPr>
      </w:pPr>
      <w:r>
        <w:rPr>
          <w:rFonts w:ascii="Times New Roman" w:cs="Times New Roman" w:eastAsia="Times New Roman" w:hAnsi="Times New Roman"/>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67" w:lineRule="exact"/>
        <w:rPr>
          <w:sz w:val="20"/>
          <w:szCs w:val="20"/>
          <w:color w:val="auto"/>
        </w:rPr>
      </w:pPr>
    </w:p>
    <w:p>
      <w:pPr>
        <w:ind w:left="1460" w:right="40" w:hanging="547"/>
        <w:spacing w:after="0" w:line="282" w:lineRule="auto"/>
        <w:tabs>
          <w:tab w:leader="none" w:pos="1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VIE whereby having the power to direct OptAim VIE’s activities that most significantly drive the economic results of OptAim VIE;</w:t>
      </w:r>
    </w:p>
    <w:p>
      <w:pPr>
        <w:spacing w:after="0" w:line="67" w:lineRule="exact"/>
        <w:rPr>
          <w:rFonts w:ascii="Times New Roman" w:cs="Times New Roman" w:eastAsia="Times New Roman" w:hAnsi="Times New Roman"/>
          <w:sz w:val="18"/>
          <w:szCs w:val="18"/>
          <w:color w:val="auto"/>
        </w:rPr>
      </w:pPr>
    </w:p>
    <w:p>
      <w:pPr>
        <w:ind w:left="1460" w:right="120" w:hanging="547"/>
        <w:spacing w:after="0" w:line="282" w:lineRule="auto"/>
        <w:tabs>
          <w:tab w:leader="none" w:pos="1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the OptAim VIE as if it was their sole shareholder;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OptAim VIE.</w:t>
      </w:r>
    </w:p>
    <w:p>
      <w:pPr>
        <w:spacing w:after="0" w:line="117" w:lineRule="exact"/>
        <w:rPr>
          <w:sz w:val="20"/>
          <w:szCs w:val="20"/>
          <w:color w:val="auto"/>
        </w:rPr>
      </w:pPr>
    </w:p>
    <w:p>
      <w:pPr>
        <w:ind w:left="920" w:right="460"/>
        <w:spacing w:after="0" w:line="266" w:lineRule="auto"/>
        <w:rPr>
          <w:sz w:val="20"/>
          <w:szCs w:val="20"/>
          <w:color w:val="auto"/>
        </w:rPr>
      </w:pPr>
      <w:r>
        <w:rPr>
          <w:rFonts w:ascii="Times New Roman" w:cs="Times New Roman" w:eastAsia="Times New Roman" w:hAnsi="Times New Roman"/>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unaudited interim condensed consolidated financial statements.</w:t>
      </w:r>
    </w:p>
    <w:p>
      <w:pPr>
        <w:spacing w:after="0" w:line="68" w:lineRule="exact"/>
        <w:rPr>
          <w:sz w:val="20"/>
          <w:szCs w:val="20"/>
          <w:color w:val="auto"/>
        </w:rPr>
      </w:pPr>
    </w:p>
    <w:p>
      <w:pPr>
        <w:ind w:left="920" w:right="160"/>
        <w:spacing w:after="0" w:line="261" w:lineRule="auto"/>
        <w:rPr>
          <w:sz w:val="20"/>
          <w:szCs w:val="20"/>
          <w:color w:val="auto"/>
        </w:rPr>
      </w:pPr>
      <w:r>
        <w:rPr>
          <w:rFonts w:ascii="Times New Roman" w:cs="Times New Roman" w:eastAsia="Times New Roman" w:hAnsi="Times New Roman"/>
          <w:sz w:val="18"/>
          <w:szCs w:val="18"/>
          <w:color w:val="auto"/>
        </w:rPr>
        <w:t>As of December 31, 2016 and September 30, 2017, the total assets of OptAim VIE and its subsidiary were US$27,135 and US$6,149, respectively, mainly comprising cash and cash equivalents, accounts receivable, prepayments and other current assets, property and equipment. As of December 31, 2016 and September 30, 2017, the total liabilities of the OptAim VIE and its subsidiary were US$12,310 and US$8,953 respectively, mainly comprising deferred revenue, accrued liabilities and other current liabilities.</w:t>
      </w:r>
    </w:p>
    <w:p>
      <w:pPr>
        <w:spacing w:after="0" w:line="72" w:lineRule="exact"/>
        <w:rPr>
          <w:sz w:val="20"/>
          <w:szCs w:val="20"/>
          <w:color w:val="auto"/>
        </w:rPr>
      </w:pPr>
    </w:p>
    <w:p>
      <w:pPr>
        <w:ind w:left="920" w:right="20"/>
        <w:spacing w:after="0" w:line="256" w:lineRule="auto"/>
        <w:rPr>
          <w:sz w:val="20"/>
          <w:szCs w:val="20"/>
          <w:color w:val="auto"/>
        </w:rPr>
      </w:pPr>
      <w:r>
        <w:rPr>
          <w:rFonts w:ascii="Times New Roman" w:cs="Times New Roman" w:eastAsia="Times New Roman" w:hAnsi="Times New Roman"/>
          <w:sz w:val="18"/>
          <w:szCs w:val="18"/>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respectively, as of December 31, 2016 and September 30,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80" w:lineRule="exact"/>
        <w:rPr>
          <w:sz w:val="20"/>
          <w:szCs w:val="20"/>
          <w:color w:val="auto"/>
        </w:rPr>
      </w:pPr>
    </w:p>
    <w:p>
      <w:pPr>
        <w:ind w:left="920" w:right="380"/>
        <w:spacing w:after="0" w:line="282" w:lineRule="auto"/>
        <w:rPr>
          <w:sz w:val="20"/>
          <w:szCs w:val="20"/>
          <w:color w:val="auto"/>
        </w:rPr>
      </w:pPr>
      <w:r>
        <w:rPr>
          <w:rFonts w:ascii="Times New Roman" w:cs="Times New Roman" w:eastAsia="Times New Roman" w:hAnsi="Times New Roman"/>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VIE where the Company has variable interest but is not the primary beneficiary.</w:t>
      </w:r>
    </w:p>
    <w:p>
      <w:pPr>
        <w:spacing w:after="0" w:line="117" w:lineRule="exact"/>
        <w:rPr>
          <w:sz w:val="20"/>
          <w:szCs w:val="20"/>
          <w:color w:val="auto"/>
        </w:rPr>
      </w:pPr>
    </w:p>
    <w:p>
      <w:pPr>
        <w:ind w:left="460" w:right="340"/>
        <w:spacing w:after="0" w:line="261" w:lineRule="auto"/>
        <w:rPr>
          <w:sz w:val="20"/>
          <w:szCs w:val="20"/>
          <w:color w:val="auto"/>
        </w:rPr>
      </w:pPr>
      <w:r>
        <w:rPr>
          <w:rFonts w:ascii="Times New Roman" w:cs="Times New Roman" w:eastAsia="Times New Roman" w:hAnsi="Times New Roman"/>
          <w:sz w:val="18"/>
          <w:szCs w:val="18"/>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Company’s ability to control the OptAim VIE also depends on the power of attorney and the effect of the share pledge under the Pledge Agreement and OptAim WFOE has to vote on all matters requiring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400"/>
          </w:cols>
          <w:pgMar w:left="240" w:top="456" w:right="259" w:bottom="1440" w:gutter="0" w:footer="0" w:header="0"/>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Pledge Agreement (Continued)</w:t>
      </w:r>
    </w:p>
    <w:p>
      <w:pPr>
        <w:spacing w:after="0" w:line="131" w:lineRule="exact"/>
        <w:rPr>
          <w:sz w:val="20"/>
          <w:szCs w:val="20"/>
          <w:color w:val="auto"/>
        </w:rPr>
      </w:pPr>
    </w:p>
    <w:p>
      <w:pPr>
        <w:ind w:left="460" w:right="180"/>
        <w:spacing w:after="0" w:line="282" w:lineRule="auto"/>
        <w:rPr>
          <w:sz w:val="20"/>
          <w:szCs w:val="20"/>
          <w:color w:val="auto"/>
        </w:rPr>
      </w:pPr>
      <w:r>
        <w:rPr>
          <w:rFonts w:ascii="Times New Roman" w:cs="Times New Roman" w:eastAsia="Times New Roman" w:hAnsi="Times New Roman"/>
          <w:sz w:val="18"/>
          <w:szCs w:val="18"/>
          <w:color w:val="auto"/>
        </w:rPr>
        <w:t>shareholder approval in OptAim VIE. As noted above, the Company believes this power of attorney is legally enforceable but may not be as effective as direct equity ownership.</w:t>
      </w:r>
    </w:p>
    <w:p>
      <w:pPr>
        <w:spacing w:after="0" w:line="306" w:lineRule="exact"/>
        <w:rPr>
          <w:sz w:val="20"/>
          <w:szCs w:val="20"/>
          <w:color w:val="auto"/>
        </w:rPr>
      </w:pPr>
    </w:p>
    <w:p>
      <w:pPr>
        <w:ind w:left="460" w:hanging="452"/>
        <w:spacing w:after="0"/>
        <w:tabs>
          <w:tab w:leader="none" w:pos="4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use of estimates</w:t>
      </w:r>
    </w:p>
    <w:p>
      <w:pPr>
        <w:spacing w:after="0" w:line="121" w:lineRule="exact"/>
        <w:rPr>
          <w:rFonts w:ascii="Times New Roman" w:cs="Times New Roman" w:eastAsia="Times New Roman" w:hAnsi="Times New Roman"/>
          <w:sz w:val="18"/>
          <w:szCs w:val="18"/>
          <w:b w:val="1"/>
          <w:bCs w:val="1"/>
          <w:color w:val="auto"/>
        </w:rPr>
      </w:pPr>
    </w:p>
    <w:p>
      <w:pPr>
        <w:ind w:left="460" w:righ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the US GAAP. Significant accounting policies followed by the Company in the preparation of the accompanying unaudited interim condensed consolidated financial statements are summarized below.</w:t>
      </w:r>
    </w:p>
    <w:p>
      <w:pPr>
        <w:spacing w:after="0" w:line="68"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Group’s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71" w:lineRule="exact"/>
        <w:rPr>
          <w:rFonts w:ascii="Times New Roman" w:cs="Times New Roman" w:eastAsia="Times New Roman" w:hAnsi="Times New Roman"/>
          <w:sz w:val="18"/>
          <w:szCs w:val="18"/>
          <w:b w:val="1"/>
          <w:bCs w:val="1"/>
          <w:color w:val="auto"/>
        </w:rPr>
      </w:pPr>
    </w:p>
    <w:p>
      <w:pPr>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unaudited interim condensed consolidated financial statements.</w:t>
      </w:r>
    </w:p>
    <w:p>
      <w:pPr>
        <w:spacing w:after="0" w:line="68" w:lineRule="exact"/>
        <w:rPr>
          <w:rFonts w:ascii="Times New Roman" w:cs="Times New Roman" w:eastAsia="Times New Roman" w:hAnsi="Times New Roman"/>
          <w:sz w:val="18"/>
          <w:szCs w:val="18"/>
          <w:b w:val="1"/>
          <w:bCs w:val="1"/>
          <w:color w:val="auto"/>
        </w:rPr>
      </w:pPr>
    </w:p>
    <w:p>
      <w:pPr>
        <w:jc w:val="both"/>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rFonts w:ascii="Times New Roman" w:cs="Times New Roman" w:eastAsia="Times New Roman" w:hAnsi="Times New Roman"/>
          <w:sz w:val="18"/>
          <w:szCs w:val="18"/>
          <w:b w:val="1"/>
          <w:bCs w:val="1"/>
          <w:color w:val="auto"/>
        </w:rPr>
      </w:pPr>
    </w:p>
    <w:p>
      <w:pPr>
        <w:ind w:left="46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1"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420"/>
          </w:cols>
          <w:pgMar w:left="240" w:top="455" w:right="23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jc w:val="both"/>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68"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condensed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condensed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Times New Roman" w:cs="Times New Roman" w:eastAsia="Times New Roman" w:hAnsi="Times New Roman"/>
          <w:sz w:val="18"/>
          <w:szCs w:val="18"/>
          <w:b w:val="1"/>
          <w:bCs w:val="1"/>
          <w:color w:val="auto"/>
        </w:rPr>
      </w:pPr>
    </w:p>
    <w:p>
      <w:pPr>
        <w:ind w:left="4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adopted ASU 2015-02 on January 1, 2017, and the adoption did not have a material impact on the condensed consolidated financial statements and the related disclosures.</w:t>
      </w:r>
    </w:p>
    <w:p>
      <w:pPr>
        <w:spacing w:after="0" w:line="71" w:lineRule="exact"/>
        <w:rPr>
          <w:rFonts w:ascii="Times New Roman" w:cs="Times New Roman" w:eastAsia="Times New Roman" w:hAnsi="Times New Roman"/>
          <w:sz w:val="18"/>
          <w:szCs w:val="18"/>
          <w:b w:val="1"/>
          <w:bCs w:val="1"/>
          <w:color w:val="auto"/>
        </w:rPr>
      </w:pPr>
    </w:p>
    <w:p>
      <w:pPr>
        <w:ind w:left="460"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adopted ASU 2015-17 on January 1, 2017, and the impact of the adoption did not have a material impact on the condensed consolidated financial statements and related disclosures.</w:t>
      </w:r>
    </w:p>
    <w:p>
      <w:pPr>
        <w:spacing w:after="0" w:line="75"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condensed consolidated financial statements.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420"/>
          </w:cols>
          <w:pgMar w:left="240" w:top="455" w:right="23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condensed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condensed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right="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w:t>
      </w:r>
    </w:p>
    <w:p>
      <w:pPr>
        <w:spacing w:after="0" w:line="2"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2017-01 to have a material impact to the Company’s condensed consolidated financial statements, but will evaluate the impact of adopting this standard prospectively upon any transactions of acquisitions or disposals of assets of businesses.</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spacing w:after="0" w:line="1" w:lineRule="exact"/>
        <w:rPr>
          <w:rFonts w:ascii="Times New Roman" w:cs="Times New Roman" w:eastAsia="Times New Roman" w:hAnsi="Times New Roman"/>
          <w:sz w:val="18"/>
          <w:szCs w:val="18"/>
          <w:b w:val="1"/>
          <w:bCs w:val="1"/>
          <w:color w:val="auto"/>
        </w:rPr>
      </w:pPr>
    </w:p>
    <w:p>
      <w:pPr>
        <w:ind w:left="460"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Company adopted ASU 2016-09 on January 1, 2017 and the adoption did not have a material impact on the condensed consolidated financial statements and the related disclosures.</w:t>
      </w:r>
    </w:p>
    <w:p>
      <w:pPr>
        <w:spacing w:after="0" w:line="78" w:lineRule="exact"/>
        <w:rPr>
          <w:sz w:val="20"/>
          <w:szCs w:val="20"/>
          <w:color w:val="auto"/>
        </w:rPr>
      </w:pPr>
    </w:p>
    <w:p>
      <w:pPr>
        <w:ind w:left="460" w:right="220"/>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condensed consolidated financial statements.</w:t>
      </w:r>
    </w:p>
    <w:p>
      <w:pPr>
        <w:spacing w:after="0" w:line="72" w:lineRule="exact"/>
        <w:rPr>
          <w:sz w:val="20"/>
          <w:szCs w:val="20"/>
          <w:color w:val="auto"/>
        </w:rPr>
      </w:pPr>
    </w:p>
    <w:p>
      <w:pPr>
        <w:ind w:left="460" w:right="100"/>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400"/>
          </w:cols>
          <w:pgMar w:left="240" w:top="455" w:right="259" w:bottom="1440" w:gutter="0" w:footer="0" w:header="0"/>
        </w:sectPr>
      </w:pPr>
    </w:p>
    <w:bookmarkStart w:id="310" w:name="page311"/>
    <w:bookmarkEnd w:id="3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condensed consolidated financial statements.</w:t>
      </w:r>
    </w:p>
    <w:p>
      <w:pPr>
        <w:spacing w:after="0" w:line="321" w:lineRule="exact"/>
        <w:rPr>
          <w:sz w:val="20"/>
          <w:szCs w:val="20"/>
          <w:color w:val="auto"/>
        </w:rPr>
      </w:pPr>
    </w:p>
    <w:p>
      <w:pPr>
        <w:ind w:left="460" w:hanging="452"/>
        <w:spacing w:after="0"/>
        <w:tabs>
          <w:tab w:leader="none" w:pos="46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the Company’s PRC subsidiaries and the OptAim VIE;</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420"/>
          </w:cols>
          <w:pgMar w:left="240" w:top="455" w:right="23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jc w:val="both"/>
        <w:ind w:left="900" w:right="20" w:hanging="446"/>
        <w:spacing w:after="0" w:line="266" w:lineRule="auto"/>
        <w:tabs>
          <w:tab w:leader="none" w:pos="90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85"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78"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420"/>
          </w:cols>
          <w:pgMar w:left="240" w:top="456" w:right="23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considers the possibility of such a finding by PRC regulatory authorities under the Draft VIE law, if it becomes effective, to be remote.</w:t>
      </w:r>
    </w:p>
    <w:p>
      <w:pPr>
        <w:spacing w:after="0" w:line="117"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75" w:lineRule="exact"/>
        <w:rPr>
          <w:rFonts w:ascii="Times New Roman" w:cs="Times New Roman" w:eastAsia="Times New Roman" w:hAnsi="Times New Roman"/>
          <w:sz w:val="18"/>
          <w:szCs w:val="18"/>
          <w:b w:val="1"/>
          <w:bCs w:val="1"/>
          <w:color w:val="auto"/>
        </w:rPr>
      </w:pPr>
    </w:p>
    <w:p>
      <w:pPr>
        <w:ind w:left="460" w:right="1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unaudited interim condensed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56" w:lineRule="exact"/>
        <w:rPr>
          <w:rFonts w:ascii="Times New Roman" w:cs="Times New Roman" w:eastAsia="Times New Roman" w:hAnsi="Times New Roman"/>
          <w:sz w:val="18"/>
          <w:szCs w:val="18"/>
          <w:b w:val="1"/>
          <w:bCs w:val="1"/>
          <w:color w:val="auto"/>
        </w:rPr>
      </w:pPr>
    </w:p>
    <w:p>
      <w:pPr>
        <w:jc w:val="both"/>
        <w:ind w:left="460" w:right="30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financial information of the OptAim VIE and its subsidiary excluding the intercompany items with the Company’s subsidiaries was included in the accompanying financial statements as of December 31, 2016 and September 30, 2017 and for the nine months ended September 30,</w:t>
      </w: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2016 and 2017:</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76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31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17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3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8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1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8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3180" w:type="dxa"/>
            <w:vAlign w:val="bottom"/>
            <w:gridSpan w:val="2"/>
          </w:tcPr>
          <w:p>
            <w:pPr>
              <w:jc w:val="right"/>
              <w:ind w:right="2330"/>
              <w:spacing w:after="0"/>
              <w:rPr>
                <w:sz w:val="20"/>
                <w:szCs w:val="20"/>
                <w:color w:val="auto"/>
              </w:rPr>
            </w:pPr>
            <w:r>
              <w:rPr>
                <w:rFonts w:ascii="Times New Roman" w:cs="Times New Roman" w:eastAsia="Times New Roman" w:hAnsi="Times New Roman"/>
                <w:sz w:val="18"/>
                <w:szCs w:val="18"/>
                <w:color w:val="auto"/>
              </w:rPr>
              <w:t>F-87</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Certain risks and concentration (Continued)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PRC regulations (Continued)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5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33,686</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(loss)/profit</w:t>
            </w:r>
          </w:p>
        </w:tc>
        <w:tc>
          <w:tcPr>
            <w:tcW w:w="25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(1,252)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ind w:left="34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Borders>
              <w:top w:val="single" w:sz="8" w:color="auto"/>
            </w:tcBorders>
            <w:gridSpan w:val="3"/>
          </w:tcPr>
          <w:p>
            <w:pPr>
              <w:jc w:val="right"/>
              <w:ind w:right="660"/>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2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060" w:type="dxa"/>
            <w:vAlign w:val="bottom"/>
            <w:vMerge w:val="restart"/>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vMerge w:val="restart"/>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shareholders’ deficit.</w:t>
      </w:r>
    </w:p>
    <w:p>
      <w:pPr>
        <w:spacing w:after="0" w:line="72"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68" w:lineRule="exact"/>
        <w:rPr>
          <w:sz w:val="20"/>
          <w:szCs w:val="20"/>
          <w:color w:val="auto"/>
        </w:rPr>
      </w:pPr>
    </w:p>
    <w:p>
      <w:pPr>
        <w:ind w:left="460" w:right="120"/>
        <w:spacing w:after="0" w:line="255" w:lineRule="auto"/>
        <w:rPr>
          <w:sz w:val="20"/>
          <w:szCs w:val="20"/>
          <w:color w:val="auto"/>
        </w:rPr>
      </w:pPr>
      <w:r>
        <w:rPr>
          <w:rFonts w:ascii="Times New Roman" w:cs="Times New Roman" w:eastAsia="Times New Roman" w:hAnsi="Times New Roman"/>
          <w:sz w:val="18"/>
          <w:szCs w:val="18"/>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81" w:lineRule="exact"/>
        <w:rPr>
          <w:sz w:val="20"/>
          <w:szCs w:val="20"/>
          <w:color w:val="auto"/>
        </w:rPr>
      </w:pPr>
    </w:p>
    <w:p>
      <w:pPr>
        <w:ind w:left="460" w:right="240"/>
        <w:spacing w:after="0" w:line="266" w:lineRule="auto"/>
        <w:rPr>
          <w:sz w:val="20"/>
          <w:szCs w:val="20"/>
          <w:color w:val="auto"/>
        </w:rPr>
      </w:pPr>
      <w:r>
        <w:rPr>
          <w:rFonts w:ascii="Times New Roman" w:cs="Times New Roman" w:eastAsia="Times New Roman" w:hAnsi="Times New Roman"/>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1" w:lineRule="exact"/>
        <w:rPr>
          <w:sz w:val="20"/>
          <w:szCs w:val="20"/>
          <w:color w:val="auto"/>
        </w:rPr>
      </w:pPr>
    </w:p>
    <w:p>
      <w:pPr>
        <w:ind w:left="460" w:hanging="452"/>
        <w:spacing w:after="0"/>
        <w:tabs>
          <w:tab w:leader="none" w:pos="4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380"/>
          </w:cols>
          <w:pgMar w:left="240" w:top="455" w:right="27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134"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117" w:lineRule="exact"/>
        <w:rPr>
          <w:rFonts w:ascii="Times New Roman" w:cs="Times New Roman" w:eastAsia="Times New Roman" w:hAnsi="Times New Roman"/>
          <w:sz w:val="18"/>
          <w:szCs w:val="18"/>
          <w:b w:val="1"/>
          <w:bCs w:val="1"/>
          <w:color w:val="auto"/>
        </w:rPr>
      </w:pPr>
    </w:p>
    <w:p>
      <w:pPr>
        <w:ind w:left="4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53"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estimated fair values of the Company’s financial assets and liabilities classified under the appropriate level of the fair value hierarchy as described above was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2"/>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Quoted prices</w:t>
            </w:r>
          </w:p>
        </w:tc>
        <w:tc>
          <w:tcPr>
            <w:tcW w:w="13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180" w:type="dxa"/>
            <w:vAlign w:val="bottom"/>
            <w:gridSpan w:val="2"/>
            <w:vMerge w:val="restart"/>
          </w:tcPr>
          <w:p>
            <w:pPr>
              <w:jc w:val="center"/>
              <w:ind w:left="216"/>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active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for</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180" w:type="dxa"/>
            <w:vAlign w:val="bottom"/>
            <w:gridSpan w:val="2"/>
          </w:tcPr>
          <w:p>
            <w:pPr>
              <w:jc w:val="center"/>
              <w:ind w:left="216"/>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w w:val="99"/>
              </w:rPr>
              <w:t>Total fair value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180" w:type="dxa"/>
            <w:vAlign w:val="bottom"/>
            <w:gridSpan w:val="2"/>
          </w:tcPr>
          <w:p>
            <w:pPr>
              <w:jc w:val="center"/>
              <w:ind w:left="216"/>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18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27,280</w:t>
            </w:r>
          </w:p>
        </w:tc>
        <w:tc>
          <w:tcPr>
            <w:tcW w:w="15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27,280</w:t>
            </w: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5,234</w:t>
            </w:r>
          </w:p>
        </w:tc>
        <w:tc>
          <w:tcPr>
            <w:tcW w:w="15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5,234</w:t>
            </w:r>
          </w:p>
        </w:tc>
        <w:tc>
          <w:tcPr>
            <w:tcW w:w="13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12,982</w:t>
            </w:r>
          </w:p>
        </w:tc>
        <w:tc>
          <w:tcPr>
            <w:tcW w:w="15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12,982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60,525</w:t>
            </w:r>
          </w:p>
        </w:tc>
        <w:tc>
          <w:tcPr>
            <w:tcW w:w="15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September 30, 2017</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21,873</w:t>
            </w:r>
          </w:p>
        </w:tc>
        <w:tc>
          <w:tcPr>
            <w:tcW w:w="15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21,873</w:t>
            </w:r>
          </w:p>
        </w:tc>
        <w:tc>
          <w:tcPr>
            <w:tcW w:w="13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2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7,845</w:t>
            </w:r>
          </w:p>
        </w:tc>
        <w:tc>
          <w:tcPr>
            <w:tcW w:w="15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7,845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67,655</w:t>
            </w:r>
          </w:p>
        </w:tc>
        <w:tc>
          <w:tcPr>
            <w:tcW w:w="15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67,655</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460" w:hanging="452"/>
        <w:spacing w:after="0"/>
        <w:tabs>
          <w:tab w:leader="none" w:pos="46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revenues</w:t>
      </w:r>
    </w:p>
    <w:p>
      <w:pPr>
        <w:spacing w:after="0" w:line="121" w:lineRule="exact"/>
        <w:rPr>
          <w:sz w:val="20"/>
          <w:szCs w:val="20"/>
          <w:color w:val="auto"/>
        </w:rPr>
      </w:pPr>
    </w:p>
    <w:p>
      <w:pPr>
        <w:ind w:left="920" w:right="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2017, an individual customer accounted for 11% of the net revenues. For the nine months ended September 30, 2016 two individual customers accounted for 15% and 12% of the net revenues,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320"/>
          </w:cols>
          <w:pgMar w:left="240" w:top="455" w:right="339" w:bottom="1440" w:gutter="0" w:footer="0" w:header="0"/>
        </w:sectPr>
      </w:pPr>
    </w:p>
    <w:bookmarkStart w:id="315" w:name="page316"/>
    <w:bookmarkEnd w:id="3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 (Continued)</w:t>
      </w:r>
    </w:p>
    <w:p>
      <w:pPr>
        <w:spacing w:after="0" w:line="131" w:lineRule="exact"/>
        <w:rPr>
          <w:sz w:val="20"/>
          <w:szCs w:val="20"/>
          <w:color w:val="auto"/>
        </w:rPr>
      </w:pPr>
    </w:p>
    <w:p>
      <w:pPr>
        <w:ind w:left="900" w:hanging="446"/>
        <w:spacing w:after="0"/>
        <w:tabs>
          <w:tab w:leader="none" w:pos="90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w:t>
      </w:r>
    </w:p>
    <w:p>
      <w:pPr>
        <w:spacing w:after="0" w:line="121"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2" w:lineRule="exact"/>
        <w:rPr>
          <w:sz w:val="20"/>
          <w:szCs w:val="20"/>
          <w:color w:val="auto"/>
        </w:rPr>
      </w:pPr>
    </w:p>
    <w:p>
      <w:pPr>
        <w:jc w:val="both"/>
        <w:ind w:left="920" w:right="40"/>
        <w:spacing w:after="0" w:line="266" w:lineRule="auto"/>
        <w:rPr>
          <w:sz w:val="20"/>
          <w:szCs w:val="20"/>
          <w:color w:val="auto"/>
        </w:rPr>
      </w:pPr>
      <w:r>
        <w:rPr>
          <w:rFonts w:ascii="Times New Roman" w:cs="Times New Roman" w:eastAsia="Times New Roman" w:hAnsi="Times New Roman"/>
          <w:sz w:val="18"/>
          <w:szCs w:val="18"/>
          <w:color w:val="auto"/>
        </w:rPr>
        <w:t>No individual customer accounted for more than 10% of the consolidated accounts receivable as of December 31, 2016 and September 30, 2017. The top 10 accounts receivable accounted for 38% and 37% of the consolidated accounts receivable as of December 31, 2016 and September 30, 2017, respectively.</w:t>
      </w:r>
    </w:p>
    <w:p>
      <w:pPr>
        <w:spacing w:after="0" w:line="321"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21"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18"/>
          <w:szCs w:val="18"/>
          <w:color w:val="auto"/>
        </w:rPr>
        <w:t>As of December 31, 2016 and September 30,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nine months ended September 30, 2016 and 2017 and believes that its credit risk to be minimal.</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400"/>
          </w:cols>
          <w:pgMar w:left="240" w:top="455" w:right="259" w:bottom="1440" w:gutter="0" w:footer="0" w:header="0"/>
        </w:sectPr>
      </w:pPr>
    </w:p>
    <w:bookmarkStart w:id="316" w:name="page317"/>
    <w:bookmarkEnd w:id="3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ind w:left="460" w:hanging="452"/>
        <w:spacing w:after="0"/>
        <w:tabs>
          <w:tab w:leader="none" w:pos="46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jc w:val="both"/>
        <w:ind w:left="4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2016 and September 30, 2017 primarily consist of the following currencies: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December 31, 2016</w:t>
            </w:r>
          </w:p>
        </w:tc>
        <w:tc>
          <w:tcPr>
            <w:tcW w:w="460" w:type="dxa"/>
            <w:vAlign w:val="bottom"/>
          </w:tcPr>
          <w:p>
            <w:pPr>
              <w:spacing w:after="0"/>
              <w:rPr>
                <w:sz w:val="14"/>
                <w:szCs w:val="14"/>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September 30, 2017</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104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color w:val="auto"/>
              </w:rPr>
              <w:t>Amount</w:t>
            </w: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US$’000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Borders>
              <w:top w:val="single" w:sz="8" w:color="auto"/>
            </w:tcBorders>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Amount</w:t>
            </w: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equivalent</w:t>
            </w:r>
          </w:p>
        </w:tc>
        <w:tc>
          <w:tcPr>
            <w:tcW w:w="4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67,697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9,771</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39,829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HK$</w:t>
            </w: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15,666</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2,019</w:t>
            </w:r>
          </w:p>
        </w:tc>
        <w:tc>
          <w:tcPr>
            <w:tcW w:w="14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49,744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15,064</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15,064</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8,719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SGD</w:t>
            </w: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235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4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407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TWD</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2,855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6,137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Euro (“EUR”)</w:t>
            </w: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4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106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292</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restricted cash amounting to US$5,234 as of December 31, 2016 represented balance held in a restricted bank account pursuant to certain short term loan agreements (see Note 13 for details). The restricted cash is held in US$ and carries fixed interest at the rate of 0.55% and 0.05% per annum as of December 31, 2016. There was no restricted cash as of September 30.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December 31,</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500" w:type="dxa"/>
            <w:vAlign w:val="bottom"/>
          </w:tcPr>
          <w:p>
            <w:pPr>
              <w:spacing w:after="0"/>
              <w:rPr>
                <w:sz w:val="19"/>
                <w:szCs w:val="19"/>
                <w:color w:val="auto"/>
              </w:rPr>
            </w:pPr>
          </w:p>
        </w:tc>
        <w:tc>
          <w:tcPr>
            <w:tcW w:w="98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(1,693)</w:t>
            </w:r>
          </w:p>
        </w:tc>
        <w:tc>
          <w:tcPr>
            <w:tcW w:w="36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The following table presents the movement in the allowance for doubtful accounts:</w:t>
            </w: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the period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written off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8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6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7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3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F-91</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6" w:right="359" w:bottom="1440" w:gutter="0" w:footer="0" w:header="0"/>
        </w:sectPr>
      </w:pPr>
    </w:p>
    <w:bookmarkStart w:id="317" w:name="page318"/>
    <w:bookmarkEnd w:id="3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14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other assets consist of the following:</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8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1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7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acquisition of fixed assets and intangible assets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31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December 31,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46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equipment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1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(4,519)</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(5,559)</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3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(192)</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recognized for the nine months ended September 30, 2016 and 2017 are summarized as follows:</w:t>
      </w:r>
    </w:p>
    <w:p>
      <w:pPr>
        <w:spacing w:after="0" w:line="12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666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6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3960" w:type="dxa"/>
            <w:vAlign w:val="bottom"/>
            <w:gridSpan w:val="2"/>
          </w:tcPr>
          <w:p>
            <w:pPr>
              <w:jc w:val="right"/>
              <w:ind w:right="2776"/>
              <w:spacing w:after="0"/>
              <w:rPr>
                <w:sz w:val="20"/>
                <w:szCs w:val="20"/>
                <w:color w:val="auto"/>
              </w:rPr>
            </w:pPr>
            <w:r>
              <w:rPr>
                <w:rFonts w:ascii="Times New Roman" w:cs="Times New Roman" w:eastAsia="Times New Roman" w:hAnsi="Times New Roman"/>
                <w:sz w:val="18"/>
                <w:szCs w:val="18"/>
                <w:color w:val="auto"/>
              </w:rPr>
              <w:t>F-92</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19"/>
          </w:cols>
          <w:pgMar w:left="240" w:top="455" w:right="1440" w:bottom="1440" w:gutter="0" w:footer="0" w:header="0"/>
        </w:sectPr>
      </w:pPr>
    </w:p>
    <w:bookmarkStart w:id="318" w:name="page319"/>
    <w:bookmarkEnd w:id="3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7"/>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December 31,</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2016</w:t>
            </w:r>
          </w:p>
        </w:tc>
        <w:tc>
          <w:tcPr>
            <w:tcW w:w="440" w:type="dxa"/>
            <w:vAlign w:val="bottom"/>
          </w:tcPr>
          <w:p>
            <w:pPr>
              <w:spacing w:after="0"/>
              <w:rPr>
                <w:sz w:val="14"/>
                <w:szCs w:val="14"/>
                <w:color w:val="auto"/>
              </w:rPr>
            </w:pP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4"/>
                <w:szCs w:val="14"/>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software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(6,773)</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(9,939)</w:t>
            </w: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recognized for the nine months ended September 30, 2016 and 2017 are summarized as follows:</w:t>
      </w:r>
    </w:p>
    <w:p>
      <w:pPr>
        <w:spacing w:after="0" w:line="12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630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540" w:type="dxa"/>
            <w:vAlign w:val="bottom"/>
            <w:tcBorders>
              <w:top w:val="single" w:sz="8" w:color="auto"/>
            </w:tcBorders>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780" w:type="dxa"/>
            <w:vAlign w:val="bottom"/>
            <w:gridSpan w:val="2"/>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78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3"/>
          </w:tcPr>
          <w:p>
            <w:pPr>
              <w:jc w:val="right"/>
              <w:ind w:right="273"/>
              <w:spacing w:after="0"/>
              <w:rPr>
                <w:sz w:val="20"/>
                <w:szCs w:val="20"/>
                <w:color w:val="auto"/>
              </w:rPr>
            </w:pPr>
            <w:r>
              <w:rPr>
                <w:rFonts w:ascii="Times New Roman" w:cs="Times New Roman" w:eastAsia="Times New Roman" w:hAnsi="Times New Roman"/>
                <w:sz w:val="18"/>
                <w:szCs w:val="18"/>
                <w:color w:val="auto"/>
                <w:w w:val="99"/>
              </w:rPr>
              <w:t>The estimated aggregate amortization expense for each of the next five years as of September 30, 2017 is: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Computer software</w:t>
            </w:r>
          </w:p>
        </w:tc>
        <w:tc>
          <w:tcPr>
            <w:tcW w:w="0" w:type="dxa"/>
            <w:vAlign w:val="bottom"/>
          </w:tcPr>
          <w:p>
            <w:pPr>
              <w:spacing w:after="0"/>
              <w:rPr>
                <w:sz w:val="1"/>
                <w:szCs w:val="1"/>
                <w:color w:val="auto"/>
              </w:rPr>
            </w:pPr>
          </w:p>
        </w:tc>
      </w:tr>
      <w:tr>
        <w:trPr>
          <w:trHeight w:val="91"/>
        </w:trPr>
        <w:tc>
          <w:tcPr>
            <w:tcW w:w="920" w:type="dxa"/>
            <w:vAlign w:val="bottom"/>
            <w:vMerge w:val="restart"/>
          </w:tcPr>
          <w:p>
            <w:pPr>
              <w:spacing w:after="0"/>
              <w:rPr>
                <w:sz w:val="7"/>
                <w:szCs w:val="7"/>
                <w:color w:val="auto"/>
              </w:rPr>
            </w:pPr>
          </w:p>
        </w:tc>
        <w:tc>
          <w:tcPr>
            <w:tcW w:w="6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340"/>
          </w:cols>
          <w:pgMar w:left="240" w:top="455" w:right="319" w:bottom="1440" w:gutter="0" w:footer="0" w:header="0"/>
        </w:sectPr>
      </w:pPr>
    </w:p>
    <w:bookmarkStart w:id="319" w:name="page320"/>
    <w:bookmarkEnd w:id="3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(Continued)</w:t>
      </w:r>
    </w:p>
    <w:p>
      <w:pPr>
        <w:spacing w:after="0" w:line="134" w:lineRule="exact"/>
        <w:rPr>
          <w:rFonts w:ascii="Times New Roman" w:cs="Times New Roman" w:eastAsia="Times New Roman" w:hAnsi="Times New Roman"/>
          <w:sz w:val="18"/>
          <w:szCs w:val="18"/>
          <w:b w:val="1"/>
          <w:bCs w:val="1"/>
          <w:color w:val="auto"/>
        </w:rPr>
      </w:pPr>
    </w:p>
    <w:p>
      <w:pPr>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68"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purchase consideration for all the equity interest of OptAim amounted to US$67,620. This comprised cash consideration of US$15,976, 2,535,091 shares of the Company amounted to US$50,843 and fair value of replacement awards attributable to pre-acquisition services amounted to US$801.</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Buzzinate</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OptAim</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 and September 30, 2017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2,958</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r>
      <w:tr>
        <w:trPr>
          <w:trHeight w:val="20"/>
        </w:trPr>
        <w:tc>
          <w:tcPr>
            <w:tcW w:w="7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line="313" w:lineRule="auto"/>
        <w:rPr>
          <w:sz w:val="20"/>
          <w:szCs w:val="20"/>
          <w:color w:val="auto"/>
        </w:rPr>
      </w:pPr>
      <w:r>
        <w:rPr>
          <w:rFonts w:ascii="Times New Roman" w:cs="Times New Roman" w:eastAsia="Times New Roman" w:hAnsi="Times New Roman"/>
          <w:sz w:val="17"/>
          <w:szCs w:val="17"/>
          <w:color w:val="auto"/>
        </w:rPr>
        <w:t>Goodwill is not deductible for tax purposes. The Group performs the annual impairment test on December 31 of each year. Based on the impairment tests performed and no other impairment indicators have been identified, no impairment of goodwill was recorded for all periods presented.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2016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liabilities and other current liabilities</w:t>
            </w: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70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payable to customers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received from customers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and hosting expense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F-94</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320" w:name="page321"/>
    <w:bookmarkEnd w:id="3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Bank borrowings</w:t>
      </w:r>
    </w:p>
    <w:p>
      <w:pPr>
        <w:spacing w:after="0" w:line="1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4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5700" w:type="dxa"/>
            <w:vAlign w:val="bottom"/>
          </w:tcPr>
          <w:p>
            <w:pPr>
              <w:spacing w:after="0"/>
              <w:rPr>
                <w:sz w:val="14"/>
                <w:szCs w:val="14"/>
                <w:color w:val="auto"/>
              </w:rPr>
            </w:pP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(i), (vii))</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1-year revolving loan denominated in US$ (Note (ii), (vii))</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2-year demand loan agreement denominated in US$ (Note (iii), (vii))</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6-month revolving loan denominated in RMB (Note (iv))</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5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(v), (vii))</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3-month loan denominated in RMB (Note (vi), (vii))</w:t>
            </w:r>
          </w:p>
        </w:tc>
        <w:tc>
          <w:tcPr>
            <w:tcW w:w="7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5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6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33" w:lineRule="exact"/>
        <w:rPr>
          <w:sz w:val="20"/>
          <w:szCs w:val="20"/>
          <w:color w:val="auto"/>
        </w:rPr>
      </w:pPr>
    </w:p>
    <w:p>
      <w:pPr>
        <w:ind w:left="900" w:hanging="446"/>
        <w:spacing w:after="0" w:line="255" w:lineRule="auto"/>
        <w:tabs>
          <w:tab w:leader="none" w:pos="9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PRC subsidiaries, entered into a one-year revolving loan agreement with a bank of limit up to RMB30 million. Subsequently, the Company entered into a renewed agreement in December 2016 for this bank facility with a bank of limit up to RMB50 million. Out of this loan facility, the PRC subsidiary had utilized RMB30 million (equivalent to US$4,562).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94"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Hong Kong subsidiaries, entered into a one-year loan agreement with a bank amounting to US$3,000. Out of this loan facility, the Hong Kong subsidiary had utilized US$2,950 as of December 31, 2016 and September 30 2017. The Company, through its Hong Kong subsidiary, renewed the one-year revolving loan agreement with the bank on December 19, 2016. The interest rate of this short-term loan facility was determined by three-month LIBOR plus 5.75% per annum for the nine months ended September 30, 2016 and September 30, 2017.</w:t>
      </w:r>
    </w:p>
    <w:p>
      <w:pPr>
        <w:spacing w:after="0" w:line="89"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Hong Kong subsidiaries, entered into a two-year loan agreement with a bank amounting to US$2,000. Out of this loan facility, the Hong Kong subsidiaries had utilized US$1,083 and US$333 as of December 31, 2016 and September 30, 2017 respectively. The interest rate of this loan was the benchmark interest rate determined by three-month LIBOR plus 7.00% per annum. The bank facility agreement includes repayable on demand clauses such that the bank borrowing are classified as current liabilities as of December 31, 2016 and September 30, 2017</w:t>
      </w:r>
    </w:p>
    <w:p>
      <w:pPr>
        <w:spacing w:after="0" w:line="89" w:lineRule="exact"/>
        <w:rPr>
          <w:rFonts w:ascii="Times New Roman" w:cs="Times New Roman" w:eastAsia="Times New Roman" w:hAnsi="Times New Roman"/>
          <w:sz w:val="18"/>
          <w:szCs w:val="18"/>
          <w:color w:val="auto"/>
        </w:rPr>
      </w:pPr>
    </w:p>
    <w:p>
      <w:pPr>
        <w:ind w:left="900" w:right="260" w:hanging="446"/>
        <w:spacing w:after="0" w:line="266" w:lineRule="auto"/>
        <w:tabs>
          <w:tab w:leader="none" w:pos="9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120% of the benchmark interest rate determined by the People’s Bank of China for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380"/>
          </w:cols>
          <w:pgMar w:left="240" w:top="455" w:right="279" w:bottom="1440" w:gutter="0" w:footer="0" w:header="0"/>
        </w:sectPr>
      </w:pPr>
    </w:p>
    <w:bookmarkStart w:id="321" w:name="page322"/>
    <w:bookmarkEnd w:id="3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8640" w:hanging="452"/>
        <w:spacing w:after="0" w:line="408" w:lineRule="auto"/>
        <w:tabs>
          <w:tab w:leader="none" w:pos="449" w:val="left"/>
        </w:tabs>
        <w:numPr>
          <w:ilvl w:val="0"/>
          <w:numId w:val="2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Bank borrowings (Continued) </w:t>
      </w:r>
      <w:r>
        <w:rPr>
          <w:rFonts w:ascii="Times New Roman" w:cs="Times New Roman" w:eastAsia="Times New Roman" w:hAnsi="Times New Roman"/>
          <w:sz w:val="17"/>
          <w:szCs w:val="17"/>
          <w:i w:val="1"/>
          <w:iCs w:val="1"/>
          <w:color w:val="auto"/>
        </w:rPr>
        <w:t>Notes (Continued):</w:t>
      </w:r>
    </w:p>
    <w:p>
      <w:pPr>
        <w:spacing w:after="0" w:line="1"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18"/>
          <w:szCs w:val="18"/>
          <w:color w:val="auto"/>
        </w:rPr>
        <w:t>loans over six months granted by financial institutions per annum. The loan was finally settled on January 13, 2017. Restricted cash US$1,568 was held in a restricted bank account as required by this loan agreement as of December 31, 2016. In January 2017, the Company renewed this bank facility which will mature in May 2018 with no changes in terms except for an increase in credit line to RMB30 million. Subsequently, the Company entered into an amended agreement in June 2017 for this bank facility and the interest rate was amended as 115% of the benchmark per annum interest rate determined by the People’s bank of China for loans over six months granted by financial institutions.</w:t>
      </w:r>
    </w:p>
    <w:p>
      <w:pPr>
        <w:spacing w:after="0" w:line="89" w:lineRule="exact"/>
        <w:rPr>
          <w:sz w:val="20"/>
          <w:szCs w:val="20"/>
          <w:color w:val="auto"/>
        </w:rPr>
      </w:pPr>
    </w:p>
    <w:p>
      <w:pPr>
        <w:ind w:left="900" w:hanging="446"/>
        <w:spacing w:after="0" w:line="258" w:lineRule="auto"/>
        <w:tabs>
          <w:tab w:leader="none" w:pos="9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2016, the Company, through its PRC subsidiary, entered into a one-year revolving loan agreement with a bank amounting to a total of RMB12 million (equivalent to US$1,732) as of December 31, 2016.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The loan was repaid on 28 July, 2017.</w:t>
      </w:r>
    </w:p>
    <w:p>
      <w:pPr>
        <w:spacing w:after="0" w:line="89" w:lineRule="exact"/>
        <w:rPr>
          <w:rFonts w:ascii="Times New Roman" w:cs="Times New Roman" w:eastAsia="Times New Roman" w:hAnsi="Times New Roman"/>
          <w:sz w:val="18"/>
          <w:szCs w:val="18"/>
          <w:color w:val="auto"/>
        </w:rPr>
      </w:pPr>
    </w:p>
    <w:p>
      <w:pPr>
        <w:ind w:left="900" w:right="160" w:hanging="446"/>
        <w:spacing w:after="0" w:line="256" w:lineRule="auto"/>
        <w:tabs>
          <w:tab w:leader="none" w:pos="9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14, 2016, the Company, through its PRC subsidiary, entered into a three-month revolving loan agreement with a bank amounting to a total of RMB10 million (equivalent to US$1,443). In January, 2017, the Company renewed three-month revolving loan agreement, which provides for a RMB30 million (US$4.6 million) banking facilities. The interest rate of this loan facility was the benchmark interest rate determined by the People’s Bank of China for loans over three months granted by financial institutions plus 0.435% per annum. The loan was finally settled on February 14, 2017. Restricted cash amounting to US$1,666 was held in a restricted bank account as required by this loan agreement as of December 31, 2016.</w:t>
      </w:r>
    </w:p>
    <w:p>
      <w:pPr>
        <w:spacing w:after="0" w:line="93"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81" w:lineRule="exact"/>
        <w:rPr>
          <w:rFonts w:ascii="Times New Roman" w:cs="Times New Roman" w:eastAsia="Times New Roman" w:hAnsi="Times New Roman"/>
          <w:sz w:val="18"/>
          <w:szCs w:val="18"/>
          <w:color w:val="auto"/>
        </w:rPr>
      </w:pPr>
    </w:p>
    <w:p>
      <w:pPr>
        <w:ind w:left="90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for bank loans outstanding as of December 31, 2016 and September 30, 2017 was 5.99% and 6.20% per annum, respectively.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Company entered into a facility agreement for working capital loans with Eastwest Bank, which provides for a</w:t>
      </w:r>
    </w:p>
    <w:p>
      <w:pPr>
        <w:spacing w:after="0" w:line="27" w:lineRule="exact"/>
        <w:rPr>
          <w:rFonts w:ascii="Times New Roman" w:cs="Times New Roman" w:eastAsia="Times New Roman" w:hAnsi="Times New Roman"/>
          <w:sz w:val="18"/>
          <w:szCs w:val="18"/>
          <w:color w:val="auto"/>
        </w:rPr>
      </w:pPr>
    </w:p>
    <w:p>
      <w:pPr>
        <w:ind w:left="90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RMB30 million (US$4.3 million) 18-month revolving loan. The Company provide corporate guarantee and account receivables as pledge to secure the obligations under this revolving loan. The interest rate of this loan facility is fixed at 5.75% per annum. As of December 31, 2016 and September 30, 2017, the Company had not drawn down under this revolving loan.</w:t>
      </w:r>
    </w:p>
    <w:p>
      <w:pPr>
        <w:spacing w:after="0" w:line="91" w:lineRule="exact"/>
        <w:rPr>
          <w:rFonts w:ascii="Times New Roman" w:cs="Times New Roman" w:eastAsia="Times New Roman" w:hAnsi="Times New Roman"/>
          <w:sz w:val="18"/>
          <w:szCs w:val="18"/>
          <w:color w:val="auto"/>
        </w:rPr>
      </w:pPr>
    </w:p>
    <w:p>
      <w:pPr>
        <w:ind w:left="90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those shown above, the Company did not have any significant capital and other commitments, long-term obligations, or guarantees as of December 31, 2016 and September 30, 2017.</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400"/>
          </w:cols>
          <w:pgMar w:left="240" w:top="456" w:right="259" w:bottom="1440" w:gutter="0" w:footer="0" w:header="0"/>
        </w:sectPr>
      </w:pPr>
    </w:p>
    <w:bookmarkStart w:id="322" w:name="page323"/>
    <w:bookmarkEnd w:id="3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ind w:left="460" w:right="7800" w:hanging="452"/>
        <w:spacing w:after="0" w:line="378" w:lineRule="auto"/>
        <w:tabs>
          <w:tab w:leader="none" w:pos="449"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w:t>
      </w:r>
      <w:r>
        <w:rPr>
          <w:rFonts w:ascii="Times New Roman" w:cs="Times New Roman" w:eastAsia="Times New Roman" w:hAnsi="Times New Roman"/>
          <w:sz w:val="18"/>
          <w:szCs w:val="18"/>
          <w:i w:val="1"/>
          <w:iCs w:val="1"/>
          <w:color w:val="auto"/>
        </w:rPr>
        <w:t>Series A preferred shares</w:t>
      </w:r>
    </w:p>
    <w:p>
      <w:pPr>
        <w:ind w:left="4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9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B preferred shares</w:t>
      </w:r>
    </w:p>
    <w:p>
      <w:pPr>
        <w:spacing w:after="0" w:line="119"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24, 2015, the Company repurchased from Investor B-1 723,808 Series B-1 preferred shares at a consideration of US$11,581.</w:t>
      </w:r>
    </w:p>
    <w:p>
      <w:pPr>
        <w:spacing w:after="0" w:line="117" w:lineRule="exact"/>
        <w:rPr>
          <w:rFonts w:ascii="Times New Roman" w:cs="Times New Roman" w:eastAsia="Times New Roman" w:hAnsi="Times New Roman"/>
          <w:sz w:val="18"/>
          <w:szCs w:val="18"/>
          <w:b w:val="1"/>
          <w:bCs w:val="1"/>
          <w:color w:val="auto"/>
        </w:rPr>
      </w:pPr>
    </w:p>
    <w:p>
      <w:pPr>
        <w:ind w:left="4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C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400"/>
          </w:cols>
          <w:pgMar w:left="240" w:top="455" w:right="259" w:bottom="1440" w:gutter="0" w:footer="0" w:header="0"/>
        </w:sectPr>
      </w:pPr>
    </w:p>
    <w:bookmarkStart w:id="323" w:name="page324"/>
    <w:bookmarkEnd w:id="3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20" w:hanging="452"/>
        <w:spacing w:after="0" w:line="385" w:lineRule="auto"/>
        <w:tabs>
          <w:tab w:leader="none" w:pos="449"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D preferred shares</w:t>
      </w:r>
    </w:p>
    <w:p>
      <w:pPr>
        <w:spacing w:after="0" w:line="1" w:lineRule="exact"/>
        <w:rPr>
          <w:rFonts w:ascii="Times New Roman" w:cs="Times New Roman" w:eastAsia="Times New Roman" w:hAnsi="Times New Roman"/>
          <w:sz w:val="18"/>
          <w:szCs w:val="18"/>
          <w:b w:val="1"/>
          <w:bCs w:val="1"/>
          <w:color w:val="auto"/>
        </w:rPr>
      </w:pPr>
    </w:p>
    <w:p>
      <w:pPr>
        <w:jc w:val="both"/>
        <w:ind w:left="460" w:righ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nine months ended September 30, 2016 and 2017 is less than US$85,000. Considering the gross billing of the Group as defined in the Series D Agreement for the nine months ended September 30, 2016 and 2017 was more than US$85,000, no additional Series D preferred shares were issued. Furthermore, the Company determines that the fair value of this obligation is zero as of December 31, 2016 and September 30, 2017.</w:t>
      </w:r>
    </w:p>
    <w:p>
      <w:pPr>
        <w:spacing w:after="0" w:line="2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E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key terms of the Series A, B, C, D and E preferred shares are as follows:</w:t>
      </w:r>
    </w:p>
    <w:p>
      <w:pPr>
        <w:spacing w:after="0" w:line="3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approval and declaration by the Board of Directors, the holders of the preferred shares are entitled to receive dividends in the following order:</w:t>
      </w:r>
    </w:p>
    <w:p>
      <w:pPr>
        <w:spacing w:after="0" w:line="67" w:lineRule="exact"/>
        <w:rPr>
          <w:rFonts w:ascii="Times New Roman" w:cs="Times New Roman" w:eastAsia="Times New Roman" w:hAnsi="Times New Roman"/>
          <w:sz w:val="18"/>
          <w:szCs w:val="18"/>
          <w:b w:val="1"/>
          <w:bCs w:val="1"/>
          <w:color w:val="auto"/>
        </w:rPr>
      </w:pPr>
    </w:p>
    <w:p>
      <w:pPr>
        <w:ind w:left="1460" w:right="120" w:hanging="547"/>
        <w:spacing w:after="0" w:line="266" w:lineRule="auto"/>
        <w:tabs>
          <w:tab w:leader="none" w:pos="14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1"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40" w:hanging="547"/>
        <w:spacing w:after="0" w:line="282" w:lineRule="auto"/>
        <w:tabs>
          <w:tab w:leader="none" w:pos="14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dividends shall be distributed on a pro rata basis to holders of all the preferred shares and ordinary shares on a fully diluted and as-if converted basis.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400"/>
          </w:cols>
          <w:pgMar w:left="240" w:top="455" w:right="259" w:bottom="1440" w:gutter="0" w:footer="0" w:header="0"/>
        </w:sectPr>
      </w:pPr>
    </w:p>
    <w:bookmarkStart w:id="324" w:name="page325"/>
    <w:bookmarkEnd w:id="3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40" w:hanging="452"/>
        <w:spacing w:after="0" w:line="385" w:lineRule="auto"/>
        <w:tabs>
          <w:tab w:leader="none" w:pos="449"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Voting rights</w:t>
      </w:r>
    </w:p>
    <w:p>
      <w:pPr>
        <w:spacing w:after="0" w:line="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rFonts w:ascii="Times New Roman" w:cs="Times New Roman" w:eastAsia="Times New Roman" w:hAnsi="Times New Roman"/>
          <w:sz w:val="18"/>
          <w:szCs w:val="18"/>
          <w:b w:val="1"/>
          <w:bCs w:val="1"/>
          <w:color w:val="auto"/>
        </w:rPr>
      </w:pPr>
    </w:p>
    <w:p>
      <w:pPr>
        <w:ind w:left="46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79"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79"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79" w:lineRule="exact"/>
        <w:rPr>
          <w:rFonts w:ascii="Times New Roman" w:cs="Times New Roman" w:eastAsia="Times New Roman" w:hAnsi="Times New Roman"/>
          <w:sz w:val="18"/>
          <w:szCs w:val="18"/>
          <w:b w:val="1"/>
          <w:bCs w:val="1"/>
          <w:color w:val="auto"/>
        </w:rPr>
      </w:pPr>
    </w:p>
    <w:p>
      <w:pPr>
        <w:ind w:left="4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Conversion rights</w:t>
      </w:r>
    </w:p>
    <w:p>
      <w:pPr>
        <w:spacing w:after="0" w:line="119" w:lineRule="exact"/>
        <w:rPr>
          <w:rFonts w:ascii="Times New Roman" w:cs="Times New Roman" w:eastAsia="Times New Roman" w:hAnsi="Times New Roman"/>
          <w:sz w:val="18"/>
          <w:szCs w:val="18"/>
          <w:b w:val="1"/>
          <w:bCs w:val="1"/>
          <w:color w:val="auto"/>
        </w:rPr>
      </w:pPr>
    </w:p>
    <w:p>
      <w:pPr>
        <w:ind w:left="4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420"/>
          </w:cols>
          <w:pgMar w:left="240" w:top="455" w:right="239" w:bottom="1440" w:gutter="0" w:footer="0" w:header="0"/>
        </w:sectPr>
      </w:pPr>
    </w:p>
    <w:bookmarkStart w:id="325" w:name="page326"/>
    <w:bookmarkEnd w:id="3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40" w:hanging="452"/>
        <w:spacing w:after="0" w:line="385" w:lineRule="auto"/>
        <w:tabs>
          <w:tab w:leader="none" w:pos="449"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Conversion rights (Continued)</w:t>
      </w:r>
    </w:p>
    <w:p>
      <w:pPr>
        <w:spacing w:after="0" w:line="1" w:lineRule="exact"/>
        <w:rPr>
          <w:rFonts w:ascii="Times New Roman" w:cs="Times New Roman" w:eastAsia="Times New Roman" w:hAnsi="Times New Roman"/>
          <w:sz w:val="18"/>
          <w:szCs w:val="18"/>
          <w:b w:val="1"/>
          <w:bCs w:val="1"/>
          <w:color w:val="auto"/>
        </w:rPr>
      </w:pPr>
    </w:p>
    <w:p>
      <w:pPr>
        <w:jc w:val="both"/>
        <w:ind w:left="4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Anti-dilution provision</w:t>
      </w:r>
    </w:p>
    <w:p>
      <w:pPr>
        <w:spacing w:after="0" w:line="119" w:lineRule="exact"/>
        <w:rPr>
          <w:rFonts w:ascii="Times New Roman" w:cs="Times New Roman" w:eastAsia="Times New Roman" w:hAnsi="Times New Roman"/>
          <w:sz w:val="18"/>
          <w:szCs w:val="18"/>
          <w:b w:val="1"/>
          <w:bCs w:val="1"/>
          <w:color w:val="auto"/>
        </w:rPr>
      </w:pPr>
    </w:p>
    <w:p>
      <w:pPr>
        <w:ind w:left="4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 In May 2011, the Company issued 457,611 ordinary shares of the Company to Mr. Cong and Mr. Liu in exchange for Mr. Cong and Mr. Liu would procure the grant of an exclusive reseller agreement from Baidu</w:t>
      </w:r>
    </w:p>
    <w:p>
      <w:pPr>
        <w:spacing w:after="0" w:line="71" w:lineRule="exact"/>
        <w:rPr>
          <w:rFonts w:ascii="Times New Roman" w:cs="Times New Roman" w:eastAsia="Times New Roman" w:hAnsi="Times New Roman"/>
          <w:sz w:val="18"/>
          <w:szCs w:val="18"/>
          <w:b w:val="1"/>
          <w:bCs w:val="1"/>
          <w:color w:val="auto"/>
        </w:rPr>
      </w:pPr>
    </w:p>
    <w:p>
      <w:pPr>
        <w:ind w:left="4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81"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w:t>
      </w:r>
    </w:p>
    <w:p>
      <w:pPr>
        <w:spacing w:after="0" w:line="119"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53"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C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71" w:lineRule="exact"/>
        <w:rPr>
          <w:rFonts w:ascii="Times New Roman" w:cs="Times New Roman" w:eastAsia="Times New Roman" w:hAnsi="Times New Roman"/>
          <w:sz w:val="18"/>
          <w:szCs w:val="18"/>
          <w:b w:val="1"/>
          <w:bCs w:val="1"/>
          <w:color w:val="auto"/>
        </w:rPr>
      </w:pPr>
    </w:p>
    <w:p>
      <w:pPr>
        <w:ind w:left="4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D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(ii)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420"/>
          </w:cols>
          <w:pgMar w:left="240" w:top="455" w:right="239" w:bottom="1440" w:gutter="0" w:footer="0" w:header="0"/>
        </w:sectPr>
      </w:pPr>
    </w:p>
    <w:bookmarkStart w:id="326" w:name="page327"/>
    <w:bookmarkEnd w:id="3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20" w:hanging="452"/>
        <w:spacing w:after="0" w:line="385" w:lineRule="auto"/>
        <w:tabs>
          <w:tab w:leader="none" w:pos="449"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spacing w:after="0" w:line="1" w:lineRule="exact"/>
        <w:rPr>
          <w:rFonts w:ascii="Times New Roman" w:cs="Times New Roman" w:eastAsia="Times New Roman" w:hAnsi="Times New Roman"/>
          <w:sz w:val="18"/>
          <w:szCs w:val="18"/>
          <w:b w:val="1"/>
          <w:bCs w:val="1"/>
          <w:color w:val="auto"/>
        </w:rPr>
      </w:pPr>
    </w:p>
    <w:p>
      <w:pPr>
        <w:jc w:val="both"/>
        <w:ind w:left="4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occurrence of any liquidating transaction as defined in the subscription agreements; (iii)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E preferred shares can redeem the preferred shares at any time after the earlier of: (i) the occurrence of any liquidating transaction</w:t>
      </w:r>
    </w:p>
    <w:p>
      <w:pPr>
        <w:spacing w:after="0" w:line="27" w:lineRule="exact"/>
        <w:rPr>
          <w:rFonts w:ascii="Times New Roman" w:cs="Times New Roman" w:eastAsia="Times New Roman" w:hAnsi="Times New Roman"/>
          <w:sz w:val="18"/>
          <w:szCs w:val="18"/>
          <w:b w:val="1"/>
          <w:bCs w:val="1"/>
          <w:color w:val="auto"/>
        </w:rPr>
      </w:pPr>
    </w:p>
    <w:p>
      <w:pPr>
        <w:ind w:left="460" w:right="1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84" w:lineRule="exact"/>
        <w:rPr>
          <w:rFonts w:ascii="Times New Roman" w:cs="Times New Roman" w:eastAsia="Times New Roman" w:hAnsi="Times New Roman"/>
          <w:sz w:val="18"/>
          <w:szCs w:val="18"/>
          <w:b w:val="1"/>
          <w:bCs w:val="1"/>
          <w:color w:val="auto"/>
        </w:rPr>
      </w:pPr>
    </w:p>
    <w:p>
      <w:pPr>
        <w:ind w:left="4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80"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completion of Series D Agreement, the redemption date of Series A, A-1, B, B-1 and C preferred share was changed to December 31, 2016. The redemption date of Series A, A-1, B, C and D preferred share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400"/>
          </w:cols>
          <w:pgMar w:left="240" w:top="455" w:right="259" w:bottom="1440" w:gutter="0" w:footer="0" w:header="0"/>
        </w:sectPr>
      </w:pPr>
    </w:p>
    <w:bookmarkStart w:id="327" w:name="page328"/>
    <w:bookmarkEnd w:id="3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20" w:hanging="452"/>
        <w:spacing w:after="0" w:line="385" w:lineRule="auto"/>
        <w:tabs>
          <w:tab w:leader="none" w:pos="449"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spacing w:after="0" w:line="1" w:lineRule="exact"/>
        <w:rPr>
          <w:rFonts w:ascii="Times New Roman" w:cs="Times New Roman" w:eastAsia="Times New Roman" w:hAnsi="Times New Roman"/>
          <w:sz w:val="18"/>
          <w:szCs w:val="18"/>
          <w:b w:val="1"/>
          <w:bCs w:val="1"/>
          <w:color w:val="auto"/>
        </w:rPr>
      </w:pPr>
    </w:p>
    <w:p>
      <w:pPr>
        <w:ind w:left="4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 and September 30, 2017.</w:t>
      </w:r>
    </w:p>
    <w:p>
      <w:pPr>
        <w:spacing w:after="0" w:line="8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75"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and September 30, 2017, the fair values of these conversion features and redemption features which required to be bifurcated and accounted for as derivative liabilities are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7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December 31,</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420" w:type="dxa"/>
            <w:vAlign w:val="bottom"/>
          </w:tcPr>
          <w:p>
            <w:pPr>
              <w:spacing w:after="0"/>
              <w:rPr>
                <w:sz w:val="14"/>
                <w:szCs w:val="14"/>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derivatives — conversion features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Financial derivatives — redemption features</w:t>
            </w: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60,884</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(60,525)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(67,655)</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Due to the redemption features described above with respect to Series A, A-1, B and B-1 preferred shares, the Company recognizes the changes in the redemption value immediately as they occur by way of accreting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400"/>
          </w:cols>
          <w:pgMar w:left="240" w:top="455" w:right="259" w:bottom="1440" w:gutter="0" w:footer="0" w:header="0"/>
        </w:sectPr>
      </w:pPr>
    </w:p>
    <w:bookmarkStart w:id="328" w:name="page329"/>
    <w:bookmarkEnd w:id="3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00" w:hanging="452"/>
        <w:spacing w:after="0" w:line="385" w:lineRule="auto"/>
        <w:tabs>
          <w:tab w:leader="none" w:pos="449"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spacing w:after="0" w:line="1"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68"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these preferred shares for purposes of determining the conversion feature and redemption feature as of December 31, 2016 and September 30,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22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December 31, 2016</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30, 2017</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growth rate</w:t>
            </w:r>
          </w:p>
        </w:tc>
        <w:tc>
          <w:tcPr>
            <w:tcW w:w="2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3.0%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2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18.3%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annum growth rate on average spending per customer</w:t>
            </w:r>
          </w:p>
        </w:tc>
        <w:tc>
          <w:tcPr>
            <w:tcW w:w="2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3.0% - 19.0%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- 39.0%</w:t>
            </w: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A</w:t>
      </w:r>
    </w:p>
    <w:p>
      <w:pPr>
        <w:spacing w:after="0" w:line="250"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648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6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2016</w:t>
            </w:r>
          </w:p>
        </w:tc>
        <w:tc>
          <w:tcPr>
            <w:tcW w:w="14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w:t>
      </w:r>
    </w:p>
    <w:p>
      <w:pPr>
        <w:spacing w:after="0" w:line="250"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656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6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2016</w:t>
            </w:r>
          </w:p>
        </w:tc>
        <w:tc>
          <w:tcPr>
            <w:tcW w:w="1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C</w:t>
      </w:r>
    </w:p>
    <w:p>
      <w:pPr>
        <w:spacing w:after="0" w:line="250"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color w:val="auto"/>
        </w:rPr>
        <w:t>For the nine months ended</w:t>
      </w:r>
    </w:p>
    <w:p>
      <w:pPr>
        <w:spacing w:after="0" w:line="4"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-3175</wp:posOffset>
            </wp:positionV>
            <wp:extent cx="12350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8240"/>
        <w:spacing w:after="0"/>
        <w:tabs>
          <w:tab w:leader="none" w:pos="9480" w:val="left"/>
        </w:tabs>
        <w:rPr>
          <w:sz w:val="20"/>
          <w:szCs w:val="20"/>
          <w:color w:val="auto"/>
        </w:rPr>
      </w:pP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60" w:type="dxa"/>
            <w:vAlign w:val="bottom"/>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380"/>
          </w:cols>
          <w:pgMar w:left="240" w:top="455" w:right="279" w:bottom="1440" w:gutter="0" w:footer="0" w:header="0"/>
        </w:sectPr>
      </w:pPr>
    </w:p>
    <w:bookmarkStart w:id="329" w:name="page330"/>
    <w:bookmarkEnd w:id="3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00" w:hanging="452"/>
        <w:spacing w:after="0" w:line="427" w:lineRule="auto"/>
        <w:tabs>
          <w:tab w:leader="none" w:pos="449"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D</w:t>
      </w:r>
    </w:p>
    <w:p>
      <w:pPr>
        <w:spacing w:after="0" w:line="6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color w:val="auto"/>
        </w:rPr>
        <w:t>For the nine months</w:t>
      </w:r>
    </w:p>
    <w:p>
      <w:pPr>
        <w:spacing w:after="0" w:line="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E</w:t>
      </w:r>
    </w:p>
    <w:p>
      <w:pPr>
        <w:spacing w:after="0" w:line="25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color w:val="auto"/>
        </w:rPr>
        <w:t>For the nine months</w:t>
      </w:r>
    </w:p>
    <w:p>
      <w:pPr>
        <w:spacing w:after="0" w:line="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preferred shares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3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1" w:lineRule="exact"/>
        <w:rPr>
          <w:sz w:val="20"/>
          <w:szCs w:val="20"/>
          <w:color w:val="auto"/>
        </w:rPr>
      </w:pPr>
    </w:p>
    <w:p>
      <w:pPr>
        <w:ind w:left="460" w:hanging="452"/>
        <w:spacing w:after="0"/>
        <w:tabs>
          <w:tab w:leader="none" w:pos="4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ordinary shares</w:t>
      </w:r>
    </w:p>
    <w:p>
      <w:pPr>
        <w:spacing w:after="0" w:line="121"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68"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Investor D shall have an option to require the Company to repurchase all of the ordinary shares if a qualified IPO is not consummated by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2016, and 12% per annum for 2017. The redeemable date of the ordinary shares was further changed to December 28, 2018 upon the completion of Series E Agreement. The change in value of such modification was insignificant.</w:t>
      </w:r>
    </w:p>
    <w:p>
      <w:pPr>
        <w:spacing w:after="0" w:line="71" w:lineRule="exact"/>
        <w:rPr>
          <w:rFonts w:ascii="Times New Roman" w:cs="Times New Roman" w:eastAsia="Times New Roman" w:hAnsi="Times New Roman"/>
          <w:sz w:val="18"/>
          <w:szCs w:val="18"/>
          <w:b w:val="1"/>
          <w:bCs w:val="1"/>
          <w:color w:val="auto"/>
        </w:rPr>
      </w:pPr>
    </w:p>
    <w:p>
      <w:pPr>
        <w:ind w:left="4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these ordinary shares are contingently redeemable, they are classified as mezzanine equity. The Company recognizes the accretion charge using the effective interest method.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Memorandum and Articles of Association authorizes the Company to issue 37,150,000 shares of US$0.001 par value per ordinary share as of December 31, 2016 and September 30, 2017.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September 30, 2017, there were 13,609,208 and 13,633,106 ordinary shares outstanding, respectively.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380"/>
          </w:cols>
          <w:pgMar w:left="240" w:top="455" w:right="279" w:bottom="1440" w:gutter="0" w:footer="0" w:header="0"/>
        </w:sectPr>
      </w:pPr>
    </w:p>
    <w:bookmarkStart w:id="330" w:name="page331"/>
    <w:bookmarkEnd w:id="3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Arda does not hold any other assets or liabilities as at December 31, 2016 and September 30, 2017, nor earn any income nor incur any expenses for the nine months ended September 30, 2016 and 2017.</w:t>
      </w:r>
    </w:p>
    <w:p>
      <w:pPr>
        <w:spacing w:after="0" w:line="33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31" w:lineRule="exact"/>
        <w:rPr>
          <w:sz w:val="20"/>
          <w:szCs w:val="20"/>
          <w:color w:val="auto"/>
        </w:rPr>
      </w:pPr>
    </w:p>
    <w:p>
      <w:pPr>
        <w:ind w:left="460" w:hanging="452"/>
        <w:spacing w:after="0"/>
        <w:tabs>
          <w:tab w:leader="none" w:pos="4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 plan</w:t>
      </w:r>
    </w:p>
    <w:p>
      <w:pPr>
        <w:spacing w:after="0" w:line="121" w:lineRule="exact"/>
        <w:rPr>
          <w:rFonts w:ascii="Times New Roman" w:cs="Times New Roman" w:eastAsia="Times New Roman" w:hAnsi="Times New Roman"/>
          <w:sz w:val="18"/>
          <w:szCs w:val="18"/>
          <w:b w:val="1"/>
          <w:bCs w:val="1"/>
          <w:color w:val="auto"/>
        </w:rPr>
      </w:pPr>
    </w:p>
    <w:p>
      <w:pPr>
        <w:ind w:left="460" w:righ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420"/>
          </w:cols>
          <w:pgMar w:left="240" w:top="455" w:right="239" w:bottom="1440" w:gutter="0" w:footer="0" w:header="0"/>
        </w:sectPr>
      </w:pPr>
    </w:p>
    <w:bookmarkStart w:id="331" w:name="page332"/>
    <w:bookmarkEnd w:id="3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 plan (Continued)</w:t>
      </w:r>
    </w:p>
    <w:p>
      <w:pPr>
        <w:spacing w:after="0" w:line="134" w:lineRule="exact"/>
        <w:rPr>
          <w:rFonts w:ascii="Times New Roman" w:cs="Times New Roman" w:eastAsia="Times New Roman" w:hAnsi="Times New Roman"/>
          <w:sz w:val="18"/>
          <w:szCs w:val="18"/>
          <w:b w:val="1"/>
          <w:bCs w:val="1"/>
          <w:color w:val="auto"/>
        </w:rPr>
      </w:pPr>
    </w:p>
    <w:p>
      <w:pPr>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nine months ended September 30, 2016 and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Vesting</w:t>
            </w: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Number of</w:t>
            </w:r>
          </w:p>
        </w:tc>
        <w:tc>
          <w:tcPr>
            <w:tcW w:w="8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Term</w:t>
            </w:r>
          </w:p>
        </w:tc>
        <w:tc>
          <w:tcPr>
            <w:tcW w:w="8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346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206,845</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11.25</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iv)</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25,308</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49,871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10,421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ix)</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11,165</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xi)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147,007</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113,311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79,116</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180,000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100,800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April 1, 2017</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2017</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8.51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20" w:hanging="574"/>
        <w:spacing w:after="0" w:line="261" w:lineRule="auto"/>
        <w:tabs>
          <w:tab w:leader="none" w:pos="9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ind w:left="920" w:right="440" w:hanging="574"/>
        <w:spacing w:after="0" w:line="261" w:lineRule="auto"/>
        <w:tabs>
          <w:tab w:leader="none" w:pos="9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340"/>
          </w:cols>
          <w:pgMar w:left="240" w:top="455" w:right="319" w:bottom="1440" w:gutter="0" w:footer="0" w:header="0"/>
        </w:sectPr>
      </w:pPr>
    </w:p>
    <w:bookmarkStart w:id="332" w:name="page333"/>
    <w:bookmarkEnd w:id="3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 plan (Continued)</w:t>
      </w:r>
    </w:p>
    <w:p>
      <w:pPr>
        <w:spacing w:after="0" w:line="134" w:lineRule="exact"/>
        <w:rPr>
          <w:rFonts w:ascii="Times New Roman" w:cs="Times New Roman" w:eastAsia="Times New Roman" w:hAnsi="Times New Roman"/>
          <w:sz w:val="18"/>
          <w:szCs w:val="18"/>
          <w:b w:val="1"/>
          <w:bCs w:val="1"/>
          <w:color w:val="auto"/>
        </w:rPr>
      </w:pPr>
    </w:p>
    <w:p>
      <w:pPr>
        <w:ind w:left="920" w:right="100" w:hanging="574"/>
        <w:spacing w:after="0" w:line="257"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4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right="4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right="6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8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80" w:hanging="574"/>
        <w:spacing w:after="0" w:line="250"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hanging="574"/>
        <w:spacing w:after="0" w:line="255" w:lineRule="auto"/>
        <w:tabs>
          <w:tab w:leader="none" w:pos="9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380"/>
          </w:cols>
          <w:pgMar w:left="240" w:top="455" w:right="279" w:bottom="1440" w:gutter="0" w:footer="0" w:header="0"/>
        </w:sectPr>
      </w:pPr>
    </w:p>
    <w:bookmarkStart w:id="333" w:name="page334"/>
    <w:bookmarkEnd w:id="3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 plan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share option activity for the nine months ended September 30, 2016 and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Weighted</w:t>
            </w:r>
          </w:p>
        </w:tc>
        <w:tc>
          <w:tcPr>
            <w:tcW w:w="1400" w:type="dxa"/>
            <w:vAlign w:val="bottom"/>
          </w:tcPr>
          <w:p>
            <w:pPr>
              <w:jc w:val="center"/>
              <w:ind w:right="183"/>
              <w:spacing w:after="0"/>
              <w:rPr>
                <w:sz w:val="20"/>
                <w:szCs w:val="20"/>
                <w:color w:val="auto"/>
              </w:rPr>
            </w:pPr>
            <w:r>
              <w:rPr>
                <w:rFonts w:ascii="Times New Roman" w:cs="Times New Roman" w:eastAsia="Times New Roman" w:hAnsi="Times New Roman"/>
                <w:sz w:val="14"/>
                <w:szCs w:val="14"/>
                <w:color w:val="auto"/>
                <w:w w:val="99"/>
              </w:rPr>
              <w:t>Weighted</w:t>
            </w: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Weighted</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Number of</w:t>
            </w: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4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14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w w:val="99"/>
              </w:rPr>
              <w:t>contractual</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price ($)</w:t>
            </w:r>
          </w:p>
        </w:tc>
        <w:tc>
          <w:tcPr>
            <w:tcW w:w="1400" w:type="dxa"/>
            <w:vAlign w:val="bottom"/>
          </w:tcPr>
          <w:p>
            <w:pPr>
              <w:jc w:val="center"/>
              <w:ind w:right="183"/>
              <w:spacing w:after="0"/>
              <w:rPr>
                <w:sz w:val="20"/>
                <w:szCs w:val="20"/>
                <w:color w:val="auto"/>
              </w:rPr>
            </w:pPr>
            <w:r>
              <w:rPr>
                <w:rFonts w:ascii="Times New Roman" w:cs="Times New Roman" w:eastAsia="Times New Roman" w:hAnsi="Times New Roman"/>
                <w:sz w:val="14"/>
                <w:szCs w:val="14"/>
                <w:color w:val="auto"/>
                <w:w w:val="99"/>
              </w:rPr>
              <w:t>(US$)</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life (years)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1,592,443</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4.90</w:t>
            </w: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8.58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122,316</w:t>
            </w:r>
          </w:p>
        </w:tc>
        <w:tc>
          <w:tcPr>
            <w:tcW w:w="5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10.88</w:t>
            </w:r>
          </w:p>
        </w:tc>
        <w:tc>
          <w:tcPr>
            <w:tcW w:w="1400" w:type="dxa"/>
            <w:vAlign w:val="bottom"/>
          </w:tcPr>
          <w:p>
            <w:pPr>
              <w:jc w:val="right"/>
              <w:ind w:right="463"/>
              <w:spacing w:after="0"/>
              <w:rPr>
                <w:sz w:val="20"/>
                <w:szCs w:val="20"/>
                <w:color w:val="auto"/>
              </w:rPr>
            </w:pPr>
            <w:r>
              <w:rPr>
                <w:rFonts w:ascii="Times New Roman" w:cs="Times New Roman" w:eastAsia="Times New Roman" w:hAnsi="Times New Roman"/>
                <w:sz w:val="18"/>
                <w:szCs w:val="18"/>
                <w:color w:val="auto"/>
              </w:rPr>
              <w:t>13.82</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(59,135)</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(146,264)</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7.02</w:t>
            </w: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1,509,360</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21,164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At January 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1,492,185</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8.36</w:t>
            </w:r>
          </w:p>
        </w:tc>
        <w:tc>
          <w:tcPr>
            <w:tcW w:w="14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8"/>
                <w:szCs w:val="18"/>
                <w:color w:val="auto"/>
              </w:rPr>
              <w:t>11.68</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(23,898)</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(209,047)</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September 30, 2017</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1,561,440</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7.49</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80"/>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0% and 6% and 23% for employees and senior management in September 30, 2016 and 2017 respectively.</w:t>
      </w:r>
    </w:p>
    <w:p>
      <w:pPr>
        <w:spacing w:after="0" w:line="68" w:lineRule="exact"/>
        <w:rPr>
          <w:sz w:val="20"/>
          <w:szCs w:val="20"/>
          <w:color w:val="auto"/>
        </w:rPr>
      </w:pPr>
    </w:p>
    <w:p>
      <w:pPr>
        <w:ind w:left="460" w:right="50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estimated fair value of the Company’s ordinary shares as of September 30, 2016 and 2017 and the exercise price.</w:t>
      </w:r>
    </w:p>
    <w:p>
      <w:pPr>
        <w:spacing w:after="0" w:line="54" w:lineRule="exact"/>
        <w:rPr>
          <w:sz w:val="20"/>
          <w:szCs w:val="20"/>
          <w:color w:val="auto"/>
        </w:rPr>
      </w:pPr>
    </w:p>
    <w:p>
      <w:pPr>
        <w:ind w:left="460" w:right="200"/>
        <w:spacing w:after="0" w:line="266" w:lineRule="auto"/>
        <w:rPr>
          <w:sz w:val="20"/>
          <w:szCs w:val="20"/>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September 30, 2016 and 2017 were US$2,786 and US$2,841 respectively.</w:t>
      </w:r>
    </w:p>
    <w:p>
      <w:pPr>
        <w:spacing w:after="0" w:line="68"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As of September 30, 2016 and September 30, 2017,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w:t>
      </w:r>
    </w:p>
    <w:p>
      <w:pPr>
        <w:spacing w:after="0" w:line="72"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As of December 31, 2016 and September 30, 2017, there were US$5,647 and US$5,465 of unrecognized share-based compensation expenses related to share options, which were expected to be recognized over a weighted-average vesting period of 2.2 and 2.22 years, respectively. To the extent the actual forfeiture rate is different from the Company’s estimate, the actual share-based compensation related to these awards may be different from the expectation.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420"/>
          </w:cols>
          <w:pgMar w:left="240" w:top="455" w:right="239" w:bottom="1440" w:gutter="0" w:footer="0" w:header="0"/>
        </w:sectPr>
      </w:pPr>
    </w:p>
    <w:bookmarkStart w:id="334" w:name="page335"/>
    <w:bookmarkEnd w:id="3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 plan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nine months ended September 30, 2016 and 2017 were estimated using the following assumptions: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480" w:type="dxa"/>
            <w:vAlign w:val="bottom"/>
            <w:vMerge w:val="restart"/>
          </w:tcPr>
          <w:p>
            <w:pPr>
              <w:jc w:val="center"/>
              <w:ind w:left="1777"/>
              <w:spacing w:after="0"/>
              <w:rPr>
                <w:sz w:val="20"/>
                <w:szCs w:val="20"/>
                <w:color w:val="auto"/>
              </w:rPr>
            </w:pPr>
            <w:r>
              <w:rPr>
                <w:rFonts w:ascii="Times New Roman" w:cs="Times New Roman" w:eastAsia="Times New Roman" w:hAnsi="Times New Roman"/>
                <w:sz w:val="14"/>
                <w:szCs w:val="14"/>
                <w:color w:val="auto"/>
              </w:rPr>
              <w:t>Risk-free</w:t>
            </w:r>
          </w:p>
        </w:tc>
        <w:tc>
          <w:tcPr>
            <w:tcW w:w="132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rPr>
              <w:t>Dividend</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Volatility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Expected</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term</w:t>
            </w:r>
          </w:p>
        </w:tc>
        <w:tc>
          <w:tcPr>
            <w:tcW w:w="0" w:type="dxa"/>
            <w:vAlign w:val="bottom"/>
          </w:tcPr>
          <w:p>
            <w:pPr>
              <w:spacing w:after="0"/>
              <w:rPr>
                <w:sz w:val="1"/>
                <w:szCs w:val="1"/>
                <w:color w:val="auto"/>
              </w:rPr>
            </w:pPr>
          </w:p>
        </w:tc>
      </w:tr>
      <w:tr>
        <w:trPr>
          <w:trHeight w:val="149"/>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80" w:type="dxa"/>
            <w:vAlign w:val="bottom"/>
          </w:tcPr>
          <w:p>
            <w:pPr>
              <w:jc w:val="center"/>
              <w:ind w:left="1757"/>
              <w:spacing w:after="0" w:line="149" w:lineRule="exact"/>
              <w:rPr>
                <w:sz w:val="20"/>
                <w:szCs w:val="20"/>
                <w:color w:val="auto"/>
              </w:rPr>
            </w:pPr>
            <w:r>
              <w:rPr>
                <w:rFonts w:ascii="Times New Roman" w:cs="Times New Roman" w:eastAsia="Times New Roman" w:hAnsi="Times New Roman"/>
                <w:sz w:val="14"/>
                <w:szCs w:val="14"/>
                <w:color w:val="auto"/>
              </w:rPr>
              <w:t>interest rate</w:t>
            </w:r>
          </w:p>
        </w:tc>
        <w:tc>
          <w:tcPr>
            <w:tcW w:w="13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w w:val="99"/>
              </w:rPr>
              <w:t>yield</w:t>
            </w:r>
          </w:p>
        </w:tc>
        <w:tc>
          <w:tcPr>
            <w:tcW w:w="13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rate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3480" w:type="dxa"/>
            <w:vAlign w:val="bottom"/>
          </w:tcPr>
          <w:p>
            <w:pPr>
              <w:jc w:val="center"/>
              <w:ind w:left="1777"/>
              <w:spacing w:after="0"/>
              <w:rPr>
                <w:sz w:val="20"/>
                <w:szCs w:val="20"/>
                <w:color w:val="auto"/>
              </w:rPr>
            </w:pPr>
            <w:r>
              <w:rPr>
                <w:rFonts w:ascii="Times New Roman" w:cs="Times New Roman" w:eastAsia="Times New Roman" w:hAnsi="Times New Roman"/>
                <w:sz w:val="14"/>
                <w:szCs w:val="14"/>
                <w:color w:val="auto"/>
              </w:rPr>
              <w:t>(Note i)</w:t>
            </w: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(Note ii)</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(Note iii)</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(Note iv)</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4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4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50.52%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4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2.67%</w:t>
            </w:r>
          </w:p>
        </w:tc>
        <w:tc>
          <w:tcPr>
            <w:tcW w:w="13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April 1, 2017</w:t>
            </w:r>
          </w:p>
        </w:tc>
        <w:tc>
          <w:tcPr>
            <w:tcW w:w="34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2.59%</w:t>
            </w:r>
          </w:p>
        </w:tc>
        <w:tc>
          <w:tcPr>
            <w:tcW w:w="13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50.79%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2017</w:t>
            </w:r>
          </w:p>
        </w:tc>
        <w:tc>
          <w:tcPr>
            <w:tcW w:w="34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2.35%</w:t>
            </w:r>
          </w:p>
        </w:tc>
        <w:tc>
          <w:tcPr>
            <w:tcW w:w="13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47.59%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900" w:right="400" w:hanging="446"/>
        <w:spacing w:after="0" w:line="261" w:lineRule="auto"/>
        <w:tabs>
          <w:tab w:leader="none" w:pos="90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900" w:right="600" w:hanging="446"/>
        <w:spacing w:after="0" w:line="250" w:lineRule="auto"/>
        <w:tabs>
          <w:tab w:leader="none" w:pos="90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as at the valuation dates.</w:t>
      </w:r>
    </w:p>
    <w:p>
      <w:pPr>
        <w:ind w:left="900" w:hanging="446"/>
        <w:spacing w:after="0" w:line="255" w:lineRule="auto"/>
        <w:tabs>
          <w:tab w:leader="none" w:pos="90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to certain employees with performance conditions</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and September 30, 2017,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period ended September 30, 2017.</w:t>
      </w:r>
    </w:p>
    <w:p>
      <w:pPr>
        <w:spacing w:after="0" w:line="32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to certain employees</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320"/>
          </w:cols>
          <w:pgMar w:left="240" w:top="456" w:right="339" w:bottom="1440" w:gutter="0" w:footer="0" w:header="0"/>
        </w:sectPr>
      </w:pPr>
    </w:p>
    <w:bookmarkStart w:id="335" w:name="page336"/>
    <w:bookmarkEnd w:id="3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to certain employees (Continued)</w:t>
      </w:r>
    </w:p>
    <w:p>
      <w:pPr>
        <w:spacing w:after="0" w:line="134"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7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compensation costs recognized for the nine months ended September 30, 2016 and 2017 are as follows:</w:t>
      </w:r>
    </w:p>
    <w:p>
      <w:pPr>
        <w:spacing w:after="0" w:line="24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630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Other (losses)/gains, net</w:t>
            </w: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exchange (losses)/ gains</w:t>
            </w:r>
          </w:p>
        </w:tc>
        <w:tc>
          <w:tcPr>
            <w:tcW w:w="152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Income tax</w:t>
      </w:r>
    </w:p>
    <w:p>
      <w:pPr>
        <w:spacing w:after="0" w:line="131" w:lineRule="exact"/>
        <w:rPr>
          <w:sz w:val="20"/>
          <w:szCs w:val="20"/>
          <w:color w:val="auto"/>
        </w:rPr>
      </w:pPr>
    </w:p>
    <w:p>
      <w:pPr>
        <w:ind w:left="460" w:hanging="452"/>
        <w:spacing w:after="0"/>
        <w:tabs>
          <w:tab w:leader="none" w:pos="46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Cayman Islands</w:t>
      </w:r>
    </w:p>
    <w:p>
      <w:pPr>
        <w:spacing w:after="0" w:line="121" w:lineRule="exact"/>
        <w:rPr>
          <w:rFonts w:ascii="Times New Roman" w:cs="Times New Roman" w:eastAsia="Times New Roman" w:hAnsi="Times New Roman"/>
          <w:sz w:val="18"/>
          <w:szCs w:val="18"/>
          <w:b w:val="1"/>
          <w:bCs w:val="1"/>
          <w:color w:val="auto"/>
        </w:rPr>
      </w:pPr>
    </w:p>
    <w:p>
      <w:pPr>
        <w:ind w:left="4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Hong Kong profits tax</w:t>
      </w:r>
    </w:p>
    <w:p>
      <w:pPr>
        <w:spacing w:after="0" w:line="121"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Entities incorporated in Hong Kong are subject to Hong Kong profits tax at a rate of 16.5% on the estimated assessable profit for the nine months ended September 30, 2016 and September 30, 2017.</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420"/>
          </w:cols>
          <w:pgMar w:left="240" w:top="455" w:right="239" w:bottom="1440" w:gutter="0" w:footer="0" w:header="0"/>
        </w:sectPr>
      </w:pPr>
    </w:p>
    <w:bookmarkStart w:id="336" w:name="page337"/>
    <w:bookmarkEnd w:id="3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Income tax (Continued)</w:t>
      </w:r>
    </w:p>
    <w:p>
      <w:pPr>
        <w:spacing w:after="0" w:line="131" w:lineRule="exact"/>
        <w:rPr>
          <w:sz w:val="20"/>
          <w:szCs w:val="20"/>
          <w:color w:val="auto"/>
        </w:rPr>
      </w:pPr>
    </w:p>
    <w:p>
      <w:pPr>
        <w:ind w:left="460" w:hanging="452"/>
        <w:spacing w:after="0"/>
        <w:tabs>
          <w:tab w:leader="none" w:pos="460"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Enterprise Income Tax (“EIT”)</w:t>
      </w:r>
    </w:p>
    <w:p>
      <w:pPr>
        <w:spacing w:after="0" w:line="121" w:lineRule="exact"/>
        <w:rPr>
          <w:rFonts w:ascii="Times New Roman" w:cs="Times New Roman" w:eastAsia="Times New Roman" w:hAnsi="Times New Roman"/>
          <w:sz w:val="18"/>
          <w:szCs w:val="18"/>
          <w:b w:val="1"/>
          <w:bCs w:val="1"/>
          <w:color w:val="auto"/>
        </w:rPr>
      </w:pPr>
    </w:p>
    <w:p>
      <w:pPr>
        <w:ind w:left="460"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53" w:lineRule="exact"/>
        <w:rPr>
          <w:rFonts w:ascii="Times New Roman" w:cs="Times New Roman" w:eastAsia="Times New Roman" w:hAnsi="Times New Roman"/>
          <w:sz w:val="18"/>
          <w:szCs w:val="18"/>
          <w:b w:val="1"/>
          <w:bCs w:val="1"/>
          <w:color w:val="auto"/>
        </w:rPr>
      </w:pPr>
    </w:p>
    <w:p>
      <w:pPr>
        <w:ind w:left="46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79" w:lineRule="exact"/>
        <w:rPr>
          <w:rFonts w:ascii="Times New Roman" w:cs="Times New Roman" w:eastAsia="Times New Roman" w:hAnsi="Times New Roman"/>
          <w:sz w:val="18"/>
          <w:szCs w:val="18"/>
          <w:b w:val="1"/>
          <w:bCs w:val="1"/>
          <w:color w:val="auto"/>
        </w:rPr>
      </w:pPr>
    </w:p>
    <w:p>
      <w:pPr>
        <w:ind w:left="4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September 30, 2017.</w:t>
      </w:r>
    </w:p>
    <w:p>
      <w:pPr>
        <w:spacing w:after="0" w:line="27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Composition of income tax benefit/(expense)</w:t>
      </w:r>
    </w:p>
    <w:p>
      <w:pPr>
        <w:spacing w:after="0" w:line="119" w:lineRule="exact"/>
        <w:rPr>
          <w:rFonts w:ascii="Times New Roman" w:cs="Times New Roman" w:eastAsia="Times New Roman" w:hAnsi="Times New Roman"/>
          <w:sz w:val="18"/>
          <w:szCs w:val="18"/>
          <w:b w:val="1"/>
          <w:bCs w:val="1"/>
          <w:color w:val="auto"/>
        </w:rPr>
      </w:pPr>
    </w:p>
    <w:p>
      <w:pPr>
        <w:ind w:left="460" w:right="9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deferred portions of income tax benefit/(expense) included in the unaudited interim condensed consolidated statements of comprehensive loss are as follows:</w:t>
      </w:r>
    </w:p>
    <w:p>
      <w:pPr>
        <w:spacing w:after="0" w:line="18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618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balances as of December 31, 2016 and September 30, 2017 are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39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December 31,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3320" w:type="dxa"/>
            <w:vAlign w:val="bottom"/>
          </w:tcPr>
          <w:p>
            <w:pPr>
              <w:spacing w:after="0"/>
              <w:rPr>
                <w:sz w:val="14"/>
                <w:szCs w:val="14"/>
                <w:color w:val="auto"/>
              </w:rPr>
            </w:pPr>
          </w:p>
        </w:tc>
        <w:tc>
          <w:tcPr>
            <w:tcW w:w="35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48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4"/>
                <w:szCs w:val="14"/>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8"/>
                <w:szCs w:val="18"/>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 (Note i)</w:t>
            </w:r>
          </w:p>
        </w:tc>
        <w:tc>
          <w:tcPr>
            <w:tcW w:w="27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(6,838)</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(8,891)</w:t>
            </w:r>
          </w:p>
        </w:tc>
      </w:tr>
      <w:tr>
        <w:trPr>
          <w:trHeight w:val="216"/>
        </w:trPr>
        <w:tc>
          <w:tcPr>
            <w:tcW w:w="3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980" w:type="dxa"/>
            <w:vAlign w:val="bottom"/>
            <w:gridSpan w:val="3"/>
          </w:tcPr>
          <w:p>
            <w:pPr>
              <w:jc w:val="right"/>
              <w:ind w:right="2760"/>
              <w:spacing w:after="0"/>
              <w:rPr>
                <w:sz w:val="20"/>
                <w:szCs w:val="20"/>
                <w:color w:val="auto"/>
              </w:rPr>
            </w:pPr>
            <w:r>
              <w:rPr>
                <w:rFonts w:ascii="Times New Roman" w:cs="Times New Roman" w:eastAsia="Times New Roman" w:hAnsi="Times New Roman"/>
                <w:sz w:val="18"/>
                <w:szCs w:val="18"/>
                <w:color w:val="auto"/>
              </w:rPr>
              <w:t>F-111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337" w:name="page338"/>
    <w:bookmarkEnd w:id="3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(Continued)</w:t>
      </w:r>
    </w:p>
    <w:p>
      <w:pPr>
        <w:spacing w:after="0" w:line="11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Deferred tax assets and liabilities (Continued)</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1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December 31,</w:t>
            </w:r>
          </w:p>
        </w:tc>
        <w:tc>
          <w:tcPr>
            <w:tcW w:w="1380" w:type="dxa"/>
            <w:vAlign w:val="bottom"/>
            <w:gridSpan w:val="3"/>
          </w:tcPr>
          <w:p>
            <w:pPr>
              <w:jc w:val="center"/>
              <w:ind w:left="216"/>
              <w:spacing w:after="0"/>
              <w:rPr>
                <w:sz w:val="20"/>
                <w:szCs w:val="20"/>
                <w:color w:val="auto"/>
              </w:rPr>
            </w:pPr>
            <w:r>
              <w:rPr>
                <w:rFonts w:ascii="Times New Roman" w:cs="Times New Roman" w:eastAsia="Times New Roman" w:hAnsi="Times New Roman"/>
                <w:sz w:val="14"/>
                <w:szCs w:val="14"/>
                <w:color w:val="auto"/>
              </w:rPr>
              <w:t>September 30,</w:t>
            </w:r>
          </w:p>
        </w:tc>
      </w:tr>
      <w:tr>
        <w:trPr>
          <w:trHeight w:val="185"/>
        </w:trPr>
        <w:tc>
          <w:tcPr>
            <w:tcW w:w="4200" w:type="dxa"/>
            <w:vAlign w:val="bottom"/>
          </w:tcPr>
          <w:p>
            <w:pPr>
              <w:spacing w:after="0"/>
              <w:rPr>
                <w:sz w:val="16"/>
                <w:szCs w:val="16"/>
                <w:color w:val="auto"/>
              </w:rPr>
            </w:pPr>
          </w:p>
        </w:tc>
        <w:tc>
          <w:tcPr>
            <w:tcW w:w="26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48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6"/>
                <w:szCs w:val="16"/>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(3,677)</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(2,897)</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basis difference (Note ii)</w:t>
            </w: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8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4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(3,705)</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r>
      <w:tr>
        <w:trPr>
          <w:trHeight w:val="20"/>
        </w:trPr>
        <w:tc>
          <w:tcPr>
            <w:tcW w:w="4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54" w:lineRule="exact"/>
        <w:rPr>
          <w:sz w:val="20"/>
          <w:szCs w:val="20"/>
          <w:color w:val="auto"/>
        </w:rPr>
      </w:pPr>
    </w:p>
    <w:p>
      <w:pPr>
        <w:ind w:left="900" w:right="160" w:hanging="446"/>
        <w:spacing w:after="0" w:line="256" w:lineRule="auto"/>
        <w:tabs>
          <w:tab w:leader="none" w:pos="9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48"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912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5,804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2,177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7,981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(ii)</w:t>
        <w:tab/>
        <w:t>The deferred tax liabilities are recorded for the undistributed earnings in the Group’s VIE and its subsidiary.</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 loss carryforwards</w:t>
      </w:r>
    </w:p>
    <w:p>
      <w:pPr>
        <w:spacing w:after="0" w:line="119" w:lineRule="exact"/>
        <w:rPr>
          <w:sz w:val="20"/>
          <w:szCs w:val="20"/>
          <w:color w:val="auto"/>
        </w:rPr>
      </w:pPr>
    </w:p>
    <w:p>
      <w:pPr>
        <w:ind w:left="460" w:right="300"/>
        <w:spacing w:after="0" w:line="282" w:lineRule="auto"/>
        <w:rPr>
          <w:sz w:val="20"/>
          <w:szCs w:val="20"/>
          <w:color w:val="auto"/>
        </w:rPr>
      </w:pPr>
      <w:r>
        <w:rPr>
          <w:rFonts w:ascii="Times New Roman" w:cs="Times New Roman" w:eastAsia="Times New Roman" w:hAnsi="Times New Roman"/>
          <w:sz w:val="18"/>
          <w:szCs w:val="18"/>
          <w:color w:val="auto"/>
        </w:rPr>
        <w:t>As of September 30, 2017, the Group had tax loss carryforwards of approximately US$36,436, which can be carried forward to offset future taxable income. The net operating tax loss carry forwards will begin to expire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5780" w:type="dxa"/>
            <w:vAlign w:val="bottom"/>
            <w:gridSpan w:val="3"/>
          </w:tcPr>
          <w:p>
            <w:pPr>
              <w:ind w:left="4560"/>
              <w:spacing w:after="0"/>
              <w:rPr>
                <w:sz w:val="20"/>
                <w:szCs w:val="20"/>
                <w:color w:val="auto"/>
              </w:rPr>
            </w:pPr>
            <w:r>
              <w:rPr>
                <w:rFonts w:ascii="Times New Roman" w:cs="Times New Roman" w:eastAsia="Times New Roman" w:hAnsi="Times New Roman"/>
                <w:sz w:val="14"/>
                <w:szCs w:val="14"/>
                <w:color w:val="auto"/>
              </w:rPr>
              <w:t>September 30, 2017</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2017</w:t>
            </w:r>
          </w:p>
        </w:tc>
        <w:tc>
          <w:tcPr>
            <w:tcW w:w="5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with no expiry</w:t>
            </w:r>
          </w:p>
        </w:tc>
        <w:tc>
          <w:tcPr>
            <w:tcW w:w="5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60" w:type="dxa"/>
            <w:vAlign w:val="bottom"/>
            <w:shd w:val="clear" w:color="auto" w:fill="CCEEFF"/>
          </w:tcPr>
          <w:p>
            <w:pPr>
              <w:spacing w:after="0"/>
              <w:rPr>
                <w:sz w:val="18"/>
                <w:szCs w:val="18"/>
                <w:color w:val="auto"/>
              </w:rPr>
            </w:pPr>
          </w:p>
        </w:tc>
      </w:tr>
      <w:tr>
        <w:trPr>
          <w:trHeight w:val="223"/>
        </w:trPr>
        <w:tc>
          <w:tcPr>
            <w:tcW w:w="29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36,436</w:t>
            </w:r>
          </w:p>
        </w:tc>
        <w:tc>
          <w:tcPr>
            <w:tcW w:w="6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57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F-112</w:t>
            </w:r>
          </w:p>
        </w:tc>
      </w:tr>
    </w:tbl>
    <w:p>
      <w:pPr>
        <w:sectPr>
          <w:pgSz w:w="11900" w:h="16838" w:orient="portrait"/>
          <w:cols w:equalWidth="0" w:num="1">
            <w:col w:w="11420"/>
          </w:cols>
          <w:pgMar w:left="240" w:top="455" w:right="239" w:bottom="1440" w:gutter="0" w:footer="0" w:header="0"/>
        </w:sectPr>
      </w:pPr>
    </w:p>
    <w:bookmarkStart w:id="338" w:name="page339"/>
    <w:bookmarkEnd w:id="3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(Continued)</w:t>
      </w:r>
    </w:p>
    <w:p>
      <w:pPr>
        <w:spacing w:after="0" w:line="11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Tax loss carryforwards (Continued)</w:t>
      </w:r>
    </w:p>
    <w:p>
      <w:pPr>
        <w:spacing w:after="0" w:line="132"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September 30, 2017.</w:t>
      </w:r>
    </w:p>
    <w:p>
      <w:pPr>
        <w:spacing w:after="0" w:line="32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for the nine months ended September 30, 2016 and 2017 are calculated as follows:</w:t>
      </w:r>
    </w:p>
    <w:p>
      <w:pPr>
        <w:spacing w:after="0" w:line="248"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color w:val="auto"/>
        </w:rPr>
        <w:t>For the nine months</w:t>
      </w:r>
    </w:p>
    <w:p>
      <w:pPr>
        <w:ind w:left="9540"/>
        <w:spacing w:after="0" w:line="236" w:lineRule="auto"/>
        <w:rPr>
          <w:sz w:val="20"/>
          <w:szCs w:val="20"/>
          <w:color w:val="auto"/>
        </w:rPr>
      </w:pPr>
      <w:r>
        <w:rPr>
          <w:rFonts w:ascii="Times New Roman" w:cs="Times New Roman" w:eastAsia="Times New Roman" w:hAnsi="Times New Roman"/>
          <w:sz w:val="14"/>
          <w:szCs w:val="14"/>
          <w:color w:val="auto"/>
        </w:rPr>
        <w:t>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the Company</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redeemable preferred shares redemption value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of basic net loss per share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(10,107)</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and diluted net loss per share — weighted average shares outstanding</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13,140,755</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13,622,172</w:t>
            </w:r>
          </w:p>
        </w:tc>
        <w:tc>
          <w:tcPr>
            <w:tcW w:w="0" w:type="dxa"/>
            <w:vAlign w:val="bottom"/>
          </w:tcPr>
          <w:p>
            <w:pPr>
              <w:spacing w:after="0"/>
              <w:rPr>
                <w:sz w:val="1"/>
                <w:szCs w:val="1"/>
                <w:color w:val="auto"/>
              </w:rPr>
            </w:pPr>
          </w:p>
        </w:tc>
      </w:tr>
      <w:tr>
        <w:trPr>
          <w:trHeight w:val="216"/>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continue"/>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gridSpan w:val="2"/>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2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(0.77)</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240"/>
        <w:spacing w:after="0" w:line="261" w:lineRule="auto"/>
        <w:rPr>
          <w:sz w:val="20"/>
          <w:szCs w:val="20"/>
          <w:color w:val="auto"/>
        </w:rPr>
      </w:pPr>
      <w:r>
        <w:rPr>
          <w:rFonts w:ascii="Times New Roman" w:cs="Times New Roman" w:eastAsia="Times New Roman" w:hAnsi="Times New Roman"/>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nine months ended September 30, 2016 and 2017.</w:t>
      </w:r>
    </w:p>
    <w:p>
      <w:pPr>
        <w:spacing w:after="0" w:line="72"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54"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84"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color w:val="auto"/>
        </w:rPr>
        <w:t>For the nine months ended</w:t>
      </w:r>
    </w:p>
    <w:p>
      <w:pPr>
        <w:jc w:val="center"/>
        <w:ind w:left="6600"/>
        <w:spacing w:after="0" w:line="236" w:lineRule="auto"/>
        <w:rPr>
          <w:sz w:val="20"/>
          <w:szCs w:val="20"/>
          <w:color w:val="auto"/>
        </w:rPr>
      </w:pPr>
      <w:r>
        <w:rPr>
          <w:rFonts w:ascii="Times New Roman" w:cs="Times New Roman" w:eastAsia="Times New Roman" w:hAnsi="Times New Roman"/>
          <w:sz w:val="14"/>
          <w:szCs w:val="14"/>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 weighted average (thousands)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 weighted average (thousands)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ordinary shares — weighted average (thousands)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 w:type="dxa"/>
            <w:vAlign w:val="bottom"/>
            <w:shd w:val="clear" w:color="auto" w:fill="CCEEFF"/>
          </w:tcPr>
          <w:p>
            <w:pPr>
              <w:spacing w:after="0"/>
              <w:rPr>
                <w:sz w:val="18"/>
                <w:szCs w:val="18"/>
                <w:color w:val="auto"/>
              </w:rPr>
            </w:pPr>
          </w:p>
        </w:tc>
      </w:tr>
      <w:tr>
        <w:trPr>
          <w:trHeight w:val="365"/>
        </w:trPr>
        <w:tc>
          <w:tcPr>
            <w:tcW w:w="666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F-113</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39" w:name="page340"/>
    <w:bookmarkEnd w:id="3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commitments</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53" w:lineRule="exact"/>
        <w:rPr>
          <w:rFonts w:ascii="Times New Roman" w:cs="Times New Roman" w:eastAsia="Times New Roman" w:hAnsi="Times New Roman"/>
          <w:sz w:val="18"/>
          <w:szCs w:val="18"/>
          <w:b w:val="1"/>
          <w:bCs w:val="1"/>
          <w:color w:val="auto"/>
        </w:rPr>
      </w:pPr>
    </w:p>
    <w:p>
      <w:pPr>
        <w:ind w:left="4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office rental expenses under all operating leases were US$2,206 and US$1952 for the nine months ended September 30, 2016 and September 30, 2017, respectively.</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2017, future minimum payments under non-cancellable operating leases for office rental consist of the following:</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of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8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2017, no purchase commitments were related to the purchase of space for its online marketing services.</w:t>
      </w:r>
    </w:p>
    <w:p>
      <w:pPr>
        <w:spacing w:after="0" w:line="36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the business, the Group is subject to periodic legal or administrative proceedings. As of September 30, 2017, the Group is not a party to any legal or administrative proceedings which will have a material adverse effect on the Group’s business, financial position, results of operations and cash flows.</w:t>
      </w:r>
    </w:p>
    <w:p>
      <w:pPr>
        <w:spacing w:after="0" w:line="321" w:lineRule="exact"/>
        <w:rPr>
          <w:sz w:val="20"/>
          <w:szCs w:val="20"/>
          <w:color w:val="auto"/>
        </w:rPr>
      </w:pPr>
    </w:p>
    <w:p>
      <w:pPr>
        <w:ind w:left="460" w:hanging="452"/>
        <w:spacing w:after="0"/>
        <w:tabs>
          <w:tab w:leader="none" w:pos="46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balance sheet and net loss per share</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completion of a qualified initial public offering, the Series A, B, C, D and E preferred shares shall automatically be converted into ordinary shares. The unaudited pro-forma balance sheet as of September 30, 2017 assumes a qualified initial public offering has occurred and presents an adjusted financial position as if the conversion of all outstanding Series A, B, C, D and E preferred shares into ordinary shares at the conversion ratio as described in Note 15 to the condensed consolidated financial statements occurred on September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For the nine</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months ended</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5140" w:type="dxa"/>
            <w:vAlign w:val="bottom"/>
          </w:tcPr>
          <w:p>
            <w:pPr>
              <w:spacing w:after="0"/>
              <w:rPr>
                <w:sz w:val="14"/>
                <w:szCs w:val="14"/>
                <w:color w:val="auto"/>
              </w:rPr>
            </w:pPr>
          </w:p>
        </w:tc>
        <w:tc>
          <w:tcPr>
            <w:tcW w:w="6180" w:type="dxa"/>
            <w:vAlign w:val="bottom"/>
            <w:gridSpan w:val="2"/>
          </w:tcPr>
          <w:p>
            <w:pPr>
              <w:jc w:val="center"/>
              <w:ind w:left="5233"/>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4"/>
                <w:szCs w:val="14"/>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5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iClick Interactive Asia Group Limited</w:t>
            </w:r>
          </w:p>
        </w:tc>
        <w:tc>
          <w:tcPr>
            <w:tcW w:w="6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(17,768)</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to convertible redeemable shares redemption value</w:t>
            </w:r>
          </w:p>
        </w:tc>
        <w:tc>
          <w:tcPr>
            <w:tcW w:w="6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6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loss on derivative liabilities</w:t>
            </w:r>
          </w:p>
        </w:tc>
        <w:tc>
          <w:tcPr>
            <w:tcW w:w="6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7,056</w:t>
            </w:r>
          </w:p>
        </w:tc>
      </w:tr>
      <w:tr>
        <w:trPr>
          <w:trHeight w:val="234"/>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 for pro-forma basic and diluted net loss per share</w:t>
            </w:r>
          </w:p>
        </w:tc>
        <w:tc>
          <w:tcPr>
            <w:tcW w:w="6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(8,828)</w:t>
            </w:r>
          </w:p>
        </w:tc>
      </w:tr>
      <w:tr>
        <w:trPr>
          <w:trHeight w:val="346"/>
        </w:trPr>
        <w:tc>
          <w:tcPr>
            <w:tcW w:w="5140" w:type="dxa"/>
            <w:vAlign w:val="bottom"/>
          </w:tcPr>
          <w:p>
            <w:pPr>
              <w:spacing w:after="0"/>
              <w:rPr>
                <w:sz w:val="24"/>
                <w:szCs w:val="24"/>
                <w:color w:val="auto"/>
              </w:rPr>
            </w:pPr>
          </w:p>
        </w:tc>
        <w:tc>
          <w:tcPr>
            <w:tcW w:w="6280" w:type="dxa"/>
            <w:vAlign w:val="bottom"/>
            <w:gridSpan w:val="3"/>
          </w:tcPr>
          <w:p>
            <w:pPr>
              <w:jc w:val="right"/>
              <w:ind w:right="5500"/>
              <w:spacing w:after="0"/>
              <w:rPr>
                <w:sz w:val="20"/>
                <w:szCs w:val="20"/>
                <w:color w:val="auto"/>
              </w:rPr>
            </w:pPr>
            <w:r>
              <w:rPr>
                <w:rFonts w:ascii="Times New Roman" w:cs="Times New Roman" w:eastAsia="Times New Roman" w:hAnsi="Times New Roman"/>
                <w:sz w:val="18"/>
                <w:szCs w:val="18"/>
                <w:color w:val="auto"/>
              </w:rPr>
              <w:t>F-114</w:t>
            </w:r>
          </w:p>
        </w:tc>
      </w:tr>
    </w:tbl>
    <w:p>
      <w:pPr>
        <w:sectPr>
          <w:pgSz w:w="11900" w:h="16838" w:orient="portrait"/>
          <w:cols w:equalWidth="0" w:num="1">
            <w:col w:w="11420"/>
          </w:cols>
          <w:pgMar w:left="240" w:top="456" w:right="239" w:bottom="1440" w:gutter="0" w:footer="0" w:header="0"/>
        </w:sectPr>
      </w:pPr>
    </w:p>
    <w:bookmarkStart w:id="340" w:name="page341"/>
    <w:bookmarkEnd w:id="3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 pro forma balance sheet and net loss per share (Continued)</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For the nine</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99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months ended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280" w:type="dxa"/>
            <w:vAlign w:val="bottom"/>
            <w:tcBorders>
              <w:bottom w:val="single" w:sz="8" w:color="CCEEFF"/>
            </w:tcBorders>
          </w:tcPr>
          <w:p>
            <w:pPr>
              <w:spacing w:after="0"/>
              <w:rPr>
                <w:sz w:val="14"/>
                <w:szCs w:val="14"/>
                <w:color w:val="auto"/>
              </w:rPr>
            </w:pPr>
          </w:p>
        </w:tc>
        <w:tc>
          <w:tcPr>
            <w:tcW w:w="99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13,622,172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Pro-forma effect of the conversion of Series A preferred shares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2,493,018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Pro-forma effect of the conversion of Series B preferred shares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1,599,186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Pro-forma effect of the conversion of Series C preferred shares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1,889,249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Pro-forma effect of the conversion of Series D preferred shares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2,476,190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Pro-forma effect of the conversion of Series E preferred shares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1,068,114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Pro-forma effect of redeemable ordinary shares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742,320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Denominator for pro-forma basic and diluted net loss per share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23,890,249</w:t>
            </w:r>
          </w:p>
        </w:tc>
        <w:tc>
          <w:tcPr>
            <w:tcW w:w="0" w:type="dxa"/>
            <w:vAlign w:val="bottom"/>
          </w:tcPr>
          <w:p>
            <w:pPr>
              <w:spacing w:after="0"/>
              <w:rPr>
                <w:sz w:val="1"/>
                <w:szCs w:val="1"/>
                <w:color w:val="auto"/>
              </w:rPr>
            </w:pPr>
          </w:p>
        </w:tc>
      </w:tr>
      <w:tr>
        <w:trPr>
          <w:trHeight w:val="324"/>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Pro-forma net loss per share: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460" w:hanging="452"/>
        <w:spacing w:after="0"/>
        <w:tabs>
          <w:tab w:leader="none" w:pos="46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evaluated subsequent events through November 22, 2017, the date on which these financial statements were issued.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420"/>
          </w:cols>
          <w:pgMar w:left="240" w:top="455" w:right="239" w:bottom="1440" w:gutter="0" w:footer="0" w:header="0"/>
        </w:sectPr>
      </w:pPr>
    </w:p>
    <w:bookmarkStart w:id="341" w:name="page342"/>
    <w:bookmarkEnd w:id="3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Management of OptAim Limited</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the Consolidated Financial Statements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2017</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420"/>
          </w:cols>
          <w:pgMar w:left="240" w:top="455" w:right="239" w:bottom="1440" w:gutter="0" w:footer="0" w:header="0"/>
        </w:sectPr>
      </w:pPr>
    </w:p>
    <w:bookmarkStart w:id="342" w:name="page343"/>
    <w:bookmarkEnd w:id="3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100" w:type="dxa"/>
            <w:vAlign w:val="bottom"/>
          </w:tcPr>
          <w:p>
            <w:pPr>
              <w:spacing w:after="0"/>
              <w:rPr>
                <w:sz w:val="16"/>
                <w:szCs w:val="16"/>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US$nil as of July 23, 2015</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 entity (“VIE”) and its subsidiary without recourse to</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Company of US$1,096 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revenue (including deferred revenue of the consolidated VIE and its subsidiary without recourse to the Company of US$5,240 as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July 23, 2015)</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 other current liabilities of the consolidated VIE and its</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subsidiary without recourse to the Company of US$521 as of July 23, 2015)</w:t>
            </w:r>
          </w:p>
        </w:tc>
        <w:tc>
          <w:tcPr>
            <w:tcW w:w="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due to a related party (including amount due to a related party of the consolidated VIE and its subsidiary without recourse to the</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of US$537 as of July 23, 2015)</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payable (including income tax payable of the consolidated VIE and its subsidiary without recourse to the Company of US$44</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420"/>
          </w:cols>
          <w:pgMar w:left="240" w:top="455" w:right="239" w:bottom="1440" w:gutter="0" w:footer="0" w:header="0"/>
        </w:sectPr>
      </w:pPr>
    </w:p>
    <w:bookmarkStart w:id="343" w:name="page344"/>
    <w:bookmarkEnd w:id="3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2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Note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(2,050)</w:t>
            </w:r>
          </w:p>
        </w:tc>
      </w:tr>
      <w:tr>
        <w:trPr>
          <w:trHeight w:val="230"/>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420"/>
          </w:cols>
          <w:pgMar w:left="240" w:top="455" w:right="239" w:bottom="1440" w:gutter="0" w:footer="0" w:header="0"/>
        </w:sectPr>
      </w:pPr>
    </w:p>
    <w:bookmarkStart w:id="344" w:name="page345"/>
    <w:bookmarkEnd w:id="3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312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Note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420"/>
          </w:cols>
          <w:pgMar w:left="240" w:top="456" w:right="239" w:bottom="1440" w:gutter="0" w:footer="0" w:header="0"/>
        </w:sectPr>
      </w:pPr>
    </w:p>
    <w:bookmarkStart w:id="345" w:name="page346"/>
    <w:bookmarkEnd w:id="3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color w:val="auto"/>
              </w:rPr>
              <w:t>Series A1 convertible preferred</w:t>
            </w:r>
          </w:p>
        </w:tc>
        <w:tc>
          <w:tcPr>
            <w:tcW w:w="15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Ordinary shares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w w:val="99"/>
              </w:rPr>
              <w:t>Currency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Number of</w:t>
            </w: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Number of</w:t>
            </w: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Additional</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Accumulated</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Statutory</w:t>
            </w: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5"/>
              </w:rPr>
              <w:t>Amount</w:t>
            </w:r>
          </w:p>
        </w:tc>
        <w:tc>
          <w:tcPr>
            <w:tcW w:w="10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660" w:type="dxa"/>
            <w:vAlign w:val="bottom"/>
            <w:gridSpan w:val="2"/>
            <w:vMerge w:val="continue"/>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9"/>
              </w:rPr>
              <w:t>paid-in capital</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deficit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Reserve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differences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feature of Series A-1 preferred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420"/>
          </w:cols>
          <w:pgMar w:left="240" w:top="455" w:right="239" w:bottom="1440" w:gutter="0" w:footer="0" w:header="0"/>
        </w:sectPr>
      </w:pPr>
    </w:p>
    <w:bookmarkStart w:id="346" w:name="page347"/>
    <w:bookmarkEnd w:id="3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5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Net profit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(2,438)</w:t>
            </w:r>
          </w:p>
        </w:tc>
      </w:tr>
      <w:tr>
        <w:trPr>
          <w:trHeight w:val="223"/>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23"/>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420"/>
          </w:cols>
          <w:pgMar w:left="240" w:top="455" w:right="239" w:bottom="1440" w:gutter="0" w:footer="0" w:header="0"/>
        </w:sectPr>
      </w:pPr>
    </w:p>
    <w:bookmarkStart w:id="347" w:name="page348"/>
    <w:bookmarkEnd w:id="3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51" w:lineRule="exact"/>
        <w:rPr>
          <w:sz w:val="20"/>
          <w:szCs w:val="20"/>
          <w:color w:val="auto"/>
        </w:rPr>
      </w:pPr>
    </w:p>
    <w:p>
      <w:pPr>
        <w:ind w:left="460" w:hanging="452"/>
        <w:spacing w:after="0"/>
        <w:tabs>
          <w:tab w:leader="none" w:pos="46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w:t>
      </w:r>
    </w:p>
    <w:p>
      <w:pPr>
        <w:spacing w:after="0" w:line="121" w:lineRule="exact"/>
        <w:rPr>
          <w:rFonts w:ascii="Times New Roman" w:cs="Times New Roman" w:eastAsia="Times New Roman" w:hAnsi="Times New Roman"/>
          <w:sz w:val="18"/>
          <w:szCs w:val="18"/>
          <w:b w:val="1"/>
          <w:bCs w:val="1"/>
          <w:color w:val="auto"/>
        </w:rPr>
      </w:pPr>
    </w:p>
    <w:p>
      <w:pPr>
        <w:ind w:left="4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53"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direct</w:t>
            </w: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Date of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Place of</w:t>
            </w:r>
          </w:p>
        </w:tc>
        <w:tc>
          <w:tcPr>
            <w:tcW w:w="13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Principal</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Relationship</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or indirect</w:t>
            </w:r>
          </w:p>
        </w:tc>
        <w:tc>
          <w:tcPr>
            <w:tcW w:w="108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ownership</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incorporation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establishment</w:t>
            </w:r>
          </w:p>
        </w:tc>
        <w:tc>
          <w:tcPr>
            <w:tcW w:w="1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OptAim (HK) Limited</w:t>
            </w:r>
          </w:p>
        </w:tc>
        <w:tc>
          <w:tcPr>
            <w:tcW w:w="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4"/>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198"/>
        </w:trPr>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OptAim (Beijing) Information Technology Co., Ltd.</w:t>
            </w:r>
          </w:p>
        </w:tc>
        <w:tc>
          <w:tcPr>
            <w:tcW w:w="1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1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November</w:t>
            </w:r>
          </w:p>
        </w:tc>
        <w:tc>
          <w:tcPr>
            <w:tcW w:w="11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211"/>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The PRC</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w:t>
            </w:r>
          </w:p>
        </w:tc>
        <w:tc>
          <w:tcPr>
            <w:tcW w:w="0" w:type="dxa"/>
            <w:vAlign w:val="bottom"/>
          </w:tcPr>
          <w:p>
            <w:pPr>
              <w:spacing w:after="0"/>
              <w:rPr>
                <w:sz w:val="1"/>
                <w:szCs w:val="1"/>
                <w:color w:val="auto"/>
              </w:rPr>
            </w:pPr>
          </w:p>
        </w:tc>
      </w:tr>
      <w:tr>
        <w:trPr>
          <w:trHeight w:val="234"/>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198"/>
        </w:trPr>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Zhiyunzhong (Shanghai) Technology Co., Ltd.</w:t>
            </w:r>
          </w:p>
        </w:tc>
        <w:tc>
          <w:tcPr>
            <w:tcW w:w="1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VIE’s</w:t>
            </w: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1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1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60" w:hanging="452"/>
        <w:spacing w:after="0"/>
        <w:tabs>
          <w:tab w:leader="none" w:pos="46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incorporated in the Cayman Islands in July 2014.</w:t>
      </w:r>
    </w:p>
    <w:p>
      <w:pPr>
        <w:spacing w:after="0" w:line="117"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68"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1" w:lineRule="exact"/>
        <w:rPr>
          <w:rFonts w:ascii="Times New Roman" w:cs="Times New Roman" w:eastAsia="Times New Roman" w:hAnsi="Times New Roman"/>
          <w:sz w:val="18"/>
          <w:szCs w:val="18"/>
          <w:b w:val="1"/>
          <w:bCs w:val="1"/>
          <w:color w:val="auto"/>
        </w:rPr>
      </w:pPr>
    </w:p>
    <w:p>
      <w:pPr>
        <w:ind w:left="4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420"/>
          </w:cols>
          <w:pgMar w:left="240" w:top="455" w:right="239" w:bottom="1440" w:gutter="0" w:footer="0" w:header="0"/>
        </w:sectPr>
      </w:pPr>
    </w:p>
    <w:bookmarkStart w:id="348" w:name="page349"/>
    <w:bookmarkEnd w:id="3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68" w:lineRule="exact"/>
        <w:rPr>
          <w:rFonts w:ascii="Times New Roman" w:cs="Times New Roman" w:eastAsia="Times New Roman" w:hAnsi="Times New Roman"/>
          <w:sz w:val="18"/>
          <w:szCs w:val="18"/>
          <w:b w:val="1"/>
          <w:bCs w:val="1"/>
          <w:color w:val="auto"/>
        </w:rPr>
      </w:pPr>
    </w:p>
    <w:p>
      <w:pPr>
        <w:ind w:left="4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w:t>
      </w:r>
    </w:p>
    <w:p>
      <w:pPr>
        <w:spacing w:after="0" w:line="121" w:lineRule="exact"/>
        <w:rPr>
          <w:rFonts w:ascii="Times New Roman" w:cs="Times New Roman" w:eastAsia="Times New Roman" w:hAnsi="Times New Roman"/>
          <w:sz w:val="18"/>
          <w:szCs w:val="18"/>
          <w:b w:val="1"/>
          <w:bCs w:val="1"/>
          <w:color w:val="auto"/>
        </w:rPr>
      </w:pPr>
    </w:p>
    <w:p>
      <w:pPr>
        <w:jc w:val="both"/>
        <w:ind w:left="4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8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OptAim VIE</w:t>
      </w:r>
    </w:p>
    <w:p>
      <w:pPr>
        <w:spacing w:after="0" w:line="117"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relationships with OptAim VIE and its shareholders are governed by the following contractual arrangements which were entered into on January 16, 2015:</w:t>
      </w:r>
    </w:p>
    <w:p>
      <w:pPr>
        <w:spacing w:after="0" w:line="67" w:lineRule="exact"/>
        <w:rPr>
          <w:sz w:val="20"/>
          <w:szCs w:val="20"/>
          <w:color w:val="auto"/>
        </w:rPr>
      </w:pPr>
    </w:p>
    <w:p>
      <w:pPr>
        <w:ind w:left="900" w:hanging="446"/>
        <w:spacing w:after="0"/>
        <w:tabs>
          <w:tab w:leader="none" w:pos="9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Agreement</w:t>
      </w:r>
    </w:p>
    <w:p>
      <w:pPr>
        <w:spacing w:after="0" w:line="117" w:lineRule="exact"/>
        <w:rPr>
          <w:sz w:val="20"/>
          <w:szCs w:val="20"/>
          <w:color w:val="auto"/>
        </w:rPr>
      </w:pPr>
    </w:p>
    <w:p>
      <w:pPr>
        <w:ind w:left="920" w:right="80"/>
        <w:spacing w:after="0" w:line="261" w:lineRule="auto"/>
        <w:rPr>
          <w:sz w:val="20"/>
          <w:szCs w:val="20"/>
          <w:color w:val="auto"/>
        </w:rPr>
      </w:pPr>
      <w:r>
        <w:rPr>
          <w:rFonts w:ascii="Times New Roman" w:cs="Times New Roman" w:eastAsia="Times New Roman" w:hAnsi="Times New Roman"/>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86" w:lineRule="exact"/>
        <w:rPr>
          <w:sz w:val="20"/>
          <w:szCs w:val="20"/>
          <w:color w:val="auto"/>
        </w:rPr>
      </w:pPr>
    </w:p>
    <w:p>
      <w:pPr>
        <w:ind w:left="900" w:hanging="446"/>
        <w:spacing w:after="0"/>
        <w:tabs>
          <w:tab w:leader="none" w:pos="9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 Agreement</w:t>
      </w:r>
    </w:p>
    <w:p>
      <w:pPr>
        <w:spacing w:after="0" w:line="117"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93" w:lineRule="exact"/>
        <w:rPr>
          <w:sz w:val="20"/>
          <w:szCs w:val="20"/>
          <w:color w:val="auto"/>
        </w:rPr>
      </w:pPr>
    </w:p>
    <w:p>
      <w:pPr>
        <w:ind w:left="900" w:hanging="446"/>
        <w:spacing w:after="0"/>
        <w:tabs>
          <w:tab w:leader="none" w:pos="9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 association of OptAim VIE. The power of attorney will remain in force until OptAim WFOE provides prior written notice to OptAim VIE.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F-123</w:t>
      </w:r>
    </w:p>
    <w:p>
      <w:pPr>
        <w:sectPr>
          <w:pgSz w:w="11900" w:h="16838" w:orient="portrait"/>
          <w:cols w:equalWidth="0" w:num="1">
            <w:col w:w="11400"/>
          </w:cols>
          <w:pgMar w:left="240" w:top="456" w:right="259" w:bottom="1440" w:gutter="0" w:footer="0" w:header="0"/>
        </w:sectPr>
      </w:pPr>
    </w:p>
    <w:bookmarkStart w:id="349" w:name="page350"/>
    <w:bookmarkEnd w:id="3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right="6940" w:hanging="452"/>
        <w:spacing w:after="0" w:line="263" w:lineRule="auto"/>
        <w:tabs>
          <w:tab w:leader="none" w:pos="449"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VIE and VIE’s subsidiary (Continued) </w:t>
      </w:r>
      <w:r>
        <w:rPr>
          <w:rFonts w:ascii="Times New Roman" w:cs="Times New Roman" w:eastAsia="Times New Roman" w:hAnsi="Times New Roman"/>
          <w:sz w:val="18"/>
          <w:szCs w:val="18"/>
          <w:u w:val="single" w:color="auto"/>
          <w:color w:val="auto"/>
        </w:rPr>
        <w:t>OptAim VIE (Continued)</w:t>
      </w:r>
    </w:p>
    <w:p>
      <w:pPr>
        <w:ind w:left="900" w:hanging="446"/>
        <w:spacing w:after="0"/>
        <w:tabs>
          <w:tab w:leader="none" w:pos="9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99"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80"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67" w:lineRule="exact"/>
        <w:rPr>
          <w:sz w:val="20"/>
          <w:szCs w:val="20"/>
          <w:color w:val="auto"/>
        </w:rPr>
      </w:pPr>
    </w:p>
    <w:p>
      <w:pPr>
        <w:ind w:left="1460" w:right="60" w:hanging="547"/>
        <w:spacing w:after="0" w:line="282" w:lineRule="auto"/>
        <w:tabs>
          <w:tab w:leader="none" w:pos="14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VIE whereby having the power to direct OptAim VIE’s activities that most significantly drive the economic results of OptAim VIE;</w:t>
      </w:r>
    </w:p>
    <w:p>
      <w:pPr>
        <w:spacing w:after="0" w:line="67" w:lineRule="exact"/>
        <w:rPr>
          <w:rFonts w:ascii="Times New Roman" w:cs="Times New Roman" w:eastAsia="Times New Roman" w:hAnsi="Times New Roman"/>
          <w:sz w:val="18"/>
          <w:szCs w:val="18"/>
          <w:color w:val="auto"/>
        </w:rPr>
      </w:pPr>
    </w:p>
    <w:p>
      <w:pPr>
        <w:ind w:left="1460" w:right="400" w:hanging="547"/>
        <w:spacing w:after="0" w:line="282" w:lineRule="auto"/>
        <w:tabs>
          <w:tab w:leader="none" w:pos="14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OptAim VIE as if it was their sole shareholder;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6" w:lineRule="auto"/>
        <w:rPr>
          <w:sz w:val="20"/>
          <w:szCs w:val="20"/>
          <w:color w:val="auto"/>
        </w:rPr>
      </w:pPr>
      <w:r>
        <w:rPr>
          <w:rFonts w:ascii="Times New Roman" w:cs="Times New Roman" w:eastAsia="Times New Roman" w:hAnsi="Times New Roman"/>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68" w:lineRule="exact"/>
        <w:rPr>
          <w:sz w:val="20"/>
          <w:szCs w:val="20"/>
          <w:color w:val="auto"/>
        </w:rPr>
      </w:pPr>
    </w:p>
    <w:p>
      <w:pPr>
        <w:ind w:left="460" w:right="280"/>
        <w:spacing w:after="0" w:line="266" w:lineRule="auto"/>
        <w:rPr>
          <w:sz w:val="20"/>
          <w:szCs w:val="20"/>
          <w:color w:val="auto"/>
        </w:rPr>
      </w:pPr>
      <w:r>
        <w:rPr>
          <w:rFonts w:ascii="Times New Roman" w:cs="Times New Roman" w:eastAsia="Times New Roman" w:hAnsi="Times New Roman"/>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6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76"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VIE where the Company has variable interest but is not the primary beneficiary.</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F-124</w:t>
      </w:r>
    </w:p>
    <w:p>
      <w:pPr>
        <w:sectPr>
          <w:pgSz w:w="11900" w:h="16838" w:orient="portrait"/>
          <w:cols w:equalWidth="0" w:num="1">
            <w:col w:w="11420"/>
          </w:cols>
          <w:pgMar w:left="240" w:top="456" w:right="239" w:bottom="1440" w:gutter="0" w:footer="0" w:header="0"/>
        </w:sectPr>
      </w:pPr>
    </w:p>
    <w:bookmarkStart w:id="350" w:name="page351"/>
    <w:bookmarkEnd w:id="3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1" w:lineRule="exact"/>
        <w:rPr>
          <w:sz w:val="20"/>
          <w:szCs w:val="20"/>
          <w:color w:val="auto"/>
        </w:rPr>
      </w:pPr>
    </w:p>
    <w:p>
      <w:pPr>
        <w:ind w:left="460" w:hanging="452"/>
        <w:spacing w:after="0"/>
        <w:tabs>
          <w:tab w:leader="none" w:pos="46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68"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68" w:lineRule="exact"/>
        <w:rPr>
          <w:rFonts w:ascii="Times New Roman" w:cs="Times New Roman" w:eastAsia="Times New Roman" w:hAnsi="Times New Roman"/>
          <w:sz w:val="18"/>
          <w:szCs w:val="18"/>
          <w:b w:val="1"/>
          <w:bCs w:val="1"/>
          <w:color w:val="auto"/>
        </w:rPr>
      </w:pPr>
    </w:p>
    <w:p>
      <w:pPr>
        <w:ind w:left="460" w:righ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121" w:lineRule="exact"/>
        <w:rPr>
          <w:rFonts w:ascii="Times New Roman" w:cs="Times New Roman" w:eastAsia="Times New Roman" w:hAnsi="Times New Roman"/>
          <w:sz w:val="18"/>
          <w:szCs w:val="18"/>
          <w:b w:val="1"/>
          <w:bCs w:val="1"/>
          <w:color w:val="auto"/>
        </w:rPr>
      </w:pPr>
    </w:p>
    <w:p>
      <w:pPr>
        <w:ind w:left="4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68" w:lineRule="exact"/>
        <w:rPr>
          <w:rFonts w:ascii="Times New Roman" w:cs="Times New Roman" w:eastAsia="Times New Roman" w:hAnsi="Times New Roman"/>
          <w:sz w:val="18"/>
          <w:szCs w:val="18"/>
          <w:b w:val="1"/>
          <w:bCs w:val="1"/>
          <w:color w:val="auto"/>
        </w:rPr>
      </w:pPr>
    </w:p>
    <w:p>
      <w:pPr>
        <w:jc w:val="both"/>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F-125</w:t>
      </w:r>
    </w:p>
    <w:p>
      <w:pPr>
        <w:sectPr>
          <w:pgSz w:w="11900" w:h="16838" w:orient="portrait"/>
          <w:cols w:equalWidth="0" w:num="1">
            <w:col w:w="11400"/>
          </w:cols>
          <w:pgMar w:left="240" w:top="455" w:right="259" w:bottom="1440" w:gutter="0" w:footer="0" w:header="0"/>
        </w:sectPr>
      </w:pPr>
    </w:p>
    <w:bookmarkStart w:id="351" w:name="page352"/>
    <w:bookmarkEnd w:id="3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(Continued)</w:t>
      </w:r>
    </w:p>
    <w:p>
      <w:pPr>
        <w:spacing w:after="0" w:line="134" w:lineRule="exact"/>
        <w:rPr>
          <w:rFonts w:ascii="Times New Roman" w:cs="Times New Roman" w:eastAsia="Times New Roman" w:hAnsi="Times New Roman"/>
          <w:sz w:val="18"/>
          <w:szCs w:val="18"/>
          <w:b w:val="1"/>
          <w:bCs w:val="1"/>
          <w:color w:val="auto"/>
        </w:rPr>
      </w:pPr>
    </w:p>
    <w:p>
      <w:pPr>
        <w:ind w:left="46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75" w:lineRule="exact"/>
        <w:rPr>
          <w:rFonts w:ascii="Times New Roman" w:cs="Times New Roman" w:eastAsia="Times New Roman" w:hAnsi="Times New Roman"/>
          <w:sz w:val="18"/>
          <w:szCs w:val="18"/>
          <w:b w:val="1"/>
          <w:bCs w:val="1"/>
          <w:color w:val="auto"/>
        </w:rPr>
      </w:pPr>
    </w:p>
    <w:p>
      <w:pPr>
        <w:ind w:left="4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b w:val="1"/>
          <w:bCs w:val="1"/>
          <w:color w:val="auto"/>
        </w:rPr>
      </w:pPr>
    </w:p>
    <w:p>
      <w:pPr>
        <w:ind w:left="460"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F-126</w:t>
      </w:r>
    </w:p>
    <w:p>
      <w:pPr>
        <w:sectPr>
          <w:pgSz w:w="11900" w:h="16838" w:orient="portrait"/>
          <w:cols w:equalWidth="0" w:num="1">
            <w:col w:w="11400"/>
          </w:cols>
          <w:pgMar w:left="240" w:top="455" w:right="259" w:bottom="1440" w:gutter="0" w:footer="0" w:header="0"/>
        </w:sectPr>
      </w:pPr>
    </w:p>
    <w:bookmarkStart w:id="352" w:name="page353"/>
    <w:bookmarkEnd w:id="3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134" w:lineRule="exact"/>
        <w:rPr>
          <w:rFonts w:ascii="Times New Roman" w:cs="Times New Roman" w:eastAsia="Times New Roman" w:hAnsi="Times New Roman"/>
          <w:sz w:val="18"/>
          <w:szCs w:val="18"/>
          <w:b w:val="1"/>
          <w:bCs w:val="1"/>
          <w:color w:val="auto"/>
        </w:rPr>
      </w:pPr>
    </w:p>
    <w:p>
      <w:pPr>
        <w:ind w:left="460" w:right="56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jc w:val="both"/>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68"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0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Over the shorter of lease term or 2 – 5 years</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0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2 – 5 years</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0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3 – 5 years</w:t>
            </w:r>
          </w:p>
        </w:tc>
      </w:tr>
      <w:tr>
        <w:trPr>
          <w:trHeight w:val="365"/>
        </w:trPr>
        <w:tc>
          <w:tcPr>
            <w:tcW w:w="344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F-127</w:t>
            </w:r>
          </w:p>
        </w:tc>
      </w:tr>
    </w:tbl>
    <w:p>
      <w:pPr>
        <w:sectPr>
          <w:pgSz w:w="11900" w:h="16838" w:orient="portrait"/>
          <w:cols w:equalWidth="0" w:num="1">
            <w:col w:w="11400"/>
          </w:cols>
          <w:pgMar w:left="240" w:top="455" w:right="259" w:bottom="1440" w:gutter="0" w:footer="0" w:header="0"/>
        </w:sectPr>
      </w:pPr>
    </w:p>
    <w:bookmarkStart w:id="353" w:name="page354"/>
    <w:bookmarkEnd w:id="3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 (Continued)</w:t>
      </w:r>
    </w:p>
    <w:p>
      <w:pPr>
        <w:spacing w:after="0" w:line="134" w:lineRule="exact"/>
        <w:rPr>
          <w:rFonts w:ascii="Times New Roman" w:cs="Times New Roman" w:eastAsia="Times New Roman" w:hAnsi="Times New Roman"/>
          <w:sz w:val="18"/>
          <w:szCs w:val="18"/>
          <w:b w:val="1"/>
          <w:bCs w:val="1"/>
          <w:color w:val="auto"/>
        </w:rPr>
      </w:pPr>
    </w:p>
    <w:p>
      <w:pPr>
        <w:ind w:left="460" w:right="2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8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8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Cost-plus and agreed rebates to be earned from certain website publishers</w:t>
      </w:r>
    </w:p>
    <w:p>
      <w:pPr>
        <w:spacing w:after="0" w:line="119"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F-128</w:t>
      </w:r>
    </w:p>
    <w:p>
      <w:pPr>
        <w:sectPr>
          <w:pgSz w:w="11900" w:h="16838" w:orient="portrait"/>
          <w:cols w:equalWidth="0" w:num="1">
            <w:col w:w="11420"/>
          </w:cols>
          <w:pgMar w:left="240" w:top="456" w:right="239" w:bottom="1440" w:gutter="0" w:footer="0" w:header="0"/>
        </w:sectPr>
      </w:pPr>
    </w:p>
    <w:bookmarkStart w:id="354" w:name="page355"/>
    <w:bookmarkEnd w:id="3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(Continued)</w:t>
      </w:r>
    </w:p>
    <w:p>
      <w:pPr>
        <w:spacing w:after="0" w:line="11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Cost-plus and agreed rebates to be earned from certain website publishers (Continued)</w:t>
      </w:r>
    </w:p>
    <w:p>
      <w:pPr>
        <w:spacing w:after="0" w:line="132"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9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Specified actions</w:t>
      </w:r>
    </w:p>
    <w:p>
      <w:pPr>
        <w:spacing w:after="0" w:line="119" w:lineRule="exact"/>
        <w:rPr>
          <w:rFonts w:ascii="Times New Roman" w:cs="Times New Roman" w:eastAsia="Times New Roman" w:hAnsi="Times New Roman"/>
          <w:sz w:val="18"/>
          <w:szCs w:val="18"/>
          <w:b w:val="1"/>
          <w:bCs w:val="1"/>
          <w:color w:val="auto"/>
        </w:rPr>
      </w:pPr>
    </w:p>
    <w:p>
      <w:pPr>
        <w:ind w:left="4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media costs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F-129</w:t>
      </w:r>
    </w:p>
    <w:p>
      <w:pPr>
        <w:sectPr>
          <w:pgSz w:w="11900" w:h="16838" w:orient="portrait"/>
          <w:cols w:equalWidth="0" w:num="1">
            <w:col w:w="11400"/>
          </w:cols>
          <w:pgMar w:left="240" w:top="456" w:right="259" w:bottom="1440" w:gutter="0" w:footer="0" w:header="0"/>
        </w:sectPr>
      </w:pPr>
    </w:p>
    <w:bookmarkStart w:id="355" w:name="page356"/>
    <w:bookmarkEnd w:id="3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media costs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consist primarily of (i) salary and welfare for research and development personnel, (ii) rental expenses and</w:t>
      </w:r>
    </w:p>
    <w:p>
      <w:pPr>
        <w:spacing w:after="0" w:line="27"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78"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25" w:lineRule="exact"/>
        <w:rPr>
          <w:sz w:val="20"/>
          <w:szCs w:val="20"/>
          <w:color w:val="auto"/>
        </w:rPr>
      </w:pPr>
    </w:p>
    <w:p>
      <w:pPr>
        <w:ind w:left="460" w:hanging="452"/>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 expenses</w:t>
      </w:r>
    </w:p>
    <w:p>
      <w:pPr>
        <w:spacing w:after="0" w:line="121" w:lineRule="exact"/>
        <w:rPr>
          <w:rFonts w:ascii="Times New Roman" w:cs="Times New Roman" w:eastAsia="Times New Roman" w:hAnsi="Times New Roman"/>
          <w:sz w:val="18"/>
          <w:szCs w:val="18"/>
          <w:b w:val="1"/>
          <w:bCs w:val="1"/>
          <w:color w:val="auto"/>
        </w:rPr>
      </w:pPr>
    </w:p>
    <w:p>
      <w:pPr>
        <w:ind w:left="4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rFonts w:ascii="Times New Roman" w:cs="Times New Roman" w:eastAsia="Times New Roman" w:hAnsi="Times New Roman"/>
          <w:sz w:val="18"/>
          <w:szCs w:val="18"/>
          <w:b w:val="1"/>
          <w:bCs w:val="1"/>
          <w:color w:val="auto"/>
        </w:rPr>
      </w:pPr>
    </w:p>
    <w:p>
      <w:pPr>
        <w:ind w:left="4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and administrative expenses consist primarily of (i) salary and welfare for general and administrative personnel, (ii) allowance for doubtful receivables, and (iii) professional service fees.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w:t>
      </w:r>
    </w:p>
    <w:p>
      <w:pPr>
        <w:spacing w:after="0" w:line="121" w:lineRule="exact"/>
        <w:rPr>
          <w:rFonts w:ascii="Times New Roman" w:cs="Times New Roman" w:eastAsia="Times New Roman" w:hAnsi="Times New Roman"/>
          <w:sz w:val="18"/>
          <w:szCs w:val="18"/>
          <w:b w:val="1"/>
          <w:bCs w:val="1"/>
          <w:color w:val="auto"/>
        </w:rPr>
      </w:pPr>
    </w:p>
    <w:p>
      <w:pPr>
        <w:ind w:left="4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ectPr>
          <w:pgSz w:w="11900" w:h="16838" w:orient="portrait"/>
          <w:cols w:equalWidth="0" w:num="1">
            <w:col w:w="11420"/>
          </w:cols>
          <w:pgMar w:left="240" w:top="455" w:right="239" w:bottom="1440" w:gutter="0" w:footer="0" w:header="0"/>
        </w:sectPr>
      </w:pPr>
    </w:p>
    <w:bookmarkStart w:id="356" w:name="page357"/>
    <w:bookmarkEnd w:id="3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 (Continued)</w:t>
      </w:r>
    </w:p>
    <w:p>
      <w:pPr>
        <w:spacing w:after="0" w:line="134"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29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Option granted to employees</w:t>
      </w:r>
    </w:p>
    <w:p>
      <w:pPr>
        <w:spacing w:after="0" w:line="119"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options granted to employee, the compensation expense is recognized using the graded-vesting attribution approach over the requisite service period, which is generally the vesting period.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F-131</w:t>
      </w:r>
    </w:p>
    <w:p>
      <w:pPr>
        <w:sectPr>
          <w:pgSz w:w="11900" w:h="16838" w:orient="portrait"/>
          <w:cols w:equalWidth="0" w:num="1">
            <w:col w:w="11400"/>
          </w:cols>
          <w:pgMar w:left="240" w:top="455" w:right="259" w:bottom="1440" w:gutter="0" w:footer="0" w:header="0"/>
        </w:sectPr>
      </w:pPr>
    </w:p>
    <w:bookmarkStart w:id="357" w:name="page358"/>
    <w:bookmarkEnd w:id="3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08" w:lineRule="auto"/>
        <w:tabs>
          <w:tab w:leader="none" w:pos="449" w:val="left"/>
        </w:tabs>
        <w:numPr>
          <w:ilvl w:val="0"/>
          <w:numId w:val="3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(Continued) </w:t>
      </w:r>
      <w:r>
        <w:rPr>
          <w:rFonts w:ascii="Times New Roman" w:cs="Times New Roman" w:eastAsia="Times New Roman" w:hAnsi="Times New Roman"/>
          <w:sz w:val="17"/>
          <w:szCs w:val="17"/>
          <w:i w:val="1"/>
          <w:iCs w:val="1"/>
          <w:color w:val="auto"/>
        </w:rPr>
        <w:t>Option granted to employees (Continued)</w:t>
      </w:r>
    </w:p>
    <w:p>
      <w:pPr>
        <w:spacing w:after="0" w:line="1" w:lineRule="exact"/>
        <w:rPr>
          <w:rFonts w:ascii="Times New Roman" w:cs="Times New Roman" w:eastAsia="Times New Roman" w:hAnsi="Times New Roman"/>
          <w:sz w:val="17"/>
          <w:szCs w:val="17"/>
          <w:b w:val="1"/>
          <w:bCs w:val="1"/>
          <w:color w:val="auto"/>
        </w:rPr>
      </w:pPr>
    </w:p>
    <w:p>
      <w:pPr>
        <w:ind w:left="4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6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Option modification</w:t>
      </w:r>
    </w:p>
    <w:p>
      <w:pPr>
        <w:spacing w:after="0" w:line="119" w:lineRule="exact"/>
        <w:rPr>
          <w:rFonts w:ascii="Times New Roman" w:cs="Times New Roman" w:eastAsia="Times New Roman" w:hAnsi="Times New Roman"/>
          <w:sz w:val="17"/>
          <w:szCs w:val="17"/>
          <w:b w:val="1"/>
          <w:bCs w:val="1"/>
          <w:color w:val="auto"/>
        </w:rPr>
      </w:pPr>
    </w:p>
    <w:p>
      <w:pPr>
        <w:ind w:left="460" w:right="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90"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Option granted to non-employees</w:t>
      </w:r>
    </w:p>
    <w:p>
      <w:pPr>
        <w:spacing w:after="0" w:line="119" w:lineRule="exact"/>
        <w:rPr>
          <w:rFonts w:ascii="Times New Roman" w:cs="Times New Roman" w:eastAsia="Times New Roman" w:hAnsi="Times New Roman"/>
          <w:sz w:val="17"/>
          <w:szCs w:val="17"/>
          <w:b w:val="1"/>
          <w:bCs w:val="1"/>
          <w:color w:val="auto"/>
        </w:rPr>
      </w:pPr>
    </w:p>
    <w:p>
      <w:pPr>
        <w:ind w:left="460" w:right="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28" w:lineRule="exact"/>
        <w:rPr>
          <w:rFonts w:ascii="Times New Roman" w:cs="Times New Roman" w:eastAsia="Times New Roman" w:hAnsi="Times New Roman"/>
          <w:sz w:val="17"/>
          <w:szCs w:val="17"/>
          <w:b w:val="1"/>
          <w:bCs w:val="1"/>
          <w:color w:val="auto"/>
        </w:rPr>
      </w:pPr>
    </w:p>
    <w:p>
      <w:pPr>
        <w:ind w:left="460" w:hanging="452"/>
        <w:spacing w:after="0"/>
        <w:tabs>
          <w:tab w:leader="none" w:pos="4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30"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68" w:lineRule="exact"/>
        <w:rPr>
          <w:rFonts w:ascii="Times New Roman" w:cs="Times New Roman" w:eastAsia="Times New Roman" w:hAnsi="Times New Roman"/>
          <w:sz w:val="18"/>
          <w:szCs w:val="18"/>
          <w:b w:val="1"/>
          <w:bCs w:val="1"/>
          <w:color w:val="auto"/>
        </w:rPr>
      </w:pPr>
    </w:p>
    <w:p>
      <w:pPr>
        <w:ind w:left="46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legal requirements in the PRC to fund these reserves by transfer of cash to restricted accounts, and the Group does not do so.</w:t>
      </w:r>
    </w:p>
    <w:p>
      <w:pPr>
        <w:spacing w:after="0" w:line="117" w:lineRule="exact"/>
        <w:rPr>
          <w:rFonts w:ascii="Times New Roman" w:cs="Times New Roman" w:eastAsia="Times New Roman" w:hAnsi="Times New Roman"/>
          <w:sz w:val="18"/>
          <w:szCs w:val="18"/>
          <w:b w:val="1"/>
          <w:bCs w:val="1"/>
          <w:color w:val="auto"/>
        </w:rPr>
      </w:pPr>
    </w:p>
    <w:p>
      <w:pPr>
        <w:ind w:left="4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F-132</w:t>
      </w:r>
    </w:p>
    <w:p>
      <w:pPr>
        <w:sectPr>
          <w:pgSz w:w="11900" w:h="16838" w:orient="portrait"/>
          <w:cols w:equalWidth="0" w:num="1">
            <w:col w:w="11380"/>
          </w:cols>
          <w:pgMar w:left="240" w:top="455" w:right="279" w:bottom="1440" w:gutter="0" w:footer="0" w:header="0"/>
        </w:sectPr>
      </w:pPr>
    </w:p>
    <w:bookmarkStart w:id="358" w:name="page359"/>
    <w:bookmarkEnd w:id="3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rFonts w:ascii="Times New Roman" w:cs="Times New Roman" w:eastAsia="Times New Roman" w:hAnsi="Times New Roman"/>
          <w:sz w:val="18"/>
          <w:szCs w:val="18"/>
          <w:b w:val="1"/>
          <w:bCs w:val="1"/>
          <w:color w:val="auto"/>
        </w:rPr>
      </w:pPr>
    </w:p>
    <w:p>
      <w:pPr>
        <w:ind w:left="4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53"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Comprehensive loss is reported in the consolidated statement of comprehensive loss. Accumulated other comprehensive losses of the Group include the foreign currency translation adjustments.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F-133</w:t>
      </w:r>
    </w:p>
    <w:p>
      <w:pPr>
        <w:sectPr>
          <w:pgSz w:w="11900" w:h="16838" w:orient="portrait"/>
          <w:cols w:equalWidth="0" w:num="1">
            <w:col w:w="11400"/>
          </w:cols>
          <w:pgMar w:left="240" w:top="455" w:right="259" w:bottom="1440" w:gutter="0" w:footer="0" w:header="0"/>
        </w:sectPr>
      </w:pPr>
    </w:p>
    <w:bookmarkStart w:id="359" w:name="page360"/>
    <w:bookmarkEnd w:id="3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Times New Roman" w:cs="Times New Roman" w:eastAsia="Times New Roman" w:hAnsi="Times New Roman"/>
          <w:sz w:val="18"/>
          <w:szCs w:val="18"/>
          <w:b w:val="1"/>
          <w:bCs w:val="1"/>
          <w:color w:val="auto"/>
        </w:rPr>
      </w:pPr>
    </w:p>
    <w:p>
      <w:pPr>
        <w:ind w:left="4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68" w:lineRule="exact"/>
        <w:rPr>
          <w:rFonts w:ascii="Times New Roman" w:cs="Times New Roman" w:eastAsia="Times New Roman" w:hAnsi="Times New Roman"/>
          <w:sz w:val="18"/>
          <w:szCs w:val="18"/>
          <w:b w:val="1"/>
          <w:bCs w:val="1"/>
          <w:color w:val="auto"/>
        </w:rPr>
      </w:pPr>
    </w:p>
    <w:p>
      <w:pPr>
        <w:ind w:left="46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71"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F-134</w:t>
      </w:r>
    </w:p>
    <w:p>
      <w:pPr>
        <w:sectPr>
          <w:pgSz w:w="11900" w:h="16838" w:orient="portrait"/>
          <w:cols w:equalWidth="0" w:num="1">
            <w:col w:w="11420"/>
          </w:cols>
          <w:pgMar w:left="240" w:top="456" w:right="239" w:bottom="1440" w:gutter="0" w:footer="0" w:header="0"/>
        </w:sectPr>
      </w:pPr>
    </w:p>
    <w:bookmarkStart w:id="360" w:name="page361"/>
    <w:bookmarkEnd w:id="3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71"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9" w:lineRule="exact"/>
        <w:rPr>
          <w:rFonts w:ascii="Times New Roman" w:cs="Times New Roman" w:eastAsia="Times New Roman" w:hAnsi="Times New Roman"/>
          <w:sz w:val="18"/>
          <w:szCs w:val="18"/>
          <w:b w:val="1"/>
          <w:bCs w:val="1"/>
          <w:color w:val="auto"/>
        </w:rPr>
      </w:pPr>
    </w:p>
    <w:p>
      <w:pPr>
        <w:ind w:left="460" w:right="1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spacing w:after="0" w:line="1" w:lineRule="exact"/>
        <w:rPr>
          <w:rFonts w:ascii="Times New Roman" w:cs="Times New Roman" w:eastAsia="Times New Roman" w:hAnsi="Times New Roman"/>
          <w:sz w:val="18"/>
          <w:szCs w:val="18"/>
          <w:b w:val="1"/>
          <w:bCs w:val="1"/>
          <w:color w:val="auto"/>
        </w:rPr>
      </w:pPr>
    </w:p>
    <w:p>
      <w:pPr>
        <w:jc w:val="both"/>
        <w:ind w:left="460" w:righ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78"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2"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F-135</w:t>
      </w:r>
    </w:p>
    <w:p>
      <w:pPr>
        <w:sectPr>
          <w:pgSz w:w="11900" w:h="16838" w:orient="portrait"/>
          <w:cols w:equalWidth="0" w:num="1">
            <w:col w:w="11380"/>
          </w:cols>
          <w:pgMar w:left="240" w:top="455" w:right="279" w:bottom="1440" w:gutter="0" w:footer="0" w:header="0"/>
        </w:sectPr>
      </w:pPr>
    </w:p>
    <w:bookmarkStart w:id="361" w:name="page362"/>
    <w:bookmarkEnd w:id="3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the Company’s PRC subsidiaries and OptAim VIE;</w:t>
      </w:r>
    </w:p>
    <w:p>
      <w:pPr>
        <w:spacing w:after="0" w:line="130"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67" w:lineRule="exact"/>
        <w:rPr>
          <w:rFonts w:ascii="Times New Roman" w:cs="Times New Roman" w:eastAsia="Times New Roman" w:hAnsi="Times New Roman"/>
          <w:sz w:val="18"/>
          <w:szCs w:val="18"/>
          <w:color w:val="auto"/>
        </w:rPr>
      </w:pPr>
    </w:p>
    <w:p>
      <w:pPr>
        <w:jc w:val="both"/>
        <w:ind w:left="900" w:right="20" w:hanging="446"/>
        <w:spacing w:after="0" w:line="266" w:lineRule="auto"/>
        <w:tabs>
          <w:tab w:leader="none" w:pos="9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F-136</w:t>
      </w:r>
    </w:p>
    <w:p>
      <w:pPr>
        <w:sectPr>
          <w:pgSz w:w="11900" w:h="16838" w:orient="portrait"/>
          <w:cols w:equalWidth="0" w:num="1">
            <w:col w:w="11420"/>
          </w:cols>
          <w:pgMar w:left="240" w:top="455" w:right="239" w:bottom="1440" w:gutter="0" w:footer="0" w:header="0"/>
        </w:sectPr>
      </w:pPr>
    </w:p>
    <w:bookmarkStart w:id="362" w:name="page363"/>
    <w:bookmarkEnd w:id="3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8"/>
          <w:szCs w:val="18"/>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80"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78" w:lineRule="exact"/>
        <w:rPr>
          <w:sz w:val="20"/>
          <w:szCs w:val="20"/>
          <w:color w:val="auto"/>
        </w:rPr>
      </w:pPr>
    </w:p>
    <w:p>
      <w:pPr>
        <w:ind w:left="460" w:right="40"/>
        <w:spacing w:after="0" w:line="256" w:lineRule="auto"/>
        <w:rPr>
          <w:sz w:val="20"/>
          <w:szCs w:val="20"/>
          <w:color w:val="auto"/>
        </w:rPr>
      </w:pPr>
      <w:r>
        <w:rPr>
          <w:rFonts w:ascii="Times New Roman" w:cs="Times New Roman" w:eastAsia="Times New Roman" w:hAnsi="Times New Roman"/>
          <w:sz w:val="18"/>
          <w:szCs w:val="18"/>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ectPr>
          <w:pgSz w:w="11900" w:h="16838" w:orient="portrait"/>
          <w:cols w:equalWidth="0" w:num="1">
            <w:col w:w="11420"/>
          </w:cols>
          <w:pgMar w:left="240" w:top="455" w:right="239" w:bottom="1440" w:gutter="0" w:footer="0" w:header="0"/>
        </w:sectPr>
      </w:pPr>
    </w:p>
    <w:bookmarkStart w:id="363" w:name="page364"/>
    <w:bookmarkEnd w:id="3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520" w:type="dxa"/>
            <w:vAlign w:val="bottom"/>
            <w:gridSpan w:val="3"/>
          </w:tcPr>
          <w:p>
            <w:pPr>
              <w:jc w:val="center"/>
              <w:ind w:left="1875"/>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520" w:type="dxa"/>
            <w:vAlign w:val="bottom"/>
            <w:gridSpan w:val="3"/>
          </w:tcPr>
          <w:p>
            <w:pPr>
              <w:jc w:val="center"/>
              <w:ind w:left="1835"/>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profit</w:t>
            </w:r>
          </w:p>
        </w:tc>
        <w:tc>
          <w:tcPr>
            <w:tcW w:w="26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520" w:type="dxa"/>
            <w:vAlign w:val="bottom"/>
            <w:gridSpan w:val="3"/>
          </w:tcPr>
          <w:p>
            <w:pPr>
              <w:jc w:val="center"/>
              <w:ind w:left="1735"/>
              <w:spacing w:after="0"/>
              <w:rPr>
                <w:sz w:val="20"/>
                <w:szCs w:val="20"/>
                <w:color w:val="auto"/>
              </w:rPr>
            </w:pPr>
            <w:r>
              <w:rPr>
                <w:rFonts w:ascii="Times New Roman" w:cs="Times New Roman" w:eastAsia="Times New Roman" w:hAnsi="Times New Roman"/>
                <w:sz w:val="14"/>
                <w:szCs w:val="14"/>
                <w:color w:val="auto"/>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accordance with the VIE arrangements, the Group has power to direct activities of OptAim VIE, and can have assets transferred out of OptAim VIE.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Therefore, the Group considers that there is no assets of OptAim VIE can be used only to settle their obligations.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F-138</w:t>
      </w:r>
    </w:p>
    <w:p>
      <w:pPr>
        <w:sectPr>
          <w:pgSz w:w="11900" w:h="16838" w:orient="portrait"/>
          <w:cols w:equalWidth="0" w:num="1">
            <w:col w:w="11400"/>
          </w:cols>
          <w:pgMar w:left="240" w:top="455" w:right="259" w:bottom="1440" w:gutter="0" w:footer="0" w:header="0"/>
        </w:sectPr>
      </w:pPr>
    </w:p>
    <w:bookmarkStart w:id="364" w:name="page365"/>
    <w:bookmarkEnd w:id="3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1" w:lineRule="exact"/>
        <w:rPr>
          <w:rFonts w:ascii="Times New Roman" w:cs="Times New Roman" w:eastAsia="Times New Roman" w:hAnsi="Times New Roman"/>
          <w:sz w:val="18"/>
          <w:szCs w:val="18"/>
          <w:b w:val="1"/>
          <w:bCs w:val="1"/>
          <w:color w:val="auto"/>
        </w:rPr>
      </w:pPr>
    </w:p>
    <w:p>
      <w:pPr>
        <w:ind w:left="46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68" w:lineRule="exact"/>
        <w:rPr>
          <w:rFonts w:ascii="Times New Roman" w:cs="Times New Roman" w:eastAsia="Times New Roman" w:hAnsi="Times New Roman"/>
          <w:sz w:val="18"/>
          <w:szCs w:val="18"/>
          <w:b w:val="1"/>
          <w:bCs w:val="1"/>
          <w:color w:val="auto"/>
        </w:rPr>
      </w:pPr>
    </w:p>
    <w:p>
      <w:pPr>
        <w:ind w:left="46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revenues</w:t>
      </w:r>
    </w:p>
    <w:p>
      <w:pPr>
        <w:spacing w:after="0" w:line="121" w:lineRule="exact"/>
        <w:rPr>
          <w:sz w:val="20"/>
          <w:szCs w:val="20"/>
          <w:color w:val="auto"/>
        </w:rPr>
      </w:pPr>
    </w:p>
    <w:p>
      <w:pPr>
        <w:ind w:left="920" w:right="240"/>
        <w:spacing w:after="0" w:line="261" w:lineRule="auto"/>
        <w:rPr>
          <w:sz w:val="20"/>
          <w:szCs w:val="20"/>
          <w:color w:val="auto"/>
        </w:rPr>
      </w:pPr>
      <w:r>
        <w:rPr>
          <w:rFonts w:ascii="Times New Roman" w:cs="Times New Roman" w:eastAsia="Times New Roman" w:hAnsi="Times New Roman"/>
          <w:sz w:val="18"/>
          <w:szCs w:val="18"/>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25" w:lineRule="exact"/>
        <w:rPr>
          <w:sz w:val="20"/>
          <w:szCs w:val="20"/>
          <w:color w:val="auto"/>
        </w:rPr>
      </w:pPr>
    </w:p>
    <w:p>
      <w:pPr>
        <w:ind w:left="900" w:hanging="446"/>
        <w:spacing w:after="0"/>
        <w:tabs>
          <w:tab w:leader="none" w:pos="90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w:t>
      </w:r>
    </w:p>
    <w:p>
      <w:pPr>
        <w:spacing w:after="0" w:line="121" w:lineRule="exact"/>
        <w:rPr>
          <w:sz w:val="20"/>
          <w:szCs w:val="20"/>
          <w:color w:val="auto"/>
        </w:rPr>
      </w:pPr>
    </w:p>
    <w:p>
      <w:pPr>
        <w:ind w:left="920" w:right="200"/>
        <w:spacing w:after="0" w:line="266" w:lineRule="auto"/>
        <w:rPr>
          <w:sz w:val="20"/>
          <w:szCs w:val="20"/>
          <w:color w:val="auto"/>
        </w:rPr>
      </w:pPr>
      <w:r>
        <w:rPr>
          <w:rFonts w:ascii="Times New Roman" w:cs="Times New Roman" w:eastAsia="Times New Roman" w:hAnsi="Times New Roman"/>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68" w:lineRule="exact"/>
        <w:rPr>
          <w:sz w:val="20"/>
          <w:szCs w:val="20"/>
          <w:color w:val="auto"/>
        </w:rPr>
      </w:pPr>
    </w:p>
    <w:p>
      <w:pPr>
        <w:ind w:left="920"/>
        <w:spacing w:after="0" w:line="266" w:lineRule="auto"/>
        <w:rPr>
          <w:sz w:val="20"/>
          <w:szCs w:val="20"/>
          <w:color w:val="auto"/>
        </w:rPr>
      </w:pPr>
      <w:r>
        <w:rPr>
          <w:rFonts w:ascii="Times New Roman" w:cs="Times New Roman" w:eastAsia="Times New Roman" w:hAnsi="Times New Roman"/>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23, 2015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advertisers and third party advertising agencies</w:t>
            </w:r>
          </w:p>
        </w:tc>
        <w:tc>
          <w:tcPr>
            <w:tcW w:w="25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A2</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346"/>
        </w:trPr>
        <w:tc>
          <w:tcPr>
            <w:tcW w:w="61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F-139</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365" w:name="page366"/>
    <w:bookmarkEnd w:id="3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21"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18"/>
          <w:szCs w:val="18"/>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37" w:lineRule="exact"/>
        <w:rPr>
          <w:sz w:val="20"/>
          <w:szCs w:val="20"/>
          <w:color w:val="auto"/>
        </w:rPr>
      </w:pPr>
    </w:p>
    <w:p>
      <w:pPr>
        <w:ind w:left="460" w:hanging="452"/>
        <w:spacing w:after="0"/>
        <w:tabs>
          <w:tab w:leader="none" w:pos="46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and cash held at bank. Cash on hand and cash held at bank balance as of July 23, 2015 primarily consist of the following currencies:</w:t>
      </w:r>
    </w:p>
    <w:p>
      <w:pPr>
        <w:spacing w:after="0" w:line="184"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color w:val="auto"/>
        </w:rPr>
        <w:t>As of July 23, 2015</w:t>
      </w:r>
    </w:p>
    <w:p>
      <w:pPr>
        <w:ind w:left="9440"/>
        <w:spacing w:after="0" w:line="226" w:lineRule="auto"/>
        <w:rPr>
          <w:sz w:val="20"/>
          <w:szCs w:val="20"/>
          <w:color w:val="auto"/>
        </w:rPr>
      </w:pPr>
      <w:r>
        <w:rPr>
          <w:rFonts w:ascii="Times New Roman" w:cs="Times New Roman" w:eastAsia="Times New Roman" w:hAnsi="Times New Roman"/>
          <w:sz w:val="14"/>
          <w:szCs w:val="14"/>
          <w:color w:val="auto"/>
        </w:rPr>
        <w:t>US$’000</w:t>
      </w:r>
    </w:p>
    <w:p>
      <w:pPr>
        <w:spacing w:after="0" w:line="1" w:lineRule="exact"/>
        <w:rPr>
          <w:sz w:val="20"/>
          <w:szCs w:val="20"/>
          <w:color w:val="auto"/>
        </w:rPr>
      </w:pPr>
    </w:p>
    <w:p>
      <w:pPr>
        <w:ind w:left="8340"/>
        <w:spacing w:after="0"/>
        <w:tabs>
          <w:tab w:leader="none" w:pos="9380" w:val="left"/>
        </w:tabs>
        <w:rPr>
          <w:sz w:val="20"/>
          <w:szCs w:val="20"/>
          <w:color w:val="auto"/>
        </w:rPr>
      </w:pPr>
      <w:r>
        <w:rPr>
          <w:rFonts w:ascii="Times New Roman" w:cs="Times New Roman" w:eastAsia="Times New Roman" w:hAnsi="Times New Roman"/>
          <w:sz w:val="14"/>
          <w:szCs w:val="14"/>
          <w:color w:val="auto"/>
        </w:rPr>
        <w:t>Amount</w:t>
      </w:r>
      <w:r>
        <w:rPr>
          <w:sz w:val="20"/>
          <w:szCs w:val="20"/>
          <w:color w:val="auto"/>
        </w:rPr>
        <w:tab/>
      </w:r>
      <w:r>
        <w:rPr>
          <w:rFonts w:ascii="Times New Roman" w:cs="Times New Roman" w:eastAsia="Times New Roman" w:hAnsi="Times New Roman"/>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7,782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movement in the allowance for doubtful accounts:</w:t>
      </w:r>
    </w:p>
    <w:p>
      <w:pPr>
        <w:spacing w:after="0" w:line="248"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color w:val="auto"/>
        </w:rPr>
        <w:t>Period from</w:t>
      </w:r>
    </w:p>
    <w:p>
      <w:pPr>
        <w:jc w:val="center"/>
        <w:ind w:left="6760"/>
        <w:spacing w:after="0" w:line="226" w:lineRule="auto"/>
        <w:rPr>
          <w:sz w:val="20"/>
          <w:szCs w:val="20"/>
          <w:color w:val="auto"/>
        </w:rPr>
      </w:pPr>
      <w:r>
        <w:rPr>
          <w:rFonts w:ascii="Times New Roman" w:cs="Times New Roman" w:eastAsia="Times New Roman" w:hAnsi="Times New Roman"/>
          <w:sz w:val="14"/>
          <w:szCs w:val="14"/>
          <w:color w:val="auto"/>
        </w:rPr>
        <w:t>January 1,</w:t>
      </w:r>
    </w:p>
    <w:p>
      <w:pPr>
        <w:jc w:val="center"/>
        <w:ind w:left="6760"/>
        <w:spacing w:after="0" w:line="222" w:lineRule="auto"/>
        <w:rPr>
          <w:sz w:val="20"/>
          <w:szCs w:val="20"/>
          <w:color w:val="auto"/>
        </w:rPr>
      </w:pPr>
      <w:r>
        <w:rPr>
          <w:rFonts w:ascii="Times New Roman" w:cs="Times New Roman" w:eastAsia="Times New Roman" w:hAnsi="Times New Roman"/>
          <w:sz w:val="14"/>
          <w:szCs w:val="14"/>
          <w:color w:val="auto"/>
        </w:rPr>
        <w:t>2015 to</w:t>
      </w:r>
    </w:p>
    <w:p>
      <w:pPr>
        <w:jc w:val="center"/>
        <w:ind w:left="6760"/>
        <w:spacing w:after="0"/>
        <w:rPr>
          <w:sz w:val="20"/>
          <w:szCs w:val="20"/>
          <w:color w:val="auto"/>
        </w:rPr>
      </w:pPr>
      <w:r>
        <w:rPr>
          <w:rFonts w:ascii="Times New Roman" w:cs="Times New Roman" w:eastAsia="Times New Roman" w:hAnsi="Times New Roman"/>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the beginning of year</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Balance at the end of year</w:t>
      </w:r>
    </w:p>
    <w:p>
      <w:pPr>
        <w:spacing w:after="0" w:line="212"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wp:posOffset>
            </wp:positionV>
            <wp:extent cx="4972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49720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34290</wp:posOffset>
            </wp:positionV>
            <wp:extent cx="49720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5" w:right="239" w:bottom="1440" w:gutter="0" w:footer="0" w:header="0"/>
          <w:type w:val="continuous"/>
        </w:sectPr>
      </w:pPr>
    </w:p>
    <w:bookmarkStart w:id="366" w:name="page367"/>
    <w:bookmarkEnd w:id="3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right="30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200" w:lineRule="exact"/>
        <w:rPr>
          <w:sz w:val="20"/>
          <w:szCs w:val="20"/>
          <w:color w:val="auto"/>
        </w:rPr>
      </w:pPr>
    </w:p>
    <w:p>
      <w:pPr>
        <w:spacing w:after="0" w:line="229" w:lineRule="exact"/>
        <w:rPr>
          <w:sz w:val="20"/>
          <w:szCs w:val="20"/>
          <w:color w:val="auto"/>
        </w:rPr>
      </w:pPr>
    </w:p>
    <w:p>
      <w:pPr>
        <w:ind w:left="460" w:hanging="452"/>
        <w:spacing w:after="0"/>
        <w:tabs>
          <w:tab w:leader="none" w:pos="460"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-116840</wp:posOffset>
            </wp:positionV>
            <wp:extent cx="49225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As of</w:t>
      </w:r>
    </w:p>
    <w:p>
      <w:pPr>
        <w:jc w:val="center"/>
        <w:ind w:right="439"/>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2015</w:t>
      </w:r>
    </w:p>
    <w:p>
      <w:pPr>
        <w:spacing w:after="0" w:line="206"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366</w:t>
      </w:r>
    </w:p>
    <w:p>
      <w:pPr>
        <w:spacing w:after="0" w:line="2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jc w:val="right"/>
        <w:ind w:right="679"/>
        <w:spacing w:after="0"/>
        <w:rPr>
          <w:sz w:val="20"/>
          <w:szCs w:val="20"/>
          <w:color w:val="auto"/>
        </w:rPr>
      </w:pPr>
      <w:r>
        <w:rPr>
          <w:rFonts w:ascii="Times New Roman" w:cs="Times New Roman" w:eastAsia="Times New Roman" w:hAnsi="Times New Roman"/>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17145</wp:posOffset>
            </wp:positionV>
            <wp:extent cx="29146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34290</wp:posOffset>
            </wp:positionV>
            <wp:extent cx="29146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As of</w:t>
      </w:r>
    </w:p>
    <w:p>
      <w:pPr>
        <w:jc w:val="center"/>
        <w:ind w:right="559"/>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2015</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105</w:t>
      </w:r>
    </w:p>
    <w:p>
      <w:pPr>
        <w:spacing w:after="0" w:line="2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17145</wp:posOffset>
            </wp:positionV>
            <wp:extent cx="29146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34290</wp:posOffset>
            </wp:positionV>
            <wp:extent cx="29146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4"/>
          <w:szCs w:val="14"/>
          <w:color w:val="auto"/>
        </w:rPr>
        <w:t>Period from</w:t>
      </w:r>
    </w:p>
    <w:p>
      <w:pPr>
        <w:jc w:val="center"/>
        <w:ind w:right="679"/>
        <w:spacing w:after="0" w:line="226" w:lineRule="auto"/>
        <w:rPr>
          <w:sz w:val="20"/>
          <w:szCs w:val="20"/>
          <w:color w:val="auto"/>
        </w:rPr>
      </w:pPr>
      <w:r>
        <w:rPr>
          <w:rFonts w:ascii="Times New Roman" w:cs="Times New Roman" w:eastAsia="Times New Roman" w:hAnsi="Times New Roman"/>
          <w:sz w:val="14"/>
          <w:szCs w:val="14"/>
          <w:color w:val="auto"/>
        </w:rPr>
        <w:t>January 1,</w:t>
      </w:r>
    </w:p>
    <w:p>
      <w:pPr>
        <w:jc w:val="center"/>
        <w:ind w:right="679"/>
        <w:spacing w:after="0" w:line="222" w:lineRule="auto"/>
        <w:rPr>
          <w:sz w:val="20"/>
          <w:szCs w:val="20"/>
          <w:color w:val="auto"/>
        </w:rPr>
      </w:pPr>
      <w:r>
        <w:rPr>
          <w:rFonts w:ascii="Times New Roman" w:cs="Times New Roman" w:eastAsia="Times New Roman" w:hAnsi="Times New Roman"/>
          <w:sz w:val="14"/>
          <w:szCs w:val="14"/>
          <w:color w:val="auto"/>
        </w:rPr>
        <w:t>2015 to</w:t>
      </w:r>
    </w:p>
    <w:p>
      <w:pPr>
        <w:jc w:val="center"/>
        <w:ind w:right="679"/>
        <w:spacing w:after="0" w:line="221" w:lineRule="auto"/>
        <w:rPr>
          <w:sz w:val="20"/>
          <w:szCs w:val="20"/>
          <w:color w:val="auto"/>
        </w:rPr>
      </w:pPr>
      <w:r>
        <w:rPr>
          <w:rFonts w:ascii="Times New Roman" w:cs="Times New Roman" w:eastAsia="Times New Roman" w:hAnsi="Times New Roman"/>
          <w:sz w:val="14"/>
          <w:szCs w:val="14"/>
          <w:color w:val="auto"/>
        </w:rPr>
        <w:t>July 23,</w:t>
      </w:r>
    </w:p>
    <w:p>
      <w:pPr>
        <w:jc w:val="center"/>
        <w:ind w:right="679"/>
        <w:spacing w:after="0"/>
        <w:rPr>
          <w:sz w:val="20"/>
          <w:szCs w:val="20"/>
          <w:color w:val="auto"/>
        </w:rPr>
      </w:pPr>
      <w:r>
        <w:rPr>
          <w:rFonts w:ascii="Times New Roman" w:cs="Times New Roman" w:eastAsia="Times New Roman" w:hAnsi="Times New Roman"/>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457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4457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As of</w:t>
      </w:r>
    </w:p>
    <w:p>
      <w:pPr>
        <w:jc w:val="center"/>
        <w:ind w:right="499"/>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4445</wp:posOffset>
            </wp:positionV>
            <wp:extent cx="3086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21590</wp:posOffset>
            </wp:positionV>
            <wp:extent cx="3086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55" w:right="1440" w:bottom="1440" w:gutter="0" w:footer="0" w:header="0"/>
        </w:sectPr>
      </w:pPr>
    </w:p>
    <w:bookmarkStart w:id="367" w:name="page368"/>
    <w:bookmarkEnd w:id="3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ind w:left="460" w:hanging="452"/>
        <w:spacing w:after="0"/>
        <w:tabs>
          <w:tab w:leader="none" w:pos="46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4660" w:type="dxa"/>
            <w:vAlign w:val="bottom"/>
          </w:tcPr>
          <w:p>
            <w:pPr>
              <w:spacing w:after="0"/>
              <w:rPr>
                <w:sz w:val="16"/>
                <w:szCs w:val="16"/>
                <w:color w:val="auto"/>
              </w:rPr>
            </w:pPr>
          </w:p>
        </w:tc>
        <w:tc>
          <w:tcPr>
            <w:tcW w:w="3040" w:type="dxa"/>
            <w:vAlign w:val="bottom"/>
            <w:gridSpan w:val="2"/>
          </w:tcPr>
          <w:p>
            <w:pPr>
              <w:jc w:val="center"/>
              <w:ind w:left="2497"/>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Pr>
          <w:p>
            <w:pPr>
              <w:spacing w:after="0"/>
              <w:rPr>
                <w:sz w:val="16"/>
                <w:szCs w:val="16"/>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preference shares</w:t>
      </w:r>
    </w:p>
    <w:p>
      <w:pPr>
        <w:spacing w:after="0" w:line="121" w:lineRule="exact"/>
        <w:rPr>
          <w:rFonts w:ascii="Times New Roman" w:cs="Times New Roman" w:eastAsia="Times New Roman" w:hAnsi="Times New Roman"/>
          <w:sz w:val="18"/>
          <w:szCs w:val="18"/>
          <w:b w:val="1"/>
          <w:bCs w:val="1"/>
          <w:color w:val="auto"/>
        </w:rPr>
      </w:pPr>
    </w:p>
    <w:p>
      <w:pPr>
        <w:ind w:left="460" w:right="4320"/>
        <w:spacing w:after="0" w:line="4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July 23, 2015, the Company had 25,000,000 Series A-1 preferred shares outstanding. The key terms of Series A-1 preferred shares are as follows:</w:t>
      </w:r>
    </w:p>
    <w:p>
      <w:pPr>
        <w:spacing w:after="0" w:line="16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Series A-1 preferred shares is entitled to participate in any dividend pari passu with ordinary shareholders of the Company on an as-converted basis.</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Voting rights</w:t>
      </w:r>
    </w:p>
    <w:p>
      <w:pPr>
        <w:spacing w:after="0" w:line="119"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the Series A-1 preferred shares shall be entitled to such number of votes equal to the whole number of ordinary shares into which such Series A-1 preferred shares are convertible.</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81" w:lineRule="exact"/>
        <w:rPr>
          <w:rFonts w:ascii="Times New Roman" w:cs="Times New Roman" w:eastAsia="Times New Roman" w:hAnsi="Times New Roman"/>
          <w:sz w:val="18"/>
          <w:szCs w:val="18"/>
          <w:b w:val="1"/>
          <w:bCs w:val="1"/>
          <w:color w:val="auto"/>
        </w:rPr>
      </w:pPr>
    </w:p>
    <w:p>
      <w:pPr>
        <w:ind w:left="4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F-142</w:t>
      </w:r>
    </w:p>
    <w:p>
      <w:pPr>
        <w:sectPr>
          <w:pgSz w:w="11900" w:h="16838" w:orient="portrait"/>
          <w:cols w:equalWidth="0" w:num="1">
            <w:col w:w="11360"/>
          </w:cols>
          <w:pgMar w:left="240" w:top="455" w:right="299" w:bottom="1440" w:gutter="0" w:footer="0" w:header="0"/>
        </w:sectPr>
      </w:pPr>
    </w:p>
    <w:bookmarkStart w:id="368" w:name="page369"/>
    <w:bookmarkEnd w:id="3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7680" w:hanging="452"/>
        <w:spacing w:after="0" w:line="385" w:lineRule="auto"/>
        <w:tabs>
          <w:tab w:leader="none" w:pos="449"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preference shares (Continued) </w:t>
      </w:r>
      <w:r>
        <w:rPr>
          <w:rFonts w:ascii="Times New Roman" w:cs="Times New Roman" w:eastAsia="Times New Roman" w:hAnsi="Times New Roman"/>
          <w:sz w:val="18"/>
          <w:szCs w:val="18"/>
          <w:i w:val="1"/>
          <w:iCs w:val="1"/>
          <w:color w:val="auto"/>
        </w:rPr>
        <w:t>Conversion rights</w:t>
      </w:r>
    </w:p>
    <w:p>
      <w:pPr>
        <w:spacing w:after="0" w:line="1"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68"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rFonts w:ascii="Times New Roman" w:cs="Times New Roman" w:eastAsia="Times New Roman" w:hAnsi="Times New Roman"/>
          <w:sz w:val="18"/>
          <w:szCs w:val="18"/>
          <w:b w:val="1"/>
          <w:bCs w:val="1"/>
          <w:color w:val="auto"/>
        </w:rPr>
      </w:pPr>
    </w:p>
    <w:p>
      <w:pPr>
        <w:ind w:left="4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shares</w:t>
      </w:r>
    </w:p>
    <w:p>
      <w:pPr>
        <w:spacing w:after="0" w:line="121" w:lineRule="exact"/>
        <w:rPr>
          <w:rFonts w:ascii="Times New Roman" w:cs="Times New Roman" w:eastAsia="Times New Roman" w:hAnsi="Times New Roman"/>
          <w:sz w:val="18"/>
          <w:szCs w:val="18"/>
          <w:b w:val="1"/>
          <w:bCs w:val="1"/>
          <w:color w:val="auto"/>
        </w:rPr>
      </w:pPr>
    </w:p>
    <w:p>
      <w:pPr>
        <w:jc w:val="both"/>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key terms of the Series A-2 are as follows:</w:t>
      </w:r>
    </w:p>
    <w:p>
      <w:pPr>
        <w:spacing w:after="0" w:line="3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A-2 are entitled to participate in any dividend pari passu with ordinary shareholders of the Company on an as-converted basis.</w:t>
      </w:r>
    </w:p>
    <w:p>
      <w:pPr>
        <w:spacing w:after="0" w:line="3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Voting rights</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A-2 preferred shares shall be entitled to such number of votes equal to the whole number of ordinary shares into which such Series A-2 preferred shares are convertible.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F-143</w:t>
      </w:r>
    </w:p>
    <w:p>
      <w:pPr>
        <w:sectPr>
          <w:pgSz w:w="11900" w:h="16838" w:orient="portrait"/>
          <w:cols w:equalWidth="0" w:num="1">
            <w:col w:w="11400"/>
          </w:cols>
          <w:pgMar w:left="240" w:top="455" w:right="259" w:bottom="1440" w:gutter="0" w:footer="0" w:header="0"/>
        </w:sectPr>
      </w:pPr>
    </w:p>
    <w:bookmarkStart w:id="369" w:name="page370"/>
    <w:bookmarkEnd w:id="3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00" w:hanging="452"/>
        <w:spacing w:after="0" w:line="385" w:lineRule="auto"/>
        <w:tabs>
          <w:tab w:leader="none" w:pos="449"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Liquidation preference</w:t>
      </w:r>
    </w:p>
    <w:p>
      <w:pPr>
        <w:spacing w:after="0" w:line="1" w:lineRule="exact"/>
        <w:rPr>
          <w:rFonts w:ascii="Times New Roman" w:cs="Times New Roman" w:eastAsia="Times New Roman" w:hAnsi="Times New Roman"/>
          <w:sz w:val="18"/>
          <w:szCs w:val="18"/>
          <w:b w:val="1"/>
          <w:bCs w:val="1"/>
          <w:color w:val="auto"/>
        </w:rPr>
      </w:pPr>
    </w:p>
    <w:p>
      <w:pPr>
        <w:ind w:left="4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79"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Conversion rights</w:t>
      </w:r>
    </w:p>
    <w:p>
      <w:pPr>
        <w:spacing w:after="0" w:line="119"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5"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53" w:lineRule="exact"/>
        <w:rPr>
          <w:rFonts w:ascii="Times New Roman" w:cs="Times New Roman" w:eastAsia="Times New Roman" w:hAnsi="Times New Roman"/>
          <w:sz w:val="18"/>
          <w:szCs w:val="18"/>
          <w:b w:val="1"/>
          <w:bCs w:val="1"/>
          <w:color w:val="auto"/>
        </w:rPr>
      </w:pPr>
    </w:p>
    <w:p>
      <w:pPr>
        <w:ind w:left="4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the Series A-2 preferred shares should be classified as mezzanine equity after considering the features of the preferred shares as described above.</w:t>
      </w:r>
    </w:p>
    <w:p>
      <w:pPr>
        <w:spacing w:after="0" w:line="53"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F-144</w:t>
      </w:r>
    </w:p>
    <w:p>
      <w:pPr>
        <w:sectPr>
          <w:pgSz w:w="11900" w:h="16838" w:orient="portrait"/>
          <w:cols w:equalWidth="0" w:num="1">
            <w:col w:w="11380"/>
          </w:cols>
          <w:pgMar w:left="240" w:top="455" w:right="279" w:bottom="1440" w:gutter="0" w:footer="0" w:header="0"/>
        </w:sectPr>
      </w:pPr>
    </w:p>
    <w:bookmarkStart w:id="370" w:name="page371"/>
    <w:bookmarkEnd w:id="3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720" w:hanging="452"/>
        <w:spacing w:after="0" w:line="391" w:lineRule="auto"/>
        <w:tabs>
          <w:tab w:leader="none" w:pos="449"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Times New Roman" w:cs="Times New Roman" w:eastAsia="Times New Roman" w:hAnsi="Times New Roman"/>
                <w:sz w:val="14"/>
                <w:szCs w:val="14"/>
                <w:color w:val="auto"/>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0" w:type="dxa"/>
            <w:vAlign w:val="bottom"/>
            <w:gridSpan w:val="2"/>
          </w:tcPr>
          <w:p>
            <w:pPr>
              <w:jc w:val="center"/>
              <w:ind w:left="2402"/>
              <w:spacing w:after="0"/>
              <w:rPr>
                <w:sz w:val="20"/>
                <w:szCs w:val="20"/>
                <w:color w:val="auto"/>
              </w:rPr>
            </w:pPr>
            <w:r>
              <w:rPr>
                <w:rFonts w:ascii="Times New Roman" w:cs="Times New Roman" w:eastAsia="Times New Roman" w:hAnsi="Times New Roman"/>
                <w:sz w:val="14"/>
                <w:szCs w:val="14"/>
                <w:color w:val="auto"/>
                <w:w w:val="99"/>
              </w:rPr>
              <w:t>2015</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right="20"/>
        <w:spacing w:after="0" w:line="277" w:lineRule="auto"/>
        <w:rPr>
          <w:sz w:val="20"/>
          <w:szCs w:val="20"/>
          <w:color w:val="auto"/>
        </w:rPr>
      </w:pPr>
      <w:r>
        <w:rPr>
          <w:rFonts w:ascii="Times New Roman" w:cs="Times New Roman" w:eastAsia="Times New Roman" w:hAnsi="Times New Roman"/>
          <w:sz w:val="17"/>
          <w:szCs w:val="17"/>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w:t>
      </w:r>
    </w:p>
    <w:p>
      <w:pPr>
        <w:spacing w:after="0" w:line="117" w:lineRule="exact"/>
        <w:rPr>
          <w:rFonts w:ascii="Times New Roman" w:cs="Times New Roman" w:eastAsia="Times New Roman" w:hAnsi="Times New Roman"/>
          <w:sz w:val="18"/>
          <w:szCs w:val="18"/>
          <w:color w:val="auto"/>
        </w:rPr>
      </w:pPr>
    </w:p>
    <w:p>
      <w:pPr>
        <w:ind w:lef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68" w:lineRule="exact"/>
        <w:rPr>
          <w:rFonts w:ascii="Times New Roman" w:cs="Times New Roman" w:eastAsia="Times New Roman" w:hAnsi="Times New Roman"/>
          <w:sz w:val="18"/>
          <w:szCs w:val="18"/>
          <w:color w:val="auto"/>
        </w:rPr>
      </w:pPr>
    </w:p>
    <w:p>
      <w:pPr>
        <w:ind w:left="4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color w:val="auto"/>
              </w:rPr>
              <w:t>Vesting</w:t>
            </w:r>
          </w:p>
        </w:tc>
        <w:tc>
          <w:tcPr>
            <w:tcW w:w="820" w:type="dxa"/>
            <w:vAlign w:val="bottom"/>
          </w:tcPr>
          <w:p>
            <w:pPr>
              <w:jc w:val="center"/>
              <w:ind w:left="35"/>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46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Number of</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Term</w:t>
            </w: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5"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46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vMerge w:val="continue"/>
          </w:tcPr>
          <w:p>
            <w:pPr>
              <w:spacing w:after="0"/>
              <w:rPr>
                <w:sz w:val="15"/>
                <w:szCs w:val="15"/>
                <w:color w:val="auto"/>
              </w:rPr>
            </w:pPr>
          </w:p>
        </w:tc>
        <w:tc>
          <w:tcPr>
            <w:tcW w:w="464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(year)</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center"/>
              <w:ind w:left="55"/>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January 16, 2015 (Note 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iii)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v)</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vi)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viii)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Times New Roman" w:cs="Times New Roman" w:eastAsia="Times New Roman" w:hAnsi="Times New Roman"/>
                <w:sz w:val="18"/>
                <w:szCs w:val="18"/>
                <w:color w:val="auto"/>
              </w:rPr>
              <w:t>F-145</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371" w:name="page372"/>
    <w:bookmarkEnd w:id="3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Vesting</w:t>
            </w:r>
          </w:p>
        </w:tc>
        <w:tc>
          <w:tcPr>
            <w:tcW w:w="820" w:type="dxa"/>
            <w:vAlign w:val="bottom"/>
          </w:tcPr>
          <w:p>
            <w:pPr>
              <w:jc w:val="center"/>
              <w:ind w:left="34"/>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3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Number of</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Term</w:t>
            </w: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5"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49"/>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34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(year)</w:t>
            </w: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center"/>
              <w:ind w:left="54"/>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xii)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xiv)</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2015 (Note xvi)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March 15, 2015 (Note xviii)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June 1, 2015 (Note xx)</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3,950,000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July 1, 2015 (Note xxii)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120" w:right="80" w:hanging="666"/>
        <w:spacing w:after="0" w:line="266" w:lineRule="auto"/>
        <w:tabs>
          <w:tab w:leader="none" w:pos="11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1" w:lineRule="exact"/>
        <w:rPr>
          <w:rFonts w:ascii="Times New Roman" w:cs="Times New Roman" w:eastAsia="Times New Roman" w:hAnsi="Times New Roman"/>
          <w:sz w:val="18"/>
          <w:szCs w:val="18"/>
          <w:color w:val="auto"/>
        </w:rPr>
      </w:pPr>
    </w:p>
    <w:p>
      <w:pPr>
        <w:jc w:val="both"/>
        <w:ind w:left="1120" w:hanging="666"/>
        <w:spacing w:after="0" w:line="266" w:lineRule="auto"/>
        <w:tabs>
          <w:tab w:leader="none" w:pos="11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hanging="666"/>
        <w:spacing w:after="0" w:line="266" w:lineRule="auto"/>
        <w:tabs>
          <w:tab w:leader="none" w:pos="11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180" w:hanging="666"/>
        <w:spacing w:after="0" w:line="266" w:lineRule="auto"/>
        <w:tabs>
          <w:tab w:leader="none" w:pos="11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220" w:hanging="666"/>
        <w:spacing w:after="0" w:line="266" w:lineRule="auto"/>
        <w:tabs>
          <w:tab w:leader="none" w:pos="11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240" w:hanging="666"/>
        <w:spacing w:after="0" w:line="266" w:lineRule="auto"/>
        <w:tabs>
          <w:tab w:leader="none" w:pos="11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F-146</w:t>
      </w:r>
    </w:p>
    <w:p>
      <w:pPr>
        <w:sectPr>
          <w:pgSz w:w="11900" w:h="16838" w:orient="portrait"/>
          <w:cols w:equalWidth="0" w:num="1">
            <w:col w:w="11400"/>
          </w:cols>
          <w:pgMar w:left="240" w:top="455" w:right="259" w:bottom="1440" w:gutter="0" w:footer="0" w:header="0"/>
        </w:sectPr>
      </w:pPr>
    </w:p>
    <w:bookmarkStart w:id="372" w:name="page373"/>
    <w:bookmarkEnd w:id="3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1120" w:right="24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42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44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18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8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8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32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6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1" w:lineRule="exact"/>
        <w:rPr>
          <w:rFonts w:ascii="Times New Roman" w:cs="Times New Roman" w:eastAsia="Times New Roman" w:hAnsi="Times New Roman"/>
          <w:sz w:val="18"/>
          <w:szCs w:val="18"/>
          <w:color w:val="auto"/>
        </w:rPr>
      </w:pPr>
    </w:p>
    <w:p>
      <w:pPr>
        <w:ind w:left="1120" w:right="10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1" w:lineRule="exact"/>
        <w:rPr>
          <w:rFonts w:ascii="Times New Roman" w:cs="Times New Roman" w:eastAsia="Times New Roman" w:hAnsi="Times New Roman"/>
          <w:sz w:val="18"/>
          <w:szCs w:val="18"/>
          <w:color w:val="auto"/>
        </w:rPr>
      </w:pPr>
    </w:p>
    <w:p>
      <w:pPr>
        <w:ind w:left="1120" w:right="580" w:hanging="666"/>
        <w:spacing w:after="0" w:line="266" w:lineRule="auto"/>
        <w:tabs>
          <w:tab w:leader="none" w:pos="112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F-147</w:t>
      </w:r>
    </w:p>
    <w:p>
      <w:pPr>
        <w:sectPr>
          <w:pgSz w:w="11900" w:h="16838" w:orient="portrait"/>
          <w:cols w:equalWidth="0" w:num="1">
            <w:col w:w="11420"/>
          </w:cols>
          <w:pgMar w:left="240" w:top="455" w:right="239" w:bottom="1440" w:gutter="0" w:footer="0" w:header="0"/>
        </w:sectPr>
      </w:pPr>
    </w:p>
    <w:bookmarkStart w:id="373" w:name="page374"/>
    <w:bookmarkEnd w:id="3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jc w:val="both"/>
        <w:ind w:left="1120" w:right="120" w:hanging="666"/>
        <w:spacing w:after="0" w:line="266" w:lineRule="auto"/>
        <w:tabs>
          <w:tab w:leader="none" w:pos="11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1" w:lineRule="exact"/>
        <w:rPr>
          <w:rFonts w:ascii="Times New Roman" w:cs="Times New Roman" w:eastAsia="Times New Roman" w:hAnsi="Times New Roman"/>
          <w:sz w:val="18"/>
          <w:szCs w:val="18"/>
          <w:color w:val="auto"/>
        </w:rPr>
      </w:pPr>
    </w:p>
    <w:p>
      <w:pPr>
        <w:ind w:left="1120" w:right="100" w:hanging="666"/>
        <w:spacing w:after="0" w:line="266" w:lineRule="auto"/>
        <w:tabs>
          <w:tab w:leader="none" w:pos="11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1" w:lineRule="exact"/>
        <w:rPr>
          <w:rFonts w:ascii="Times New Roman" w:cs="Times New Roman" w:eastAsia="Times New Roman" w:hAnsi="Times New Roman"/>
          <w:sz w:val="18"/>
          <w:szCs w:val="18"/>
          <w:color w:val="auto"/>
        </w:rPr>
      </w:pPr>
    </w:p>
    <w:p>
      <w:pPr>
        <w:ind w:left="1120" w:hanging="666"/>
        <w:spacing w:after="0" w:line="266" w:lineRule="auto"/>
        <w:tabs>
          <w:tab w:leader="none" w:pos="11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1" w:lineRule="exact"/>
        <w:rPr>
          <w:rFonts w:ascii="Times New Roman" w:cs="Times New Roman" w:eastAsia="Times New Roman" w:hAnsi="Times New Roman"/>
          <w:sz w:val="18"/>
          <w:szCs w:val="18"/>
          <w:color w:val="auto"/>
        </w:rPr>
      </w:pPr>
    </w:p>
    <w:p>
      <w:pPr>
        <w:ind w:left="1120" w:right="60" w:hanging="666"/>
        <w:spacing w:after="0" w:line="266" w:lineRule="auto"/>
        <w:tabs>
          <w:tab w:leader="none" w:pos="11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1" w:lineRule="exact"/>
        <w:rPr>
          <w:rFonts w:ascii="Times New Roman" w:cs="Times New Roman" w:eastAsia="Times New Roman" w:hAnsi="Times New Roman"/>
          <w:sz w:val="18"/>
          <w:szCs w:val="18"/>
          <w:color w:val="auto"/>
        </w:rPr>
      </w:pPr>
    </w:p>
    <w:p>
      <w:pPr>
        <w:jc w:val="both"/>
        <w:ind w:left="1120" w:right="160" w:hanging="666"/>
        <w:spacing w:after="0" w:line="266" w:lineRule="auto"/>
        <w:tabs>
          <w:tab w:leader="none" w:pos="11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Weighted</w:t>
            </w: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Weighted</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Weighted</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10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9"/>
              </w:rPr>
              <w:t>contractual</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shares</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price (US$)</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(US$)</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life (years)</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14,108,000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0.085</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14,108,000</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68" w:lineRule="exact"/>
        <w:rPr>
          <w:sz w:val="20"/>
          <w:szCs w:val="20"/>
          <w:color w:val="auto"/>
        </w:rPr>
      </w:pPr>
    </w:p>
    <w:p>
      <w:pPr>
        <w:ind w:left="460" w:right="42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estimated fair value of the Company’s ordinary shares as of July 23, 2015 and the exercise price.</w:t>
      </w:r>
    </w:p>
    <w:p>
      <w:pPr>
        <w:spacing w:after="0" w:line="54"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54" w:lineRule="exact"/>
        <w:rPr>
          <w:sz w:val="20"/>
          <w:szCs w:val="20"/>
          <w:color w:val="auto"/>
        </w:rPr>
      </w:pPr>
    </w:p>
    <w:p>
      <w:pPr>
        <w:ind w:left="460" w:right="120"/>
        <w:spacing w:after="0" w:line="266" w:lineRule="auto"/>
        <w:rPr>
          <w:sz w:val="20"/>
          <w:szCs w:val="20"/>
          <w:color w:val="auto"/>
        </w:rPr>
      </w:pPr>
      <w:r>
        <w:rPr>
          <w:rFonts w:ascii="Times New Roman" w:cs="Times New Roman" w:eastAsia="Times New Roman" w:hAnsi="Times New Roman"/>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F-148</w:t>
      </w:r>
    </w:p>
    <w:p>
      <w:pPr>
        <w:sectPr>
          <w:pgSz w:w="11900" w:h="16838" w:orient="portrait"/>
          <w:cols w:equalWidth="0" w:num="1">
            <w:col w:w="11340"/>
          </w:cols>
          <w:pgMar w:left="240" w:top="455" w:right="319" w:bottom="1440" w:gutter="0" w:footer="0" w:header="0"/>
        </w:sectPr>
      </w:pPr>
    </w:p>
    <w:bookmarkStart w:id="374" w:name="page375"/>
    <w:bookmarkEnd w:id="3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3440" w:type="dxa"/>
            <w:vAlign w:val="bottom"/>
            <w:vMerge w:val="restart"/>
          </w:tcPr>
          <w:p>
            <w:pPr>
              <w:jc w:val="center"/>
              <w:ind w:left="1815"/>
              <w:spacing w:after="0"/>
              <w:rPr>
                <w:sz w:val="20"/>
                <w:szCs w:val="20"/>
                <w:color w:val="auto"/>
              </w:rPr>
            </w:pPr>
            <w:r>
              <w:rPr>
                <w:rFonts w:ascii="Times New Roman" w:cs="Times New Roman" w:eastAsia="Times New Roman" w:hAnsi="Times New Roman"/>
                <w:sz w:val="14"/>
                <w:szCs w:val="14"/>
                <w:color w:val="auto"/>
              </w:rPr>
              <w:t>Risk-free</w:t>
            </w:r>
          </w:p>
        </w:tc>
        <w:tc>
          <w:tcPr>
            <w:tcW w:w="12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color w:val="auto"/>
              </w:rPr>
              <w:t>Dividend</w:t>
            </w:r>
          </w:p>
        </w:tc>
        <w:tc>
          <w:tcPr>
            <w:tcW w:w="12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Expected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88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term</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Times New Roman" w:cs="Times New Roman" w:eastAsia="Times New Roman" w:hAnsi="Times New Roman"/>
                <w:sz w:val="14"/>
                <w:szCs w:val="14"/>
                <w:color w:val="auto"/>
              </w:rPr>
              <w:t>interest rate</w:t>
            </w:r>
          </w:p>
        </w:tc>
        <w:tc>
          <w:tcPr>
            <w:tcW w:w="12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color w:val="auto"/>
              </w:rPr>
              <w:t>yield</w:t>
            </w:r>
          </w:p>
        </w:tc>
        <w:tc>
          <w:tcPr>
            <w:tcW w:w="12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rate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40" w:type="dxa"/>
            <w:vAlign w:val="bottom"/>
          </w:tcPr>
          <w:p>
            <w:pPr>
              <w:jc w:val="center"/>
              <w:ind w:left="1815"/>
              <w:spacing w:after="0"/>
              <w:rPr>
                <w:sz w:val="20"/>
                <w:szCs w:val="20"/>
                <w:color w:val="auto"/>
              </w:rPr>
            </w:pPr>
            <w:r>
              <w:rPr>
                <w:rFonts w:ascii="Times New Roman" w:cs="Times New Roman" w:eastAsia="Times New Roman" w:hAnsi="Times New Roman"/>
                <w:sz w:val="14"/>
                <w:szCs w:val="14"/>
                <w:color w:val="auto"/>
              </w:rPr>
              <w:t>(Note i)</w:t>
            </w: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color w:val="auto"/>
              </w:rPr>
              <w:t>(Note ii)</w:t>
            </w:r>
          </w:p>
        </w:tc>
        <w:tc>
          <w:tcPr>
            <w:tcW w:w="1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(Note iii)</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(Note iv)</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53.45%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w:t>
            </w:r>
          </w:p>
        </w:tc>
        <w:tc>
          <w:tcPr>
            <w:tcW w:w="34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3.510%</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53.39%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March 15, 2015</w:t>
            </w:r>
          </w:p>
        </w:tc>
        <w:tc>
          <w:tcPr>
            <w:tcW w:w="34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3.450%</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June 1, 2015</w:t>
            </w:r>
          </w:p>
        </w:tc>
        <w:tc>
          <w:tcPr>
            <w:tcW w:w="34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3.640%</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52.98%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900" w:right="400" w:hanging="446"/>
        <w:spacing w:after="0" w:line="250" w:lineRule="auto"/>
        <w:tabs>
          <w:tab w:leader="none" w:pos="9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900" w:right="600" w:hanging="446"/>
        <w:spacing w:after="0" w:line="250" w:lineRule="auto"/>
        <w:tabs>
          <w:tab w:leader="none" w:pos="9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developed by assuming the share options will be exercised towards the end of maturity dates.</w:t>
      </w:r>
    </w:p>
    <w:p>
      <w:pPr>
        <w:spacing w:after="0" w:line="3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17" w:lineRule="exact"/>
        <w:rPr>
          <w:rFonts w:ascii="Times New Roman" w:cs="Times New Roman" w:eastAsia="Times New Roman" w:hAnsi="Times New Roman"/>
          <w:sz w:val="18"/>
          <w:szCs w:val="18"/>
          <w:color w:val="auto"/>
        </w:rPr>
      </w:pPr>
    </w:p>
    <w:p>
      <w:pPr>
        <w:ind w:left="46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profits tax</w:t>
      </w:r>
    </w:p>
    <w:p>
      <w:pPr>
        <w:spacing w:after="0" w:line="117" w:lineRule="exact"/>
        <w:rPr>
          <w:rFonts w:ascii="Times New Roman" w:cs="Times New Roman" w:eastAsia="Times New Roman" w:hAnsi="Times New Roman"/>
          <w:sz w:val="18"/>
          <w:szCs w:val="18"/>
          <w:color w:val="auto"/>
        </w:rPr>
      </w:pPr>
    </w:p>
    <w:p>
      <w:pPr>
        <w:ind w:left="460"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incorporated in Hong Kong are subject to Hong Kong profits tax at a rate of 16.5% on the estimated assessable profit for the period from January 1, 2015 to July 23, 2015.</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w:t>
      </w:r>
    </w:p>
    <w:p>
      <w:pPr>
        <w:spacing w:after="0" w:line="117" w:lineRule="exact"/>
        <w:rPr>
          <w:rFonts w:ascii="Times New Roman" w:cs="Times New Roman" w:eastAsia="Times New Roman" w:hAnsi="Times New Roman"/>
          <w:sz w:val="18"/>
          <w:szCs w:val="18"/>
          <w:color w:val="auto"/>
        </w:rPr>
      </w:pPr>
    </w:p>
    <w:p>
      <w:pPr>
        <w:ind w:left="46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53" w:lineRule="exact"/>
        <w:rPr>
          <w:rFonts w:ascii="Times New Roman" w:cs="Times New Roman" w:eastAsia="Times New Roman" w:hAnsi="Times New Roman"/>
          <w:sz w:val="18"/>
          <w:szCs w:val="18"/>
          <w:color w:val="auto"/>
        </w:rPr>
      </w:pPr>
    </w:p>
    <w:p>
      <w:pPr>
        <w:ind w:left="46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F-149</w:t>
      </w:r>
    </w:p>
    <w:p>
      <w:pPr>
        <w:sectPr>
          <w:pgSz w:w="11900" w:h="16838" w:orient="portrait"/>
          <w:cols w:equalWidth="0" w:num="1">
            <w:col w:w="11320"/>
          </w:cols>
          <w:pgMar w:left="240" w:top="455" w:right="339" w:bottom="1440" w:gutter="0" w:footer="0" w:header="0"/>
        </w:sectPr>
      </w:pPr>
    </w:p>
    <w:bookmarkStart w:id="375" w:name="page376"/>
    <w:bookmarkEnd w:id="3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 (Continued)</w:t>
      </w:r>
    </w:p>
    <w:p>
      <w:pPr>
        <w:spacing w:after="0" w:line="130" w:lineRule="exact"/>
        <w:rPr>
          <w:rFonts w:ascii="Times New Roman" w:cs="Times New Roman" w:eastAsia="Times New Roman" w:hAnsi="Times New Roman"/>
          <w:sz w:val="18"/>
          <w:szCs w:val="18"/>
          <w:color w:val="auto"/>
        </w:rPr>
      </w:pPr>
    </w:p>
    <w:p>
      <w:pPr>
        <w:jc w:val="both"/>
        <w:ind w:left="4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68" w:lineRule="exact"/>
        <w:rPr>
          <w:rFonts w:ascii="Times New Roman" w:cs="Times New Roman" w:eastAsia="Times New Roman" w:hAnsi="Times New Roman"/>
          <w:sz w:val="18"/>
          <w:szCs w:val="18"/>
          <w:color w:val="auto"/>
        </w:rPr>
      </w:pPr>
    </w:p>
    <w:p>
      <w:pPr>
        <w:ind w:left="4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income tax expense</w:t>
      </w:r>
    </w:p>
    <w:p>
      <w:pPr>
        <w:spacing w:after="0" w:line="119"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deferred portions of income tax expense included in the consolidated statement of comprehensive loss are nil as of July 23, 2015 are as follows: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260" w:type="dxa"/>
            <w:vAlign w:val="bottom"/>
            <w:gridSpan w:val="3"/>
          </w:tcPr>
          <w:p>
            <w:pPr>
              <w:jc w:val="center"/>
              <w:ind w:left="2359"/>
              <w:spacing w:after="0"/>
              <w:rPr>
                <w:sz w:val="20"/>
                <w:szCs w:val="20"/>
                <w:color w:val="auto"/>
              </w:rPr>
            </w:pPr>
            <w:r>
              <w:rPr>
                <w:rFonts w:ascii="Times New Roman" w:cs="Times New Roman" w:eastAsia="Times New Roman" w:hAnsi="Times New Roman"/>
                <w:sz w:val="14"/>
                <w:szCs w:val="14"/>
                <w:color w:val="auto"/>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Times New Roman" w:cs="Times New Roman" w:eastAsia="Times New Roman" w:hAnsi="Times New Roman"/>
                <w:sz w:val="14"/>
                <w:szCs w:val="14"/>
                <w:color w:val="auto"/>
                <w:w w:val="99"/>
              </w:rPr>
              <w:t>2015</w:t>
            </w:r>
          </w:p>
        </w:tc>
        <w:tc>
          <w:tcPr>
            <w:tcW w:w="6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US$‘000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ind w:left="460" w:right="520"/>
        <w:spacing w:after="0" w:line="282" w:lineRule="auto"/>
        <w:rPr>
          <w:sz w:val="20"/>
          <w:szCs w:val="20"/>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-116840</wp:posOffset>
            </wp:positionV>
            <wp:extent cx="6080125"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9" w:lineRule="exact"/>
        <w:rPr>
          <w:sz w:val="20"/>
          <w:szCs w:val="20"/>
          <w:color w:val="auto"/>
        </w:rPr>
      </w:pPr>
    </w:p>
    <w:p>
      <w:pPr>
        <w:ind w:left="920" w:right="3260"/>
        <w:spacing w:after="0" w:line="263" w:lineRule="auto"/>
        <w:rPr>
          <w:sz w:val="20"/>
          <w:szCs w:val="20"/>
          <w:color w:val="auto"/>
        </w:rPr>
      </w:pPr>
      <w:r>
        <w:rPr>
          <w:rFonts w:ascii="Times New Roman" w:cs="Times New Roman" w:eastAsia="Times New Roman" w:hAnsi="Times New Roman"/>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-278765</wp:posOffset>
            </wp:positionV>
            <wp:extent cx="6080125"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Deferred tax assets, non-current:</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Valuation allowance (a)</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F-150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As of</w:t>
      </w:r>
    </w:p>
    <w:p>
      <w:pPr>
        <w:jc w:val="center"/>
        <w:ind w:right="1020"/>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2015</w:t>
      </w:r>
    </w:p>
    <w:p>
      <w:pPr>
        <w:spacing w:after="0" w:line="21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1,310</w:t>
      </w:r>
    </w:p>
    <w:p>
      <w:pPr>
        <w:spacing w:after="0" w:line="27"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u w:val="single" w:color="auto"/>
          <w:color w:val="auto"/>
        </w:rPr>
        <w:t>(1,407</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17145</wp:posOffset>
            </wp:positionV>
            <wp:extent cx="33464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34290</wp:posOffset>
            </wp:positionV>
            <wp:extent cx="33464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575</w:t>
      </w:r>
    </w:p>
    <w:p>
      <w:pPr>
        <w:spacing w:after="0" w:line="27"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17145</wp:posOffset>
            </wp:positionV>
            <wp:extent cx="3346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34290</wp:posOffset>
            </wp:positionV>
            <wp:extent cx="3346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5" w:right="279" w:bottom="1440" w:gutter="0" w:footer="0" w:header="0"/>
          <w:type w:val="continuous"/>
        </w:sectPr>
      </w:pPr>
    </w:p>
    <w:bookmarkStart w:id="376" w:name="page377"/>
    <w:bookmarkEnd w:id="3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(Continued)</w:t>
      </w:r>
    </w:p>
    <w:p>
      <w:pPr>
        <w:spacing w:after="0" w:line="13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Deferred tax assets and liabilities (Continued)</w:t>
      </w:r>
    </w:p>
    <w:p>
      <w:pPr>
        <w:spacing w:after="0" w:line="132" w:lineRule="exact"/>
        <w:rPr>
          <w:rFonts w:ascii="Times New Roman" w:cs="Times New Roman" w:eastAsia="Times New Roman" w:hAnsi="Times New Roman"/>
          <w:sz w:val="18"/>
          <w:szCs w:val="18"/>
          <w:b w:val="1"/>
          <w:bCs w:val="1"/>
          <w:color w:val="auto"/>
        </w:rPr>
      </w:pPr>
    </w:p>
    <w:p>
      <w:pPr>
        <w:ind w:left="900" w:right="100" w:hanging="446"/>
        <w:spacing w:after="0" w:line="256" w:lineRule="auto"/>
        <w:tabs>
          <w:tab w:leader="none" w:pos="9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 loss carryforwards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July 23, 2015, the Group had tax loss carryforwards of approximately US$2,301, which can be carried forward to offset future taxable income.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net operating tax loss carry forwards will begin to expire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F-151</w:t>
      </w:r>
    </w:p>
    <w:p>
      <w:pPr>
        <w:sectPr>
          <w:pgSz w:w="11900" w:h="16838" w:orient="portrait"/>
          <w:cols w:equalWidth="0" w:num="1">
            <w:col w:w="11360"/>
          </w:cols>
          <w:pgMar w:left="240" w:top="456" w:right="299" w:bottom="1440" w:gutter="0" w:footer="0" w:header="0"/>
        </w:sectPr>
      </w:pPr>
    </w:p>
    <w:bookmarkStart w:id="377" w:name="page378"/>
    <w:bookmarkEnd w:id="3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(Continued)</w:t>
      </w:r>
    </w:p>
    <w:p>
      <w:pPr>
        <w:spacing w:after="0" w:line="13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Tax loss carryforwards (Continued)</w:t>
      </w:r>
    </w:p>
    <w:p>
      <w:pPr>
        <w:spacing w:after="0" w:line="119"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Reconciliation between the expense of income taxes computed by applying the statutory tax rate to loss before income taxes and the actual provision for income taxes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700" w:type="dxa"/>
            <w:vAlign w:val="bottom"/>
            <w:gridSpan w:val="2"/>
          </w:tcPr>
          <w:p>
            <w:pPr>
              <w:jc w:val="center"/>
              <w:ind w:left="258"/>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 due to a director</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amount due to a director represents cash advances from a director which was unsecured, interest-free and with no fixed repayment terms.</w:t>
      </w:r>
    </w:p>
    <w:p>
      <w:pPr>
        <w:spacing w:after="0" w:line="3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commitments</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F-152</w:t>
      </w:r>
    </w:p>
    <w:p>
      <w:pPr>
        <w:sectPr>
          <w:pgSz w:w="11900" w:h="16838" w:orient="portrait"/>
          <w:cols w:equalWidth="0" w:num="1">
            <w:col w:w="11180"/>
          </w:cols>
          <w:pgMar w:left="240" w:top="455" w:right="479" w:bottom="1440" w:gutter="0" w:footer="0" w:header="0"/>
        </w:sectPr>
      </w:pPr>
    </w:p>
    <w:bookmarkStart w:id="378" w:name="page379"/>
    <w:bookmarkEnd w:id="3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commitments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4320" w:type="dxa"/>
            <w:vAlign w:val="bottom"/>
          </w:tcPr>
          <w:p>
            <w:pPr>
              <w:spacing w:after="0"/>
              <w:rPr>
                <w:sz w:val="16"/>
                <w:szCs w:val="16"/>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Pr>
          <w:p>
            <w:pPr>
              <w:spacing w:after="0"/>
              <w:rPr>
                <w:sz w:val="16"/>
                <w:szCs w:val="16"/>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July 23, 2015, there were no purchase commitments.</w:t>
      </w:r>
    </w:p>
    <w:p>
      <w:pPr>
        <w:spacing w:after="0" w:line="36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1" w:lineRule="exact"/>
        <w:rPr>
          <w:sz w:val="20"/>
          <w:szCs w:val="20"/>
          <w:color w:val="auto"/>
        </w:rPr>
      </w:pPr>
    </w:p>
    <w:p>
      <w:pPr>
        <w:ind w:left="460" w:hanging="452"/>
        <w:spacing w:after="0"/>
        <w:tabs>
          <w:tab w:leader="none" w:pos="46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37"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Optimix acquired 100% equity interest of the Company on July 24, 2015 at a consideration of approximately US$67,620 in the form of cash and shares of Optimix.</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F-153</w:t>
      </w:r>
    </w:p>
    <w:p>
      <w:pPr>
        <w:sectPr>
          <w:pgSz w:w="11900" w:h="16838" w:orient="portrait"/>
          <w:cols w:equalWidth="0" w:num="1">
            <w:col w:w="11400"/>
          </w:cols>
          <w:pgMar w:left="240" w:top="455" w:right="259" w:bottom="1440" w:gutter="0" w:footer="0" w:header="0"/>
        </w:sectPr>
      </w:pPr>
    </w:p>
    <w:bookmarkStart w:id="379" w:name="page380"/>
    <w:bookmarkEnd w:id="3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88" w:lineRule="exact"/>
        <w:rPr>
          <w:sz w:val="20"/>
          <w:szCs w:val="20"/>
          <w:color w:val="auto"/>
        </w:rPr>
      </w:pPr>
    </w:p>
    <w:p>
      <w:pPr>
        <w:ind w:right="280" w:firstLine="456"/>
        <w:spacing w:after="0" w:line="313" w:lineRule="auto"/>
        <w:rPr>
          <w:sz w:val="20"/>
          <w:szCs w:val="20"/>
          <w:color w:val="auto"/>
        </w:rPr>
      </w:pPr>
      <w:r>
        <w:rPr>
          <w:rFonts w:ascii="Times New Roman" w:cs="Times New Roman" w:eastAsia="Times New Roman" w:hAnsi="Times New Roman"/>
          <w:sz w:val="17"/>
          <w:szCs w:val="17"/>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3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tab/>
        <w:t>RECENT SALES OF UNREGISTERED SECURITIES.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82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5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Consideration in</w:t>
            </w:r>
          </w:p>
        </w:tc>
        <w:tc>
          <w:tcPr>
            <w:tcW w:w="18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Underwriting Discounts</w:t>
            </w: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82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560" w:type="dxa"/>
            <w:vAlign w:val="bottom"/>
            <w:vMerge w:val="continue"/>
          </w:tcPr>
          <w:p>
            <w:pPr>
              <w:spacing w:after="0"/>
              <w:rPr>
                <w:sz w:val="16"/>
                <w:szCs w:val="16"/>
                <w:color w:val="auto"/>
              </w:rPr>
            </w:pPr>
          </w:p>
        </w:tc>
        <w:tc>
          <w:tcPr>
            <w:tcW w:w="18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8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and Commissions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205"/>
        </w:trPr>
        <w:tc>
          <w:tcPr>
            <w:tcW w:w="6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w w:val="84"/>
              </w:rPr>
              <w:t>Big Tooth</w:t>
            </w:r>
          </w:p>
        </w:tc>
        <w:tc>
          <w:tcPr>
            <w:tcW w:w="20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Corporation</w:t>
            </w:r>
          </w:p>
        </w:tc>
        <w:tc>
          <w:tcPr>
            <w:tcW w:w="320" w:type="dxa"/>
            <w:vAlign w:val="bottom"/>
          </w:tcPr>
          <w:p>
            <w:pPr>
              <w:spacing w:after="0"/>
              <w:rPr>
                <w:sz w:val="17"/>
                <w:szCs w:val="17"/>
                <w:color w:val="auto"/>
              </w:rPr>
            </w:pPr>
          </w:p>
        </w:tc>
        <w:tc>
          <w:tcPr>
            <w:tcW w:w="19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December 22, 2014</w:t>
            </w:r>
          </w:p>
        </w:tc>
        <w:tc>
          <w:tcPr>
            <w:tcW w:w="120" w:type="dxa"/>
            <w:vAlign w:val="bottom"/>
          </w:tcPr>
          <w:p>
            <w:pPr>
              <w:spacing w:after="0"/>
              <w:rPr>
                <w:sz w:val="17"/>
                <w:szCs w:val="17"/>
                <w:color w:val="auto"/>
              </w:rPr>
            </w:pPr>
          </w:p>
        </w:tc>
        <w:tc>
          <w:tcPr>
            <w:tcW w:w="2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274,752 ordinary shares</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2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December 23, 2014</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255,033 ordinary shares</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December 30, 2014</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742,320 ordinary shares</w:t>
            </w:r>
          </w:p>
        </w:tc>
      </w:tr>
      <w:tr>
        <w:trPr>
          <w:trHeight w:val="23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December 30, 2014</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2,493,018 series D preferred shares</w:t>
            </w:r>
          </w:p>
        </w:tc>
      </w:tr>
      <w:tr>
        <w:trPr>
          <w:trHeight w:val="23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Bondwa Enterprise Limited</w:t>
            </w:r>
          </w:p>
        </w:tc>
        <w:tc>
          <w:tcPr>
            <w:tcW w:w="2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February 13, 2015</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71,076 ordinary shares</w:t>
            </w:r>
          </w:p>
        </w:tc>
      </w:tr>
      <w:tr>
        <w:trPr>
          <w:trHeight w:val="23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Triwin Holdings Limited</w:t>
            </w:r>
          </w:p>
        </w:tc>
        <w:tc>
          <w:tcPr>
            <w:tcW w:w="2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February 13, 2015</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71,075 ordinary shares</w:t>
            </w:r>
          </w:p>
        </w:tc>
      </w:tr>
      <w:tr>
        <w:trPr>
          <w:trHeight w:val="23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Igomax Inc.</w:t>
            </w:r>
          </w:p>
        </w:tc>
        <w:tc>
          <w:tcPr>
            <w:tcW w:w="2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July 24, 2015</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1,496,399 ordinary shares</w:t>
            </w:r>
          </w:p>
        </w:tc>
      </w:tr>
      <w:tr>
        <w:trPr>
          <w:trHeight w:val="24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Zaffre Investments, Inc.</w:t>
            </w:r>
          </w:p>
        </w:tc>
        <w:tc>
          <w:tcPr>
            <w:tcW w:w="2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July 24, 2015</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446,604 ordinary shares</w:t>
            </w:r>
          </w:p>
        </w:tc>
      </w:tr>
      <w:tr>
        <w:trPr>
          <w:trHeight w:val="365"/>
        </w:trPr>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II-1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146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146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Note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US$12.0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US$48.0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3">
            <w:col w:w="7680" w:space="100"/>
            <w:col w:w="1200" w:space="500"/>
            <w:col w:w="1940"/>
          </w:cols>
          <w:pgMar w:left="240" w:top="455" w:right="239" w:bottom="1440" w:gutter="0" w:footer="0" w:header="0"/>
          <w:type w:val="continuous"/>
        </w:sectPr>
      </w:pPr>
    </w:p>
    <w:bookmarkStart w:id="380" w:name="page381"/>
    <w:bookmarkEnd w:id="3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2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6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3"/>
                <w:szCs w:val="13"/>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Consideration in</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Underwriting Discounts</w:t>
            </w:r>
          </w:p>
        </w:tc>
        <w:tc>
          <w:tcPr>
            <w:tcW w:w="0" w:type="dxa"/>
            <w:vAlign w:val="bottom"/>
          </w:tcPr>
          <w:p>
            <w:pPr>
              <w:spacing w:after="0"/>
              <w:rPr>
                <w:sz w:val="1"/>
                <w:szCs w:val="1"/>
                <w:color w:val="auto"/>
              </w:rPr>
            </w:pPr>
          </w:p>
        </w:tc>
      </w:tr>
      <w:tr>
        <w:trPr>
          <w:trHeight w:val="187"/>
        </w:trPr>
        <w:tc>
          <w:tcPr>
            <w:tcW w:w="64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BAI GmbH</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2015</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592,088 ordinary shares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2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July 24, 2015</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632,581 ordinary shares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 2</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2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October 14, 2015</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2</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Shenwan Hongyuan Goldspring Fund I</w:t>
            </w:r>
          </w:p>
        </w:tc>
        <w:tc>
          <w:tcPr>
            <w:tcW w:w="2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28, 2016</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1,068,114 series E preferred shares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US$20.0 million</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89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460" w:hanging="452"/>
        <w:spacing w:after="0"/>
        <w:tabs>
          <w:tab w:leader="none" w:pos="4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Blue Tooth Corporation in recognition of Mr. Robert Tran’s consulting services to us.</w:t>
      </w:r>
    </w:p>
    <w:p>
      <w:pPr>
        <w:spacing w:after="0" w:line="27" w:lineRule="exact"/>
        <w:rPr>
          <w:sz w:val="20"/>
          <w:szCs w:val="20"/>
          <w:color w:val="auto"/>
        </w:rPr>
      </w:pPr>
    </w:p>
    <w:p>
      <w:pPr>
        <w:ind w:left="460" w:hanging="452"/>
        <w:spacing w:after="0"/>
        <w:tabs>
          <w:tab w:leader="none" w:pos="4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Igomax Inc., Zaffre Investment, Inc., and BAI GmbH, then-shareholders of OptAim as share consideration for our acquisition of OptAim.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5" w:right="239" w:bottom="1440" w:gutter="0" w:footer="0" w:header="0"/>
        </w:sectPr>
      </w:pPr>
    </w:p>
    <w:bookmarkStart w:id="381" w:name="page382"/>
    <w:bookmarkEnd w:id="3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 The following exhibits are included herein or incorporated herein by reference: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w:t>
            </w: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of Underwriting Agreement</w:t>
            </w: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Seventh Amended and Restated Memorandum and Articles of Association of the Registrant, as currently in effect</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Eighth Amended and Restated Memorandum and Articles of Association of the Registrant, effective upon completion of this offering</w:t>
              </w:r>
            </w:hyperlink>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4.1†</w:t>
            </w:r>
          </w:p>
        </w:tc>
        <w:tc>
          <w:tcPr>
            <w:tcW w:w="9600" w:type="dxa"/>
            <w:vAlign w:val="bottom"/>
            <w:tcBorders>
              <w:top w:val="single" w:sz="8" w:color="0000EE"/>
            </w:tcBorders>
            <w:gridSpan w:val="27"/>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Registrant’s Specimen American Depositary Receipt (included in Exhibit 4.3)</w:t>
              </w:r>
            </w:hyperlink>
          </w:p>
        </w:tc>
        <w:tc>
          <w:tcPr>
            <w:tcW w:w="400" w:type="dxa"/>
            <w:vAlign w:val="bottom"/>
            <w:gridSpan w:val="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4.2†</w:t>
            </w:r>
          </w:p>
        </w:tc>
        <w:tc>
          <w:tcPr>
            <w:tcW w:w="45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527">
              <w:r>
                <w:rPr>
                  <w:rFonts w:ascii="Times New Roman" w:cs="Times New Roman" w:eastAsia="Times New Roman" w:hAnsi="Times New Roman"/>
                  <w:sz w:val="18"/>
                  <w:szCs w:val="18"/>
                  <w:color w:val="0000EE"/>
                  <w:w w:val="99"/>
                </w:rPr>
                <w:t>Registrant’s Specimen Certificate for Class A Ordinary Shares</w:t>
              </w:r>
            </w:hyperlink>
          </w:p>
        </w:tc>
        <w:tc>
          <w:tcPr>
            <w:tcW w:w="1100" w:type="dxa"/>
            <w:vAlign w:val="bottom"/>
            <w:tcBorders>
              <w:top w:val="single" w:sz="8" w:color="0000EE"/>
            </w:tcBorders>
            <w:gridSpan w:val="5"/>
          </w:tcPr>
          <w:p>
            <w:pPr>
              <w:spacing w:after="0"/>
              <w:rPr>
                <w:sz w:val="24"/>
                <w:szCs w:val="24"/>
                <w:color w:val="auto"/>
              </w:rPr>
            </w:pPr>
          </w:p>
        </w:tc>
        <w:tc>
          <w:tcPr>
            <w:tcW w:w="4400" w:type="dxa"/>
            <w:vAlign w:val="bottom"/>
            <w:gridSpan w:val="1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4.3†</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Form of Deposit Agreement among the Registrant, the Depositary and Beneficial Owners of the American Depositary Receipts</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5.1†</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Opinion of Travers Thorp Alberga Attorneys at Law regarding the validity of the ordinary shares being registered and certain other legal</w:t>
              </w:r>
            </w:hyperlink>
          </w:p>
        </w:tc>
      </w:tr>
      <w:tr>
        <w:trPr>
          <w:trHeight w:val="196"/>
        </w:trPr>
        <w:tc>
          <w:tcPr>
            <w:tcW w:w="1160" w:type="dxa"/>
            <w:vAlign w:val="bottom"/>
          </w:tcPr>
          <w:p>
            <w:pPr>
              <w:spacing w:after="0"/>
              <w:rPr>
                <w:sz w:val="17"/>
                <w:szCs w:val="17"/>
                <w:color w:val="auto"/>
              </w:rPr>
            </w:pPr>
          </w:p>
        </w:tc>
        <w:tc>
          <w:tcPr>
            <w:tcW w:w="98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matters</w:t>
              </w:r>
            </w:hyperlink>
          </w:p>
        </w:tc>
        <w:tc>
          <w:tcPr>
            <w:tcW w:w="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8.1†</w:t>
            </w:r>
          </w:p>
        </w:tc>
        <w:tc>
          <w:tcPr>
            <w:tcW w:w="89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28">
              <w:r>
                <w:rPr>
                  <w:rFonts w:ascii="Times New Roman" w:cs="Times New Roman" w:eastAsia="Times New Roman" w:hAnsi="Times New Roman"/>
                  <w:sz w:val="18"/>
                  <w:szCs w:val="18"/>
                  <w:color w:val="0000EE"/>
                  <w:w w:val="99"/>
                </w:rPr>
                <w:t>Opinion of Travers Thorp Alberga Attorneys at Law regarding certain Cayman Islands tax matters (included in Exhibit 5.1)</w:t>
              </w:r>
            </w:hyperlink>
          </w:p>
        </w:tc>
        <w:tc>
          <w:tcPr>
            <w:tcW w:w="1100" w:type="dxa"/>
            <w:vAlign w:val="bottom"/>
            <w:gridSpan w:val="6"/>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8.2†</w:t>
            </w:r>
          </w:p>
        </w:tc>
        <w:tc>
          <w:tcPr>
            <w:tcW w:w="68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529">
              <w:r>
                <w:rPr>
                  <w:rFonts w:ascii="Times New Roman" w:cs="Times New Roman" w:eastAsia="Times New Roman" w:hAnsi="Times New Roman"/>
                  <w:sz w:val="18"/>
                  <w:szCs w:val="18"/>
                  <w:color w:val="0000EE"/>
                  <w:w w:val="99"/>
                </w:rPr>
                <w:t>Opinion of Jingtian &amp; Gongcheng regarding certain PRC tax matters (included in Exhibit 99.2)</w:t>
              </w:r>
            </w:hyperlink>
          </w:p>
        </w:tc>
        <w:tc>
          <w:tcPr>
            <w:tcW w:w="3140" w:type="dxa"/>
            <w:vAlign w:val="bottom"/>
            <w:gridSpan w:val="1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10.1†</w:t>
            </w:r>
          </w:p>
        </w:tc>
        <w:tc>
          <w:tcPr>
            <w:tcW w:w="4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30">
              <w:r>
                <w:rPr>
                  <w:rFonts w:ascii="Times New Roman" w:cs="Times New Roman" w:eastAsia="Times New Roman" w:hAnsi="Times New Roman"/>
                  <w:sz w:val="18"/>
                  <w:szCs w:val="18"/>
                  <w:color w:val="0000EE"/>
                  <w:w w:val="99"/>
                </w:rPr>
                <w:t>Series E Share Subscription Agreement dated December 19, 2016</w:t>
              </w:r>
            </w:hyperlink>
          </w:p>
        </w:tc>
        <w:tc>
          <w:tcPr>
            <w:tcW w:w="5260" w:type="dxa"/>
            <w:vAlign w:val="bottom"/>
            <w:gridSpan w:val="17"/>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w:t>
            </w:r>
          </w:p>
        </w:tc>
        <w:tc>
          <w:tcPr>
            <w:tcW w:w="59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31">
              <w:r>
                <w:rPr>
                  <w:rFonts w:ascii="Times New Roman" w:cs="Times New Roman" w:eastAsia="Times New Roman" w:hAnsi="Times New Roman"/>
                  <w:sz w:val="18"/>
                  <w:szCs w:val="18"/>
                  <w:color w:val="0000EE"/>
                  <w:w w:val="99"/>
                </w:rPr>
                <w:t>Fourth Amended and Restated Shareholders Agreement dated December 28, 2016</w:t>
              </w:r>
            </w:hyperlink>
          </w:p>
        </w:tc>
        <w:tc>
          <w:tcPr>
            <w:tcW w:w="4080" w:type="dxa"/>
            <w:vAlign w:val="bottom"/>
            <w:gridSpan w:val="12"/>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10.3†</w:t>
            </w:r>
          </w:p>
        </w:tc>
        <w:tc>
          <w:tcPr>
            <w:tcW w:w="97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532">
              <w:r>
                <w:rPr>
                  <w:rFonts w:ascii="Times New Roman" w:cs="Times New Roman" w:eastAsia="Times New Roman" w:hAnsi="Times New Roman"/>
                  <w:sz w:val="18"/>
                  <w:szCs w:val="18"/>
                  <w:color w:val="0000EE"/>
                  <w:w w:val="99"/>
                </w:rPr>
                <w:t>English translation of Exclusive Business Cooperation Agreement between OptAim Beijing, OptAim Network and Zhiyunzhong dated</w:t>
              </w:r>
            </w:hyperlink>
          </w:p>
        </w:tc>
        <w:tc>
          <w:tcPr>
            <w:tcW w:w="28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532">
              <w:r>
                <w:rPr>
                  <w:rFonts w:ascii="Times New Roman" w:cs="Times New Roman" w:eastAsia="Times New Roman" w:hAnsi="Times New Roman"/>
                  <w:sz w:val="18"/>
                  <w:szCs w:val="18"/>
                  <w:color w:val="0000EE"/>
                </w:rPr>
                <w:t>January 16, 2015</w:t>
              </w:r>
            </w:hyperlink>
          </w:p>
        </w:tc>
        <w:tc>
          <w:tcPr>
            <w:tcW w:w="8720" w:type="dxa"/>
            <w:vAlign w:val="bottom"/>
            <w:gridSpan w:val="28"/>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w:t>
            </w:r>
          </w:p>
        </w:tc>
        <w:tc>
          <w:tcPr>
            <w:tcW w:w="100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533">
              <w:r>
                <w:rPr>
                  <w:rFonts w:ascii="Times New Roman" w:cs="Times New Roman" w:eastAsia="Times New Roman" w:hAnsi="Times New Roman"/>
                  <w:sz w:val="18"/>
                  <w:szCs w:val="18"/>
                  <w:color w:val="0000EE"/>
                  <w:w w:val="99"/>
                </w:rPr>
                <w:t>English translation of Second Amended and Restated Exclusive Call Option Agreement among OptAim Beijing, OptAim Network and the</w:t>
              </w:r>
            </w:hyperlink>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33">
              <w:r>
                <w:rPr>
                  <w:rFonts w:ascii="Times New Roman" w:cs="Times New Roman" w:eastAsia="Times New Roman" w:hAnsi="Times New Roman"/>
                  <w:sz w:val="18"/>
                  <w:szCs w:val="18"/>
                  <w:color w:val="0000EE"/>
                </w:rPr>
                <w:t>shareholders of OptAim Network dated May 26, 2017</w:t>
              </w:r>
            </w:hyperlink>
          </w:p>
        </w:tc>
        <w:tc>
          <w:tcPr>
            <w:tcW w:w="6080" w:type="dxa"/>
            <w:vAlign w:val="bottom"/>
            <w:gridSpan w:val="21"/>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10.5†</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34">
              <w:r>
                <w:rPr>
                  <w:rFonts w:ascii="Times New Roman" w:cs="Times New Roman" w:eastAsia="Times New Roman" w:hAnsi="Times New Roman"/>
                  <w:sz w:val="18"/>
                  <w:szCs w:val="18"/>
                  <w:color w:val="0000EE"/>
                </w:rPr>
                <w:t>English translation of Second Amended and Restated Equity Pledge Agreement among OptAim Beijing, OptAim Network and the</w:t>
              </w:r>
            </w:hyperlink>
          </w:p>
        </w:tc>
      </w:tr>
      <w:tr>
        <w:trPr>
          <w:trHeight w:val="196"/>
        </w:trPr>
        <w:tc>
          <w:tcPr>
            <w:tcW w:w="116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34">
              <w:r>
                <w:rPr>
                  <w:rFonts w:ascii="Times New Roman" w:cs="Times New Roman" w:eastAsia="Times New Roman" w:hAnsi="Times New Roman"/>
                  <w:sz w:val="18"/>
                  <w:szCs w:val="18"/>
                  <w:color w:val="0000EE"/>
                  <w:w w:val="99"/>
                </w:rPr>
                <w:t>shareholders of OptAim Network dated May 26, 2017</w:t>
              </w:r>
            </w:hyperlink>
          </w:p>
        </w:tc>
        <w:tc>
          <w:tcPr>
            <w:tcW w:w="5500" w:type="dxa"/>
            <w:vAlign w:val="bottom"/>
            <w:tcBorders>
              <w:top w:val="single" w:sz="8" w:color="0000EE"/>
            </w:tcBorders>
            <w:gridSpan w:val="18"/>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10.6†</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35">
              <w:r>
                <w:rPr>
                  <w:rFonts w:ascii="Times New Roman" w:cs="Times New Roman" w:eastAsia="Times New Roman" w:hAnsi="Times New Roman"/>
                  <w:sz w:val="18"/>
                  <w:szCs w:val="18"/>
                  <w:color w:val="0000EE"/>
                </w:rPr>
                <w:t>English translation of Irrevocable Powers of Attorney granted by the Jian Tang and Jie Jiao dated May 26, 2017</w:t>
              </w:r>
            </w:hyperlink>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10.7†</w:t>
            </w:r>
          </w:p>
        </w:tc>
        <w:tc>
          <w:tcPr>
            <w:tcW w:w="598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r:id="rId536">
              <w:r>
                <w:rPr>
                  <w:rFonts w:ascii="Times New Roman" w:cs="Times New Roman" w:eastAsia="Times New Roman" w:hAnsi="Times New Roman"/>
                  <w:sz w:val="18"/>
                  <w:szCs w:val="18"/>
                  <w:color w:val="0000EE"/>
                  <w:w w:val="99"/>
                </w:rPr>
                <w:t>English translation of Spousal Consents granted by Xinyu Fan dated May 26, 2017</w:t>
              </w:r>
            </w:hyperlink>
          </w:p>
        </w:tc>
        <w:tc>
          <w:tcPr>
            <w:tcW w:w="2060" w:type="dxa"/>
            <w:vAlign w:val="bottom"/>
            <w:tcBorders>
              <w:top w:val="single" w:sz="8" w:color="0000EE"/>
            </w:tcBorders>
            <w:gridSpan w:val="3"/>
          </w:tcPr>
          <w:p>
            <w:pPr>
              <w:spacing w:after="0"/>
              <w:rPr>
                <w:sz w:val="24"/>
                <w:szCs w:val="24"/>
                <w:color w:val="auto"/>
              </w:rPr>
            </w:pPr>
          </w:p>
        </w:tc>
        <w:tc>
          <w:tcPr>
            <w:tcW w:w="1960" w:type="dxa"/>
            <w:vAlign w:val="bottom"/>
            <w:gridSpan w:val="8"/>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10.8†</w:t>
            </w:r>
          </w:p>
        </w:tc>
        <w:tc>
          <w:tcPr>
            <w:tcW w:w="3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37">
              <w:r>
                <w:rPr>
                  <w:rFonts w:ascii="Times New Roman" w:cs="Times New Roman" w:eastAsia="Times New Roman" w:hAnsi="Times New Roman"/>
                  <w:sz w:val="18"/>
                  <w:szCs w:val="18"/>
                  <w:color w:val="0000EE"/>
                  <w:w w:val="99"/>
                </w:rPr>
                <w:t>2010 Share Option Incentive Scheme of the Registrant</w:t>
              </w:r>
            </w:hyperlink>
          </w:p>
        </w:tc>
        <w:tc>
          <w:tcPr>
            <w:tcW w:w="6060" w:type="dxa"/>
            <w:vAlign w:val="bottom"/>
            <w:gridSpan w:val="2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10.9†</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38">
              <w:r>
                <w:rPr>
                  <w:rFonts w:ascii="Times New Roman" w:cs="Times New Roman" w:eastAsia="Times New Roman" w:hAnsi="Times New Roman"/>
                  <w:sz w:val="18"/>
                  <w:szCs w:val="18"/>
                  <w:color w:val="0000EE"/>
                </w:rPr>
                <w:t>Form of Indemnification Agreement with Executive Officers and Directors</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1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539">
              <w:r>
                <w:rPr>
                  <w:rFonts w:ascii="Times New Roman" w:cs="Times New Roman" w:eastAsia="Times New Roman" w:hAnsi="Times New Roman"/>
                  <w:sz w:val="18"/>
                  <w:szCs w:val="18"/>
                  <w:color w:val="0000EE"/>
                  <w:w w:val="99"/>
                </w:rPr>
                <w:t>Form of Employment Agreement and One Way Non-disclosure Agreement with Executive Officers</w:t>
              </w:r>
            </w:hyperlink>
          </w:p>
        </w:tc>
        <w:tc>
          <w:tcPr>
            <w:tcW w:w="2820" w:type="dxa"/>
            <w:vAlign w:val="bottom"/>
            <w:gridSpan w:val="9"/>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40">
              <w:r>
                <w:rPr>
                  <w:rFonts w:ascii="Times New Roman" w:cs="Times New Roman" w:eastAsia="Times New Roman" w:hAnsi="Times New Roman"/>
                  <w:sz w:val="18"/>
                  <w:szCs w:val="18"/>
                  <w:color w:val="0000EE"/>
                  <w:w w:val="99"/>
                </w:rPr>
                <w:t>2017 Share Incentive Plan</w:t>
              </w:r>
            </w:hyperlink>
          </w:p>
        </w:tc>
        <w:tc>
          <w:tcPr>
            <w:tcW w:w="8100" w:type="dxa"/>
            <w:vAlign w:val="bottom"/>
            <w:gridSpan w:val="26"/>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41">
              <w:r>
                <w:rPr>
                  <w:rFonts w:ascii="Times New Roman" w:cs="Times New Roman" w:eastAsia="Times New Roman" w:hAnsi="Times New Roman"/>
                  <w:sz w:val="18"/>
                  <w:szCs w:val="18"/>
                  <w:color w:val="0000EE"/>
                  <w:w w:val="99"/>
                </w:rPr>
                <w:t>English Translation of Tencent Advertising Agency Agreement for 2017</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42">
              <w:r>
                <w:rPr>
                  <w:rFonts w:ascii="Times New Roman" w:cs="Times New Roman" w:eastAsia="Times New Roman" w:hAnsi="Times New Roman"/>
                  <w:sz w:val="18"/>
                  <w:szCs w:val="18"/>
                  <w:color w:val="0000EE"/>
                </w:rPr>
                <w:t>English Translation of Tencent Advertising Placement Contract for 2017</w:t>
              </w:r>
            </w:hyperlink>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21.1†</w:t>
            </w:r>
          </w:p>
        </w:tc>
        <w:tc>
          <w:tcPr>
            <w:tcW w:w="522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543">
              <w:r>
                <w:rPr>
                  <w:rFonts w:ascii="Times New Roman" w:cs="Times New Roman" w:eastAsia="Times New Roman" w:hAnsi="Times New Roman"/>
                  <w:sz w:val="18"/>
                  <w:szCs w:val="18"/>
                  <w:color w:val="0000EE"/>
                </w:rPr>
                <w:t>List of Subsidiaries of the Registrant</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6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w:t>
            </w:r>
          </w:p>
        </w:tc>
        <w:tc>
          <w:tcPr>
            <w:tcW w:w="20" w:type="dxa"/>
            <w:vAlign w:val="bottom"/>
            <w:tcBorders>
              <w:top w:val="single" w:sz="8" w:color="0000EE"/>
            </w:tcBorders>
          </w:tcPr>
          <w:p>
            <w:pPr>
              <w:spacing w:after="0"/>
              <w:rPr>
                <w:sz w:val="24"/>
                <w:szCs w:val="24"/>
                <w:color w:val="auto"/>
              </w:rPr>
            </w:pPr>
          </w:p>
        </w:tc>
        <w:tc>
          <w:tcPr>
            <w:tcW w:w="7360" w:type="dxa"/>
            <w:vAlign w:val="bottom"/>
            <w:gridSpan w:val="2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23.2†</w:t>
            </w:r>
          </w:p>
        </w:tc>
        <w:tc>
          <w:tcPr>
            <w:tcW w:w="10000" w:type="dxa"/>
            <w:vAlign w:val="bottom"/>
            <w:gridSpan w:val="30"/>
          </w:tcPr>
          <w:p>
            <w:pPr>
              <w:spacing w:after="0"/>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Consent of Travers Thorp Alberga Attorneys at Law (included in Exhibit 5.1)</w:t>
              </w:r>
            </w:hyperlink>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23.3†</w:t>
            </w:r>
          </w:p>
        </w:tc>
        <w:tc>
          <w:tcPr>
            <w:tcW w:w="55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529">
              <w:r>
                <w:rPr>
                  <w:rFonts w:ascii="Times New Roman" w:cs="Times New Roman" w:eastAsia="Times New Roman" w:hAnsi="Times New Roman"/>
                  <w:sz w:val="18"/>
                  <w:szCs w:val="18"/>
                  <w:color w:val="0000EE"/>
                </w:rPr>
                <w:t>Consent of Jingtian &amp; Gongcheng (included in Exhibit 99.2)</w:t>
              </w:r>
            </w:hyperlink>
          </w:p>
        </w:tc>
        <w:tc>
          <w:tcPr>
            <w:tcW w:w="4420" w:type="dxa"/>
            <w:vAlign w:val="bottom"/>
            <w:gridSpan w:val="14"/>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23.4†</w:t>
            </w:r>
          </w:p>
        </w:tc>
        <w:tc>
          <w:tcPr>
            <w:tcW w:w="43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544">
              <w:r>
                <w:rPr>
                  <w:rFonts w:ascii="Times New Roman" w:cs="Times New Roman" w:eastAsia="Times New Roman" w:hAnsi="Times New Roman"/>
                  <w:sz w:val="18"/>
                  <w:szCs w:val="18"/>
                  <w:color w:val="0000EE"/>
                </w:rPr>
                <w:t>Consent of Scott Moore</w:t>
              </w:r>
            </w:hyperlink>
          </w:p>
        </w:tc>
        <w:tc>
          <w:tcPr>
            <w:tcW w:w="5640" w:type="dxa"/>
            <w:vAlign w:val="bottom"/>
            <w:gridSpan w:val="19"/>
          </w:tcPr>
          <w:p>
            <w:pPr>
              <w:spacing w:after="0"/>
              <w:rPr>
                <w:sz w:val="24"/>
                <w:szCs w:val="24"/>
                <w:color w:val="auto"/>
              </w:rPr>
            </w:pPr>
          </w:p>
        </w:tc>
      </w:tr>
      <w:tr>
        <w:trPr>
          <w:trHeight w:val="385"/>
        </w:trPr>
        <w:tc>
          <w:tcPr>
            <w:tcW w:w="11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19"/>
          </w:tcPr>
          <w:p>
            <w:pPr>
              <w:ind w:left="60"/>
              <w:spacing w:after="0"/>
              <w:rPr>
                <w:sz w:val="20"/>
                <w:szCs w:val="20"/>
                <w:color w:val="auto"/>
              </w:rPr>
            </w:pPr>
            <w:r>
              <w:rPr>
                <w:rFonts w:ascii="Times New Roman" w:cs="Times New Roman" w:eastAsia="Times New Roman" w:hAnsi="Times New Roman"/>
                <w:sz w:val="18"/>
                <w:szCs w:val="18"/>
                <w:color w:val="auto"/>
              </w:rPr>
              <w:t>II-3</w:t>
            </w:r>
          </w:p>
        </w:tc>
      </w:tr>
    </w:tbl>
    <w:p>
      <w:pPr>
        <w:sectPr>
          <w:pgSz w:w="11900" w:h="16838" w:orient="portrait"/>
          <w:cols w:equalWidth="0" w:num="1">
            <w:col w:w="11160"/>
          </w:cols>
          <w:pgMar w:left="240" w:top="456" w:right="499" w:bottom="1440" w:gutter="0" w:footer="0" w:header="0"/>
        </w:sectPr>
      </w:pPr>
    </w:p>
    <w:bookmarkStart w:id="382" w:name="page383"/>
    <w:bookmarkEnd w:id="3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23.5†</w:t>
            </w:r>
          </w:p>
        </w:tc>
        <w:tc>
          <w:tcPr>
            <w:tcW w:w="6260" w:type="dxa"/>
            <w:vAlign w:val="bottom"/>
            <w:gridSpan w:val="6"/>
          </w:tcPr>
          <w:p>
            <w:pPr>
              <w:spacing w:after="0"/>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Consent of Dylan Huang</w:t>
              </w:r>
            </w:hyperlink>
          </w:p>
        </w:tc>
      </w:tr>
      <w:tr>
        <w:trPr>
          <w:trHeight w:val="20"/>
        </w:trPr>
        <w:tc>
          <w:tcPr>
            <w:tcW w:w="10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23.6†</w:t>
            </w:r>
          </w:p>
        </w:tc>
        <w:tc>
          <w:tcPr>
            <w:tcW w:w="6260" w:type="dxa"/>
            <w:vAlign w:val="bottom"/>
            <w:gridSpan w:val="6"/>
          </w:tcPr>
          <w:p>
            <w:pPr>
              <w:spacing w:after="0"/>
              <w:rPr>
                <w:rFonts w:ascii="Times New Roman" w:cs="Times New Roman" w:eastAsia="Times New Roman" w:hAnsi="Times New Roman"/>
                <w:sz w:val="18"/>
                <w:szCs w:val="18"/>
                <w:color w:val="0000EE"/>
              </w:rPr>
            </w:pPr>
            <w:hyperlink r:id="rId547">
              <w:r>
                <w:rPr>
                  <w:rFonts w:ascii="Times New Roman" w:cs="Times New Roman" w:eastAsia="Times New Roman" w:hAnsi="Times New Roman"/>
                  <w:sz w:val="18"/>
                  <w:szCs w:val="18"/>
                  <w:color w:val="0000EE"/>
                </w:rPr>
                <w:t>Consent of Honnus Cheung</w:t>
              </w:r>
            </w:hyperlink>
          </w:p>
        </w:tc>
      </w:tr>
      <w:tr>
        <w:trPr>
          <w:trHeight w:val="20"/>
        </w:trPr>
        <w:tc>
          <w:tcPr>
            <w:tcW w:w="104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2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48">
              <w:r>
                <w:rPr>
                  <w:rFonts w:ascii="Times New Roman" w:cs="Times New Roman" w:eastAsia="Times New Roman" w:hAnsi="Times New Roman"/>
                  <w:sz w:val="18"/>
                  <w:szCs w:val="18"/>
                  <w:color w:val="0000EE"/>
                  <w:w w:val="99"/>
                </w:rPr>
                <w:t>Powers of Attorney (included on signature page in Part II of the registration statement)</w:t>
              </w:r>
            </w:hyperlink>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60" w:type="dxa"/>
            <w:vAlign w:val="bottom"/>
            <w:gridSpan w:val="6"/>
          </w:tcPr>
          <w:p>
            <w:pPr>
              <w:spacing w:after="0"/>
              <w:rPr>
                <w:rFonts w:ascii="Times New Roman" w:cs="Times New Roman" w:eastAsia="Times New Roman" w:hAnsi="Times New Roman"/>
                <w:sz w:val="18"/>
                <w:szCs w:val="18"/>
                <w:color w:val="0000EE"/>
              </w:rPr>
            </w:pPr>
            <w:hyperlink r:id="rId549">
              <w:r>
                <w:rPr>
                  <w:rFonts w:ascii="Times New Roman" w:cs="Times New Roman" w:eastAsia="Times New Roman" w:hAnsi="Times New Roman"/>
                  <w:sz w:val="18"/>
                  <w:szCs w:val="18"/>
                  <w:color w:val="0000EE"/>
                </w:rPr>
                <w:t>Code of Business Conduct and Ethics of the Registrant</w:t>
              </w:r>
            </w:hyperlink>
          </w:p>
        </w:tc>
      </w:tr>
      <w:tr>
        <w:trPr>
          <w:trHeight w:val="20"/>
        </w:trPr>
        <w:tc>
          <w:tcPr>
            <w:tcW w:w="104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260" w:type="dxa"/>
            <w:vAlign w:val="bottom"/>
            <w:gridSpan w:val="6"/>
          </w:tcPr>
          <w:p>
            <w:pPr>
              <w:spacing w:after="0"/>
              <w:rPr>
                <w:rFonts w:ascii="Times New Roman" w:cs="Times New Roman" w:eastAsia="Times New Roman" w:hAnsi="Times New Roman"/>
                <w:sz w:val="18"/>
                <w:szCs w:val="18"/>
                <w:color w:val="0000EE"/>
              </w:rPr>
            </w:pPr>
            <w:hyperlink r:id="rId529">
              <w:r>
                <w:rPr>
                  <w:rFonts w:ascii="Times New Roman" w:cs="Times New Roman" w:eastAsia="Times New Roman" w:hAnsi="Times New Roman"/>
                  <w:sz w:val="18"/>
                  <w:szCs w:val="18"/>
                  <w:color w:val="0000EE"/>
                </w:rPr>
                <w:t>Opinion of Jingtian &amp; Gongcheng regarding certain PRC law matters</w:t>
              </w:r>
            </w:hyperlink>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0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550">
              <w:r>
                <w:rPr>
                  <w:rFonts w:ascii="Times New Roman" w:cs="Times New Roman" w:eastAsia="Times New Roman" w:hAnsi="Times New Roman"/>
                  <w:sz w:val="18"/>
                  <w:szCs w:val="18"/>
                  <w:color w:val="0000EE"/>
                  <w:w w:val="99"/>
                </w:rPr>
                <w:t>Consent of Frost &amp; Sullivan</w:t>
              </w:r>
            </w:hyperlink>
          </w:p>
        </w:tc>
        <w:tc>
          <w:tcPr>
            <w:tcW w:w="2960" w:type="dxa"/>
            <w:vAlign w:val="bottom"/>
            <w:tcBorders>
              <w:top w:val="single" w:sz="8" w:color="0000EE"/>
            </w:tcBorders>
            <w:gridSpan w:val="2"/>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88"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shown in the Consolidated Financial Statements and the Notes thereto.</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w:t>
      </w:r>
    </w:p>
    <w:p>
      <w:pPr>
        <w:spacing w:after="0" w:line="27"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20"/>
          </w:cols>
          <w:pgMar w:left="240" w:top="455" w:right="239" w:bottom="1440" w:gutter="0" w:footer="0" w:header="0"/>
        </w:sectPr>
      </w:pPr>
    </w:p>
    <w:bookmarkStart w:id="383" w:name="page384"/>
    <w:bookmarkEnd w:id="3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66" w:lineRule="auto"/>
        <w:tabs>
          <w:tab w:leader="none" w:pos="71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60"/>
          </w:cols>
          <w:pgMar w:left="240" w:top="455" w:right="499" w:bottom="1440" w:gutter="0" w:footer="0" w:header="0"/>
        </w:sectPr>
      </w:pPr>
    </w:p>
    <w:bookmarkStart w:id="384" w:name="page385"/>
    <w:bookmarkEnd w:id="3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Hong Kong, on December 11, 2017.</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Hong Sammy Hsieh</w:t>
            </w:r>
          </w:p>
        </w:tc>
      </w:tr>
      <w:tr>
        <w:trPr>
          <w:trHeight w:val="201"/>
        </w:trPr>
        <w:tc>
          <w:tcPr>
            <w:tcW w:w="6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Wing Hong Sammy Hsieh</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 of the</w:t>
            </w:r>
          </w:p>
        </w:tc>
      </w:tr>
      <w:tr>
        <w:trPr>
          <w:trHeight w:val="238"/>
        </w:trPr>
        <w:tc>
          <w:tcPr>
            <w:tcW w:w="6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420"/>
          </w:cols>
          <w:pgMar w:left="240" w:top="455" w:right="239" w:bottom="1440" w:gutter="0" w:footer="0" w:header="0"/>
        </w:sectPr>
      </w:pPr>
    </w:p>
    <w:bookmarkStart w:id="385" w:name="page386"/>
    <w:bookmarkEnd w:id="3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455" w:right="2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Wing Hong Sammy Hsieh</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Executive Chairman of</w:t>
            </w:r>
          </w:p>
        </w:tc>
      </w:tr>
      <w:tr>
        <w:trPr>
          <w:trHeight w:val="178"/>
        </w:trPr>
        <w:tc>
          <w:tcPr>
            <w:tcW w:w="520" w:type="dxa"/>
            <w:vAlign w:val="bottom"/>
          </w:tcPr>
          <w:p>
            <w:pPr>
              <w:spacing w:after="0"/>
              <w:rPr>
                <w:sz w:val="15"/>
                <w:szCs w:val="15"/>
                <w:color w:val="auto"/>
              </w:rPr>
            </w:pPr>
          </w:p>
        </w:tc>
        <w:tc>
          <w:tcPr>
            <w:tcW w:w="4560" w:type="dxa"/>
            <w:vAlign w:val="bottom"/>
            <w:gridSpan w:val="2"/>
          </w:tcPr>
          <w:p>
            <w:pPr>
              <w:jc w:val="center"/>
              <w:ind w:right="520"/>
              <w:spacing w:after="0" w:line="178" w:lineRule="exact"/>
              <w:rPr>
                <w:sz w:val="20"/>
                <w:szCs w:val="20"/>
                <w:color w:val="auto"/>
              </w:rPr>
            </w:pPr>
            <w:r>
              <w:rPr>
                <w:rFonts w:ascii="Times New Roman" w:cs="Times New Roman" w:eastAsia="Times New Roman" w:hAnsi="Times New Roman"/>
                <w:sz w:val="18"/>
                <w:szCs w:val="18"/>
                <w:color w:val="auto"/>
                <w:w w:val="98"/>
              </w:rPr>
              <w:t>Wing Hong Sammy Hsieh</w:t>
            </w:r>
          </w:p>
        </w:tc>
        <w:tc>
          <w:tcPr>
            <w:tcW w:w="100" w:type="dxa"/>
            <w:vAlign w:val="bottom"/>
          </w:tcPr>
          <w:p>
            <w:pPr>
              <w:spacing w:after="0"/>
              <w:rPr>
                <w:sz w:val="15"/>
                <w:szCs w:val="15"/>
                <w:color w:val="auto"/>
              </w:rPr>
            </w:pPr>
          </w:p>
        </w:tc>
        <w:tc>
          <w:tcPr>
            <w:tcW w:w="39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the Board</w:t>
            </w:r>
          </w:p>
        </w:tc>
      </w:tr>
      <w:tr>
        <w:trPr>
          <w:trHeight w:val="234"/>
        </w:trPr>
        <w:tc>
          <w:tcPr>
            <w:tcW w:w="5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8"/>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/s/ Jie Jiao</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Jie Jiao</w:t>
            </w:r>
          </w:p>
        </w:tc>
        <w:tc>
          <w:tcPr>
            <w:tcW w:w="10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principal accounting officer)</w:t>
            </w:r>
          </w:p>
        </w:tc>
      </w:tr>
      <w:tr>
        <w:trPr>
          <w:trHeight w:val="319"/>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6"/>
              </w:rPr>
              <w:t>Jian Tang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19"/>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Yau Ping Ricky 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19"/>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Yu Long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19"/>
        </w:trPr>
        <w:tc>
          <w:tcPr>
            <w:tcW w:w="4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Antares Au</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5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Wing Hong Sammy Hsieh</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5"/>
        </w:trPr>
        <w:tc>
          <w:tcPr>
            <w:tcW w:w="520" w:type="dxa"/>
            <w:vAlign w:val="bottom"/>
          </w:tcPr>
          <w:p>
            <w:pPr>
              <w:spacing w:after="0"/>
              <w:rPr>
                <w:sz w:val="17"/>
                <w:szCs w:val="17"/>
                <w:color w:val="auto"/>
              </w:rPr>
            </w:pPr>
          </w:p>
        </w:tc>
        <w:tc>
          <w:tcPr>
            <w:tcW w:w="40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Wing Hong Sammy Hsieh</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34"/>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II-7</w:t>
            </w: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16510</wp:posOffset>
            </wp:positionV>
            <wp:extent cx="13290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2017</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2017</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2017</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2017</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2017</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2017</w:t>
      </w:r>
    </w:p>
    <w:p>
      <w:pPr>
        <w:sectPr>
          <w:pgSz w:w="11900" w:h="16838" w:orient="portrait"/>
          <w:cols w:equalWidth="0" w:num="2">
            <w:col w:w="9300" w:space="720"/>
            <w:col w:w="1400"/>
          </w:cols>
          <w:pgMar w:left="240" w:top="455" w:right="239" w:bottom="1440" w:gutter="0" w:footer="0" w:header="0"/>
          <w:type w:val="continuous"/>
        </w:sectPr>
      </w:pPr>
    </w:p>
    <w:bookmarkStart w:id="386" w:name="page387"/>
    <w:bookmarkEnd w:id="3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iClick Interactive Asia Group Limited, has signed this registration statement or amendment thereto in New York on December 11, 2017.</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70"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Diana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Diana Arias, on behalf of Law Debenture Corporate</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Services Inc.</w:t>
      </w:r>
    </w:p>
    <w:p>
      <w:pPr>
        <w:spacing w:after="0" w:line="9"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Senior Manager</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200"/>
          </w:cols>
          <w:pgMar w:left="240" w:top="456" w:right="45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CLASS A ORDINARY SHARES</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CLASS A ORDINARY SHARES, PAR VALUE US$0.001 PER SHARE</w:t>
      </w:r>
    </w:p>
    <w:p>
      <w:pPr>
        <w:spacing w:after="0" w:line="4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IN THE FORM OF AMERICAN DEPOSITARY SHARES</w:t>
      </w: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ectPr>
          <w:pgSz w:w="11900" w:h="16838" w:orient="portrait"/>
          <w:cols w:equalWidth="0" w:num="1">
            <w:col w:w="10220"/>
          </w:cols>
          <w:pgMar w:left="1440" w:top="117" w:right="239"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Bridge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Penthouse, 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NJ 07701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 named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iClick Interactive Asia Group Limited, an exempted company incorporated with limited liability under the laws of the Cayman Islands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 Class A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par value US$0.001 per share, of the Company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the form of [●] American Depositary Shares (as defined below).</w:t>
      </w:r>
    </w:p>
    <w:p>
      <w:pPr>
        <w:spacing w:after="0" w:line="20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also proposes to issue and sell to the several Underwriters not more than an additional [•] Class A ordinary shares, par value US$0.001 per share, of the Company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in the form of [●] American Depositary Shares, if and to the extent that Network 1 Financial Securities, Inc., as representative of the Underwriters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exercises, on behalf of the Underwriters, the right to purchase such Additional Shares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Class A ordinary shares, par value US$0.001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color w:val="auto"/>
        </w:rPr>
        <w:t>The Underwriters will take delivery of the Shares in the form of American Depositary Shares (the “</w:t>
      </w:r>
      <w:r>
        <w:rPr>
          <w:rFonts w:ascii="Times New Roman" w:cs="Times New Roman" w:eastAsia="Times New Roman" w:hAnsi="Times New Roman"/>
          <w:sz w:val="18"/>
          <w:szCs w:val="18"/>
          <w:b w:val="1"/>
          <w:bCs w:val="1"/>
          <w:color w:val="auto"/>
        </w:rPr>
        <w:t>American Depositary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American Depositary Shares are to be issued pursuant to a Deposit Agreement dated as of [●], 2017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the Company, JPMorgan Chase 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the owners and holders from time to time of the American Depositary Shares issued under the Deposit Agreement. Each American Depositary Share will initially represent the right to receive [●] Ordinary Shares deposited pursuant to the Deposit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0" w:right="239" w:bottom="1440" w:gutter="0" w:footer="0" w:header="0"/>
        </w:sectPr>
      </w:pPr>
    </w:p>
    <w:bookmarkStart w:id="389" w:name="page390"/>
    <w:bookmarkEnd w:id="389"/>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relating to the Shares and a registration statement relating to the American Depositary Shares. The registration statement relating to the Shares, as amended at the time it becomes effective, including the information (if any) deemed to be part of the registration statement at the time of effectiveness pursuant to</w:t>
      </w:r>
    </w:p>
    <w:p>
      <w:pPr>
        <w:ind w:right="60"/>
        <w:spacing w:after="0" w:line="251" w:lineRule="auto"/>
        <w:rPr>
          <w:sz w:val="20"/>
          <w:szCs w:val="20"/>
          <w:color w:val="auto"/>
        </w:rPr>
      </w:pPr>
      <w:r>
        <w:rPr>
          <w:rFonts w:ascii="Times New Roman" w:cs="Times New Roman" w:eastAsia="Times New Roman" w:hAnsi="Times New Roman"/>
          <w:sz w:val="18"/>
          <w:szCs w:val="18"/>
          <w:color w:val="auto"/>
        </w:rPr>
        <w:t>Rule 430A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information included in such prospectus that was omitted from such registration statement at the time it became effective but that is retroactively deemed to be part of such registration statement at the time it became effective pursuant to paragraph (b) of Rule 430A is referred to as “</w:t>
      </w:r>
      <w:r>
        <w:rPr>
          <w:rFonts w:ascii="Times New Roman" w:cs="Times New Roman" w:eastAsia="Times New Roman" w:hAnsi="Times New Roman"/>
          <w:sz w:val="18"/>
          <w:szCs w:val="18"/>
          <w:b w:val="1"/>
          <w:bCs w:val="1"/>
          <w:color w:val="auto"/>
        </w:rPr>
        <w:t>Rule 430A Information</w:t>
      </w:r>
      <w:r>
        <w:rPr>
          <w:rFonts w:ascii="Times New Roman" w:cs="Times New Roman" w:eastAsia="Times New Roman" w:hAnsi="Times New Roman"/>
          <w:sz w:val="18"/>
          <w:szCs w:val="18"/>
          <w:color w:val="auto"/>
        </w:rPr>
        <w:t>;” each prospectus used before such registration statement became effective, and any prospectus that omitted the Rule 430A Information, that was used after such effectiveness and prior to the execution and delivery of this Agreement, is herein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registration statement relating to the American Depositary Shares, as amended at the time it becomes effective, is hereinafter referred to as the “</w:t>
      </w:r>
      <w:r>
        <w:rPr>
          <w:rFonts w:ascii="Times New Roman" w:cs="Times New Roman" w:eastAsia="Times New Roman" w:hAnsi="Times New Roman"/>
          <w:sz w:val="18"/>
          <w:szCs w:val="18"/>
          <w:b w:val="1"/>
          <w:bCs w:val="1"/>
          <w:color w:val="auto"/>
        </w:rPr>
        <w:t>ADS Registration Statement</w:t>
      </w:r>
      <w:r>
        <w:rPr>
          <w:rFonts w:ascii="Times New Roman" w:cs="Times New Roman" w:eastAsia="Times New Roman" w:hAnsi="Times New Roman"/>
          <w:sz w:val="18"/>
          <w:szCs w:val="18"/>
          <w:color w:val="auto"/>
        </w:rPr>
        <w:t>.” If the Company has filed abbreviated registration statements to register additional Ordinary Shares or American Depositary Shares pursuant to Rule 462(b) under the Securities Act (the “</w:t>
      </w:r>
      <w:r>
        <w:rPr>
          <w:rFonts w:ascii="Times New Roman" w:cs="Times New Roman" w:eastAsia="Times New Roman" w:hAnsi="Times New Roman"/>
          <w:sz w:val="18"/>
          <w:szCs w:val="18"/>
          <w:b w:val="1"/>
          <w:bCs w:val="1"/>
          <w:color w:val="auto"/>
        </w:rPr>
        <w:t>Rule 462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then any reference herein to the terms “Registration Statement” and “ADS Registration Statement” shall be deemed to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Rule 462 Registration Statement. The Company has filed, in accordance with Section 12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 registration statement on Form 8-A to register the Shares and the American Depositary Shares (the “</w:t>
      </w:r>
      <w:r>
        <w:rPr>
          <w:rFonts w:ascii="Times New Roman" w:cs="Times New Roman" w:eastAsia="Times New Roman" w:hAnsi="Times New Roman"/>
          <w:sz w:val="18"/>
          <w:szCs w:val="18"/>
          <w:b w:val="1"/>
          <w:bCs w:val="1"/>
          <w:color w:val="auto"/>
        </w:rPr>
        <w:t>Form 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preliminary prospectus together with the documents and pricing information set forth in Schedule II hereto, and a “</w:t>
      </w:r>
      <w:r>
        <w:rPr>
          <w:rFonts w:ascii="Times New Roman" w:cs="Times New Roman" w:eastAsia="Times New Roman" w:hAnsi="Times New Roman"/>
          <w:sz w:val="18"/>
          <w:szCs w:val="18"/>
          <w:b w:val="1"/>
          <w:bCs w:val="1"/>
          <w:color w:val="auto"/>
        </w:rPr>
        <w:t>bona fide electronic road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show</w:t>
      </w:r>
      <w:r>
        <w:rPr>
          <w:rFonts w:ascii="Times New Roman" w:cs="Times New Roman" w:eastAsia="Times New Roman" w:hAnsi="Times New Roman"/>
          <w:sz w:val="18"/>
          <w:szCs w:val="18"/>
          <w:color w:val="auto"/>
        </w:rPr>
        <w:t>” is as defined in Rule 433(h)(5) under the Securities Act that has been made available without restriction to any person. As used herein,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“preliminary prospectus,” “Time of Sale Prospectus” and “Prospectus” shall include the documents, if any, incorporated by reference therein as of the date hereof.</w:t>
      </w:r>
    </w:p>
    <w:p>
      <w:pPr>
        <w:spacing w:after="0" w:line="288" w:lineRule="exact"/>
        <w:rPr>
          <w:sz w:val="20"/>
          <w:szCs w:val="20"/>
          <w:color w:val="auto"/>
        </w:rPr>
      </w:pPr>
    </w:p>
    <w:p>
      <w:pPr>
        <w:ind w:left="780" w:hanging="316"/>
        <w:spacing w:after="0"/>
        <w:tabs>
          <w:tab w:leader="none" w:pos="78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Warranties of the Company.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 Company represents and warrants to and agrees with each of the Underwriters that:</w:t>
      </w:r>
    </w:p>
    <w:p>
      <w:pPr>
        <w:spacing w:after="0" w:line="117" w:lineRule="exact"/>
        <w:rPr>
          <w:sz w:val="20"/>
          <w:szCs w:val="20"/>
          <w:color w:val="auto"/>
        </w:rPr>
      </w:pPr>
    </w:p>
    <w:p>
      <w:pPr>
        <w:ind w:firstLine="464"/>
        <w:spacing w:after="0" w:line="261" w:lineRule="auto"/>
        <w:tabs>
          <w:tab w:leader="none" w:pos="83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Each of the Registration Statement and the ADS Registration Statement has become effective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no stop order suspending the effectiveness of the Registration Statement or the ADS Registration Statement is in effect, and no proceedings for such purpose are pending before or threatened by the Commission. The Form 8-A Registration Statement has become effective as provided in Section 12 of the Exchange Act.</w:t>
      </w:r>
    </w:p>
    <w:p>
      <w:pPr>
        <w:spacing w:after="0" w:line="180" w:lineRule="exact"/>
        <w:rPr>
          <w:rFonts w:ascii="Times New Roman" w:cs="Times New Roman" w:eastAsia="Times New Roman" w:hAnsi="Times New Roman"/>
          <w:sz w:val="18"/>
          <w:szCs w:val="18"/>
          <w:color w:val="auto"/>
        </w:rPr>
      </w:pPr>
    </w:p>
    <w:p>
      <w:pPr>
        <w:ind w:firstLine="464"/>
        <w:spacing w:after="0" w:line="252" w:lineRule="auto"/>
        <w:tabs>
          <w:tab w:leader="none" w:pos="84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Law</w:t>
      </w:r>
      <w:r>
        <w:rPr>
          <w:rFonts w:ascii="Times New Roman" w:cs="Times New Roman" w:eastAsia="Times New Roman" w:hAnsi="Times New Roman"/>
          <w:sz w:val="18"/>
          <w:szCs w:val="18"/>
          <w:color w:val="auto"/>
        </w:rPr>
        <w:t>. (i) Each of the Registration Statement and the ADS Registration Statement, when it became effective,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and, as amended or supplemented, if applicable, will not contain any untrue statement of a material fact or omit to state a material fact required to be stated therein or necessary to make the statements therein not misleading, (ii) the Registration Statement, the ADS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American Depositary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bona fide electronic road show as defined in Rule 433(h)(5) that has been made available without restriction to any person,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ADS Registration Statement, the Time of Sale Prospectus, the Prospectus or each bona fide electronic road show based upon information furnished to the Company in writing by such Underwriter through the Representative expressly for use therein, it being understood and agreed that the only such information furnished by any Underwriter consists of the Underwriter Information described as such in Section 9(b) 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390" w:name="page391"/>
    <w:bookmarkEnd w:id="390"/>
    <w:p>
      <w:pPr>
        <w:ind w:left="-20" w:right="40" w:firstLine="464"/>
        <w:spacing w:after="0" w:line="253" w:lineRule="auto"/>
        <w:tabs>
          <w:tab w:leader="none" w:pos="81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Ineligible Issuer Status and Issuer Free Writing Prospectus</w:t>
      </w:r>
      <w:r>
        <w:rPr>
          <w:rFonts w:ascii="Times New Roman" w:cs="Times New Roman" w:eastAsia="Times New Roman" w:hAnsi="Times New Roman"/>
          <w:sz w:val="18"/>
          <w:szCs w:val="18"/>
          <w:color w:val="auto"/>
        </w:rPr>
        <w:t>. The Company is not an “ineligible issuer” in connection with the offering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furnished to the Representative before first use, the Company has not prepared, used or referred to, and will not, without the prior consent of the Representative, prepare, use or refer to, any free writing prospectus. The Company has satisfied and agrees that it will satisfy the conditions in Rule 433 to avoid a requirement to file with the Commission any electronic road show. As of the time of each sale of the American Depositary Shares in connection with the offering when the Prospectus is not yet available to prospective purchasers, no free writing prospectuses,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left="-20" w:firstLine="464"/>
        <w:spacing w:after="0" w:line="252" w:lineRule="auto"/>
        <w:tabs>
          <w:tab w:leader="none" w:pos="82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EGC Status and Testing-the-Waters Communication. </w:t>
      </w:r>
      <w:r>
        <w:rPr>
          <w:rFonts w:ascii="Times New Roman" w:cs="Times New Roman" w:eastAsia="Times New Roman" w:hAnsi="Times New Roman"/>
          <w:sz w:val="18"/>
          <w:szCs w:val="18"/>
          <w:color w:val="auto"/>
        </w:rPr>
        <w:t>(i) From the time of initial confidential submission of the Registration Statement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(ii) The Company (A) has not alone engaged in any Testing-the-Waters Communication other than Testing-the-Waters Communications with the consent of the Underwriters, Credit Suisse Securities (USA) LLC or Jefferies LLC with entities that are qualified institutional buyers within the meaning of Rule 144A under the Securities Act or institutions that are accredited investors within the meaning of Rule 501 under the Securities Act, and (B) has not authorized anyone other than the Underwriters, Credit Suisse Securities (USA) LLC or Jefferies LLC to engage in Testing-the-Waters Communications. The Company reconfirms that the Underwriters, Credit Suisse Securities (USA) LLC and Jefferies LLC have been authorized to act on its behalf in undertaking Testing-the-Waters Communications. (iii) The Company has not distributed any Written Testing-the-Waters Communications without the prior written consent of the Underwriters, Credit Suisse Securities (USA) LLC or Jefferies LLC. “</w:t>
      </w:r>
      <w:r>
        <w:rPr>
          <w:rFonts w:ascii="Times New Roman" w:cs="Times New Roman" w:eastAsia="Times New Roman" w:hAnsi="Times New Roman"/>
          <w:sz w:val="18"/>
          <w:szCs w:val="18"/>
          <w:b w:val="1"/>
          <w:bCs w:val="1"/>
          <w:color w:val="auto"/>
        </w:rPr>
        <w:t>Written Testing-the-Waters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time of each sale of the American Depositary Shares in connection with the offering when the Prospectus is not yet available to prospective purchasers, no individual Written Testing-the-Waters Communications,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60" w:top="268" w:right="259" w:bottom="1440" w:gutter="0" w:footer="0" w:header="0"/>
        </w:sectPr>
      </w:pPr>
    </w:p>
    <w:bookmarkStart w:id="391" w:name="page392"/>
    <w:bookmarkEnd w:id="391"/>
    <w:p>
      <w:pPr>
        <w:ind w:firstLine="464"/>
        <w:spacing w:after="0" w:line="253" w:lineRule="auto"/>
        <w:tabs>
          <w:tab w:leader="none" w:pos="83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Good Standing of the Company. </w:t>
      </w:r>
      <w:r>
        <w:rPr>
          <w:rFonts w:ascii="Times New Roman" w:cs="Times New Roman" w:eastAsia="Times New Roman" w:hAnsi="Times New Roman"/>
          <w:sz w:val="18"/>
          <w:szCs w:val="18"/>
          <w:color w:val="auto"/>
        </w:rPr>
        <w:t>The Company has been duly incorporated, is validly existing as an exempted company with limited liability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standing under the laws of the Cayman Islands, has the corporate power and authority to own its property and to conduct its business as described in the Time of Sale Prospectus and Prospectus and is duly qualified to transact business and is in good standing in each jurisdiction in which the conduct of its business or its ownership or leasing of property requires such qualification, except where the failure so to qualify or to be in good standing would not result in a Material Adverse Effect. The currently effective memorandum and articles of association or other constitutive or organizational documents of the Company comply with the requirements of applicable Cayman Islands law and are in full force and effect. The eighth amended and restated memorandum and articles of association of the Company adopted on October 13, 2017, filed as Exhibit 3.2 to the Registration Statement, comply with the requirements of applicable Cayman Islands laws and, immediately following closing on the Closing Date of the American Depositary Shares offered and sold hereunder, will be in full force and effect. Complete and correct copies of all constitutive documents of the Company and all amendments thereto have been delivered to the Representative; no change will be made to any such constitutive documents on or after the date of this Agreement through and including the Closing Date.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the condition (financial or otherwise), earnings, results of operations, business or prospects of the Company and its Subsidiaries and Affiliated Entities, taken as a whole, or on the ability of the Company and its Subsidiaries and Affiliated Entities to carry out their obligations under this Agreement and the Deposit Agreement or consummate the transactions contemplated by the Time of Sale Prospectus and the Prospectus.</w:t>
      </w:r>
    </w:p>
    <w:p>
      <w:pPr>
        <w:spacing w:after="0" w:line="184" w:lineRule="exact"/>
        <w:rPr>
          <w:rFonts w:ascii="Times New Roman" w:cs="Times New Roman" w:eastAsia="Times New Roman" w:hAnsi="Times New Roman"/>
          <w:sz w:val="18"/>
          <w:szCs w:val="18"/>
          <w:color w:val="auto"/>
        </w:rPr>
      </w:pPr>
    </w:p>
    <w:p>
      <w:pPr>
        <w:ind w:firstLine="464"/>
        <w:spacing w:after="0" w:line="253" w:lineRule="auto"/>
        <w:tabs>
          <w:tab w:leader="none" w:pos="81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 and Affiliated Entities</w:t>
      </w:r>
      <w:r>
        <w:rPr>
          <w:rFonts w:ascii="Times New Roman" w:cs="Times New Roman" w:eastAsia="Times New Roman" w:hAnsi="Times New Roman"/>
          <w:sz w:val="18"/>
          <w:szCs w:val="18"/>
          <w:color w:val="auto"/>
        </w:rPr>
        <w:t>. Each of the Company’s direct and indirect subsidiaries as defined under Rule 405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has been identified on Schedule III-A hereto, and each of the consolidated entities which the Company controls and through which the Company conducts its operations in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way of contractual arrangements (each an “</w:t>
      </w:r>
      <w:r>
        <w:rPr>
          <w:rFonts w:ascii="Times New Roman" w:cs="Times New Roman" w:eastAsia="Times New Roman" w:hAnsi="Times New Roman"/>
          <w:sz w:val="18"/>
          <w:szCs w:val="18"/>
          <w:b w:val="1"/>
          <w:bCs w:val="1"/>
          <w:color w:val="auto"/>
        </w:rPr>
        <w:t>Affiliated Entity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Affiliated Entities</w:t>
      </w:r>
      <w:r>
        <w:rPr>
          <w:rFonts w:ascii="Times New Roman" w:cs="Times New Roman" w:eastAsia="Times New Roman" w:hAnsi="Times New Roman"/>
          <w:sz w:val="18"/>
          <w:szCs w:val="18"/>
          <w:color w:val="auto"/>
        </w:rPr>
        <w:t>”) has been identified on Schedule III-B hereto. Each of the Subsidiaries and Affiliated Entities has been duly incorporated, is validly existing as a corporation in good standing under the laws of the jurisdiction of its incorporation, and except as described in the Time of Sale Prospectus and Prospectus, has the corporate power and authority to own its property and to conduct its business as described in the Time of Sale Prospectus; all of the equity interests of each Subsidiary have been duly and validly authorized and issued, are owned directly or indirectly by the Company, are fully paid and non-assessable and, except as described in the Time of Sale Prospectus and Prospectus, are free and clear of all liens, encumbrances, equities or claims; all of the equity interests in each Affiliated Entity have been duly and validly authorized and issued, are paid in accordance with its constitutive or organizational documents and non-assessable and are owned directly as described in the Time of Sale Prospectus and Prospectus, free and clear of all liens, encumbrances, equities or claims. None of the outstanding share capital or equity interest in any Subsidiary was issued in violation of preemptive or similar rights of any securityholder of such Subsidiary. All of the constitutive or organizational documents of each of the Subsidiaries and Affiliated Entities comply with the requirements of applicable laws of its jurisdiction of incorporation or organization and are in full force and effect. Apart from the Subsidiaries and Affiliated Entities, the Company has no direct or indirect Subsidiaries.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8" w:right="239" w:bottom="1440" w:gutter="0" w:footer="0" w:header="0"/>
        </w:sectPr>
      </w:pPr>
    </w:p>
    <w:bookmarkStart w:id="392" w:name="page393"/>
    <w:bookmarkEnd w:id="392"/>
    <w:p>
      <w:pPr>
        <w:ind w:left="400" w:hanging="396"/>
        <w:spacing w:after="0"/>
        <w:tabs>
          <w:tab w:leader="none" w:pos="40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VIE Agreements and Ownership Structure.</w:t>
      </w:r>
    </w:p>
    <w:p>
      <w:pPr>
        <w:spacing w:after="0" w:line="130" w:lineRule="exact"/>
        <w:rPr>
          <w:rFonts w:ascii="Times New Roman" w:cs="Times New Roman" w:eastAsia="Times New Roman" w:hAnsi="Times New Roman"/>
          <w:sz w:val="18"/>
          <w:szCs w:val="18"/>
          <w:color w:val="auto"/>
        </w:rPr>
      </w:pPr>
    </w:p>
    <w:p>
      <w:pPr>
        <w:ind w:left="1020" w:right="40" w:hanging="567"/>
        <w:spacing w:after="0" w:line="255" w:lineRule="auto"/>
        <w:tabs>
          <w:tab w:leader="none" w:pos="102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corporate structure of the Company and each of the contracts among the Subsidiaries, the shareholders of the Affiliated Entities and the Affiliated Entities, as the case may be (each a “</w:t>
      </w:r>
      <w:r>
        <w:rPr>
          <w:rFonts w:ascii="Times New Roman" w:cs="Times New Roman" w:eastAsia="Times New Roman" w:hAnsi="Times New Roman"/>
          <w:sz w:val="18"/>
          <w:szCs w:val="18"/>
          <w:b w:val="1"/>
          <w:bCs w:val="1"/>
          <w:color w:val="auto"/>
        </w:rPr>
        <w:t>VIE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VIE Agreements</w:t>
      </w:r>
      <w:r>
        <w:rPr>
          <w:rFonts w:ascii="Times New Roman" w:cs="Times New Roman" w:eastAsia="Times New Roman" w:hAnsi="Times New Roman"/>
          <w:sz w:val="18"/>
          <w:szCs w:val="18"/>
          <w:color w:val="auto"/>
        </w:rPr>
        <w:t>”), as set forth in the Time of Sale Prospectus and the Prospectus under the captions “Corporate History and Structure” and “Related Party Transactions” and filed as Exhibits 10.3 through 10.7 to the Registration Statement, is true and accurate in all material respects. There is no other material agreement, contract or other document relating to the corporate structure or the operation of the Company together with its Subsidiaries and Affiliated Entities taken as a whole, which has not been previously disclosed or made available to the Underwriters and disclosed in the Time of Sale Prospectus and the Prospectus.</w:t>
      </w:r>
    </w:p>
    <w:p>
      <w:pPr>
        <w:spacing w:after="0" w:line="94" w:lineRule="exact"/>
        <w:rPr>
          <w:rFonts w:ascii="Times New Roman" w:cs="Times New Roman" w:eastAsia="Times New Roman" w:hAnsi="Times New Roman"/>
          <w:sz w:val="18"/>
          <w:szCs w:val="18"/>
          <w:color w:val="auto"/>
        </w:rPr>
      </w:pPr>
    </w:p>
    <w:p>
      <w:pPr>
        <w:ind w:left="1020" w:hanging="567"/>
        <w:spacing w:after="0" w:line="253" w:lineRule="auto"/>
        <w:tabs>
          <w:tab w:leader="none" w:pos="102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VIE Agreement has been duly authorized, executed and delivered by the parties thereto and constitutes a valid and legally binding obligation of the parties thereto, enforceable in accordance with its terms subject to the disclosure in the Time of Sale Prospectus and the Prospectus. No consent, approval, authorization, or order of, or filing or registration with, any person (including any governmental agency or body or any court) is required for the performance of the obligations under any VIE Agreement by the parties thereto, except as already obtained or disclosed in the Time of Sale Prospectus and the Prospectus; and no consent, approval, authorization, order, filing or registration that has been obtained is being withdrawn or revoked or is subject to any condition precedent which has not been fulfilled or performed. The corporate structure of the Company comply with all applicable laws and regulations of the PRC, and neither the corporate structure nor the VIE Agreements violate, breach, contravene or otherwise conflict with any applicable laws of the PRC subject to the disclosure in the Time of Sale Prospectus and the Prospectus. There is no legal or governmental proceeding, inquiry or investigation pending against the Company, the Subsidiaries and Affiliated Entities or shareholders of the Affiliated Entities in any jurisdiction challenging the validity of any of the VIE Agreements, and to the best knowledge of the Company, no such proceeding, inquiry or investigation is threatened in any jurisdiction.</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700" w:top="269" w:right="239" w:bottom="1440" w:gutter="0" w:footer="0" w:header="0"/>
        </w:sectPr>
      </w:pPr>
    </w:p>
    <w:bookmarkStart w:id="393" w:name="page394"/>
    <w:bookmarkEnd w:id="393"/>
    <w:p>
      <w:pPr>
        <w:ind w:left="1440" w:hanging="567"/>
        <w:spacing w:after="0" w:line="253" w:lineRule="auto"/>
        <w:tabs>
          <w:tab w:leader="none" w:pos="144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Subsidiaries and Affiliated Entities pursuant to (A) the constitutive or organizational documents of the Company or any of the Subsidiaries and Affiliated Entities, (B) any statute, rule, regulation or order of any governmental agency or body or any court, domestic or foreign, having jurisdiction over the Company or any of the Subsidiaries and Affiliated Entities or any of their properties, or any arbitration award, or (C) any material indenture, mortgage, deed of trust, loan agreement or other material agreement or instrument to which the Company or any of the Subsidiaries and Affiliated Entities is a party or by which the Company or any of the Subsidiaries and Affiliated Entities is bound or to which any of the properties of the Company or any of the Subsidiaries and Affiliated Entities is subject.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no such termination or non-renewal has been threatened by any of the parties thereto.</w:t>
      </w:r>
    </w:p>
    <w:p>
      <w:pPr>
        <w:spacing w:after="0" w:line="96" w:lineRule="exact"/>
        <w:rPr>
          <w:rFonts w:ascii="Times New Roman" w:cs="Times New Roman" w:eastAsia="Times New Roman" w:hAnsi="Times New Roman"/>
          <w:sz w:val="18"/>
          <w:szCs w:val="18"/>
          <w:color w:val="auto"/>
        </w:rPr>
      </w:pPr>
    </w:p>
    <w:p>
      <w:pPr>
        <w:ind w:left="1440" w:right="20" w:hanging="567"/>
        <w:spacing w:after="0" w:line="282" w:lineRule="auto"/>
        <w:tabs>
          <w:tab w:leader="none" w:pos="144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directly or indirectly, the power to direct or cause the direction of the management and policies of the Affiliated Entities, through its rights to authorize the shareholders of the Affiliated Entities to exercise their voting rights.</w:t>
      </w:r>
    </w:p>
    <w:p>
      <w:pPr>
        <w:spacing w:after="0" w:line="159" w:lineRule="exact"/>
        <w:rPr>
          <w:rFonts w:ascii="Times New Roman" w:cs="Times New Roman" w:eastAsia="Times New Roman" w:hAnsi="Times New Roman"/>
          <w:sz w:val="18"/>
          <w:szCs w:val="18"/>
          <w:color w:val="auto"/>
        </w:rPr>
      </w:pPr>
    </w:p>
    <w:p>
      <w:pPr>
        <w:ind w:left="820" w:hanging="396"/>
        <w:spacing w:after="0"/>
        <w:tabs>
          <w:tab w:leader="none" w:pos="82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40" w:right="40" w:firstLine="464"/>
        <w:spacing w:after="0" w:line="261" w:lineRule="auto"/>
        <w:tabs>
          <w:tab w:leader="none" w:pos="7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the Deposit Agreement</w:t>
      </w:r>
      <w:r>
        <w:rPr>
          <w:rFonts w:ascii="Times New Roman" w:cs="Times New Roman" w:eastAsia="Times New Roman" w:hAnsi="Times New Roman"/>
          <w:sz w:val="18"/>
          <w:szCs w:val="18"/>
          <w:color w:val="auto"/>
        </w:rPr>
        <w:t>. The Deposit Agreement has been duly authorized, executed and delivered by the Company and assuming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authorization, execution and delivery by the Depositary, constitutes a valid and legally binding obligation of the Company, enforceable in accordance with its terms. The description of this Agreement and the Deposit Agreement contained in each of the Registration Statement, the Time of Sale Prospectus and the Prospectus is true and accurate in all material respects.</w:t>
      </w:r>
    </w:p>
    <w:p>
      <w:pPr>
        <w:spacing w:after="0" w:line="180" w:lineRule="exact"/>
        <w:rPr>
          <w:rFonts w:ascii="Times New Roman" w:cs="Times New Roman" w:eastAsia="Times New Roman" w:hAnsi="Times New Roman"/>
          <w:sz w:val="18"/>
          <w:szCs w:val="18"/>
          <w:color w:val="auto"/>
        </w:rPr>
      </w:pPr>
    </w:p>
    <w:p>
      <w:pPr>
        <w:ind w:left="-40" w:right="160" w:firstLine="464"/>
        <w:spacing w:after="0" w:line="261" w:lineRule="auto"/>
        <w:tabs>
          <w:tab w:leader="none" w:pos="7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 of Registration Statements</w:t>
      </w:r>
      <w:r>
        <w:rPr>
          <w:rFonts w:ascii="Times New Roman" w:cs="Times New Roman" w:eastAsia="Times New Roman" w:hAnsi="Times New Roman"/>
          <w:sz w:val="18"/>
          <w:szCs w:val="18"/>
          <w:color w:val="auto"/>
        </w:rPr>
        <w:t>. The Registration Statement, the preliminary prospectus, the Prospectus, any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and the ADS Registration Statement and the filing of the Registration Statement, the Prospectus, any issuer free writing prospectus and the ADS Registration Statement with the Commission have been duly authorized by and on behalf of the Company, and the Registration Statement and the ADS Registration Statement have been duly executed pursuant to such authorization by and on behalf of the Company.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80" w:top="270" w:right="279" w:bottom="1440" w:gutter="0" w:footer="0" w:header="0"/>
        </w:sectPr>
      </w:pPr>
    </w:p>
    <w:bookmarkStart w:id="394" w:name="page395"/>
    <w:bookmarkEnd w:id="394"/>
    <w:p>
      <w:pPr>
        <w:ind w:left="-20" w:right="540" w:firstLine="464"/>
        <w:spacing w:after="0" w:line="284" w:lineRule="auto"/>
        <w:tabs>
          <w:tab w:leader="none" w:pos="82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Capital. </w:t>
      </w:r>
      <w:r>
        <w:rPr>
          <w:rFonts w:ascii="Times New Roman" w:cs="Times New Roman" w:eastAsia="Times New Roman" w:hAnsi="Times New Roman"/>
          <w:sz w:val="18"/>
          <w:szCs w:val="18"/>
          <w:color w:val="auto"/>
        </w:rPr>
        <w:t>The authorized share capital of the Company conforms as to legal matters to the description thereof contained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Time of Sale Prospectus and the Prospectus.</w:t>
      </w:r>
    </w:p>
    <w:p>
      <w:pPr>
        <w:spacing w:after="0" w:line="158" w:lineRule="exact"/>
        <w:rPr>
          <w:rFonts w:ascii="Times New Roman" w:cs="Times New Roman" w:eastAsia="Times New Roman" w:hAnsi="Times New Roman"/>
          <w:sz w:val="18"/>
          <w:szCs w:val="18"/>
          <w:color w:val="auto"/>
        </w:rPr>
      </w:pPr>
    </w:p>
    <w:p>
      <w:pPr>
        <w:ind w:left="-20" w:firstLine="464"/>
        <w:spacing w:after="0" w:line="254" w:lineRule="auto"/>
        <w:tabs>
          <w:tab w:leader="none" w:pos="78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(i) Except as disclosed in the Time of Sale Prospectus and the Prospectus, the Ordinary Shares outstanding prior to the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Shares to be sold by the Company have been duly authorized and are validly issued, fully paid and non-assessable. As of the date hereof, the Company has authorized and outstanding capitalization as set forth in the sections of the Time of Sale Prospectus and the Prospectus under the headings “Capitalization” and “Description of Share Capital” and, as of the Closing Date, the Company shall have authorized and outstanding capitalization as set forth in the sections of the Time of Sale Prospectus and the Prospectus under the headings “Capitalization” and “Description of Share Capital.” (ii) Except as described in the Time of Sale Prospectus and the Prospectus, there are (A) no outstanding securities issued by the Company convertible into or exchangeable for, rights, warrants or options to acquire from the Company, or obligations of the Company to issue, Ordinary Shares or any of the share capital of the Company, and (B) no outstanding rights, warrants or options to acquire, or instruments convertible into or exchangeable for, any share capital of, or any direct interest in, any of the Company’s Subsidiaries and Affiliated Entities.</w:t>
      </w:r>
    </w:p>
    <w:p>
      <w:pPr>
        <w:spacing w:after="0" w:line="189" w:lineRule="exact"/>
        <w:rPr>
          <w:rFonts w:ascii="Times New Roman" w:cs="Times New Roman" w:eastAsia="Times New Roman" w:hAnsi="Times New Roman"/>
          <w:sz w:val="18"/>
          <w:szCs w:val="18"/>
          <w:color w:val="auto"/>
        </w:rPr>
      </w:pPr>
    </w:p>
    <w:p>
      <w:pPr>
        <w:jc w:val="both"/>
        <w:ind w:left="-20" w:right="60" w:firstLine="464"/>
        <w:spacing w:after="0" w:line="290" w:lineRule="auto"/>
        <w:tabs>
          <w:tab w:leader="none" w:pos="876"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American Depositary Shares. </w:t>
      </w:r>
      <w:r>
        <w:rPr>
          <w:rFonts w:ascii="Times New Roman" w:cs="Times New Roman" w:eastAsia="Times New Roman" w:hAnsi="Times New Roman"/>
          <w:sz w:val="17"/>
          <w:szCs w:val="17"/>
          <w:color w:val="auto"/>
        </w:rPr>
        <w:t>The American Depositary Shares, when issued by the Depositary against the deposit of Shares in respect thereof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the provisions of the Deposit Agreement, will be duly authorized, validly issued and the persons in whose names such American Depositary Shares are registered will be entitled to the rights of registered holders of American Depositary Shares specified therein and in the Deposit Agreement.</w:t>
      </w:r>
    </w:p>
    <w:p>
      <w:pPr>
        <w:spacing w:after="0" w:line="155" w:lineRule="exact"/>
        <w:rPr>
          <w:rFonts w:ascii="Times New Roman" w:cs="Times New Roman" w:eastAsia="Times New Roman" w:hAnsi="Times New Roman"/>
          <w:sz w:val="17"/>
          <w:szCs w:val="17"/>
          <w:color w:val="auto"/>
        </w:rPr>
      </w:pPr>
    </w:p>
    <w:p>
      <w:pPr>
        <w:ind w:left="-20" w:right="20" w:firstLine="464"/>
        <w:spacing w:after="0" w:line="256" w:lineRule="auto"/>
        <w:tabs>
          <w:tab w:leader="none" w:pos="871"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 The Shares to be sold by the Company have been duly authorized and, when issued and delivered in accordance with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will be validly issued, fully paid and non-assessable, and the issuance of such Shares will not be subject to any preemptive rights, resale rights, rights of first refusal or similar rights. The Shares, when issued and delivered against payment therefor in accordance with the terms of this Agreement, will be free of any restriction upon the voting or transfer thereof pursuant to the Company’s constitutive documents or any agreement or other instrument to which the Company is a party. (ii) The Shares, when issued, are freely transferable by the Company to or for the account of the several Underwriters, and, except as described in the Time of Sale Prospectus and the Prospectus, there are no restrictions on subsequent transfers of the Shares under the laws of the Cayman Islands, the PRC, Hong Kong or the United States.</w:t>
      </w:r>
    </w:p>
    <w:p>
      <w:pPr>
        <w:spacing w:after="0" w:line="183" w:lineRule="exact"/>
        <w:rPr>
          <w:rFonts w:ascii="Times New Roman" w:cs="Times New Roman" w:eastAsia="Times New Roman" w:hAnsi="Times New Roman"/>
          <w:sz w:val="18"/>
          <w:szCs w:val="18"/>
          <w:color w:val="auto"/>
        </w:rPr>
      </w:pPr>
    </w:p>
    <w:p>
      <w:pPr>
        <w:ind w:left="-20" w:right="220" w:firstLine="464"/>
        <w:spacing w:after="0" w:line="259" w:lineRule="auto"/>
        <w:tabs>
          <w:tab w:leader="none" w:pos="871"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Accurate Disclosure. </w:t>
      </w:r>
      <w:r>
        <w:rPr>
          <w:rFonts w:ascii="Times New Roman" w:cs="Times New Roman" w:eastAsia="Times New Roman" w:hAnsi="Times New Roman"/>
          <w:sz w:val="18"/>
          <w:szCs w:val="18"/>
          <w:color w:val="auto"/>
        </w:rPr>
        <w:t>The statements in the Time of Sale Prospectus and the Prospectus under the headings “Prospectus Summary,”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“Enforceability of Civil Liabilities,” “Corporate History and Structure,” “Management’s Discussion and Analysis of Financial Condition and Results of Operations,” “Business,” “Regulation,” “Related Party Transactions,” “Description of Share Capital,” “Description of American Depositary Shares,” “Taxation” and “Underwriting,” insofar as such statements summarize legal matters, agreements, documents or proceedings discussed therein, are accurate and fair summaries of such matters described therein in all material respects.</w:t>
      </w:r>
    </w:p>
    <w:p>
      <w:pPr>
        <w:spacing w:after="0" w:line="179"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The American Depositary Shares have been approved for listing on the NASDAQ Global Market, subject to official notice of issuance.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60" w:top="268" w:right="259" w:bottom="1440" w:gutter="0" w:footer="0" w:header="0"/>
        </w:sectPr>
      </w:pPr>
    </w:p>
    <w:bookmarkStart w:id="395" w:name="page396"/>
    <w:bookmarkEnd w:id="395"/>
    <w:p>
      <w:pPr>
        <w:ind w:left="-8" w:right="20" w:firstLine="464"/>
        <w:spacing w:after="0" w:line="254" w:lineRule="auto"/>
        <w:tabs>
          <w:tab w:leader="none" w:pos="883"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Law, Constitutive Documents and Contracts</w:t>
      </w:r>
      <w:r>
        <w:rPr>
          <w:rFonts w:ascii="Times New Roman" w:cs="Times New Roman" w:eastAsia="Times New Roman" w:hAnsi="Times New Roman"/>
          <w:sz w:val="18"/>
          <w:szCs w:val="18"/>
          <w:color w:val="auto"/>
        </w:rPr>
        <w:t>. Except as disclosed in the Time of Sale Prospectus and the Prospectus,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nor any of the Subsidiaries and Affiliated Entities is in breach or violation of any provision of applicable law material to the Company and the Subsidiaries and Affiliated Entities taken as a whole (including, but not limited to, any applicable law concerning copy rights, information dissemination over the Internet and user privacy protection) or is in breach or violation of its respective constitutive documents,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agreement or other instrument that is (i) binding upon the Company or any of the Subsidiaries and Affiliated Entities and (ii) material to the Company and the Subsidiaries and Affiliated Entities taken as a whole, or any judgment, order or decree of any governmental body, agency or court having jurisdiction over the Company or any of the Subsidiaries and Affiliated Entities.</w:t>
      </w:r>
    </w:p>
    <w:p>
      <w:pPr>
        <w:spacing w:after="0" w:line="189" w:lineRule="exact"/>
        <w:rPr>
          <w:rFonts w:ascii="Times New Roman" w:cs="Times New Roman" w:eastAsia="Times New Roman" w:hAnsi="Times New Roman"/>
          <w:sz w:val="18"/>
          <w:szCs w:val="18"/>
          <w:color w:val="auto"/>
        </w:rPr>
      </w:pPr>
    </w:p>
    <w:p>
      <w:pPr>
        <w:ind w:left="-8" w:firstLine="464"/>
        <w:spacing w:after="0" w:line="255" w:lineRule="auto"/>
        <w:tabs>
          <w:tab w:leader="none" w:pos="808"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Defaults and Conflicts Resulting from Transaction. </w:t>
      </w:r>
      <w:r>
        <w:rPr>
          <w:rFonts w:ascii="Times New Roman" w:cs="Times New Roman" w:eastAsia="Times New Roman" w:hAnsi="Times New Roman"/>
          <w:sz w:val="18"/>
          <w:szCs w:val="18"/>
          <w:color w:val="auto"/>
        </w:rPr>
        <w:t>The execution and delivery by the Company of, and the performance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of its obligations under, this Agreement and the Deposit Agreement will not contravene (i) any provision of applicable law or the memorandum and articles of association or other constitutive documents of the Company, (ii) any agreement or other instrument binding upon the Company or any of the Subsidiaries and Affiliated Entities that is material to the Company and the Subsidiaries and Affiliated Entities, taken as a whole, or (iii) any judgment, order or decree of any governmental body, agency or court having jurisdiction over the Company or any of the Subsidiaries and Affiliated Entities; and no consent, approval, authorization or order of, or qualification with, any governmental body or agency is required for the performance by the Company of its obligations under this Agreement or the Deposit Agreement, except such as may be required by the securities or Blue Sky laws of the various states of the United States of America in connection with the offer and sale of the Shares or the American Depositary Shares.</w:t>
      </w:r>
    </w:p>
    <w:p>
      <w:pPr>
        <w:spacing w:after="0" w:line="185" w:lineRule="exact"/>
        <w:rPr>
          <w:rFonts w:ascii="Times New Roman" w:cs="Times New Roman" w:eastAsia="Times New Roman" w:hAnsi="Times New Roman"/>
          <w:sz w:val="18"/>
          <w:szCs w:val="18"/>
          <w:color w:val="auto"/>
        </w:rPr>
      </w:pPr>
    </w:p>
    <w:p>
      <w:pPr>
        <w:ind w:left="-8" w:right="20" w:firstLine="464"/>
        <w:spacing w:after="0" w:line="253" w:lineRule="auto"/>
        <w:tabs>
          <w:tab w:leader="none" w:pos="818"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in Business. </w:t>
      </w:r>
      <w:r>
        <w:rPr>
          <w:rFonts w:ascii="Times New Roman" w:cs="Times New Roman" w:eastAsia="Times New Roman" w:hAnsi="Times New Roman"/>
          <w:sz w:val="18"/>
          <w:szCs w:val="18"/>
          <w:color w:val="auto"/>
        </w:rPr>
        <w:t>Since the end of the period covered by the latest reviewed financial statements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Time of Sale Prospectus and the Prospectus, except as disclosed in the Time of Sale Prospectus and the Prospectus, (i) there has been no material adverse change, nor any development or event involving a prospective material adverse change, in the condition (financial or otherwise), results of operations, business, properties or prospects of the Company and its Subsidiaries and Affiliated Entities, taken as a whole; (ii) there has been no purchase of its own outstanding share capital by the Company, no dividend or distribution of any kind declared, paid or made by the Company on any class of its share capital; (iii) there has been no material adverse change in the share capital, short-term indebtedness, long-term indebtedness, net current assets or net assets of the Company and its subsidiaries; (iv) neither the Company nor any of its Subsidiaries and Affiliated Entities has (A) entered into or assumed any material transaction or agreement, (B) incurred, assumed or acquired any material liability or obligation, direct or contingent, (C) acquired or disposed of or agreed to acquire or dispose of any business or any other asset, or (D) agreed to take any of the foregoing actions, that would, in the case of any of clauses</w:t>
      </w:r>
    </w:p>
    <w:p>
      <w:pPr>
        <w:spacing w:after="0" w:line="1" w:lineRule="exact"/>
        <w:rPr>
          <w:rFonts w:ascii="Times New Roman" w:cs="Times New Roman" w:eastAsia="Times New Roman" w:hAnsi="Times New Roman"/>
          <w:sz w:val="18"/>
          <w:szCs w:val="18"/>
          <w:color w:val="auto"/>
        </w:rPr>
      </w:pPr>
    </w:p>
    <w:p>
      <w:pPr>
        <w:jc w:val="both"/>
        <w:ind w:left="-8" w:right="240" w:firstLine="8"/>
        <w:spacing w:after="0" w:line="255" w:lineRule="auto"/>
        <w:tabs>
          <w:tab w:leader="none" w:pos="207"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would have a Material Adverse Effect; and (v) neither the Company nor any of its Subsidiaries and Affiliated Entities has sustained any material loss or interference with its business from fire, explosion, flood, typhoon, or other calamity, whether or not covered by insurance, or from any labor dispute or court or governmental action, order or decree.</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92"/>
          </w:cols>
          <w:pgMar w:left="248" w:top="268" w:right="259" w:bottom="1440" w:gutter="0" w:footer="0" w:header="0"/>
        </w:sectPr>
      </w:pPr>
    </w:p>
    <w:bookmarkStart w:id="396" w:name="page397"/>
    <w:bookmarkEnd w:id="396"/>
    <w:p>
      <w:pPr>
        <w:ind w:left="-20" w:right="100" w:firstLine="464"/>
        <w:spacing w:after="0" w:line="261" w:lineRule="auto"/>
        <w:tabs>
          <w:tab w:leader="none" w:pos="78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Pending Proceedings. </w:t>
      </w:r>
      <w:r>
        <w:rPr>
          <w:rFonts w:ascii="Times New Roman" w:cs="Times New Roman" w:eastAsia="Times New Roman" w:hAnsi="Times New Roman"/>
          <w:sz w:val="18"/>
          <w:szCs w:val="18"/>
          <w:color w:val="auto"/>
        </w:rPr>
        <w:t>There are no legal or governmental proceedings pending or threatened (including any inquiries or investigations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or governmental agency or body, domestic or foreign) to which the Company, any of its Subsidiaries and Affiliated Entities or any of its executive officers, directors and key employees is a party or to which any of the properties of the Company or any of its Subsidiaries and Affiliated Entities is subject, which would, individually or in the aggregate, have a Material Adverse Effect.</w:t>
      </w:r>
    </w:p>
    <w:p>
      <w:pPr>
        <w:spacing w:after="0" w:line="180" w:lineRule="exact"/>
        <w:rPr>
          <w:rFonts w:ascii="Times New Roman" w:cs="Times New Roman" w:eastAsia="Times New Roman" w:hAnsi="Times New Roman"/>
          <w:sz w:val="18"/>
          <w:szCs w:val="18"/>
          <w:color w:val="auto"/>
        </w:rPr>
      </w:pPr>
    </w:p>
    <w:p>
      <w:pPr>
        <w:ind w:left="-20" w:right="60" w:firstLine="464"/>
        <w:spacing w:after="0" w:line="267" w:lineRule="auto"/>
        <w:tabs>
          <w:tab w:leader="none" w:pos="82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Preliminary Prospectuses</w:t>
      </w:r>
      <w:r>
        <w:rPr>
          <w:rFonts w:ascii="Times New Roman" w:cs="Times New Roman" w:eastAsia="Times New Roman" w:hAnsi="Times New Roman"/>
          <w:sz w:val="18"/>
          <w:szCs w:val="18"/>
          <w:color w:val="auto"/>
        </w:rPr>
        <w:t>. Each preliminary prospectus filed as part of the registration statement as originally filed or as part of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or filed pursuant to Rule 424 under the Securities Act, complied when so filed in all material respects with the Securities Act and the applicable rules and regulations of the Commission thereunder.</w:t>
      </w:r>
    </w:p>
    <w:p>
      <w:pPr>
        <w:spacing w:after="0" w:line="173" w:lineRule="exact"/>
        <w:rPr>
          <w:rFonts w:ascii="Times New Roman" w:cs="Times New Roman" w:eastAsia="Times New Roman" w:hAnsi="Times New Roman"/>
          <w:sz w:val="18"/>
          <w:szCs w:val="18"/>
          <w:color w:val="auto"/>
        </w:rPr>
      </w:pPr>
    </w:p>
    <w:p>
      <w:pPr>
        <w:ind w:left="-20" w:right="60" w:firstLine="464"/>
        <w:spacing w:after="0" w:line="267" w:lineRule="auto"/>
        <w:tabs>
          <w:tab w:leader="none" w:pos="82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 of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as described in the Time of Sale Prospectus and the Prospectus will not be, required to register as an “investment company” as such term is defined in the Investment Company Act of 1940, as amended.</w:t>
      </w:r>
    </w:p>
    <w:p>
      <w:pPr>
        <w:spacing w:after="0" w:line="173" w:lineRule="exact"/>
        <w:rPr>
          <w:rFonts w:ascii="Times New Roman" w:cs="Times New Roman" w:eastAsia="Times New Roman" w:hAnsi="Times New Roman"/>
          <w:sz w:val="18"/>
          <w:szCs w:val="18"/>
          <w:color w:val="auto"/>
        </w:rPr>
      </w:pPr>
    </w:p>
    <w:p>
      <w:pPr>
        <w:ind w:left="-20" w:firstLine="464"/>
        <w:spacing w:after="0" w:line="259" w:lineRule="auto"/>
        <w:tabs>
          <w:tab w:leader="none" w:pos="86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Environmental Laws. </w:t>
      </w:r>
      <w:r>
        <w:rPr>
          <w:rFonts w:ascii="Times New Roman" w:cs="Times New Roman" w:eastAsia="Times New Roman" w:hAnsi="Times New Roman"/>
          <w:sz w:val="18"/>
          <w:szCs w:val="18"/>
          <w:color w:val="auto"/>
        </w:rPr>
        <w:t>Except as would not, individually or in the aggregate, have a Material Adverse Effect, the Company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Affiliated Entities (i) are in compliance with any and all applicable national, local and foreign laws and regulations (including, for the avoidance of doubt, all applicable laws and regulations of the PRC)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w:t>
      </w:r>
    </w:p>
    <w:p>
      <w:pPr>
        <w:spacing w:after="0" w:line="179" w:lineRule="exact"/>
        <w:rPr>
          <w:rFonts w:ascii="Times New Roman" w:cs="Times New Roman" w:eastAsia="Times New Roman" w:hAnsi="Times New Roman"/>
          <w:sz w:val="18"/>
          <w:szCs w:val="18"/>
          <w:color w:val="auto"/>
        </w:rPr>
      </w:pPr>
    </w:p>
    <w:p>
      <w:pPr>
        <w:ind w:left="-20" w:right="20" w:firstLine="464"/>
        <w:spacing w:after="0" w:line="256" w:lineRule="auto"/>
        <w:tabs>
          <w:tab w:leader="none" w:pos="82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 Lock-up Letters</w:t>
      </w:r>
      <w:r>
        <w:rPr>
          <w:rFonts w:ascii="Times New Roman" w:cs="Times New Roman" w:eastAsia="Times New Roman" w:hAnsi="Times New Roman"/>
          <w:sz w:val="18"/>
          <w:szCs w:val="18"/>
          <w:color w:val="auto"/>
        </w:rPr>
        <w:t>. Except as disclosed in the Time of Sale Prospectus and the Prospectus, there are no contracts, agreements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(collectively,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 and any person to whom the Company has granted registration rights has agreed not to exercise such rights until after the expiration of the Restricted Period. Each officer, director and shareholder of the Company has furnished to the Representative on or prior to the date hereof a letter or letters substantially in the form of Exhibit B hereto (the “</w:t>
      </w:r>
      <w:r>
        <w:rPr>
          <w:rFonts w:ascii="Times New Roman" w:cs="Times New Roman" w:eastAsia="Times New Roman" w:hAnsi="Times New Roman"/>
          <w:sz w:val="18"/>
          <w:szCs w:val="18"/>
          <w:b w:val="1"/>
          <w:bCs w:val="1"/>
          <w:color w:val="auto"/>
        </w:rPr>
        <w:t>Lock-Up Letter</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60" w:top="268" w:right="259" w:bottom="1440" w:gutter="0" w:footer="0" w:header="0"/>
        </w:sectPr>
      </w:pPr>
    </w:p>
    <w:bookmarkStart w:id="397" w:name="page398"/>
    <w:bookmarkEnd w:id="397"/>
    <w:p>
      <w:pPr>
        <w:ind w:left="-8" w:firstLine="464"/>
        <w:spacing w:after="0" w:line="253" w:lineRule="auto"/>
        <w:tabs>
          <w:tab w:leader="none" w:pos="83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Anti-Corruption Laws. </w:t>
      </w:r>
      <w:r>
        <w:rPr>
          <w:rFonts w:ascii="Times New Roman" w:cs="Times New Roman" w:eastAsia="Times New Roman" w:hAnsi="Times New Roman"/>
          <w:sz w:val="18"/>
          <w:szCs w:val="18"/>
          <w:color w:val="auto"/>
        </w:rPr>
        <w:t>Neither the Company nor any of its Subsidiaries and Affiliated Entities or their respective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employee thereof nor, to the Company’s knowledge, any affiliate, agent or representative of the Company or of any of its Subsidiaries and Affiliated Entities or their respective affiliates, has (i) used any corporate funds for any unlawful contribution, gift, entertainment or other unlawful expense relating to political activity; (ii)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w:t>
      </w:r>
    </w:p>
    <w:p>
      <w:pPr>
        <w:spacing w:after="0" w:line="5" w:lineRule="exact"/>
        <w:rPr>
          <w:rFonts w:ascii="Times New Roman" w:cs="Times New Roman" w:eastAsia="Times New Roman" w:hAnsi="Times New Roman"/>
          <w:sz w:val="18"/>
          <w:szCs w:val="18"/>
          <w:color w:val="auto"/>
        </w:rPr>
      </w:pPr>
    </w:p>
    <w:p>
      <w:pPr>
        <w:ind w:left="-8" w:right="80" w:firstLine="8"/>
        <w:spacing w:after="0" w:line="252" w:lineRule="auto"/>
        <w:tabs>
          <w:tab w:leader="none" w:pos="30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agreed, requested or taken an act in furtherance of any unlawful bribe or other unlawful benefit, including, without limitation, any rebate, payoff, influence payment, kickback or other unlawful or improper payment or benefit; or (iv) will use, directly or indirectly, the proceeds of the offering in furtherance of an offer, payment, promise to pay, or authorization of the payment or giving of money, or anything else of value, to any person in violation of any applicable anti-corruption laws; and the Company and its Subsidiaries and Affiliated Entities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w:t>
      </w:r>
    </w:p>
    <w:p>
      <w:pPr>
        <w:spacing w:after="0" w:line="188" w:lineRule="exact"/>
        <w:rPr>
          <w:rFonts w:ascii="Times New Roman" w:cs="Times New Roman" w:eastAsia="Times New Roman" w:hAnsi="Times New Roman"/>
          <w:sz w:val="18"/>
          <w:szCs w:val="18"/>
          <w:color w:val="auto"/>
        </w:rPr>
      </w:pPr>
    </w:p>
    <w:p>
      <w:pPr>
        <w:ind w:left="-8" w:right="120" w:firstLine="464"/>
        <w:spacing w:after="0" w:line="255" w:lineRule="auto"/>
        <w:tabs>
          <w:tab w:leader="none" w:pos="828"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Anti-Money Laundering Laws. </w:t>
      </w:r>
      <w:r>
        <w:rPr>
          <w:rFonts w:ascii="Times New Roman" w:cs="Times New Roman" w:eastAsia="Times New Roman" w:hAnsi="Times New Roman"/>
          <w:sz w:val="18"/>
          <w:szCs w:val="18"/>
          <w:color w:val="auto"/>
        </w:rPr>
        <w:t>The operations of the Company and its Subsidiaries and Affiliated Entities are and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where the Company and its Subsidiaries and Affiliated Entities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w:t>
      </w:r>
      <w:r>
        <w:rPr>
          <w:rFonts w:ascii="Times New Roman" w:cs="Times New Roman" w:eastAsia="Times New Roman" w:hAnsi="Times New Roman"/>
          <w:sz w:val="18"/>
          <w:szCs w:val="18"/>
          <w:color w:val="auto"/>
        </w:rPr>
        <w:t>s”), and no action, suit or proceeding by or before any court or governmental agency, authority or body or any arbitrator involving the Company or any of its Subsidiaries and Affiliated Entities with respect to the Anti-Money Laundering Laws is pending or, to the best knowledge of the Company, threatened.</w:t>
      </w:r>
    </w:p>
    <w:p>
      <w:pPr>
        <w:spacing w:after="0" w:line="185" w:lineRule="exact"/>
        <w:rPr>
          <w:sz w:val="20"/>
          <w:szCs w:val="20"/>
          <w:color w:val="auto"/>
        </w:rPr>
      </w:pPr>
    </w:p>
    <w:p>
      <w:pPr>
        <w:ind w:left="-8" w:right="20" w:firstLine="464"/>
        <w:spacing w:after="0" w:line="267" w:lineRule="auto"/>
        <w:tabs>
          <w:tab w:leader="none" w:pos="908"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OFAC</w:t>
      </w:r>
      <w:r>
        <w:rPr>
          <w:rFonts w:ascii="Times New Roman" w:cs="Times New Roman" w:eastAsia="Times New Roman" w:hAnsi="Times New Roman"/>
          <w:sz w:val="18"/>
          <w:szCs w:val="18"/>
          <w:color w:val="auto"/>
        </w:rPr>
        <w:t>. (i) Neither the Company nor any of its Subsidiaries and Affiliated Entities, nor any director, officer or employee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to the knowledge of the Company, any agent, affiliate or representative of the Company or any of its Subsidiaries and Affiliated Entities,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80" w:lineRule="exact"/>
        <w:rPr>
          <w:rFonts w:ascii="Times New Roman" w:cs="Times New Roman" w:eastAsia="Times New Roman" w:hAnsi="Times New Roman"/>
          <w:sz w:val="18"/>
          <w:szCs w:val="18"/>
          <w:color w:val="auto"/>
        </w:rPr>
      </w:pPr>
    </w:p>
    <w:p>
      <w:pPr>
        <w:ind w:left="1912" w:right="300" w:hanging="440"/>
        <w:spacing w:after="0" w:line="266" w:lineRule="auto"/>
        <w:tabs>
          <w:tab w:leader="none" w:pos="1912"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Her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w:t>
      </w:r>
    </w:p>
    <w:p>
      <w:pPr>
        <w:spacing w:after="0" w:line="81" w:lineRule="exact"/>
        <w:rPr>
          <w:rFonts w:ascii="Times New Roman" w:cs="Times New Roman" w:eastAsia="Times New Roman" w:hAnsi="Times New Roman"/>
          <w:sz w:val="18"/>
          <w:szCs w:val="18"/>
          <w:color w:val="auto"/>
        </w:rPr>
      </w:pPr>
    </w:p>
    <w:p>
      <w:pPr>
        <w:ind w:left="1912" w:right="40" w:hanging="440"/>
        <w:spacing w:after="0" w:line="282" w:lineRule="auto"/>
        <w:tabs>
          <w:tab w:leader="none" w:pos="1912"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Sudan and Syria).</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12"/>
          </w:cols>
          <w:pgMar w:left="248" w:top="267" w:right="239" w:bottom="1440" w:gutter="0" w:footer="0" w:header="0"/>
        </w:sectPr>
      </w:pPr>
    </w:p>
    <w:bookmarkStart w:id="398" w:name="page399"/>
    <w:bookmarkEnd w:id="398"/>
    <w:p>
      <w:pPr>
        <w:ind w:left="1460" w:right="160" w:hanging="567"/>
        <w:spacing w:after="0" w:line="266" w:lineRule="auto"/>
        <w:tabs>
          <w:tab w:leader="none" w:pos="146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represents and covenants that the Company and its Subsidiaries and Affiliated Entities will not, directly or indirectly, use the proceeds of the offering, or lend, contribute or otherwise make available such proceeds to any subsidiary, joint venture partner or other Person:</w:t>
      </w:r>
    </w:p>
    <w:p>
      <w:pPr>
        <w:spacing w:after="0" w:line="81" w:lineRule="exact"/>
        <w:rPr>
          <w:rFonts w:ascii="Times New Roman" w:cs="Times New Roman" w:eastAsia="Times New Roman" w:hAnsi="Times New Roman"/>
          <w:sz w:val="18"/>
          <w:szCs w:val="18"/>
          <w:color w:val="auto"/>
        </w:rPr>
      </w:pPr>
    </w:p>
    <w:p>
      <w:pPr>
        <w:ind w:left="1900" w:hanging="440"/>
        <w:spacing w:after="0" w:line="282" w:lineRule="auto"/>
        <w:tabs>
          <w:tab w:leader="none" w:pos="1900" w:val="left"/>
        </w:tabs>
        <w:numPr>
          <w:ilvl w:val="2"/>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or whose government is, the subject of Sanctions; or</w:t>
      </w:r>
    </w:p>
    <w:p>
      <w:pPr>
        <w:spacing w:after="0" w:line="67" w:lineRule="exact"/>
        <w:rPr>
          <w:rFonts w:ascii="Times New Roman" w:cs="Times New Roman" w:eastAsia="Times New Roman" w:hAnsi="Times New Roman"/>
          <w:sz w:val="18"/>
          <w:szCs w:val="18"/>
          <w:color w:val="auto"/>
        </w:rPr>
      </w:pPr>
    </w:p>
    <w:p>
      <w:pPr>
        <w:ind w:left="1900" w:right="240" w:hanging="440"/>
        <w:spacing w:after="0" w:line="282" w:lineRule="auto"/>
        <w:tabs>
          <w:tab w:leader="none" w:pos="1900" w:val="left"/>
        </w:tabs>
        <w:numPr>
          <w:ilvl w:val="2"/>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67" w:lineRule="exact"/>
        <w:rPr>
          <w:rFonts w:ascii="Times New Roman" w:cs="Times New Roman" w:eastAsia="Times New Roman" w:hAnsi="Times New Roman"/>
          <w:sz w:val="18"/>
          <w:szCs w:val="18"/>
          <w:color w:val="auto"/>
        </w:rPr>
      </w:pPr>
    </w:p>
    <w:p>
      <w:pPr>
        <w:ind w:left="1460" w:right="20" w:hanging="567"/>
        <w:spacing w:after="0" w:line="266" w:lineRule="auto"/>
        <w:tabs>
          <w:tab w:leader="none" w:pos="146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covenants that, for the past five years, the Company and its Subsidiaries and Affiliated Entities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4" w:lineRule="exact"/>
        <w:rPr>
          <w:rFonts w:ascii="Times New Roman" w:cs="Times New Roman" w:eastAsia="Times New Roman" w:hAnsi="Times New Roman"/>
          <w:sz w:val="18"/>
          <w:szCs w:val="18"/>
          <w:color w:val="auto"/>
        </w:rPr>
      </w:pPr>
    </w:p>
    <w:p>
      <w:pPr>
        <w:ind w:left="-20" w:right="280" w:firstLine="464"/>
        <w:spacing w:after="0" w:line="267" w:lineRule="auto"/>
        <w:tabs>
          <w:tab w:leader="none" w:pos="91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The Time of Sale Prospectus and the Prospectus fairly and accurately describe all material trends, demands,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events, uncertainties and the potential effects thereof known to the Company, and that the Company believes would materially affect its liquidity and are reasonably likely to occur.</w:t>
      </w:r>
    </w:p>
    <w:p>
      <w:pPr>
        <w:spacing w:after="0" w:line="173" w:lineRule="exact"/>
        <w:rPr>
          <w:rFonts w:ascii="Times New Roman" w:cs="Times New Roman" w:eastAsia="Times New Roman" w:hAnsi="Times New Roman"/>
          <w:sz w:val="18"/>
          <w:szCs w:val="18"/>
          <w:color w:val="auto"/>
        </w:rPr>
      </w:pPr>
    </w:p>
    <w:p>
      <w:pPr>
        <w:ind w:left="-20" w:right="140" w:firstLine="464"/>
        <w:spacing w:after="0" w:line="257" w:lineRule="auto"/>
        <w:tabs>
          <w:tab w:leader="none" w:pos="89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Each of the Company and its Subsidiaries and Affiliated Entities has good and marketable title to all personal property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them which is material to the business of the Company and its Subsidiaries and Affiliated Entities, in each case free and clear of all liens, encumbrances and defects except such as do not materially affect the value of such property and do not interfere with the use made and proposed to be made of such property by the Company and its Subsidiaries and Affiliated Entities; and any real property and buildings held under lease by the Company and its Subsidiaries and Affiliated Entities are held by them under valid, subsisting and enforceable leases with such exceptions as are not material and do not interfere with the use made and proposed to be made of such property and buildings by the Company and its Subsidiaries and Affiliated Entities.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60" w:top="269" w:right="259" w:bottom="1440" w:gutter="0" w:footer="0" w:header="0"/>
        </w:sectPr>
      </w:pPr>
    </w:p>
    <w:bookmarkStart w:id="399" w:name="page400"/>
    <w:bookmarkEnd w:id="399"/>
    <w:p>
      <w:pPr>
        <w:ind w:left="-8" w:right="20" w:firstLine="464"/>
        <w:spacing w:after="0" w:line="252" w:lineRule="auto"/>
        <w:tabs>
          <w:tab w:leader="none" w:pos="928"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Possession of Intellectual Property. </w:t>
      </w:r>
      <w:r>
        <w:rPr>
          <w:rFonts w:ascii="Times New Roman" w:cs="Times New Roman" w:eastAsia="Times New Roman" w:hAnsi="Times New Roman"/>
          <w:sz w:val="18"/>
          <w:szCs w:val="18"/>
          <w:color w:val="auto"/>
        </w:rPr>
        <w:t>Except as disclosed in the Time of Sale Prospectus and the Prospectus, the Company and its Subsidiaries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Entities own, possess or can acquire on reasonable terms sufficient trademarks, trade names, patent rights, copyrights, domain names, licenses, approvals, trade secrets, inventions, technology, know-how and other intellectual property and similar rights, including registrations and applications for registration thereof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or material to the conduct of the business now conducted or proposed in the Registration Statement, the Time of Sale Prospectus and the Prospectus to be conducted by them, and the expected expiration of any such Intellectual Property Rights would not, individually or in the aggregate, have a Material Adverse Effect. Except as disclosed in the Time of Sale Prospectus and the Prospectus and except as would not, individually or in the aggregate, have a Material Adverse Effect, (i) there are no rights of third parties to any of the Intellectual Property Rights owned by the Company or its Subsidiaries and Affiliated Entities; (ii) there is no material infringement, misappropriation breach, default or other violation, or the occurrence of any event that with notice or the passage of time would constitute any of the foregoing, by the Company or its Subsidiaries and Affiliated Entities or third parties of any of the Intellectual Property Rights of the Company or its Subsidiaries and Affiliated Entities;</w:t>
      </w:r>
    </w:p>
    <w:p>
      <w:pPr>
        <w:spacing w:after="0" w:line="7" w:lineRule="exact"/>
        <w:rPr>
          <w:rFonts w:ascii="Times New Roman" w:cs="Times New Roman" w:eastAsia="Times New Roman" w:hAnsi="Times New Roman"/>
          <w:sz w:val="18"/>
          <w:szCs w:val="18"/>
          <w:color w:val="auto"/>
        </w:rPr>
      </w:pPr>
    </w:p>
    <w:p>
      <w:pPr>
        <w:ind w:left="-8" w:firstLine="8"/>
        <w:spacing w:after="0" w:line="251" w:lineRule="auto"/>
        <w:tabs>
          <w:tab w:leader="none" w:pos="307"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threatened action, suit, proceeding or claim by others challenging the Company’s or the Subsidiaries’ and Affiliated Entities’ rights in or to, or the violation of any of the terms of,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(v) there is no pending or threatened action, suit, proceeding or claim by others that the Company or any subsidiary infringes, misappropriates or otherwise violates or conflicts with any Intellectual Property Rights or other proprietary rights of others and the Company is unaware of any other fact which would form a reasonable basis for any such claim; and (vi) none of the Intellectual Property Rights used by the Company or its Subsidiaries and Affiliated Entities in their businesses has been obtained or is being used by the Company or its Subsidiaries and Affiliated Entities in violation of any contractual obligation binding on the Company or its Subsidiaries and Affiliated Entities in violation of the rights of any persons.</w:t>
      </w:r>
    </w:p>
    <w:p>
      <w:pPr>
        <w:spacing w:after="0" w:line="192" w:lineRule="exact"/>
        <w:rPr>
          <w:rFonts w:ascii="Times New Roman" w:cs="Times New Roman" w:eastAsia="Times New Roman" w:hAnsi="Times New Roman"/>
          <w:sz w:val="18"/>
          <w:szCs w:val="18"/>
          <w:color w:val="auto"/>
        </w:rPr>
      </w:pPr>
    </w:p>
    <w:p>
      <w:pPr>
        <w:ind w:left="-8" w:right="340" w:firstLine="464"/>
        <w:spacing w:after="0" w:line="261" w:lineRule="auto"/>
        <w:tabs>
          <w:tab w:leader="none" w:pos="908"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or Consolidation. </w:t>
      </w:r>
      <w:r>
        <w:rPr>
          <w:rFonts w:ascii="Times New Roman" w:cs="Times New Roman" w:eastAsia="Times New Roman" w:hAnsi="Times New Roman"/>
          <w:sz w:val="18"/>
          <w:szCs w:val="18"/>
          <w:color w:val="auto"/>
        </w:rPr>
        <w:t>Neither the Company nor any of its Subsidiaries or Affiliated Entities is a party to any effective memorandum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letter of intent, definitive agreement or any similar agreements with respect to a merger or consolidation or an acquisition or disposition of assets, technologies, business units or businesses which is required to be described in the Registration Statement, the Time of Sale Prospectus and the Prospectus and which is not so described.</w:t>
      </w:r>
    </w:p>
    <w:p>
      <w:pPr>
        <w:spacing w:after="0" w:line="180" w:lineRule="exact"/>
        <w:rPr>
          <w:rFonts w:ascii="Times New Roman" w:cs="Times New Roman" w:eastAsia="Times New Roman" w:hAnsi="Times New Roman"/>
          <w:sz w:val="18"/>
          <w:szCs w:val="18"/>
          <w:color w:val="auto"/>
        </w:rPr>
      </w:pPr>
    </w:p>
    <w:p>
      <w:pPr>
        <w:ind w:left="-8" w:right="280" w:firstLine="464"/>
        <w:spacing w:after="0" w:line="261" w:lineRule="auto"/>
        <w:tabs>
          <w:tab w:leader="none" w:pos="865"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Contracts. </w:t>
      </w:r>
      <w:r>
        <w:rPr>
          <w:rFonts w:ascii="Times New Roman" w:cs="Times New Roman" w:eastAsia="Times New Roman" w:hAnsi="Times New Roman"/>
          <w:sz w:val="18"/>
          <w:szCs w:val="18"/>
          <w:color w:val="auto"/>
        </w:rPr>
        <w:t>Neither the Company nor any of its Subsidiaries or Affiliated Entities has sent or received any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termination of, or intent not to renew, any of the material contracts or agreements referred to or described in the Time of Sale Prospectus and the Prospectus or filed as an exhibit to the Registration Statement, and no such termination or non-renewal has been threatened by the Company or any of its Subsidiaries or Affiliated Entities, or to the best knowledge of the Company after due inquiry, by any other party to any such contract or agreement.</w:t>
      </w:r>
    </w:p>
    <w:p>
      <w:pPr>
        <w:spacing w:after="0" w:line="182" w:lineRule="exact"/>
        <w:rPr>
          <w:rFonts w:ascii="Times New Roman" w:cs="Times New Roman" w:eastAsia="Times New Roman" w:hAnsi="Times New Roman"/>
          <w:sz w:val="18"/>
          <w:szCs w:val="18"/>
          <w:color w:val="auto"/>
        </w:rPr>
      </w:pPr>
    </w:p>
    <w:p>
      <w:pPr>
        <w:ind w:left="-8" w:firstLine="464"/>
        <w:spacing w:after="0" w:line="256" w:lineRule="auto"/>
        <w:tabs>
          <w:tab w:leader="none" w:pos="918"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Labor Dispute; Compliance with Labor Law. No material labor dispute with the employees or third-party contractors of the Company or any of its Subsidiaries and Affiliated Entities exists, or, to the best knowledge of the Company, is imminent; and the Company is not aware of any existing, threatened or imminent labor disturbance by the employees of any of the principal suppliers, manufacturers or contractors of the Company and its Subsidiaries and Affiliated Entities that could have a Material Adverse Effect. The Company and its Subsidiaries and Affiliated Entities are and have been in all times in material compliance with applicable labor laws and regulations in all material respects,, and no governmental investigation or proceedings with respect to labor law compliance exists, or to the best knowledge of the Company, is imminent.</w:t>
      </w:r>
    </w:p>
    <w:p>
      <w:pPr>
        <w:spacing w:after="0" w:line="187" w:lineRule="exact"/>
        <w:rPr>
          <w:rFonts w:ascii="Times New Roman" w:cs="Times New Roman" w:eastAsia="Times New Roman" w:hAnsi="Times New Roman"/>
          <w:sz w:val="18"/>
          <w:szCs w:val="18"/>
          <w:color w:val="auto"/>
        </w:rPr>
      </w:pPr>
    </w:p>
    <w:p>
      <w:pPr>
        <w:ind w:left="-8" w:right="240" w:firstLine="464"/>
        <w:spacing w:after="0" w:line="256" w:lineRule="auto"/>
        <w:tabs>
          <w:tab w:leader="none" w:pos="928"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Except as disclosed in the Time of Sale Prospectus and the Prospectus, each of the Company and its Subsidiaries and Affiliated Entities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and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12"/>
          </w:cols>
          <w:pgMar w:left="248" w:top="268" w:right="239" w:bottom="1440" w:gutter="0" w:footer="0" w:header="0"/>
        </w:sectPr>
      </w:pPr>
    </w:p>
    <w:bookmarkStart w:id="400" w:name="page401"/>
    <w:bookmarkEnd w:id="400"/>
    <w:p>
      <w:pPr>
        <w:ind w:firstLine="464"/>
        <w:spacing w:after="0" w:line="254" w:lineRule="auto"/>
        <w:tabs>
          <w:tab w:leader="none" w:pos="85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Possession of Licenses and Permits. </w:t>
      </w:r>
      <w:r>
        <w:rPr>
          <w:rFonts w:ascii="Times New Roman" w:cs="Times New Roman" w:eastAsia="Times New Roman" w:hAnsi="Times New Roman"/>
          <w:sz w:val="18"/>
          <w:szCs w:val="18"/>
          <w:color w:val="auto"/>
        </w:rPr>
        <w:t>Except as disclosed in the Time of Sale Prospectus and the Prospectus, each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Affiliated Entities possesses all licenses, certificates, authorizations, declarations and permits issued by, and has made all necessary reports to and filings with, the appropriate national, local or foreign regulatory authorities having jurisdiction over the Company and each of its Subsidiaries and Affiliated Entities and their respective assets and properties, for the Company and each of its Subsidiaries and Affiliated Entities to conduct their respective businesses; each of the Company and its Subsidiaries and Affiliated Entities is in material compliance with the terms and conditions of all such licenses, certificates, authorizations and permits; such licenses, certificates, authorizations and permits are valid and in full force and effect and contain no materially burdensome restrictions or conditions not described in the Time of Sale Prospectus or the Prospectus; neither the Company nor any of its Subsidiaries and Affiliated Entities has received any notice of proceedings relating to the revocation or modification of any such license, certificate, authorization or permit; neither the Company nor any of its Subsidiaries has any reason to believe that any such license, certificate, authorization or permit will not be renewed in the ordinary course, except for failure to renew such license, certificate, authorization or permit would not cause a Material Adverse Effect.</w:t>
      </w:r>
    </w:p>
    <w:p>
      <w:pPr>
        <w:spacing w:after="0" w:line="186" w:lineRule="exact"/>
        <w:rPr>
          <w:rFonts w:ascii="Times New Roman" w:cs="Times New Roman" w:eastAsia="Times New Roman" w:hAnsi="Times New Roman"/>
          <w:sz w:val="18"/>
          <w:szCs w:val="18"/>
          <w:color w:val="auto"/>
        </w:rPr>
      </w:pPr>
    </w:p>
    <w:p>
      <w:pPr>
        <w:ind w:right="40" w:firstLine="464"/>
        <w:spacing w:after="0" w:line="290" w:lineRule="auto"/>
        <w:tabs>
          <w:tab w:leader="none" w:pos="856" w:val="left"/>
        </w:tabs>
        <w:numPr>
          <w:ilvl w:val="0"/>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Related Party Transactions. </w:t>
      </w:r>
      <w:r>
        <w:rPr>
          <w:rFonts w:ascii="Times New Roman" w:cs="Times New Roman" w:eastAsia="Times New Roman" w:hAnsi="Times New Roman"/>
          <w:sz w:val="17"/>
          <w:szCs w:val="17"/>
          <w:color w:val="auto"/>
        </w:rPr>
        <w:t>No material relationships or material transactions, direct or indirect that is required to be disclosed in the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exist between any of the Company or its Subsidiaries and Affiliated Entities on the one hand and their respective shareholders, affiliates, officers and directors or any affiliates or family members of such persons on the other hand, except as described in the Time of Sale Prospectus and the Prospectus.</w:t>
      </w:r>
    </w:p>
    <w:p>
      <w:pPr>
        <w:spacing w:after="0" w:line="155" w:lineRule="exact"/>
        <w:rPr>
          <w:rFonts w:ascii="Times New Roman" w:cs="Times New Roman" w:eastAsia="Times New Roman" w:hAnsi="Times New Roman"/>
          <w:sz w:val="17"/>
          <w:szCs w:val="17"/>
          <w:color w:val="auto"/>
        </w:rPr>
      </w:pPr>
    </w:p>
    <w:p>
      <w:pPr>
        <w:ind w:right="120" w:firstLine="464"/>
        <w:spacing w:after="0" w:line="267" w:lineRule="auto"/>
        <w:tabs>
          <w:tab w:leader="none" w:pos="93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PFIC Status</w:t>
      </w:r>
      <w:r>
        <w:rPr>
          <w:rFonts w:ascii="Times New Roman" w:cs="Times New Roman" w:eastAsia="Times New Roman" w:hAnsi="Times New Roman"/>
          <w:sz w:val="18"/>
          <w:szCs w:val="18"/>
          <w:color w:val="auto"/>
        </w:rPr>
        <w:t>. Based on the Company’s current and expected income and assets and the market value of its American Depositary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expect to be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within the meaning of Section 1297 of the United States Internal Revenue Code of 1986, as amended, for its current taxable year or in the foreseeable future.</w:t>
      </w:r>
    </w:p>
    <w:p>
      <w:pPr>
        <w:spacing w:after="0" w:line="173"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Transaction or Other Taxes</w:t>
      </w:r>
      <w:r>
        <w:rPr>
          <w:rFonts w:ascii="Times New Roman" w:cs="Times New Roman" w:eastAsia="Times New Roman" w:hAnsi="Times New Roman"/>
          <w:sz w:val="18"/>
          <w:szCs w:val="18"/>
          <w:color w:val="auto"/>
        </w:rPr>
        <w:t>. Except as disclosed in the Time of Sale Prospectus and the Prospectus, no transaction, stamp, capital,</w:t>
      </w:r>
    </w:p>
    <w:p>
      <w:pPr>
        <w:spacing w:after="0" w:line="29" w:lineRule="exact"/>
        <w:rPr>
          <w:rFonts w:ascii="Times New Roman" w:cs="Times New Roman" w:eastAsia="Times New Roman" w:hAnsi="Times New Roman"/>
          <w:sz w:val="18"/>
          <w:szCs w:val="18"/>
          <w:color w:val="auto"/>
        </w:rPr>
      </w:pPr>
    </w:p>
    <w:p>
      <w:pPr>
        <w:ind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issuance, registration, transaction, transfer, withholding, income or other taxes or duties are payable by or on behalf of the Underwriters, or the Company, Subsidiaries or Affiliated Entities, in each case, to the government of the PRC, Hong Kong or Cayman Islands or any political subdivision or taxing authority thereof in connection with (i) the creation, allotment, issuance, sale and delivery of the Shares by the Company or the deposit of the Shares with the Depositary and the Custodian, as defined in the Deposit Agreement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the issuance of the American Depositary Shares by the Depositary, and the delivery of the American Depositary Shares to or for the account of the Underwriters, (ii) the purchase from the Company of the Shares and the initial sale and delivery of the American Depositary Shares representing the Shares to purchasers thereof by the Underwriters, or (iii) the execution, delivery, performance or enforcement of this Agreement or the Deposit Agreement; except that Cayman Islands and PRC stamp duty may be payable in the event that this Agreement or the Deposit Agreement is executed in or brought within the jurisdiction of the Cayman Islands or the PRC, as applicable.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68" w:right="239" w:bottom="1440" w:gutter="0" w:footer="0" w:header="0"/>
        </w:sectPr>
      </w:pPr>
    </w:p>
    <w:bookmarkStart w:id="401" w:name="page402"/>
    <w:bookmarkEnd w:id="401"/>
    <w:p>
      <w:pPr>
        <w:jc w:val="both"/>
        <w:ind w:left="-8" w:right="100" w:firstLine="464"/>
        <w:spacing w:after="0" w:line="267" w:lineRule="auto"/>
        <w:tabs>
          <w:tab w:leader="none" w:pos="1028"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Accountants</w:t>
      </w:r>
      <w:r>
        <w:rPr>
          <w:rFonts w:ascii="Times New Roman" w:cs="Times New Roman" w:eastAsia="Times New Roman" w:hAnsi="Times New Roman"/>
          <w:sz w:val="18"/>
          <w:szCs w:val="18"/>
          <w:color w:val="auto"/>
        </w:rPr>
        <w:t>. PricewaterhouseCoopers LLP, whose reports on the consolidated financial statements of the Company are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Registration Statement, the Time of Sale Prospectus and the Prospectus, are independent registered public accountants with respect to the Company as required by the Securities Act and by the rules of the Public Company Accounting Oversight Board.</w:t>
      </w:r>
    </w:p>
    <w:p>
      <w:pPr>
        <w:spacing w:after="0" w:line="173" w:lineRule="exact"/>
        <w:rPr>
          <w:rFonts w:ascii="Times New Roman" w:cs="Times New Roman" w:eastAsia="Times New Roman" w:hAnsi="Times New Roman"/>
          <w:sz w:val="18"/>
          <w:szCs w:val="18"/>
          <w:color w:val="auto"/>
        </w:rPr>
      </w:pPr>
    </w:p>
    <w:p>
      <w:pPr>
        <w:ind w:left="-8" w:right="20" w:firstLine="464"/>
        <w:spacing w:after="0" w:line="253" w:lineRule="auto"/>
        <w:tabs>
          <w:tab w:leader="none" w:pos="928"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included in the Registration Statement, the Time of Sale Prospectus and the Prospectus,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related notes and schedules thereto, present fairly the consolidated financial position of the Company and the Subsidiaries and Affiliated Entities as of the dates indicated and the consolidated results of operations, cash flows and changes in shareholders’ equity of the Company for the periods specified and have been prepared in compliance as to form in all material respects with the applicable accounting requirements of the Securities Act and the related rules and regulations adopted by the Commission and in conformity with United States generally accepted accounting principles applied on a consistent basis during the periods involved; the other financial data contained in the Registration Statement, the Time of Sale Prospectus and the Prospectus are accurately and fairly presented and prepared on a basis consistent with the financial statements and books and records of the Company, and all disclosures regarding “Non-GAAP financial measures” (as such term is defined in the rules and regulations of the Commission) comply to the extent applicable with Item 10 of Regulation S-K of the Securities Act; there are no financial statements (historical or pro forma) that are required to be included in the Registration Statement, the Time of Sale Prospectus or the Prospectus that are not included as required; and the Company and the Subsidiaries and Affiliated Entities do not have any material liabilities or obligations, direct or contingent (including any off-balance sheet obligations) not described in the Registration Statement, the Time of Sale Prospectus and the Prospectus.</w:t>
      </w:r>
    </w:p>
    <w:p>
      <w:pPr>
        <w:spacing w:after="0" w:line="190" w:lineRule="exact"/>
        <w:rPr>
          <w:rFonts w:ascii="Times New Roman" w:cs="Times New Roman" w:eastAsia="Times New Roman" w:hAnsi="Times New Roman"/>
          <w:sz w:val="18"/>
          <w:szCs w:val="18"/>
          <w:color w:val="auto"/>
        </w:rPr>
      </w:pPr>
    </w:p>
    <w:p>
      <w:pPr>
        <w:jc w:val="both"/>
        <w:ind w:left="-8" w:firstLine="464"/>
        <w:spacing w:after="0" w:line="258" w:lineRule="auto"/>
        <w:tabs>
          <w:tab w:leader="none" w:pos="928"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Policies</w:t>
      </w:r>
      <w:r>
        <w:rPr>
          <w:rFonts w:ascii="Times New Roman" w:cs="Times New Roman" w:eastAsia="Times New Roman" w:hAnsi="Times New Roman"/>
          <w:sz w:val="18"/>
          <w:szCs w:val="18"/>
          <w:color w:val="auto"/>
        </w:rPr>
        <w:t>. The section entitled “Management’s Discussion and Analysis of Financial Condition and Results of Operations”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Prospectus and the Prospectus accurately and fairly describes (i) the accounting policies that the Company believes are the most important in the portrayal of the Company’s financial condition and results of operations and that require management’s most difficult subjective or complex judgment;</w:t>
      </w:r>
    </w:p>
    <w:p>
      <w:pPr>
        <w:spacing w:after="0" w:line="1" w:lineRule="exact"/>
        <w:rPr>
          <w:rFonts w:ascii="Times New Roman" w:cs="Times New Roman" w:eastAsia="Times New Roman" w:hAnsi="Times New Roman"/>
          <w:sz w:val="18"/>
          <w:szCs w:val="18"/>
          <w:color w:val="auto"/>
        </w:rPr>
      </w:pPr>
    </w:p>
    <w:p>
      <w:pPr>
        <w:ind w:left="-8" w:firstLine="8"/>
        <w:spacing w:after="0" w:line="252" w:lineRule="auto"/>
        <w:tabs>
          <w:tab w:leader="none" w:pos="25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judgments and uncertainties affecting the application of critical accounting policies and estimates; (iii) the likelihood that materially different amounts would be reported under different conditions or using different assumptions and an explanation thereof; (iv) all material trends, demands, commitments and events known to the Company, and uncertainties, and the potential effects thereof, that the Company believes would materially affect its liquidity and are reasonably likely to occur; and (v) all material off-balance sheet commitments and arrangements of the Company and its Subsidiaries and Affiliated Entities, if any. The Company’s directors and management have reviewed and agreed with the selection, application and disclosure of the Company’s critical accounting policies as described in the Registration Statement, the Time of Sale Prospectus and the Prospectus and have consulted with its independent accountants with regards to such disclosure.</w:t>
      </w:r>
    </w:p>
    <w:p>
      <w:pPr>
        <w:spacing w:after="0" w:line="1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72"/>
          </w:cols>
          <w:pgMar w:left="248" w:top="268" w:right="279" w:bottom="1440" w:gutter="0" w:footer="0" w:header="0"/>
        </w:sectPr>
      </w:pPr>
    </w:p>
    <w:bookmarkStart w:id="402" w:name="page403"/>
    <w:bookmarkEnd w:id="402"/>
    <w:p>
      <w:pPr>
        <w:ind w:left="-8" w:right="20" w:firstLine="464"/>
        <w:spacing w:after="0" w:line="268" w:lineRule="auto"/>
        <w:tabs>
          <w:tab w:leader="none" w:pos="928"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Internal Controls and Compliance with the Sarbanes-Oxley Act. </w:t>
      </w:r>
      <w:r>
        <w:rPr>
          <w:rFonts w:ascii="Times New Roman" w:cs="Times New Roman" w:eastAsia="Times New Roman" w:hAnsi="Times New Roman"/>
          <w:sz w:val="17"/>
          <w:szCs w:val="17"/>
          <w:color w:val="auto"/>
        </w:rPr>
        <w:t>The Company, its Subsidiaries and Affiliated Entities and the Company’s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are in compliance with the Sarbanes-Oxley Act of 2002 (the “</w:t>
      </w:r>
      <w:r>
        <w:rPr>
          <w:rFonts w:ascii="Times New Roman" w:cs="Times New Roman" w:eastAsia="Times New Roman" w:hAnsi="Times New Roman"/>
          <w:sz w:val="17"/>
          <w:szCs w:val="17"/>
          <w:b w:val="1"/>
          <w:bCs w:val="1"/>
          <w:color w:val="auto"/>
        </w:rPr>
        <w:t>Sarbanes-Oxley Act</w:t>
      </w:r>
      <w:r>
        <w:rPr>
          <w:rFonts w:ascii="Times New Roman" w:cs="Times New Roman" w:eastAsia="Times New Roman" w:hAnsi="Times New Roman"/>
          <w:sz w:val="17"/>
          <w:szCs w:val="17"/>
          <w:color w:val="auto"/>
        </w:rPr>
        <w:t>”) and all applicable rules of the NASDAQ Global Market. Except as disclosed in the Time of Sale Prospectus and the Prospectus,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17"/>
          <w:szCs w:val="17"/>
          <w:b w:val="1"/>
          <w:bCs w:val="1"/>
          <w:color w:val="auto"/>
        </w:rPr>
        <w:t>Internal Controls</w:t>
      </w:r>
      <w:r>
        <w:rPr>
          <w:rFonts w:ascii="Times New Roman" w:cs="Times New Roman" w:eastAsia="Times New Roman" w:hAnsi="Times New Roman"/>
          <w:sz w:val="17"/>
          <w:szCs w:val="17"/>
          <w:color w:val="auto"/>
        </w:rPr>
        <w:t>”) that comply with all applicable laws and regulations including without limitation the Securities Act, the Exchange Act, the Sarbanes-Oxley Act, the rules and regulations of the Commission, the rules of the NASDAQ Global Market and are sufficient to provide reasonable assurances that (i) transactions are executed in accordance with management’s general or specific authorizations,</w:t>
      </w:r>
    </w:p>
    <w:p>
      <w:pPr>
        <w:spacing w:after="0" w:line="4" w:lineRule="exact"/>
        <w:rPr>
          <w:rFonts w:ascii="Times New Roman" w:cs="Times New Roman" w:eastAsia="Times New Roman" w:hAnsi="Times New Roman"/>
          <w:sz w:val="17"/>
          <w:szCs w:val="17"/>
          <w:color w:val="auto"/>
        </w:rPr>
      </w:pPr>
    </w:p>
    <w:p>
      <w:pPr>
        <w:ind w:left="-8" w:right="40" w:firstLine="8"/>
        <w:spacing w:after="0" w:line="251" w:lineRule="auto"/>
        <w:tabs>
          <w:tab w:leader="none" w:pos="257"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Internal Controls are, or upon consummation of the offering of the Shares will be, overseen by the Audit Committee (the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in accordance with the rules of the NASDAQ Global Market. Except as disclosed in the Time of Sale Prospectus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the Company has not publicly disclosed or reported to the Audit Committee or the Board, and within the next 135 days the Company does not reasonably expect to publicly disclose or report to the Audit Committee or the Board, a significant deficiency, material weakness, change in Internal Controls or fraud involving management or other employees who have a significant role in Internal Controls (each, an “</w:t>
      </w:r>
      <w:r>
        <w:rPr>
          <w:rFonts w:ascii="Times New Roman" w:cs="Times New Roman" w:eastAsia="Times New Roman" w:hAnsi="Times New Roman"/>
          <w:sz w:val="18"/>
          <w:szCs w:val="18"/>
          <w:b w:val="1"/>
          <w:bCs w:val="1"/>
          <w:color w:val="auto"/>
        </w:rPr>
        <w:t>Internal Control Event</w:t>
      </w:r>
      <w:r>
        <w:rPr>
          <w:rFonts w:ascii="Times New Roman" w:cs="Times New Roman" w:eastAsia="Times New Roman" w:hAnsi="Times New Roman"/>
          <w:sz w:val="18"/>
          <w:szCs w:val="18"/>
          <w:color w:val="auto"/>
        </w:rPr>
        <w:t>”), any violation of, or failure to comply with, such laws and regulations, or any matter which, if determined adversely, would have a Material Adverse Effect. Each of the Company’s independent directors meets the criteria for “independence” under the Sarbanes-Oxley Act, the rules and regulations of the Commission and the rules of NASDAQ Global Market.</w:t>
      </w:r>
    </w:p>
    <w:p>
      <w:pPr>
        <w:spacing w:after="0" w:line="191" w:lineRule="exact"/>
        <w:rPr>
          <w:rFonts w:ascii="Times New Roman" w:cs="Times New Roman" w:eastAsia="Times New Roman" w:hAnsi="Times New Roman"/>
          <w:sz w:val="18"/>
          <w:szCs w:val="18"/>
          <w:color w:val="auto"/>
        </w:rPr>
      </w:pPr>
    </w:p>
    <w:p>
      <w:pPr>
        <w:ind w:left="-8" w:firstLine="464"/>
        <w:spacing w:after="0" w:line="259" w:lineRule="auto"/>
        <w:tabs>
          <w:tab w:leader="none" w:pos="928"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Accounting Issues. </w:t>
      </w:r>
      <w:r>
        <w:rPr>
          <w:rFonts w:ascii="Times New Roman" w:cs="Times New Roman" w:eastAsia="Times New Roman" w:hAnsi="Times New Roman"/>
          <w:sz w:val="18"/>
          <w:szCs w:val="18"/>
          <w:color w:val="auto"/>
        </w:rPr>
        <w:t>The Company has not received any notice, oral or written, from the Board stating that it is reviewing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investigating, and the Company’s independent auditors have not recommended that the Board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three fiscal years; or (iii) any Internal Control Event.</w:t>
      </w:r>
    </w:p>
    <w:p>
      <w:pPr>
        <w:spacing w:after="0" w:line="179" w:lineRule="exact"/>
        <w:rPr>
          <w:rFonts w:ascii="Times New Roman" w:cs="Times New Roman" w:eastAsia="Times New Roman" w:hAnsi="Times New Roman"/>
          <w:sz w:val="18"/>
          <w:szCs w:val="18"/>
          <w:color w:val="auto"/>
        </w:rPr>
      </w:pPr>
    </w:p>
    <w:p>
      <w:pPr>
        <w:jc w:val="both"/>
        <w:ind w:left="-8" w:right="60" w:firstLine="464"/>
        <w:spacing w:after="0" w:line="290" w:lineRule="auto"/>
        <w:tabs>
          <w:tab w:leader="none" w:pos="868" w:val="left"/>
        </w:tabs>
        <w:numPr>
          <w:ilvl w:val="1"/>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Third-party Data</w:t>
      </w:r>
      <w:r>
        <w:rPr>
          <w:rFonts w:ascii="Times New Roman" w:cs="Times New Roman" w:eastAsia="Times New Roman" w:hAnsi="Times New Roman"/>
          <w:sz w:val="17"/>
          <w:szCs w:val="17"/>
          <w:color w:val="auto"/>
        </w:rPr>
        <w:t>. Any statistical, industry-related and market-related data included in the Registration Statement, the Time of Sale Prospectus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 are based on or derived from sources that the Company reasonably and in good faith believes to be reliable and accurate, and such data agree with the sources from which they are derived, and the Company has obtained the written consent for the use of such data from such sources to the extent required.</w:t>
      </w:r>
    </w:p>
    <w:p>
      <w:pPr>
        <w:spacing w:after="0" w:line="155" w:lineRule="exact"/>
        <w:rPr>
          <w:rFonts w:ascii="Times New Roman" w:cs="Times New Roman" w:eastAsia="Times New Roman" w:hAnsi="Times New Roman"/>
          <w:sz w:val="17"/>
          <w:szCs w:val="17"/>
          <w:color w:val="auto"/>
        </w:rPr>
      </w:pPr>
    </w:p>
    <w:p>
      <w:pPr>
        <w:ind w:left="-8" w:right="80" w:firstLine="464"/>
        <w:spacing w:after="0" w:line="267" w:lineRule="auto"/>
        <w:tabs>
          <w:tab w:leader="none" w:pos="888"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Exhibits. </w:t>
      </w:r>
      <w:r>
        <w:rPr>
          <w:rFonts w:ascii="Times New Roman" w:cs="Times New Roman" w:eastAsia="Times New Roman" w:hAnsi="Times New Roman"/>
          <w:sz w:val="18"/>
          <w:szCs w:val="18"/>
          <w:color w:val="auto"/>
        </w:rPr>
        <w:t>There are no legal or governmental proceedings or contracts or other documents of a character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Registration Statement, the ADS Registration Statement or the Exchange Act Registration Statement or, in the case of documents, to be filed as exhibits to the Registration Statement, that are not described and filed as required.</w:t>
      </w:r>
    </w:p>
    <w:p>
      <w:pPr>
        <w:spacing w:after="0" w:line="10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92"/>
          </w:cols>
          <w:pgMar w:left="248" w:top="267" w:right="259" w:bottom="1440" w:gutter="0" w:footer="0" w:header="0"/>
        </w:sectPr>
      </w:pPr>
    </w:p>
    <w:bookmarkStart w:id="403" w:name="page404"/>
    <w:bookmarkEnd w:id="403"/>
    <w:p>
      <w:pPr>
        <w:ind w:left="-20" w:firstLine="464"/>
        <w:spacing w:after="0" w:line="261" w:lineRule="auto"/>
        <w:tabs>
          <w:tab w:leader="none" w:pos="8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Unapproved Marketing Documents. </w:t>
      </w:r>
      <w:r>
        <w:rPr>
          <w:rFonts w:ascii="Times New Roman" w:cs="Times New Roman" w:eastAsia="Times New Roman" w:hAnsi="Times New Roman"/>
          <w:sz w:val="18"/>
          <w:szCs w:val="18"/>
          <w:color w:val="auto"/>
        </w:rPr>
        <w:t>The Company has not distributed and, prior to the later to occur of any delivery date and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distribution of the Shares, will not distribute any offering material in connection with the offering and sale of the Shares other than the preliminary prospectus filed as part of the Registration Statement as originally confidentially submitted or as part of any amendment thereto, the Prospectus and any issuer free writing prospectus to which the Representative has consented to in accordance with this Agreement or as set forth on Schedule II hereto.</w:t>
      </w:r>
    </w:p>
    <w:p>
      <w:pPr>
        <w:spacing w:after="0" w:line="180" w:lineRule="exact"/>
        <w:rPr>
          <w:rFonts w:ascii="Times New Roman" w:cs="Times New Roman" w:eastAsia="Times New Roman" w:hAnsi="Times New Roman"/>
          <w:sz w:val="18"/>
          <w:szCs w:val="18"/>
          <w:color w:val="auto"/>
        </w:rPr>
      </w:pPr>
    </w:p>
    <w:p>
      <w:pPr>
        <w:ind w:left="-20" w:right="140" w:firstLine="464"/>
        <w:spacing w:after="0" w:line="254" w:lineRule="auto"/>
        <w:tabs>
          <w:tab w:leader="none" w:pos="91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Payments of Dividends; Payments in Foreign Currency. </w:t>
      </w:r>
      <w:r>
        <w:rPr>
          <w:rFonts w:ascii="Times New Roman" w:cs="Times New Roman" w:eastAsia="Times New Roman" w:hAnsi="Times New Roman"/>
          <w:sz w:val="18"/>
          <w:szCs w:val="18"/>
          <w:color w:val="auto"/>
        </w:rPr>
        <w:t>Except as described in the Time of Sale Prospectus and Prospectus, (i) none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nor any of its Subsidiaries and Affiliated Entities is prohibited, directly or indirectly, from (A) paying any dividends or making any other distributions on its share capital, (B) making or repaying any loan or advance to the Company or any other Subsidiary or Affiliated Entity or (C) transferring any of its properties or assets to the Company or any other Subsidiary or Affiliated Entity; and (ii) all dividends and other distributions declared and payable upon the share capital of the Company or any of its Subsidiaries and Affiliated Entities (A) may be converted into United States dollars, that may be freely transferred out of such Person’s jurisdiction of incorporation, without the consent, approval, authorization or order of, or qualification with, any court or governmental agency or body in such Person’s jurisdiction of incorporation or tax residence; and (B) are not and will not be subject to withholding, value added or other taxes under the currently effective laws and regulations of the PRC, Hong Kong and the Cayman Islands, without the necessity of obtaining any consents, approvals, authorizations, orders, registrations, clearances or qualifications of or with any court or governmental agency.</w:t>
      </w:r>
    </w:p>
    <w:p>
      <w:pPr>
        <w:spacing w:after="0" w:line="189" w:lineRule="exact"/>
        <w:rPr>
          <w:rFonts w:ascii="Times New Roman" w:cs="Times New Roman" w:eastAsia="Times New Roman" w:hAnsi="Times New Roman"/>
          <w:sz w:val="18"/>
          <w:szCs w:val="18"/>
          <w:color w:val="auto"/>
        </w:rPr>
      </w:pPr>
    </w:p>
    <w:p>
      <w:pPr>
        <w:ind w:left="-20" w:right="120" w:firstLine="464"/>
        <w:spacing w:after="0" w:line="255" w:lineRule="auto"/>
        <w:tabs>
          <w:tab w:leader="none" w:pos="91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PRC Overseas Investment and Listing Regulations. </w:t>
      </w:r>
      <w:r>
        <w:rPr>
          <w:rFonts w:ascii="Times New Roman" w:cs="Times New Roman" w:eastAsia="Times New Roman" w:hAnsi="Times New Roman"/>
          <w:sz w:val="18"/>
          <w:szCs w:val="18"/>
          <w:color w:val="auto"/>
        </w:rPr>
        <w:t>Except as described in the Time of Sale Prospectus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Company and its Subsidiaries and Affiliated Entities has complied, and has taken all reasonable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and the State Administration of Foreign Exchange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relating to overseas investment by PRC residents and citizens (the “</w:t>
      </w:r>
      <w:r>
        <w:rPr>
          <w:rFonts w:ascii="Times New Roman" w:cs="Times New Roman" w:eastAsia="Times New Roman" w:hAnsi="Times New Roman"/>
          <w:sz w:val="18"/>
          <w:szCs w:val="18"/>
          <w:b w:val="1"/>
          <w:bCs w:val="1"/>
          <w:color w:val="auto"/>
        </w:rPr>
        <w:t>PRC Overseas Investment and Listing Regulations</w:t>
      </w:r>
      <w:r>
        <w:rPr>
          <w:rFonts w:ascii="Times New Roman" w:cs="Times New Roman" w:eastAsia="Times New Roman" w:hAnsi="Times New Roman"/>
          <w:sz w:val="18"/>
          <w:szCs w:val="18"/>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87" w:lineRule="exact"/>
        <w:rPr>
          <w:rFonts w:ascii="Times New Roman" w:cs="Times New Roman" w:eastAsia="Times New Roman" w:hAnsi="Times New Roman"/>
          <w:sz w:val="18"/>
          <w:szCs w:val="18"/>
          <w:color w:val="auto"/>
        </w:rPr>
      </w:pPr>
    </w:p>
    <w:p>
      <w:pPr>
        <w:ind w:left="-20" w:right="80" w:firstLine="464"/>
        <w:spacing w:after="0" w:line="269" w:lineRule="auto"/>
        <w:tabs>
          <w:tab w:leader="none" w:pos="996"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M&amp;A Rules.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Times New Roman" w:cs="Times New Roman" w:eastAsia="Times New Roman" w:hAnsi="Times New Roman"/>
          <w:sz w:val="17"/>
          <w:szCs w:val="17"/>
          <w:b w:val="1"/>
          <w:bCs w:val="1"/>
          <w:color w:val="auto"/>
        </w:rPr>
        <w:t>PRC Mergers and Acquisitions Rules</w:t>
      </w:r>
      <w:r>
        <w:rPr>
          <w:rFonts w:ascii="Times New Roman" w:cs="Times New Roman" w:eastAsia="Times New Roman" w:hAnsi="Times New Roman"/>
          <w:sz w:val="17"/>
          <w:szCs w:val="17"/>
          <w:color w:val="auto"/>
        </w:rPr>
        <w:t>”) jointly promulgated by the Ministry of Commerce, the State Assets Supervision and Administration Commission, the State Tax Administration, the State Administration of Industry and Commerce, the CSRC and the State Administration of Foreign Exchange on August 8, 2006 and amended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Shares and the American Depositary Shares, the listing and trading of the American Depositary Shares on NASDAQ Global Market and the consummation of the transactions contemplated by this Agreement and the Deposit Agreement (i) are not and will not be, as of the date hereof or at the Closing Date or an Option Closing Date, as the case may be, adversely affected by the PRC Mergers and Acquisitions Rules and (ii) do not require the prior approval of the CSRC.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60" w:top="267" w:right="239" w:bottom="1440" w:gutter="0" w:footer="0" w:header="0"/>
        </w:sectPr>
      </w:pPr>
    </w:p>
    <w:bookmarkStart w:id="404" w:name="page405"/>
    <w:bookmarkEnd w:id="404"/>
    <w:p>
      <w:pPr>
        <w:ind w:left="940" w:hanging="476"/>
        <w:spacing w:after="0"/>
        <w:tabs>
          <w:tab w:leader="none" w:pos="94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Private Issuer</w:t>
      </w:r>
      <w:r>
        <w:rPr>
          <w:rFonts w:ascii="Times New Roman" w:cs="Times New Roman" w:eastAsia="Times New Roman" w:hAnsi="Times New Roman"/>
          <w:sz w:val="18"/>
          <w:szCs w:val="18"/>
          <w:color w:val="auto"/>
        </w:rPr>
        <w:t>. The Company is a “foreign private issuer” within the meaning of Rule 405 under the Securities Act.</w:t>
      </w:r>
    </w:p>
    <w:p>
      <w:pPr>
        <w:spacing w:after="0" w:line="225" w:lineRule="exact"/>
        <w:rPr>
          <w:rFonts w:ascii="Times New Roman" w:cs="Times New Roman" w:eastAsia="Times New Roman" w:hAnsi="Times New Roman"/>
          <w:sz w:val="18"/>
          <w:szCs w:val="18"/>
          <w:color w:val="auto"/>
        </w:rPr>
      </w:pPr>
    </w:p>
    <w:p>
      <w:pPr>
        <w:jc w:val="both"/>
        <w:ind w:right="20" w:firstLine="464"/>
        <w:spacing w:after="0" w:line="261" w:lineRule="auto"/>
        <w:tabs>
          <w:tab w:leader="none" w:pos="93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None of the Company, the Subsidiaries and Affiliated Entities or any of their respective directors, officers, to the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affiliates or controlling persons acting on their behalf has taken, directly or indirectly, any action which was designed to cause or result in, or that has constituted or which might reasonably be expected to cause or result in the stabilization or manipulation of the price of any security of the Company to facilitate the sale or resale of the Shares and the American Depositary Shares.</w:t>
      </w:r>
    </w:p>
    <w:p>
      <w:pPr>
        <w:spacing w:after="0" w:line="180" w:lineRule="exact"/>
        <w:rPr>
          <w:rFonts w:ascii="Times New Roman" w:cs="Times New Roman" w:eastAsia="Times New Roman" w:hAnsi="Times New Roman"/>
          <w:sz w:val="18"/>
          <w:szCs w:val="18"/>
          <w:color w:val="auto"/>
        </w:rPr>
      </w:pPr>
    </w:p>
    <w:p>
      <w:pPr>
        <w:ind w:right="100" w:firstLine="464"/>
        <w:spacing w:after="0" w:line="267" w:lineRule="auto"/>
        <w:tabs>
          <w:tab w:leader="none" w:pos="91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Sale, Issuance and Distribution of Shares. </w:t>
      </w:r>
      <w:r>
        <w:rPr>
          <w:rFonts w:ascii="Times New Roman" w:cs="Times New Roman" w:eastAsia="Times New Roman" w:hAnsi="Times New Roman"/>
          <w:sz w:val="18"/>
          <w:szCs w:val="18"/>
          <w:color w:val="auto"/>
        </w:rPr>
        <w:t>The Company has not sold, issued or distributed any Ordinary Shares during the six-month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74" w:lineRule="exact"/>
        <w:rPr>
          <w:sz w:val="20"/>
          <w:szCs w:val="20"/>
          <w:color w:val="auto"/>
        </w:rPr>
      </w:pPr>
    </w:p>
    <w:p>
      <w:pPr>
        <w:ind w:firstLine="464"/>
        <w:spacing w:after="0" w:line="254" w:lineRule="auto"/>
        <w:tabs>
          <w:tab w:leader="none" w:pos="99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Immunity. </w:t>
      </w:r>
      <w:r>
        <w:rPr>
          <w:rFonts w:ascii="Times New Roman" w:cs="Times New Roman" w:eastAsia="Times New Roman" w:hAnsi="Times New Roman"/>
          <w:sz w:val="18"/>
          <w:szCs w:val="18"/>
          <w:color w:val="auto"/>
        </w:rPr>
        <w:t>None of the Company, the Subsidiaries and Affiliated Entities or any of their respective properties, assets or revenues has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immunity, under the laws of the Cayman Islands, Hong Kong, the PRC or the State of New York, from any legal action, suit or proceeding, the giving of any relief in any such legal action, suit or proceeding, set-off or counterclaim, the jurisdiction of any Cayman Islands, Hong Kong, PRC, New York or United States federal court,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any of the Subsidiaries and Affiliated Entities or any of their respective properties, assets or revenues may have or may hereafter become entitled to any such right of immunity in any such court in which proceedings may at any time be commenced, each of the Company and the Subsidiaries and Affiliated Entities waives or will waive such right to the extent permitted by law and has consented to such relief and enforcement as provided in Section 12 of this Agreement and Section 20 of the Deposit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68" w:right="239" w:bottom="1440" w:gutter="0" w:footer="0" w:header="0"/>
        </w:sectPr>
      </w:pPr>
    </w:p>
    <w:bookmarkStart w:id="405" w:name="page406"/>
    <w:bookmarkEnd w:id="405"/>
    <w:p>
      <w:pPr>
        <w:ind w:left="-40" w:firstLine="464"/>
        <w:spacing w:after="0" w:line="253" w:lineRule="auto"/>
        <w:tabs>
          <w:tab w:leader="none" w:pos="98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Validity of Choice of Law</w:t>
      </w:r>
      <w:r>
        <w:rPr>
          <w:rFonts w:ascii="Times New Roman" w:cs="Times New Roman" w:eastAsia="Times New Roman" w:hAnsi="Times New Roman"/>
          <w:sz w:val="18"/>
          <w:szCs w:val="18"/>
          <w:color w:val="auto"/>
        </w:rPr>
        <w:t>. The choice of the laws of the State of New York as the governing law of this Agreement and the Deposit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valid choice of law under the laws of the Cayman Islands, Hong Kong and the PRC and will be honored by courts in the Cayman Islands, Hong Kong and to the extent permitted under the PRC civil law and rules of civil procedures, will be honored by the courts in the PRC. The Company has the power to submit, and pursuant to Section 12 of this Agreement and Section 20 of the Deposit Agreement, has legally, validly, effectively and irrevocably submitted, to the personal jurisdiction of each New York State and United States Federal court sitting in The City of New York (each,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 and has validly and irrevocably waived any objection to the laying of venue of any suit, action or proceeding brought in any such court; and the Company has the power to designate, appoint and empower, and pursuant to Section 12 of this Agreement and Section 20 of the Deposit Agreement, has legally, validly, effectively and irrevocably designated, appointed and empowered, an authorized agent for service of process in any action arising out of or relating to this Agreement, the Deposit Agreement, any preliminary prospectus, the Time of Sale Prospectus, the Prospectus, the Registration Statement, the ADS Registration Statement or the offering of the Shares or the American Depositary Shares in any New York Court, and service of process permitted by applicable laws effected on such authorized agent will be effective to confer valid personal jurisdiction over the Company as provided in Section 12 hereof and Section 20 of the Deposit Agreement.</w:t>
      </w:r>
    </w:p>
    <w:p>
      <w:pPr>
        <w:spacing w:after="0" w:line="190" w:lineRule="exact"/>
        <w:rPr>
          <w:rFonts w:ascii="Times New Roman" w:cs="Times New Roman" w:eastAsia="Times New Roman" w:hAnsi="Times New Roman"/>
          <w:sz w:val="18"/>
          <w:szCs w:val="18"/>
          <w:color w:val="auto"/>
        </w:rPr>
      </w:pPr>
    </w:p>
    <w:p>
      <w:pPr>
        <w:ind w:left="-40" w:right="40" w:firstLine="464"/>
        <w:spacing w:after="0" w:line="252" w:lineRule="auto"/>
        <w:tabs>
          <w:tab w:leader="none" w:pos="95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Enforceability of Judgment</w:t>
      </w:r>
      <w:r>
        <w:rPr>
          <w:rFonts w:ascii="Times New Roman" w:cs="Times New Roman" w:eastAsia="Times New Roman" w:hAnsi="Times New Roman"/>
          <w:sz w:val="18"/>
          <w:szCs w:val="18"/>
          <w:color w:val="auto"/>
        </w:rPr>
        <w:t>. Each of this Agreement and the Deposit Agreement is in proper form under the laws of the Cayman Islands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PRC for the enforcement thereof against the Company, and to ensure the legality of evidence in the Cayman Islands and the PRC of this Agreement and the Deposit Agreement. Any final judgment for a fixed or readily calculable sum of money rendered by a New York Court having 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the Cayman Islands and the PRC,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 respect to courts of the Cayman Islands, such judgment (A) is given by a foreign court of competent jurisdiction, (B) imposes on the judgment debtor a liability to pay a liquidated sum for which the judgment has been given, (C) is not in respect of taxes, or a fine or penalty in connection therewith, and (D) was not obtained in a manner and is not of a kind the enforcement of which is contrary to natural justice or the public policy of the Cayman Islands, and (ii) with respect to courts of the PRC, (A) adequate service of process has been effected and the defendant has had a reasonable opportunity to be heard, (B) such judgments or the enforcement thereof are not contrary to the law, public policy, security or sovereignty of the PRC, (C) such judgments were not obtained by fraudulent means and do not conflict with any other valid judgment in the same matter between the same parties, (D) an action between the same parties in the same matter is not pending in any PRC court at the time the lawsuit is instituted in a foreign court and (E) is duly recognized by appropriate PRC courts in accordance with the PRC civil procedure laws and regulations. The Company is not aware of any reason why the enforcement in the Cayman Islands or the PRC of such a New York Court judgment would be, as of the date hereof, contrary to public policy of the Cayman Islands or PRC.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80" w:top="268" w:right="259" w:bottom="1440" w:gutter="0" w:footer="0" w:header="0"/>
        </w:sectPr>
      </w:pPr>
    </w:p>
    <w:bookmarkStart w:id="406" w:name="page407"/>
    <w:bookmarkEnd w:id="406"/>
    <w:p>
      <w:pPr>
        <w:ind w:left="-20" w:right="20" w:firstLine="464"/>
        <w:spacing w:after="0" w:line="277" w:lineRule="auto"/>
        <w:tabs>
          <w:tab w:leader="none" w:pos="1006"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Finder’s Fee</w:t>
      </w:r>
      <w:r>
        <w:rPr>
          <w:rFonts w:ascii="Times New Roman" w:cs="Times New Roman" w:eastAsia="Times New Roman" w:hAnsi="Times New Roman"/>
          <w:sz w:val="17"/>
          <w:szCs w:val="17"/>
          <w:color w:val="auto"/>
        </w:rPr>
        <w:t>. There are no contracts, agreements or understandings between the Company or its Subsidiaries and Affiliated Entities and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 that would give rise to a valid claim against the Company or its Subsidiaries and Affiliated Entities or any Underwriter for a brokerage commission, finder’s fee or other like payment in connection with this offering, or any other arrangements, agreements, understandings, payments or issuance with respect to the Company and its Subsidiaries and Affiliated Entities or any of their respective officers, directors, shareholders or, to the Company’s best knowledge, partners, employees or affiliates that may affect the Underwriters’ compensation as determined by the Financial Industry Regulatory Authority (“</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ind w:left="-20" w:firstLine="464"/>
        <w:spacing w:after="0" w:line="282" w:lineRule="auto"/>
        <w:tabs>
          <w:tab w:leader="none" w:pos="976"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Broker-Dealer Affiliation</w:t>
      </w:r>
      <w:r>
        <w:rPr>
          <w:rFonts w:ascii="Times New Roman" w:cs="Times New Roman" w:eastAsia="Times New Roman" w:hAnsi="Times New Roman"/>
          <w:sz w:val="17"/>
          <w:szCs w:val="17"/>
          <w:color w:val="auto"/>
        </w:rPr>
        <w:t>. There are no affiliations or associations between (i) any participating member of FINRA as defined under FINRA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Rule 5110 and (ii) the Company or any of its Subsidiaries and Affiliated Entities or any of their respective officers, directors or, to the best knowledge of the Company, 5% or greater security holders or, to the best knowledge of the Company, any beneficial owner of the Company’s unregistered equity securities that were acquired at any time on or after the 180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immediately preceding the date that the Registration Statement was initially filed with the Commission.</w:t>
      </w:r>
    </w:p>
    <w:p>
      <w:pPr>
        <w:spacing w:after="0" w:line="159" w:lineRule="exact"/>
        <w:rPr>
          <w:rFonts w:ascii="Times New Roman" w:cs="Times New Roman" w:eastAsia="Times New Roman" w:hAnsi="Times New Roman"/>
          <w:sz w:val="17"/>
          <w:szCs w:val="17"/>
          <w:color w:val="auto"/>
        </w:rPr>
      </w:pPr>
    </w:p>
    <w:p>
      <w:pPr>
        <w:ind w:left="-20" w:right="280" w:firstLine="464"/>
        <w:spacing w:after="0" w:line="268" w:lineRule="auto"/>
        <w:tabs>
          <w:tab w:leader="none" w:pos="90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executed a side letter (the “</w:t>
      </w:r>
      <w:r>
        <w:rPr>
          <w:rFonts w:ascii="Times New Roman" w:cs="Times New Roman" w:eastAsia="Times New Roman" w:hAnsi="Times New Roman"/>
          <w:sz w:val="18"/>
          <w:szCs w:val="18"/>
          <w:b w:val="1"/>
          <w:bCs w:val="1"/>
          <w:color w:val="auto"/>
        </w:rPr>
        <w:t>Depositary Side Letter</w:t>
      </w:r>
      <w:r>
        <w:rPr>
          <w:rFonts w:ascii="Times New Roman" w:cs="Times New Roman" w:eastAsia="Times New Roman" w:hAnsi="Times New Roman"/>
          <w:sz w:val="18"/>
          <w:szCs w:val="18"/>
          <w:color w:val="auto"/>
        </w:rPr>
        <w:t>”), addressed to the Depositary, instructing the Depositary not to accept any shareholder’s deposit of Ordinary Shares in the Company’s American Depositary Receipt facility or issue any new American Depositary Receipts evidencing the American Depositary Shares to any shareholder or any third party, unless consented to by the Company.</w:t>
      </w:r>
    </w:p>
    <w:p>
      <w:pPr>
        <w:spacing w:after="0" w:line="172" w:lineRule="exact"/>
        <w:rPr>
          <w:rFonts w:ascii="Times New Roman" w:cs="Times New Roman" w:eastAsia="Times New Roman" w:hAnsi="Times New Roman"/>
          <w:sz w:val="18"/>
          <w:szCs w:val="18"/>
          <w:color w:val="auto"/>
        </w:rPr>
      </w:pPr>
    </w:p>
    <w:p>
      <w:pPr>
        <w:jc w:val="both"/>
        <w:ind w:left="-20" w:right="720" w:firstLine="464"/>
        <w:spacing w:after="0" w:line="267" w:lineRule="auto"/>
        <w:tabs>
          <w:tab w:leader="none" w:pos="100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 of Officers. </w:t>
      </w:r>
      <w:r>
        <w:rPr>
          <w:rFonts w:ascii="Times New Roman" w:cs="Times New Roman" w:eastAsia="Times New Roman" w:hAnsi="Times New Roman"/>
          <w:sz w:val="18"/>
          <w:szCs w:val="18"/>
          <w:color w:val="auto"/>
        </w:rPr>
        <w:t>Any certificate signed by any officer of the Company and delivered to the Representative or counsel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in connection with the offering shall be deemed a representation and warranty by the Company, as to matters covered thereby, to each Underwriter.</w:t>
      </w:r>
    </w:p>
    <w:p>
      <w:pPr>
        <w:spacing w:after="0" w:line="173" w:lineRule="exact"/>
        <w:rPr>
          <w:rFonts w:ascii="Times New Roman" w:cs="Times New Roman" w:eastAsia="Times New Roman" w:hAnsi="Times New Roman"/>
          <w:sz w:val="18"/>
          <w:szCs w:val="18"/>
          <w:color w:val="auto"/>
        </w:rPr>
      </w:pPr>
    </w:p>
    <w:p>
      <w:pPr>
        <w:ind w:left="-20" w:right="80" w:firstLine="464"/>
        <w:spacing w:after="0" w:line="254" w:lineRule="auto"/>
        <w:tabs>
          <w:tab w:leader="none" w:pos="100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Filings. </w:t>
      </w:r>
      <w:r>
        <w:rPr>
          <w:rFonts w:ascii="Times New Roman" w:cs="Times New Roman" w:eastAsia="Times New Roman" w:hAnsi="Times New Roman"/>
          <w:sz w:val="18"/>
          <w:szCs w:val="18"/>
          <w:color w:val="auto"/>
        </w:rPr>
        <w:t>(i) The Company and each of its Subsidiaries and the Affiliated Entities have filed all national, local and foreign tax returns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filed through the date of this Agreement or have requested extensions thereof and have paid all taxes required to be paid, except as would not, individually or in the aggregate, have a Material Adverse Effect, and no tax deficiency has been determined adversely to the Company or any of its Subsidiaries or the Affiliated Entities which has had (nor does the Company nor any of its Subsidiaries nor the Affiliated Entities have any notice or knowledge of any tax deficiency which could reasonably be expected to be determined adversely to the Company or its Subsidiaries or the Affiliated Entities and which could reasonably be expected to have), individually or in the aggregate, a Material Adverse Effect. (ii) All local and national PRC governmental tax holidays, exemptions, waivers, financial subsidies, and other local and national PRC tax relief, concessions and preferential treatment enjoyed by the Company or any of the Subsidiaries and Affiliated Entities as described in the Registration Statement, the Time of Sale Prospectus and the Prospectus are valid and enforceable and do not violate any laws, regulations, rules, orders, decrees, guidelines, judicial interpretations, notices or other legislation of the PRC.</w:t>
      </w:r>
    </w:p>
    <w:p>
      <w:pPr>
        <w:spacing w:after="0" w:line="186" w:lineRule="exact"/>
        <w:rPr>
          <w:rFonts w:ascii="Times New Roman" w:cs="Times New Roman" w:eastAsia="Times New Roman" w:hAnsi="Times New Roman"/>
          <w:sz w:val="18"/>
          <w:szCs w:val="18"/>
          <w:color w:val="auto"/>
        </w:rPr>
      </w:pPr>
    </w:p>
    <w:p>
      <w:pPr>
        <w:ind w:left="-20" w:firstLine="464"/>
        <w:spacing w:after="0" w:line="259" w:lineRule="auto"/>
        <w:tabs>
          <w:tab w:leader="none" w:pos="88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Each financial or operational projection or other “forward-looking statement” (as defined by Section 27A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60" w:top="268" w:right="259" w:bottom="1440" w:gutter="0" w:footer="0" w:header="0"/>
        </w:sectPr>
      </w:pPr>
    </w:p>
    <w:bookmarkStart w:id="407" w:name="page408"/>
    <w:bookmarkEnd w:id="407"/>
    <w:p>
      <w:pPr>
        <w:ind w:left="780" w:hanging="316"/>
        <w:spacing w:after="0"/>
        <w:tabs>
          <w:tab w:leader="none" w:pos="7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to Sell and Purchase.</w:t>
      </w:r>
    </w:p>
    <w:p>
      <w:pPr>
        <w:spacing w:after="0" w:line="121"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number of Firm Shares set forth in Schedule I hereto at US$[●] per American Depositary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hereby agrees to sell to the Underwriters the Additional Shares, and the Underwriters shall have the right to purchase, severally and not jointly, up to [●] Additional Shares in the form of [●] American Depositary Shares at the Purchase Price. The Representative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w:t>
      </w:r>
    </w:p>
    <w:p>
      <w:pPr>
        <w:ind w:right="120"/>
        <w:spacing w:after="0" w:line="253" w:lineRule="auto"/>
        <w:rPr>
          <w:sz w:val="20"/>
          <w:szCs w:val="20"/>
          <w:color w:val="auto"/>
        </w:rPr>
      </w:pPr>
      <w:r>
        <w:rPr>
          <w:rFonts w:ascii="Times New Roman" w:cs="Times New Roman" w:eastAsia="Times New Roman" w:hAnsi="Times New Roman"/>
          <w:sz w:val="18"/>
          <w:szCs w:val="18"/>
          <w:color w:val="auto"/>
        </w:rPr>
        <w:t>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Representative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3" w:lineRule="exact"/>
        <w:rPr>
          <w:sz w:val="20"/>
          <w:szCs w:val="20"/>
          <w:color w:val="auto"/>
        </w:rPr>
      </w:pPr>
    </w:p>
    <w:p>
      <w:pPr>
        <w:ind w:right="160" w:firstLine="464"/>
        <w:spacing w:after="0" w:line="259" w:lineRule="auto"/>
        <w:tabs>
          <w:tab w:leader="none" w:pos="771"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Public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advised by the Representative that the Underwriters propose to make a public offering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portions of the Shares in the form of American Depositary Shares as soon after the Registration Statement and this Agreement have become effective as in the judgment of the Representative is advisable. The Company is further advised by the Representative that the Shares are to be offered to the public initially at US$[●] per American Depositary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 at a price that represents a concession not in excess of US$[●] per American Depositary Share under the Public Offering Price.</w:t>
      </w:r>
    </w:p>
    <w:p>
      <w:pPr>
        <w:spacing w:after="0" w:line="287"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Payment and Delivery.</w:t>
      </w:r>
    </w:p>
    <w:p>
      <w:pPr>
        <w:spacing w:after="0" w:line="121" w:lineRule="exact"/>
        <w:rPr>
          <w:sz w:val="20"/>
          <w:szCs w:val="20"/>
          <w:color w:val="auto"/>
        </w:rPr>
      </w:pPr>
    </w:p>
    <w:p>
      <w:pPr>
        <w:ind w:right="100" w:firstLine="464"/>
        <w:spacing w:after="0" w:line="261" w:lineRule="auto"/>
        <w:tabs>
          <w:tab w:leader="none" w:pos="83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Firm Shares to be sold by the Company shall be made to the Company in Federal or other funds immediately available in New York City against delivery of such Firm Shares for the respective accounts of the several Underwriters at 10:00 a.m., New York City time, on [●], 2017, or at such other time on the same or such other date, not later than [●], 2017, as shall be designated in writing by the Representative.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380" w:firstLine="464"/>
        <w:spacing w:after="0" w:line="261" w:lineRule="auto"/>
        <w:tabs>
          <w:tab w:leader="none" w:pos="84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2017 as shall be designated in writing by the Representative.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65" w:right="239" w:bottom="1440" w:gutter="0" w:footer="0" w:header="0"/>
        </w:sectPr>
      </w:pPr>
    </w:p>
    <w:bookmarkStart w:id="408" w:name="page409"/>
    <w:bookmarkEnd w:id="408"/>
    <w:p>
      <w:pPr>
        <w:ind w:left="-20" w:firstLine="464"/>
        <w:spacing w:after="0" w:line="255" w:lineRule="auto"/>
        <w:tabs>
          <w:tab w:leader="none" w:pos="813"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American Depositary Shares to be delivered to each Underwriter shall be delivered in book entry form, and in such denominations and registered in such names as the Representative may request in writing not later than one full business day prior to the Closing Date or an Option Closing Date, as the case may be. Such American Depositary Shares shall be delivered by or on behalf of the Company to the Representative through the facilities of DTC, for the account of such Underwriter, against payment by or on behalf of such Underwriter of the Purchase Price therefor by wire transfer of Federal or other immediately available funds to the account(s) specified by the Company to the Representative on the Closing Date or Option Closing Date, as the case may be, or at such other time and date as shall be designated in writing by the Representative. The Company will cause the draft certificates representing the Shares to be made available for inspection at least 24 hours prior to the Closing Date or Option Closing Date, as the case may be.</w:t>
      </w:r>
    </w:p>
    <w:p>
      <w:pPr>
        <w:spacing w:after="0" w:line="185" w:lineRule="exact"/>
        <w:rPr>
          <w:sz w:val="20"/>
          <w:szCs w:val="20"/>
          <w:color w:val="auto"/>
        </w:rPr>
      </w:pPr>
    </w:p>
    <w:p>
      <w:pPr>
        <w:ind w:left="-20" w:right="60" w:firstLine="464"/>
        <w:spacing w:after="0" w:line="268" w:lineRule="auto"/>
        <w:tabs>
          <w:tab w:leader="none" w:pos="751"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Conditions to the Underwriters’ Obligations. </w:t>
      </w:r>
      <w:r>
        <w:rPr>
          <w:rFonts w:ascii="Times New Roman" w:cs="Times New Roman" w:eastAsia="Times New Roman" w:hAnsi="Times New Roman"/>
          <w:sz w:val="18"/>
          <w:szCs w:val="18"/>
          <w:color w:val="auto"/>
        </w:rPr>
        <w:t>The obligations of the Company to sell the Shares to the Underwriters and the several obligations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Underwriters to purchase and pay for the Shares on the Closing Date and each Option Closing Date are subject to the condition that the Registration Statement shall have become effective not later than [●] p.m.(New York City time) on the date hereof.</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225" w:lineRule="exact"/>
        <w:rPr>
          <w:sz w:val="20"/>
          <w:szCs w:val="20"/>
          <w:color w:val="auto"/>
        </w:rPr>
      </w:pPr>
    </w:p>
    <w:p>
      <w:pPr>
        <w:ind w:left="820" w:hanging="376"/>
        <w:spacing w:after="0"/>
        <w:tabs>
          <w:tab w:leader="none" w:pos="82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 or Option Closing Date, as the case may be,</w:t>
      </w:r>
    </w:p>
    <w:p>
      <w:pPr>
        <w:spacing w:after="0" w:line="130" w:lineRule="exact"/>
        <w:rPr>
          <w:rFonts w:ascii="Times New Roman" w:cs="Times New Roman" w:eastAsia="Times New Roman" w:hAnsi="Times New Roman"/>
          <w:sz w:val="18"/>
          <w:szCs w:val="18"/>
          <w:color w:val="auto"/>
        </w:rPr>
      </w:pPr>
    </w:p>
    <w:p>
      <w:pPr>
        <w:ind w:left="1460" w:right="20" w:hanging="567"/>
        <w:spacing w:after="0" w:line="258" w:lineRule="auto"/>
        <w:tabs>
          <w:tab w:leader="none" w:pos="146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and Affiliated Entities, taken as a whole, from that set forth in the Time of Sale Prospectus and the Prospectus as of the date of this Agreement that, in the judgment of the Representative, is material and adverse and that makes it, in the judgment of the Representative, impracticable to market the Shares on the terms and in the manner contemplated in the Time of Sale Prospectus and the Prospectus.</w:t>
      </w:r>
    </w:p>
    <w:p>
      <w:pPr>
        <w:spacing w:after="0" w:line="183" w:lineRule="exact"/>
        <w:rPr>
          <w:rFonts w:ascii="Times New Roman" w:cs="Times New Roman" w:eastAsia="Times New Roman" w:hAnsi="Times New Roman"/>
          <w:sz w:val="18"/>
          <w:szCs w:val="18"/>
          <w:color w:val="auto"/>
        </w:rPr>
      </w:pPr>
    </w:p>
    <w:p>
      <w:pPr>
        <w:ind w:left="-20" w:right="80" w:firstLine="464"/>
        <w:spacing w:after="0" w:line="256" w:lineRule="auto"/>
        <w:tabs>
          <w:tab w:leader="none" w:pos="823"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or Option Closing Date, as the case may be, (i) a certificate, dated such date, signed by an executive officer of the Company, to the effect set forth in Section 5(a)(i) above and to the effect that the representations and warranties of the Company contained in this Agreement are true and correct as of the Closing Date or Option Closing Date, as the case may be, and that the Company has complied with all of the agreements and satisfied all of the conditions on its part to be performed or satisfied hereunder on or before such date (and the officer signing and delivering such certificate may rely upon the best of his or her knowledge as to proceedings threatened) and (ii) a certificate, dated such date, signed by the secretary of the Company, with respect to such matters as the Representative may reasonably require.</w:t>
      </w:r>
    </w:p>
    <w:p>
      <w:pPr>
        <w:spacing w:after="0" w:line="187" w:lineRule="exact"/>
        <w:rPr>
          <w:rFonts w:ascii="Times New Roman" w:cs="Times New Roman" w:eastAsia="Times New Roman" w:hAnsi="Times New Roman"/>
          <w:sz w:val="18"/>
          <w:szCs w:val="18"/>
          <w:color w:val="auto"/>
        </w:rPr>
      </w:pPr>
    </w:p>
    <w:p>
      <w:pPr>
        <w:ind w:left="-20" w:right="80" w:firstLine="464"/>
        <w:spacing w:after="0" w:line="266" w:lineRule="auto"/>
        <w:tabs>
          <w:tab w:leader="none" w:pos="813"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on the Closing Date or Option Closing Date, as the case may be, a certificate in the form of Exhibit A hereto, dated such date and signed by the chief financial officer of the Company with respect to certain operating data and financial figures contained in the Registration Statement, the Time of Sale Prospectus and the Prospectus.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60" w:top="269" w:right="259" w:bottom="1440" w:gutter="0" w:footer="0" w:header="0"/>
        </w:sectPr>
      </w:pPr>
    </w:p>
    <w:bookmarkStart w:id="409" w:name="page410"/>
    <w:bookmarkEnd w:id="409"/>
    <w:p>
      <w:pPr>
        <w:ind w:firstLine="464"/>
        <w:spacing w:after="0" w:line="266" w:lineRule="auto"/>
        <w:tabs>
          <w:tab w:leader="none" w:pos="84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shall have received on the Closing Date or an Option Closing Date, as the case may be, an opinion and negative assurance letter of Cleary, Gottlieb, Steen &amp; Hamilton LLP, U.S. counsel for the Company, dated the Closing Date or Option Closing Date, as the case may be, in form and substance reasonably satisfactory to the Underwriters.</w:t>
      </w:r>
    </w:p>
    <w:p>
      <w:pPr>
        <w:spacing w:after="0" w:line="176" w:lineRule="exact"/>
        <w:rPr>
          <w:rFonts w:ascii="Times New Roman" w:cs="Times New Roman" w:eastAsia="Times New Roman" w:hAnsi="Times New Roman"/>
          <w:sz w:val="18"/>
          <w:szCs w:val="18"/>
          <w:color w:val="auto"/>
        </w:rPr>
      </w:pPr>
    </w:p>
    <w:p>
      <w:pPr>
        <w:ind w:right="200" w:firstLine="464"/>
        <w:spacing w:after="0" w:line="266" w:lineRule="auto"/>
        <w:tabs>
          <w:tab w:leader="none" w:pos="83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or an Option Closing Date, as the case may be, an opinion of Travers Thorp Alberga, Attorneys at Law, Cayman Islands counsel for the Company, dated the Closing Date or Option Closing Date, as the case may be, in form and substance reasonably satisfactory to the Underwriters.</w:t>
      </w:r>
    </w:p>
    <w:p>
      <w:pPr>
        <w:spacing w:after="0" w:line="176" w:lineRule="exact"/>
        <w:rPr>
          <w:rFonts w:ascii="Times New Roman" w:cs="Times New Roman" w:eastAsia="Times New Roman" w:hAnsi="Times New Roman"/>
          <w:sz w:val="18"/>
          <w:szCs w:val="18"/>
          <w:color w:val="auto"/>
        </w:rPr>
      </w:pPr>
    </w:p>
    <w:p>
      <w:pPr>
        <w:jc w:val="both"/>
        <w:ind w:right="140" w:firstLine="464"/>
        <w:spacing w:after="0" w:line="266" w:lineRule="auto"/>
        <w:tabs>
          <w:tab w:leader="none" w:pos="81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on the Closing Date or an Option Closing Date, as the case may be, an opinion of Jingtian &amp; Gongcheng Law Offices, PRC counsel for the Company, dated the Closing Date or Option Closing Date, as the case may be, a copy of which shall have been provided to the Underwriters, in form and substance reasonably satisfactory to the Underwriters.</w:t>
      </w:r>
    </w:p>
    <w:p>
      <w:pPr>
        <w:spacing w:after="0" w:line="176" w:lineRule="exact"/>
        <w:rPr>
          <w:rFonts w:ascii="Times New Roman" w:cs="Times New Roman" w:eastAsia="Times New Roman" w:hAnsi="Times New Roman"/>
          <w:sz w:val="18"/>
          <w:szCs w:val="18"/>
          <w:color w:val="auto"/>
        </w:rPr>
      </w:pPr>
    </w:p>
    <w:p>
      <w:pPr>
        <w:ind w:right="60" w:firstLine="464"/>
        <w:spacing w:after="0" w:line="266" w:lineRule="auto"/>
        <w:tabs>
          <w:tab w:leader="none" w:pos="84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or an Option Closing Date, as the case may be, an opinion of Cleary, Gottlieb, Steen &amp; Hamilton LLP, Hong Kong counsel for the Company, dated the Closing Date or Option Closing Date, as the case may be, in form and substance reasonably satisfactory to the Underwriters.</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At the request of the Company, the opinions of counsel for the Company described above (except for the opinion of the PRC counsel for the Company) shall be addressed to the Underwriters and shall so state therein.</w:t>
      </w:r>
    </w:p>
    <w:p>
      <w:pPr>
        <w:spacing w:after="0" w:line="162" w:lineRule="exact"/>
        <w:rPr>
          <w:sz w:val="20"/>
          <w:szCs w:val="20"/>
          <w:color w:val="auto"/>
        </w:rPr>
      </w:pPr>
    </w:p>
    <w:p>
      <w:pPr>
        <w:jc w:val="both"/>
        <w:ind w:firstLine="464"/>
        <w:spacing w:after="0" w:line="266" w:lineRule="auto"/>
        <w:tabs>
          <w:tab w:leader="none" w:pos="843"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or an Option Closing Date, as the case may be, an opinion and negative assurance letter of Davis Polk &amp; Wardwell LLP, U.S. counsel for the Underwriters, dated the Closing Date or Option Closing Date, as the case may be, in form and substance satisfactory to the Underwriters.</w:t>
      </w:r>
    </w:p>
    <w:p>
      <w:pPr>
        <w:spacing w:after="0" w:line="176" w:lineRule="exact"/>
        <w:rPr>
          <w:rFonts w:ascii="Times New Roman" w:cs="Times New Roman" w:eastAsia="Times New Roman" w:hAnsi="Times New Roman"/>
          <w:sz w:val="18"/>
          <w:szCs w:val="18"/>
          <w:color w:val="auto"/>
        </w:rPr>
      </w:pPr>
    </w:p>
    <w:p>
      <w:pPr>
        <w:ind w:right="160" w:firstLine="464"/>
        <w:spacing w:after="0" w:line="282" w:lineRule="auto"/>
        <w:tabs>
          <w:tab w:leader="none" w:pos="803"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or an Option Closing Date, as the case may be, an opinion of Fangda Partners, PRC counsel for the Underwriters, dated the Closing Date or an Option Closing Date, as the case may be, in form and substance satisfactory to the Underwriters.</w:t>
      </w:r>
    </w:p>
    <w:p>
      <w:pPr>
        <w:spacing w:after="0" w:line="161" w:lineRule="exact"/>
        <w:rPr>
          <w:rFonts w:ascii="Times New Roman" w:cs="Times New Roman" w:eastAsia="Times New Roman" w:hAnsi="Times New Roman"/>
          <w:sz w:val="18"/>
          <w:szCs w:val="18"/>
          <w:color w:val="auto"/>
        </w:rPr>
      </w:pPr>
    </w:p>
    <w:p>
      <w:pPr>
        <w:ind w:right="540" w:firstLine="464"/>
        <w:spacing w:after="0" w:line="266" w:lineRule="auto"/>
        <w:tabs>
          <w:tab w:leader="none" w:pos="803"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or an Option Closing Date, as the case may be, an opinion of Paul Hastings LLP, counsel for the Depositary, dated the Closing Date or Option Closing Date, as the case may be, in form and substance reasonably satisfactory to the Underwriters.</w:t>
      </w:r>
    </w:p>
    <w:p>
      <w:pPr>
        <w:spacing w:after="0" w:line="176" w:lineRule="exact"/>
        <w:rPr>
          <w:rFonts w:ascii="Times New Roman" w:cs="Times New Roman" w:eastAsia="Times New Roman" w:hAnsi="Times New Roman"/>
          <w:sz w:val="18"/>
          <w:szCs w:val="18"/>
          <w:color w:val="auto"/>
        </w:rPr>
      </w:pPr>
    </w:p>
    <w:p>
      <w:pPr>
        <w:ind w:right="80" w:firstLine="464"/>
        <w:spacing w:after="0" w:line="258" w:lineRule="auto"/>
        <w:tabs>
          <w:tab w:leader="none" w:pos="843"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or Option Closing Date, as the case may be, a letter dated such date, in form and substance satisfactory to the Underwriters, from PricewaterhouseCoopers LLP, independent public accountants, containing statements and information of the type ordinarily included in accountants’ “comfort letters” to the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shall use a “cut-off date” not earlier than three business days prior to the date of such letter.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0" w:right="279" w:bottom="1440" w:gutter="0" w:footer="0" w:header="0"/>
        </w:sectPr>
      </w:pPr>
    </w:p>
    <w:bookmarkStart w:id="410" w:name="page411"/>
    <w:bookmarkEnd w:id="410"/>
    <w:p>
      <w:pPr>
        <w:jc w:val="both"/>
        <w:ind w:left="-20" w:right="100" w:firstLine="464"/>
        <w:spacing w:after="0" w:line="266" w:lineRule="auto"/>
        <w:tabs>
          <w:tab w:leader="none" w:pos="78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“lock-up” letters, each substantially in the form of Exhibit B hereto, executed by the individuals and entities listed on Schedule IV relating to sales and certain other dispositions of Ordinary Shares or certain other securities, delivered to the Representative on or before the date hereof, shall be in full force and effect on the Closing Date.</w:t>
      </w:r>
    </w:p>
    <w:p>
      <w:pPr>
        <w:spacing w:after="0" w:line="176" w:lineRule="exact"/>
        <w:rPr>
          <w:rFonts w:ascii="Times New Roman" w:cs="Times New Roman" w:eastAsia="Times New Roman" w:hAnsi="Times New Roman"/>
          <w:sz w:val="18"/>
          <w:szCs w:val="18"/>
          <w:color w:val="auto"/>
        </w:rPr>
      </w:pPr>
    </w:p>
    <w:p>
      <w:pPr>
        <w:ind w:left="-20" w:right="20" w:firstLine="464"/>
        <w:spacing w:after="0" w:line="261" w:lineRule="auto"/>
        <w:tabs>
          <w:tab w:leader="none" w:pos="87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shall have executed and delivered the Deposit Agreement and, in the case of the Company, the Depositary Side Letter, and the Deposit Agreement shall be in full force and effect on the Closing Date. The Company and the Depositary shall have taken all actions necessary to permit the deposit of the Shares and the issuance of the American Depositary Shares representing such Shares in accordance with the Deposit Agreement.</w:t>
      </w:r>
    </w:p>
    <w:p>
      <w:pPr>
        <w:spacing w:after="0" w:line="180" w:lineRule="exact"/>
        <w:rPr>
          <w:rFonts w:ascii="Times New Roman" w:cs="Times New Roman" w:eastAsia="Times New Roman" w:hAnsi="Times New Roman"/>
          <w:sz w:val="18"/>
          <w:szCs w:val="18"/>
          <w:color w:val="auto"/>
        </w:rPr>
      </w:pPr>
    </w:p>
    <w:p>
      <w:pPr>
        <w:ind w:left="-20" w:right="400" w:firstLine="464"/>
        <w:spacing w:after="0" w:line="261" w:lineRule="auto"/>
        <w:tabs>
          <w:tab w:leader="none" w:pos="82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furnished or caused to be furnished to the Underwriters a certificate satisfactory to the Representative of one of its authorized officers with respect to the deposit with it of the Shares against issuance of the American Depositary Shares, the execution, issuance, countersignature and delivery of the American Depositary Shares pursuant to the Deposit Agreement and such other matters related thereto as the Representative may reasonably request.</w:t>
      </w:r>
    </w:p>
    <w:p>
      <w:pPr>
        <w:spacing w:after="0" w:line="180" w:lineRule="exact"/>
        <w:rPr>
          <w:rFonts w:ascii="Times New Roman" w:cs="Times New Roman" w:eastAsia="Times New Roman" w:hAnsi="Times New Roman"/>
          <w:sz w:val="18"/>
          <w:szCs w:val="18"/>
          <w:color w:val="auto"/>
        </w:rPr>
      </w:pPr>
    </w:p>
    <w:p>
      <w:pPr>
        <w:ind w:left="-20" w:right="280" w:firstLine="464"/>
        <w:spacing w:after="0" w:line="282" w:lineRule="auto"/>
        <w:tabs>
          <w:tab w:leader="none" w:pos="82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Depositary Shares representing the Shares shall have been approved for listing on the NASDAQ Global Market, subject to only official notice of issuance.</w:t>
      </w:r>
    </w:p>
    <w:p>
      <w:pPr>
        <w:spacing w:after="0" w:line="161" w:lineRule="exact"/>
        <w:rPr>
          <w:rFonts w:ascii="Times New Roman" w:cs="Times New Roman" w:eastAsia="Times New Roman" w:hAnsi="Times New Roman"/>
          <w:sz w:val="18"/>
          <w:szCs w:val="18"/>
          <w:color w:val="auto"/>
        </w:rPr>
      </w:pPr>
    </w:p>
    <w:p>
      <w:pPr>
        <w:jc w:val="both"/>
        <w:ind w:left="-20" w:firstLine="464"/>
        <w:spacing w:after="0" w:line="261" w:lineRule="auto"/>
        <w:tabs>
          <w:tab w:leader="none" w:pos="82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under the Securities Act, the Company shall have filed a Rule 462 Registration Statement with the Commission in compliance with Rule 462(b) promptly after 4:00 p.m., New York City time, on the date of this Agreement, and the Company shall have at the time of filing either paid to the Commission the filing fee for the Rule 462 Registration Statement or given irrevocable instructions for the payment of such fee pursuant to Rule 111(b) under the Securities Act.</w:t>
      </w:r>
    </w:p>
    <w:p>
      <w:pPr>
        <w:spacing w:after="0" w:line="180" w:lineRule="exact"/>
        <w:rPr>
          <w:rFonts w:ascii="Times New Roman" w:cs="Times New Roman" w:eastAsia="Times New Roman" w:hAnsi="Times New Roman"/>
          <w:sz w:val="18"/>
          <w:szCs w:val="18"/>
          <w:color w:val="auto"/>
        </w:rPr>
      </w:pPr>
    </w:p>
    <w:p>
      <w:pPr>
        <w:ind w:left="-20" w:right="40" w:firstLine="464"/>
        <w:spacing w:after="0" w:line="266" w:lineRule="auto"/>
        <w:tabs>
          <w:tab w:leader="none" w:pos="82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76" w:lineRule="exact"/>
        <w:rPr>
          <w:rFonts w:ascii="Times New Roman" w:cs="Times New Roman" w:eastAsia="Times New Roman" w:hAnsi="Times New Roman"/>
          <w:sz w:val="18"/>
          <w:szCs w:val="18"/>
          <w:color w:val="auto"/>
        </w:rPr>
      </w:pPr>
    </w:p>
    <w:p>
      <w:pPr>
        <w:ind w:left="-20" w:right="60" w:firstLine="464"/>
        <w:spacing w:after="0" w:line="266" w:lineRule="auto"/>
        <w:tabs>
          <w:tab w:leader="none" w:pos="79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the ADS Registration Statement, any Rule 462 Registration Statement, or any post-effective amendment to the Registration Statement, shall be in effect and no proceedings for such purpose shall have been instituted or threatened by the Commission.</w:t>
      </w:r>
    </w:p>
    <w:p>
      <w:pPr>
        <w:spacing w:after="0" w:line="176" w:lineRule="exact"/>
        <w:rPr>
          <w:rFonts w:ascii="Times New Roman" w:cs="Times New Roman" w:eastAsia="Times New Roman" w:hAnsi="Times New Roman"/>
          <w:sz w:val="18"/>
          <w:szCs w:val="18"/>
          <w:color w:val="auto"/>
        </w:rPr>
      </w:pPr>
    </w:p>
    <w:p>
      <w:pPr>
        <w:ind w:left="-20" w:right="620" w:firstLine="464"/>
        <w:spacing w:after="0" w:line="282" w:lineRule="auto"/>
        <w:tabs>
          <w:tab w:leader="none" w:pos="80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or reasonableness of the underwriting, or other arrangements of the transactions contemplated hereby.</w:t>
      </w:r>
    </w:p>
    <w:p>
      <w:pPr>
        <w:spacing w:after="0" w:line="161" w:lineRule="exact"/>
        <w:rPr>
          <w:rFonts w:ascii="Times New Roman" w:cs="Times New Roman" w:eastAsia="Times New Roman" w:hAnsi="Times New Roman"/>
          <w:sz w:val="18"/>
          <w:szCs w:val="18"/>
          <w:color w:val="auto"/>
        </w:rPr>
      </w:pPr>
    </w:p>
    <w:p>
      <w:pPr>
        <w:ind w:left="-20" w:right="20" w:firstLine="464"/>
        <w:spacing w:after="0" w:line="258" w:lineRule="auto"/>
        <w:tabs>
          <w:tab w:leader="none" w:pos="78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or Option Closing Date, as the case may be, the Representative and counsel for the Underwriters shall have received such information, documents, certificates and opinions as they may reasonably require for the purposes of enabling them to pass upon the accuracy and completeness of any statement in the Registration Statement, the Time of Sale Prospectus and the Prospectus, issuance and sale of the Shares as contemplated herein, or in order to evidence the accuracy of any of the representations and warranties, or the satisfaction of any of the conditions or agreements, herein contained.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60" w:top="270" w:right="259" w:bottom="1440" w:gutter="0" w:footer="0" w:header="0"/>
        </w:sectPr>
      </w:pPr>
    </w:p>
    <w:bookmarkStart w:id="411" w:name="page412"/>
    <w:bookmarkEnd w:id="411"/>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several obligations of the Underwriters to purchase Additional Shares hereunder are subject to the delivery to the Representative on the applicable Option Closing Date of such documents as the Representative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Notwithstanding the immediately preceding paragraph, the Representative may in their sole discretion waive on behalf of the Underwriters compliance with any conditions to the obligations of the Underwriters hereunder, whether in respect of an Option Closing Date or otherwise.</w:t>
      </w:r>
    </w:p>
    <w:p>
      <w:pPr>
        <w:spacing w:after="0" w:line="266" w:lineRule="exact"/>
        <w:rPr>
          <w:sz w:val="20"/>
          <w:szCs w:val="20"/>
          <w:color w:val="auto"/>
        </w:rPr>
      </w:pPr>
    </w:p>
    <w:p>
      <w:pPr>
        <w:ind w:left="780" w:hanging="316"/>
        <w:spacing w:after="0"/>
        <w:tabs>
          <w:tab w:leader="none" w:pos="7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Covenants of the Company.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in addition to its other agreements and obligations hereunder, covenants with each Underwriter as follows:</w:t>
      </w:r>
    </w:p>
    <w:p>
      <w:pPr>
        <w:spacing w:after="0" w:line="225" w:lineRule="exact"/>
        <w:rPr>
          <w:sz w:val="20"/>
          <w:szCs w:val="20"/>
          <w:color w:val="auto"/>
        </w:rPr>
      </w:pPr>
    </w:p>
    <w:p>
      <w:pPr>
        <w:ind w:left="840" w:hanging="376"/>
        <w:spacing w:after="0"/>
        <w:tabs>
          <w:tab w:leader="none" w:pos="84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the Prospectus with the Commission within the time periods specified by Rule 424(b) and Rule 430A under the Securities Act.</w:t>
      </w:r>
    </w:p>
    <w:p>
      <w:pPr>
        <w:spacing w:after="0" w:line="225" w:lineRule="exact"/>
        <w:rPr>
          <w:rFonts w:ascii="Times New Roman" w:cs="Times New Roman" w:eastAsia="Times New Roman" w:hAnsi="Times New Roman"/>
          <w:sz w:val="18"/>
          <w:szCs w:val="18"/>
          <w:color w:val="auto"/>
        </w:rPr>
      </w:pPr>
    </w:p>
    <w:p>
      <w:pPr>
        <w:ind w:firstLine="464"/>
        <w:spacing w:after="0" w:line="258" w:lineRule="auto"/>
        <w:tabs>
          <w:tab w:leader="none" w:pos="84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 without charge, six signed copies of the Registration Statement and the ADS Registration Statement (including, in each case, exhibits thereto) and for delivery to each other Underwriter a conformed copy of the Registration Statement and the ADS Registration Statement (in each case, without exhibits thereto) and to furnish to the Representative in New York City, without charge, prior to 10:00 a.m. New York City time on the business day next succeeding the date of this Agreement and during the period mentioned in Sections 6(f) or 6(g) below, as many copies of the Time of Sale Prospectus, the Prospectus and any supplements and amendments thereto or to the Registration Statement as the Representative may reasonably request.</w:t>
      </w:r>
    </w:p>
    <w:p>
      <w:pPr>
        <w:spacing w:after="0" w:line="183" w:lineRule="exact"/>
        <w:rPr>
          <w:rFonts w:ascii="Times New Roman" w:cs="Times New Roman" w:eastAsia="Times New Roman" w:hAnsi="Times New Roman"/>
          <w:sz w:val="18"/>
          <w:szCs w:val="18"/>
          <w:color w:val="auto"/>
        </w:rPr>
      </w:pPr>
    </w:p>
    <w:p>
      <w:pPr>
        <w:ind w:right="40" w:firstLine="464"/>
        <w:spacing w:after="0" w:line="261" w:lineRule="auto"/>
        <w:tabs>
          <w:tab w:leader="none" w:pos="83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ADS Registration Statement, the Time of Sale Prospectus or the Prospectus, to furnish to the Representative a copy of each such proposed amendment or supplement and not to file any such proposed amendment or supplement to which the Representative reasonably objects, and to file with the Commission within the applicable period specified in Rule 424(b) under the Securities Act any prospectus required to be filed pursuant to such Rule.</w:t>
      </w:r>
    </w:p>
    <w:p>
      <w:pPr>
        <w:spacing w:after="0" w:line="180" w:lineRule="exact"/>
        <w:rPr>
          <w:rFonts w:ascii="Times New Roman" w:cs="Times New Roman" w:eastAsia="Times New Roman" w:hAnsi="Times New Roman"/>
          <w:sz w:val="18"/>
          <w:szCs w:val="18"/>
          <w:color w:val="auto"/>
        </w:rPr>
      </w:pPr>
    </w:p>
    <w:p>
      <w:pPr>
        <w:ind w:right="180" w:firstLine="464"/>
        <w:spacing w:after="0" w:line="282" w:lineRule="auto"/>
        <w:tabs>
          <w:tab w:leader="none" w:pos="84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 a copy of each proposed free writing prospectus to be prepared by or on behalf of, used by, or referred to by the Company and not to use or refer to any proposed free writing prospectus to which the Representative reasonably objects.</w:t>
      </w:r>
    </w:p>
    <w:p>
      <w:pPr>
        <w:spacing w:after="0" w:line="161" w:lineRule="exact"/>
        <w:rPr>
          <w:rFonts w:ascii="Times New Roman" w:cs="Times New Roman" w:eastAsia="Times New Roman" w:hAnsi="Times New Roman"/>
          <w:sz w:val="18"/>
          <w:szCs w:val="18"/>
          <w:color w:val="auto"/>
        </w:rPr>
      </w:pPr>
    </w:p>
    <w:p>
      <w:pPr>
        <w:ind w:right="80" w:firstLine="464"/>
        <w:spacing w:after="0" w:line="266" w:lineRule="auto"/>
        <w:tabs>
          <w:tab w:leader="none" w:pos="83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Representative,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0" w:right="259" w:bottom="1440" w:gutter="0" w:footer="0" w:header="0"/>
        </w:sectPr>
      </w:pPr>
    </w:p>
    <w:bookmarkStart w:id="412" w:name="page413"/>
    <w:bookmarkEnd w:id="412"/>
    <w:p>
      <w:pPr>
        <w:ind w:right="100" w:firstLine="464"/>
        <w:spacing w:after="0" w:line="254" w:lineRule="auto"/>
        <w:tabs>
          <w:tab w:leader="none" w:pos="81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9" w:lineRule="exact"/>
        <w:rPr>
          <w:rFonts w:ascii="Times New Roman" w:cs="Times New Roman" w:eastAsia="Times New Roman" w:hAnsi="Times New Roman"/>
          <w:sz w:val="18"/>
          <w:szCs w:val="18"/>
          <w:color w:val="auto"/>
        </w:rPr>
      </w:pPr>
    </w:p>
    <w:p>
      <w:pPr>
        <w:ind w:firstLine="464"/>
        <w:spacing w:after="0" w:line="254" w:lineRule="auto"/>
        <w:tabs>
          <w:tab w:leader="none" w:pos="84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 will furnish to the Company) to which Shares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86" w:lineRule="exact"/>
        <w:rPr>
          <w:rFonts w:ascii="Times New Roman" w:cs="Times New Roman" w:eastAsia="Times New Roman" w:hAnsi="Times New Roman"/>
          <w:sz w:val="18"/>
          <w:szCs w:val="18"/>
          <w:color w:val="auto"/>
        </w:rPr>
      </w:pPr>
    </w:p>
    <w:p>
      <w:pPr>
        <w:ind w:right="900" w:firstLine="464"/>
        <w:spacing w:after="0" w:line="282" w:lineRule="auto"/>
        <w:tabs>
          <w:tab w:leader="none" w:pos="84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Shares and the American Depositary Shares for offer and sale under the securities or Blue Sky laws of such jurisdictions as the Representative shall reasonably request.</w:t>
      </w:r>
    </w:p>
    <w:p>
      <w:pPr>
        <w:spacing w:after="0" w:line="161" w:lineRule="exact"/>
        <w:rPr>
          <w:rFonts w:ascii="Times New Roman" w:cs="Times New Roman" w:eastAsia="Times New Roman" w:hAnsi="Times New Roman"/>
          <w:sz w:val="18"/>
          <w:szCs w:val="18"/>
          <w:color w:val="auto"/>
        </w:rPr>
      </w:pPr>
    </w:p>
    <w:p>
      <w:pPr>
        <w:ind w:left="820" w:hanging="356"/>
        <w:spacing w:after="0"/>
        <w:tabs>
          <w:tab w:leader="none" w:pos="82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list, subject to notice of issuance, the American Depositary Shares on the NASDAQ Global Market.</w:t>
      </w:r>
    </w:p>
    <w:p>
      <w:pPr>
        <w:spacing w:after="0" w:line="225" w:lineRule="exact"/>
        <w:rPr>
          <w:rFonts w:ascii="Times New Roman" w:cs="Times New Roman" w:eastAsia="Times New Roman" w:hAnsi="Times New Roman"/>
          <w:sz w:val="18"/>
          <w:szCs w:val="18"/>
          <w:color w:val="auto"/>
        </w:rPr>
      </w:pPr>
    </w:p>
    <w:p>
      <w:pPr>
        <w:ind w:right="60" w:firstLine="464"/>
        <w:spacing w:after="0" w:line="258" w:lineRule="auto"/>
        <w:tabs>
          <w:tab w:leader="none" w:pos="80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the Representative promptly and confirming such advice in writing, of any request by the Commission for amendments or supplements to the Registration Statement, the ADS Registration Statement, the Form 8-A Registration Statement, any Time of Sale Prospectus, Prospectus or free writing prospectus or for additional information with respect thereto, or of notice of institution of proceedings for, or the entry of a stop order, suspending the effectiveness of the Registration Statement or the ADS Registration Statement and, if the Commission should enter a stop order suspending the effectiveness of the Registration Statement or the ADS Registration Statement, to use its best efforts to obtain the lifting or removal of such order as soon as possible.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69" w:right="239" w:bottom="1440" w:gutter="0" w:footer="0" w:header="0"/>
        </w:sectPr>
      </w:pPr>
    </w:p>
    <w:bookmarkStart w:id="413" w:name="page414"/>
    <w:bookmarkEnd w:id="413"/>
    <w:p>
      <w:pPr>
        <w:ind w:firstLine="464"/>
        <w:spacing w:after="0" w:line="261" w:lineRule="auto"/>
        <w:tabs>
          <w:tab w:leader="none" w:pos="84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generally available to the Company’s security holders and to the Representative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(including, but not limited to, Rule 158 under the Securities Act).</w:t>
      </w:r>
    </w:p>
    <w:p>
      <w:pPr>
        <w:spacing w:after="0" w:line="180" w:lineRule="exact"/>
        <w:rPr>
          <w:rFonts w:ascii="Times New Roman" w:cs="Times New Roman" w:eastAsia="Times New Roman" w:hAnsi="Times New Roman"/>
          <w:sz w:val="18"/>
          <w:szCs w:val="18"/>
          <w:color w:val="auto"/>
        </w:rPr>
      </w:pPr>
    </w:p>
    <w:p>
      <w:pPr>
        <w:ind w:firstLine="464"/>
        <w:spacing w:after="0" w:line="255" w:lineRule="auto"/>
        <w:tabs>
          <w:tab w:leader="none" w:pos="80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when the Prospectus is required to be delivered under the Securities Act, to file all documents required to be filed with the Commission pursuant to the Exchange Act within the time periods required by the Exchange Act and the rules and regulations of the Commission thereunder; during the five-year period after the date of this Agreement, to furnish to the Representative and, upon request, to each of the other Underwriters, as soon as practicable after the end of each fiscal year, a copy of its annual report to shareholders for such year; and to furnish to the Representative (i) as soon as available, a copy of each report and any definitive proxy statement of the Company filed with or furnished to the Commission under the Exchange Act or mailed to shareholders, and (ii) from time to time, such other information concerning the Company as the Representative may reasonably request. However, so long as the Company is subject to the reporting requirements of either Section 13 or Section 15(d) of the Exchange Act and is timely filing reports with the Commission on its EDGAR reporting system, it is not required to furnish such reports or statements filed through EDGAR to the Underwriters.</w:t>
      </w:r>
    </w:p>
    <w:p>
      <w:pPr>
        <w:spacing w:after="0" w:line="185" w:lineRule="exact"/>
        <w:rPr>
          <w:rFonts w:ascii="Times New Roman" w:cs="Times New Roman" w:eastAsia="Times New Roman" w:hAnsi="Times New Roman"/>
          <w:sz w:val="18"/>
          <w:szCs w:val="18"/>
          <w:color w:val="auto"/>
        </w:rPr>
      </w:pPr>
    </w:p>
    <w:p>
      <w:pPr>
        <w:ind w:right="20" w:firstLine="464"/>
        <w:spacing w:after="0" w:line="254" w:lineRule="auto"/>
        <w:tabs>
          <w:tab w:leader="none" w:pos="89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without the prior written consent of the Representative on behalf of the Underwriters, will not, during the period ending 180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(i) offer, pledge, sell, contract to sell, sell any option or contract to purchase, purchase any option or contract to sell, grant any option, right or warrant to purchase, lend, or otherwise transfer or dispose of, directly or indirectly, any Ordinary Shares, American Depositary Shares or any securities convertible into or exercisable or exchangeable for Ordinary Shares or American Depositary Shares or (ii) enter into any swap or other arrangement that transfers to another, in whole or in part, any of the economic consequences of ownership of the Ordinary Shares or American Depositary Shares, whether any such transaction described in clause (i) or (ii) above is to be settled by delivery of Ordinary Shares, American Depositary Shares or such other securities, in cash or otherwise or (iii) file any registration statement with the Commission relating to the offering of any Ordinary Shares, American Depositary Shares or any securities convertible into or exercisable or exchangeable for Ordinary Shares or American Depositary Shares.</w:t>
      </w:r>
    </w:p>
    <w:p>
      <w:pPr>
        <w:spacing w:after="0" w:line="18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restrictions contained in the preceding paragraph shall not apply to (i) the Shares to be sold hereunder, (ii) the issuance by the Company of Ordinary Shares upon the exercise of an option or warrant or the conversion of a security outstanding on the date hereof of which the Underwriters have been advised in writing and grants of employee share awards pursuant to the Company’s share incentive plans of which the Underwriters have been advised in writing and the issuance of Ordinary Shares pursuant to the exercise of such share awards, or (iii) the establishment of a trading plan pursuant to Rule 10b5-1 under the Exchange Act for the transfer of Securities, provided that (A) such plan does not provide for the transfer of Securities during the Restricted Period and (B) no public announcement shall be made regarding the establishment of such plan.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69" w:right="259" w:bottom="1440" w:gutter="0" w:footer="0" w:header="0"/>
        </w:sectPr>
      </w:pPr>
    </w:p>
    <w:bookmarkStart w:id="414" w:name="page415"/>
    <w:bookmarkEnd w:id="414"/>
    <w:p>
      <w:pPr>
        <w:ind w:left="-20" w:right="40" w:firstLine="464"/>
        <w:spacing w:after="0" w:line="256" w:lineRule="auto"/>
        <w:tabs>
          <w:tab w:leader="none" w:pos="82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apply the net proceeds to the Company from the sale of the Shares in the manner set forth under the heading “Use of Proceeds” in the Time of Sale Prospectus and the Prospectus and to file such reports with the Commission with respect to the sale of the Shares and the application of the proceeds therefrom as may be required by Rule 463 under the Securities Act; not to invest, or otherwise use the proceeds received by the Company from its sale of the American Depositary Shares in such a manner (i) as would require the Company or any of the Subsidiaries and Affiliated Entities to register as an investment company under the 1940 Act, and (ii) that would result in the Company being not in compliance with any applicable laws, rules and regulations of the State Administration of Foreign Exchange of the PRC.</w:t>
      </w:r>
    </w:p>
    <w:p>
      <w:pPr>
        <w:spacing w:after="0" w:line="187" w:lineRule="exact"/>
        <w:rPr>
          <w:rFonts w:ascii="Times New Roman" w:cs="Times New Roman" w:eastAsia="Times New Roman" w:hAnsi="Times New Roman"/>
          <w:sz w:val="18"/>
          <w:szCs w:val="18"/>
          <w:color w:val="auto"/>
        </w:rPr>
      </w:pPr>
    </w:p>
    <w:p>
      <w:pPr>
        <w:ind w:left="-20" w:right="120" w:firstLine="464"/>
        <w:spacing w:after="0" w:line="266" w:lineRule="auto"/>
        <w:tabs>
          <w:tab w:leader="none" w:pos="82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cause each of its Subsidiaries and Affiliated Entities not to, take, directly or indirectly, any action designed to or that would constitute or that might reasonably be expected to cause or result in the stabilization or manipulation of the price of any security of the Company to facilitate the sale or resale of the Shares or the American Depositary Shares.</w:t>
      </w:r>
    </w:p>
    <w:p>
      <w:pPr>
        <w:spacing w:after="0" w:line="176" w:lineRule="exact"/>
        <w:rPr>
          <w:rFonts w:ascii="Times New Roman" w:cs="Times New Roman" w:eastAsia="Times New Roman" w:hAnsi="Times New Roman"/>
          <w:sz w:val="18"/>
          <w:szCs w:val="18"/>
          <w:color w:val="auto"/>
        </w:rPr>
      </w:pPr>
    </w:p>
    <w:p>
      <w:pPr>
        <w:ind w:left="-20" w:firstLine="464"/>
        <w:spacing w:after="0" w:line="252" w:lineRule="auto"/>
        <w:tabs>
          <w:tab w:leader="none" w:pos="82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will indemnify and hold harmless the Underwriters against any stamp, issuance, registration, documentary, transaction, transfer, withholding, income or other similar taxes or duties, including any interest and penalties, on the creation, allotment, issue and sale of the Shares or American Depositary Shares to the Underwriters and on the execution and delivery of, the performance of the obligations under this Agreement or the Deposit Agreement and enforcement of this Agreement; (ii) all payments made by the Company hereunder shall be made free and clear of and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 provided, that such additional amount shall not be paid to an Underwriter on account of (including any combination of) (A) taxes which would not have been imposed but for the Underwriter having been a resident of the jurisdiction imposing such taxes or being or having been present or engaged in a trade or business therein or having had a permanent establishment therein, or (B) any taxes imposed or withheld as a result of the failure by such Underwriter to comply with a reasonable request of the Company that such Underwriter provide certification, information, documents or other evidence concerning the nationality, residence or identity of the Underwriter, which is required by a statute, treaty, regulation or administrative practice of the jurisdiction imposing such taxes as a precondition to exemption from all or part of such taxes, provided that the information is readily available to the Underwriter (or could be available using reasonable efforts); (iii) all payments by the Company to the Underwriters hereunder shall be considered exclusive of any value added or similar taxes. Where the Company is obliged to pay value added or similar tax on any amount payable hereunder to the Underwriters, the Company shall pay such additional amounts equal to any applicable value added or similar tax.</w:t>
      </w:r>
    </w:p>
    <w:p>
      <w:pPr>
        <w:spacing w:after="0" w:line="196" w:lineRule="exact"/>
        <w:rPr>
          <w:rFonts w:ascii="Times New Roman" w:cs="Times New Roman" w:eastAsia="Times New Roman" w:hAnsi="Times New Roman"/>
          <w:sz w:val="18"/>
          <w:szCs w:val="18"/>
          <w:color w:val="auto"/>
        </w:rPr>
      </w:pPr>
    </w:p>
    <w:p>
      <w:pPr>
        <w:ind w:left="-20" w:right="320" w:firstLine="464"/>
        <w:spacing w:after="0" w:line="282" w:lineRule="auto"/>
        <w:tabs>
          <w:tab w:leader="none" w:pos="82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terms of the Deposit Agreement so that the American Depositary Shares will be issued by the Depositary and delivered to each Underwriter’s participant account in DTC, pursuant to this Agreement on the Closing Date and each applicable Option Closing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60" w:top="270" w:right="259" w:bottom="1440" w:gutter="0" w:footer="0" w:header="0"/>
        </w:sectPr>
      </w:pPr>
    </w:p>
    <w:bookmarkStart w:id="415" w:name="page416"/>
    <w:bookmarkEnd w:id="415"/>
    <w:p>
      <w:pPr>
        <w:ind w:left="-8" w:right="40" w:firstLine="464"/>
        <w:spacing w:after="0" w:line="258" w:lineRule="auto"/>
        <w:tabs>
          <w:tab w:leader="none" w:pos="853"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it will not attempt to avoid any judgment in connection with this Agreement obtained by it, applied to it, or denied to it in a court of competent jurisdiction outside the Cayman Islands; (ii) following the consummation of the offering, to use its reasonable efforts to obtain and maintain all approvals required in the Cayman Islands to pay and remit outside the Cayman Islands all dividends declared by the Company and payable on the Ordinary Shares, if any; and (iii) to use its reasonable efforts to obtain and maintain all approvals, if any, required in the Cayman Islands for the Company to acquire sufficient foreign exchange for the payment of dividends and all other relevant purposes.</w:t>
      </w:r>
    </w:p>
    <w:p>
      <w:pPr>
        <w:spacing w:after="0" w:line="183" w:lineRule="exact"/>
        <w:rPr>
          <w:rFonts w:ascii="Times New Roman" w:cs="Times New Roman" w:eastAsia="Times New Roman" w:hAnsi="Times New Roman"/>
          <w:sz w:val="18"/>
          <w:szCs w:val="18"/>
          <w:color w:val="auto"/>
        </w:rPr>
      </w:pPr>
    </w:p>
    <w:p>
      <w:pPr>
        <w:ind w:left="-8" w:firstLine="464"/>
        <w:spacing w:after="0" w:line="261" w:lineRule="auto"/>
        <w:tabs>
          <w:tab w:leader="none" w:pos="815"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PRC Overseas Investment and Listing Regulations, and to use its reasonable efforts to cause holders of its ordinary shares that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the SAFE).</w:t>
      </w:r>
    </w:p>
    <w:p>
      <w:pPr>
        <w:spacing w:after="0" w:line="180" w:lineRule="exact"/>
        <w:rPr>
          <w:rFonts w:ascii="Times New Roman" w:cs="Times New Roman" w:eastAsia="Times New Roman" w:hAnsi="Times New Roman"/>
          <w:sz w:val="18"/>
          <w:szCs w:val="18"/>
          <w:color w:val="auto"/>
        </w:rPr>
      </w:pPr>
    </w:p>
    <w:p>
      <w:pPr>
        <w:ind w:left="-8" w:right="80" w:firstLine="464"/>
        <w:spacing w:after="0" w:line="282" w:lineRule="auto"/>
        <w:tabs>
          <w:tab w:leader="none" w:pos="795"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implement and maintain reasonable measures in compliance with PRC laws and regulations concerning copyrights, information dissemination over the Internet, user privacy protection and advertising.</w:t>
      </w:r>
    </w:p>
    <w:p>
      <w:pPr>
        <w:spacing w:after="0" w:line="161" w:lineRule="exact"/>
        <w:rPr>
          <w:rFonts w:ascii="Times New Roman" w:cs="Times New Roman" w:eastAsia="Times New Roman" w:hAnsi="Times New Roman"/>
          <w:sz w:val="18"/>
          <w:szCs w:val="18"/>
          <w:color w:val="auto"/>
        </w:rPr>
      </w:pPr>
    </w:p>
    <w:p>
      <w:pPr>
        <w:ind w:left="852" w:hanging="396"/>
        <w:spacing w:after="0"/>
        <w:tabs>
          <w:tab w:leader="none" w:pos="852" w:val="left"/>
        </w:tabs>
        <w:numPr>
          <w:ilvl w:val="1"/>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promptly notify the Representative if the Company ceases to be an Emerging Growth Company at any time prior to the later of</w:t>
      </w:r>
    </w:p>
    <w:p>
      <w:pPr>
        <w:spacing w:after="0" w:line="38"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distribution of the Shares within the meaning of the Securities Act and (b) completion of the Restricted Period.</w:t>
      </w:r>
    </w:p>
    <w:p>
      <w:pPr>
        <w:spacing w:after="0" w:line="206" w:lineRule="exact"/>
        <w:rPr>
          <w:rFonts w:ascii="Times New Roman" w:cs="Times New Roman" w:eastAsia="Times New Roman" w:hAnsi="Times New Roman"/>
          <w:sz w:val="18"/>
          <w:szCs w:val="18"/>
          <w:color w:val="auto"/>
        </w:rPr>
      </w:pPr>
    </w:p>
    <w:p>
      <w:pPr>
        <w:ind w:left="-8" w:right="20" w:firstLine="464"/>
        <w:spacing w:after="0" w:line="258" w:lineRule="auto"/>
        <w:tabs>
          <w:tab w:leader="none" w:pos="838"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w:t>
      </w:r>
    </w:p>
    <w:p>
      <w:pPr>
        <w:spacing w:after="0" w:line="183" w:lineRule="exact"/>
        <w:rPr>
          <w:rFonts w:ascii="Times New Roman" w:cs="Times New Roman" w:eastAsia="Times New Roman" w:hAnsi="Times New Roman"/>
          <w:sz w:val="18"/>
          <w:szCs w:val="18"/>
          <w:color w:val="auto"/>
        </w:rPr>
      </w:pPr>
    </w:p>
    <w:p>
      <w:pPr>
        <w:ind w:left="-8" w:right="220" w:firstLine="464"/>
        <w:spacing w:after="0" w:line="282" w:lineRule="auto"/>
        <w:tabs>
          <w:tab w:leader="none" w:pos="87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release the Depositary from the obligations set forth in, or otherwise amend, terminate, fail to enforce or provide any consent under, the Depositary Side Letter during the Restricted Period without the prior written consents of the Representative.</w:t>
      </w:r>
    </w:p>
    <w:p>
      <w:pPr>
        <w:spacing w:after="0" w:line="161" w:lineRule="exact"/>
        <w:rPr>
          <w:rFonts w:ascii="Times New Roman" w:cs="Times New Roman" w:eastAsia="Times New Roman" w:hAnsi="Times New Roman"/>
          <w:sz w:val="18"/>
          <w:szCs w:val="18"/>
          <w:color w:val="auto"/>
        </w:rPr>
      </w:pPr>
    </w:p>
    <w:p>
      <w:pPr>
        <w:ind w:left="-8" w:right="640" w:firstLine="464"/>
        <w:spacing w:after="0" w:line="266" w:lineRule="auto"/>
        <w:tabs>
          <w:tab w:leader="none" w:pos="838"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will have purchased insurance covering its directors and officers for liabilities or losses arising in connection with this offering, including, without limitation, liabilities or losses arising under the Securities Act, the Exchange Act and the rules and regulations thereof.</w:t>
      </w:r>
    </w:p>
    <w:p>
      <w:pPr>
        <w:spacing w:after="0" w:line="1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72"/>
          </w:cols>
          <w:pgMar w:left="248" w:top="270" w:right="279" w:bottom="1440" w:gutter="0" w:footer="0" w:header="0"/>
        </w:sectPr>
      </w:pPr>
    </w:p>
    <w:bookmarkStart w:id="416" w:name="page417"/>
    <w:bookmarkEnd w:id="416"/>
    <w:p>
      <w:pPr>
        <w:ind w:firstLine="464"/>
        <w:spacing w:after="0" w:line="252" w:lineRule="auto"/>
        <w:tabs>
          <w:tab w:leader="none" w:pos="861"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Times New Roman" w:cs="Times New Roman" w:eastAsia="Times New Roman" w:hAnsi="Times New Roman"/>
          <w:sz w:val="18"/>
          <w:szCs w:val="18"/>
          <w:color w:val="auto"/>
        </w:rPr>
        <w:t>. Whether or not the transactions contemplated in this Agreement are consummated or this Agreement is terminated,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agrees to pay or cause to be paid all expenses incident to the performance of its obligations under this Agreement (and any taxes thereof), including: (i) the fees, disbursements and expenses of the Company’s counsel and the Company’s accountants in connection with the registration and delivery of the Shares and the American Depositary Shares under the Securities Act and all other fees or expenses in connection with the preparation and filing of the Registration Statement, the ADS Registration Statement, the Form 8-A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and the American Depositary Shares to the Underwriters, including any transfer or other taxes payable thereon, (iii) the cost of printing or producing any Blue Sky or Legal Investment memorandum in connection with the offer and sale of the Shares or the American Depositary Shares under state securities laws and all expenses in connection with the qualification of the Shares and American Depositary Shares for offer and sale under state securities laws as provided in Section 6(h) hereof, (iv) all filing fees in connection with the review and qualification of the offering of the Shares by FINRA, (v) all fees and expenses in connection with the preparation and filing of the registration statement on Form 8-A relating to the American Depositary Shares and all costs and expenses incident to listing the Shares on the NASDAQ Global Market,</w:t>
      </w:r>
    </w:p>
    <w:p>
      <w:pPr>
        <w:spacing w:after="0" w:line="6" w:lineRule="exact"/>
        <w:rPr>
          <w:rFonts w:ascii="Times New Roman" w:cs="Times New Roman" w:eastAsia="Times New Roman" w:hAnsi="Times New Roman"/>
          <w:sz w:val="18"/>
          <w:szCs w:val="18"/>
          <w:color w:val="auto"/>
        </w:rPr>
      </w:pPr>
    </w:p>
    <w:p>
      <w:pPr>
        <w:ind w:right="180" w:firstLine="8"/>
        <w:spacing w:after="0" w:line="265" w:lineRule="auto"/>
        <w:tabs>
          <w:tab w:leader="none" w:pos="305" w:val="left"/>
        </w:tabs>
        <w:numPr>
          <w:ilvl w:val="0"/>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reasonable fees of counsel incurred in connection with the distribution and sale of the American Depositary Shares into Canada, if any, (vii) the cost of printing certificates representing the Shares or the American Depositary Shares, (viii) the costs and charges of any transfer agent, registrar or depositary,</w:t>
      </w:r>
    </w:p>
    <w:p>
      <w:pPr>
        <w:ind w:firstLine="8"/>
        <w:spacing w:after="0" w:line="251" w:lineRule="auto"/>
        <w:tabs>
          <w:tab w:leader="none" w:pos="30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investor presentations on any “road show” undertaken in connection with the marketing of the offering of the American Depositary Shares, including, without limitation, expenses associated with the preparation or dissemination of any electronic road show, expenses associated with the production of road show slides and graphics, expenses associated with hosting investor meetings or luncheons, fees and expenses of any consultants engaged in connection with the road show presentations with the prior approval of the Company and travel, meals and lodging expenses of any such consultants and the Company’s representatives, (x) the document production charges and expenses associated with printing this Agreement and (xi) all other costs and expenses incident to the performance of the obligations of the Company hereunder for which provision is not otherwise made in this Section. It is understood, however, that except as provided in the paragraph immediately below, Section 9 entitled “Indemnity and Contribution” and the last paragraph of Section 11 below, the Underwriters will pay all of their costs and expenses, including any advertising expenses connected with any offers they may make. It is further understood that, notwithstanding anything in this paragraph, the expense allowance and reimbursement the underwriters are entitled to shall be limited to the amount set out in the paragraph immediately below.</w:t>
      </w:r>
    </w:p>
    <w:p>
      <w:pPr>
        <w:spacing w:after="0" w:line="194" w:lineRule="exact"/>
        <w:rPr>
          <w:sz w:val="20"/>
          <w:szCs w:val="20"/>
          <w:color w:val="auto"/>
        </w:rPr>
      </w:pPr>
    </w:p>
    <w:p>
      <w:pPr>
        <w:ind w:right="200" w:firstLine="456"/>
        <w:spacing w:after="0" w:line="276" w:lineRule="auto"/>
        <w:rPr>
          <w:sz w:val="20"/>
          <w:szCs w:val="20"/>
          <w:color w:val="auto"/>
        </w:rPr>
      </w:pPr>
      <w:r>
        <w:rPr>
          <w:rFonts w:ascii="Times New Roman" w:cs="Times New Roman" w:eastAsia="Times New Roman" w:hAnsi="Times New Roman"/>
          <w:sz w:val="17"/>
          <w:szCs w:val="17"/>
          <w:color w:val="auto"/>
        </w:rPr>
        <w:t>The Company agrees to provide the Representative a non-accountable expense allowance of 1% of the gross proceeds from the offering of the Shares and reimburse the Representative up to US$125,000 to cover its out-of-pocket expenses related to the offering of the Shares, including but not limited to:</w:t>
      </w:r>
    </w:p>
    <w:p>
      <w:pPr>
        <w:spacing w:after="0" w:line="1" w:lineRule="exact"/>
        <w:rPr>
          <w:sz w:val="20"/>
          <w:szCs w:val="20"/>
          <w:color w:val="auto"/>
        </w:rPr>
      </w:pPr>
    </w:p>
    <w:p>
      <w:pPr>
        <w:ind w:right="40" w:firstLine="8"/>
        <w:spacing w:after="0" w:line="253" w:lineRule="auto"/>
        <w:tabs>
          <w:tab w:leader="none" w:pos="21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travel and out-of-pocket expenses; (ii) reasonable fees of legal counsel incurred by the Representative in connection with the offering of the Shares; (iii) the cost of any due diligence meetings; and (iv) preparation of bound volumes and Lucite cube mementos in such quantities as the Representative may reasonably request. In addition, the Company agrees to reimburse the Underwriters US$500,000 for the fees and expenses of the Underwriters’ counsel, including the reasonable fees and disbursements of counsel to the Underwriters incurred in connection with the review and qualification of the offering of the Shares by FINRA.</w:t>
      </w:r>
    </w:p>
    <w:p>
      <w:pPr>
        <w:spacing w:after="0" w:line="18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this Agreement is terminated by the Representative pursuant to Section 5, Section 10 or Section 11, or if the sale to the Underwriters of the ADSs on the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ADSs, including, but not limited to, fees and disbursements of counsel, printing expenses, travel expenses, postage, facsimile and telephone charges, subject to the limit set forth in the paragraph immediately above.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66" w:right="239" w:bottom="1440" w:gutter="0" w:footer="0" w:header="0"/>
        </w:sectPr>
      </w:pPr>
    </w:p>
    <w:bookmarkStart w:id="417" w:name="page418"/>
    <w:bookmarkEnd w:id="417"/>
    <w:p>
      <w:pPr>
        <w:ind w:left="-20" w:right="120" w:firstLine="464"/>
        <w:spacing w:after="0" w:line="268" w:lineRule="auto"/>
        <w:tabs>
          <w:tab w:leader="none" w:pos="751"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Underwriter severally covenants with the Company not to take any action that would result in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278"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Indemnity and Contribution.</w:t>
      </w:r>
    </w:p>
    <w:p>
      <w:pPr>
        <w:spacing w:after="0" w:line="121" w:lineRule="exact"/>
        <w:rPr>
          <w:sz w:val="20"/>
          <w:szCs w:val="20"/>
          <w:color w:val="auto"/>
        </w:rPr>
      </w:pPr>
    </w:p>
    <w:p>
      <w:pPr>
        <w:ind w:left="-20" w:firstLine="464"/>
        <w:spacing w:after="0" w:line="252" w:lineRule="auto"/>
        <w:tabs>
          <w:tab w:leader="none" w:pos="813"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each director, officer, employee,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the ADS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or the Prospectus or any amendment or supplement thereto, or any Written Testing-the-Waters Communication caused by any omission or alleged omission to state therein a material fact required to be stated therein or necessary to make the statements therein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except insofar as such losses, claims, damages or liabilities are caused by any such untrue statement or omission or alleged untrue statement or omission based upon information furnished to the Company in writing by such Underwriter through the Representative expressly for use therein.</w:t>
      </w:r>
    </w:p>
    <w:p>
      <w:pPr>
        <w:spacing w:after="0" w:line="198" w:lineRule="exact"/>
        <w:rPr>
          <w:rFonts w:ascii="Times New Roman" w:cs="Times New Roman" w:eastAsia="Times New Roman" w:hAnsi="Times New Roman"/>
          <w:sz w:val="18"/>
          <w:szCs w:val="18"/>
          <w:color w:val="auto"/>
        </w:rPr>
      </w:pPr>
    </w:p>
    <w:p>
      <w:pPr>
        <w:ind w:left="-20" w:right="40" w:firstLine="464"/>
        <w:spacing w:after="0" w:line="255" w:lineRule="auto"/>
        <w:tabs>
          <w:tab w:leader="none" w:pos="82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furnished to the Company in writing by such Underwriter through the Representative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name of the Underwriters appearing in the first paragraph, and the concession figures appearing in the fifth paragraph under the caption “Underwriting”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60" w:top="265" w:right="239" w:bottom="1440" w:gutter="0" w:footer="0" w:header="0"/>
        </w:sectPr>
      </w:pPr>
    </w:p>
    <w:bookmarkStart w:id="418" w:name="page419"/>
    <w:bookmarkEnd w:id="418"/>
    <w:p>
      <w:pPr>
        <w:ind w:left="-20" w:firstLine="464"/>
        <w:spacing w:after="0" w:line="251" w:lineRule="auto"/>
        <w:tabs>
          <w:tab w:leader="none" w:pos="81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proceeding (including any governmental investigation) shall be instituted involving any person in respect of which indemnity may be sought pursuant to Section 9(a), or 9(b),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persons, and that all such fees and expenses shall be reimbursed as they are incurred. In the case of any such separate firm for the Underwriters and such control persons and affiliates of any Underwriters, such firm shall be designated in writing by the Representative.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60" w:top="270" w:right="239" w:bottom="1440" w:gutter="0" w:footer="0" w:header="0"/>
        </w:sectPr>
      </w:pPr>
    </w:p>
    <w:bookmarkStart w:id="419" w:name="page420"/>
    <w:bookmarkEnd w:id="419"/>
    <w:p>
      <w:pPr>
        <w:ind w:left="-60" w:right="20" w:firstLine="464"/>
        <w:spacing w:after="0" w:line="252" w:lineRule="auto"/>
        <w:tabs>
          <w:tab w:leader="none" w:pos="783"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spacing w:after="0" w:line="194" w:lineRule="exact"/>
        <w:rPr>
          <w:rFonts w:ascii="Times New Roman" w:cs="Times New Roman" w:eastAsia="Times New Roman" w:hAnsi="Times New Roman"/>
          <w:sz w:val="18"/>
          <w:szCs w:val="18"/>
          <w:color w:val="auto"/>
        </w:rPr>
      </w:pPr>
    </w:p>
    <w:p>
      <w:pPr>
        <w:ind w:left="-60" w:firstLine="464"/>
        <w:spacing w:after="0" w:line="253" w:lineRule="auto"/>
        <w:tabs>
          <w:tab w:leader="none" w:pos="773"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9 were determined by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allocation (even if the Underwriters were treated as one entity for such purpose) or by any other method of allocation that does not take account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equitable considerations referred to in Section 9(d). The amount paid or payable by an indemnified party as a result of the losses, claims, damages and liabilities referred to in Section 9 (d) shall be deemed to include, subject to the limitations set forth above, any legal or other expenses reasonably incurred by such indemnified party in connection with investigating or defending any such action or claim. Notwithstanding the provisions of this Section 9,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9(d)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94" w:lineRule="exact"/>
        <w:rPr>
          <w:rFonts w:ascii="Times New Roman" w:cs="Times New Roman" w:eastAsia="Times New Roman" w:hAnsi="Times New Roman"/>
          <w:sz w:val="18"/>
          <w:szCs w:val="18"/>
          <w:color w:val="auto"/>
        </w:rPr>
      </w:pPr>
    </w:p>
    <w:p>
      <w:pPr>
        <w:ind w:left="-60" w:firstLine="464"/>
        <w:spacing w:after="0" w:line="261" w:lineRule="auto"/>
        <w:tabs>
          <w:tab w:leader="none" w:pos="753"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9 and Section 6(p) and the representations, warranties and other statements of the Company contained in this Agreement shall remain operative and in full force and effect regardless of (i) any termination of this Agreement, (ii) any investigation made by or on behalf of (A) any Underwriter, any person controlling any Underwriter or any affiliate of any Underwriter, or (B) the Company, its officers or directors or any person controlling the Company and (iii) acceptance of and payment for any of the Shares.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00"/>
          </w:cols>
          <w:pgMar w:left="300" w:top="270" w:right="299" w:bottom="1440" w:gutter="0" w:footer="0" w:header="0"/>
        </w:sectPr>
      </w:pPr>
    </w:p>
    <w:bookmarkStart w:id="420" w:name="page421"/>
    <w:bookmarkEnd w:id="420"/>
    <w:p>
      <w:pPr>
        <w:jc w:val="both"/>
        <w:ind w:right="200" w:firstLine="464"/>
        <w:spacing w:after="0" w:line="274" w:lineRule="auto"/>
        <w:tabs>
          <w:tab w:leader="none" w:pos="861" w:val="left"/>
        </w:tabs>
        <w:numPr>
          <w:ilvl w:val="1"/>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Times New Roman" w:cs="Times New Roman" w:eastAsia="Times New Roman" w:hAnsi="Times New Roman"/>
          <w:sz w:val="17"/>
          <w:szCs w:val="17"/>
          <w:color w:val="auto"/>
        </w:rPr>
        <w:t>. The Underwriters may terminate this Agreement by notice given by the Representative to the Company, if after the execution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delivery of this Agreement and prior to the Closing Date (i) trading generally shall have been suspended or materially limited on, or by, as the case may be, any of the New York Stock Exchange, the NYSE MKT, the NASDAQ Global Market, The Hong Kong Stock Exchange or other relevant exchanges,</w:t>
      </w:r>
    </w:p>
    <w:p>
      <w:pPr>
        <w:spacing w:after="0" w:line="1" w:lineRule="exact"/>
        <w:rPr>
          <w:rFonts w:ascii="Times New Roman" w:cs="Times New Roman" w:eastAsia="Times New Roman" w:hAnsi="Times New Roman"/>
          <w:sz w:val="17"/>
          <w:szCs w:val="17"/>
          <w:color w:val="auto"/>
        </w:rPr>
      </w:pPr>
    </w:p>
    <w:p>
      <w:pPr>
        <w:ind w:right="60" w:firstLine="8"/>
        <w:spacing w:after="0" w:line="252" w:lineRule="auto"/>
        <w:tabs>
          <w:tab w:leader="none" w:pos="26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of any securities of the Company shall have been suspended on any exchange or in any over-the-counter market, (iii) a material disruption in securities settlement, payment or clearance services in the United States, the PRC or the Cayman Islands shall have occurred, (iv) any moratorium on commercial banking activities shall have been declared by United States Federal, New York State, PRC or Cayman Islands authorities or (v) there shall have occurred any outbreak or escalation of hostilities, or any change in financial markets, currency exchange rates or controls or any calamity or crisis that, in the judgment of the Representative, is material and adverse and which, singly or together with any other event specified in this clause (v), makes it, in the judgment of the Representative, impracticable or inadvisable to proceed with the offer, sale or delivery of the Shares on the terms and in the manner contemplated in the Time of Sale Prospectus or the Prospectus.</w:t>
      </w:r>
    </w:p>
    <w:p>
      <w:pPr>
        <w:spacing w:after="0" w:line="185"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 the Company for the purchase of such Firm Shares are not made within 36 hours after such default, this Agreement shall terminate without liability on the part of any non-defaulting Underwriter or the Company. In any such case either the Representative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(provided that if such default occurs with respect to Additional Securities after the Closing Date, this Agreement will not terminate as to the Firm Securities or any Additional Securities purchased prior to such termination)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65" w:right="259" w:bottom="1440" w:gutter="0" w:footer="0" w:header="0"/>
        </w:sectPr>
      </w:pPr>
    </w:p>
    <w:bookmarkStart w:id="421" w:name="page422"/>
    <w:bookmarkEnd w:id="421"/>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printing expenses, travel expenses, postage, facsimile and telephone charges) reasonably incurred by such Underwriters in connection with this Agreement or the offering contemplated hereunder.</w:t>
      </w:r>
    </w:p>
    <w:p>
      <w:pPr>
        <w:spacing w:after="0" w:line="180" w:lineRule="exact"/>
        <w:rPr>
          <w:sz w:val="20"/>
          <w:szCs w:val="20"/>
          <w:color w:val="auto"/>
        </w:rPr>
      </w:pPr>
    </w:p>
    <w:p>
      <w:pPr>
        <w:ind w:firstLine="464"/>
        <w:spacing w:after="0" w:line="253" w:lineRule="auto"/>
        <w:tabs>
          <w:tab w:leader="none" w:pos="86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Submission to Jurisdiction; Appointment of Agent for Service</w:t>
      </w:r>
      <w:r>
        <w:rPr>
          <w:rFonts w:ascii="Times New Roman" w:cs="Times New Roman" w:eastAsia="Times New Roman" w:hAnsi="Times New Roman"/>
          <w:sz w:val="18"/>
          <w:szCs w:val="18"/>
          <w:color w:val="auto"/>
        </w:rPr>
        <w:t>. The Company hereby irrevocably submits to the non-exclusive jurisdiction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federal and state courts in the Borough of Manhattan in The City of New York (each,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 in any suit or proceeding arising out of or relating to this Agreement, the Time of Sale Prospectus, the Prospectus, the Registration Statement, the ADS Registration Statement, the offering of the American Depositary Shares or any transactions contemplated hereby. The Company irrevocably and unconditionally waives any objection to the laying of venue of any suit or proceeding arising out of or relating to this Agreement, the Time of Sale Prospectus, the Prospectus, the Registration Statement, the ADS Registration Statement, the offering of the American Depositary Shares or any transactions contemplated hereby in the New York Courts, and irrevocably and unconditionally waives and agrees not to plead or claim in any such court that any such suit or proceeding in any such court has been brought in an inconvenient forum. The Company irrevocably appoints Law Debenture Corporate Services, Inc. as its respective authorized agent (the “</w:t>
      </w:r>
      <w:r>
        <w:rPr>
          <w:rFonts w:ascii="Times New Roman" w:cs="Times New Roman" w:eastAsia="Times New Roman" w:hAnsi="Times New Roman"/>
          <w:sz w:val="18"/>
          <w:szCs w:val="18"/>
          <w:b w:val="1"/>
          <w:bCs w:val="1"/>
          <w:color w:val="auto"/>
        </w:rPr>
        <w:t>Authorized Agent</w:t>
      </w:r>
      <w:r>
        <w:rPr>
          <w:rFonts w:ascii="Times New Roman" w:cs="Times New Roman" w:eastAsia="Times New Roman" w:hAnsi="Times New Roman"/>
          <w:sz w:val="18"/>
          <w:szCs w:val="18"/>
          <w:color w:val="auto"/>
        </w:rPr>
        <w:t>”) in the Borough of Manhattan in The City of New York upon which process may be served in any such suit or proceeding, and agree that service of process in any manner permitted by applicable law upon such agent shall be deemed in every respect effective service of process in any manner permitted by applicable law upon the Company, as the case may be,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190" w:lineRule="exact"/>
        <w:rPr>
          <w:rFonts w:ascii="Times New Roman" w:cs="Times New Roman" w:eastAsia="Times New Roman" w:hAnsi="Times New Roman"/>
          <w:sz w:val="18"/>
          <w:szCs w:val="18"/>
          <w:color w:val="auto"/>
        </w:rPr>
      </w:pPr>
    </w:p>
    <w:p>
      <w:pPr>
        <w:ind w:firstLine="464"/>
        <w:spacing w:after="0" w:line="253" w:lineRule="auto"/>
        <w:tabs>
          <w:tab w:leader="none" w:pos="86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 currency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pursuant to this Agreement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0" w:right="259" w:bottom="1440" w:gutter="0" w:footer="0" w:header="0"/>
        </w:sectPr>
      </w:pPr>
    </w:p>
    <w:bookmarkStart w:id="422" w:name="page423"/>
    <w:bookmarkEnd w:id="422"/>
    <w:p>
      <w:pPr>
        <w:ind w:right="200" w:firstLine="464"/>
        <w:spacing w:after="0" w:line="262" w:lineRule="auto"/>
        <w:tabs>
          <w:tab w:leader="none" w:pos="861"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Agreement, together with any contemporaneous written agreements and any prior written agreements (to the extent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superseded by this Agreement) that relate to the sale and purchase of the Shares and the offering of the American Depositary Shares, represents the entire agreement between the Company and the Underwriters with respect to the preparation of any preliminary prospectus, the Time of Sale Prospectus, the Prospectus, the conduct of the offering, and the purchase and sale of the Shares and the offering of the American Depositary Shares.</w:t>
      </w:r>
    </w:p>
    <w:p>
      <w:pPr>
        <w:spacing w:after="0" w:line="176" w:lineRule="exact"/>
        <w:rPr>
          <w:rFonts w:ascii="Times New Roman" w:cs="Times New Roman" w:eastAsia="Times New Roman" w:hAnsi="Times New Roman"/>
          <w:sz w:val="18"/>
          <w:szCs w:val="18"/>
          <w:color w:val="auto"/>
        </w:rPr>
      </w:pPr>
    </w:p>
    <w:p>
      <w:pPr>
        <w:ind w:right="520" w:firstLine="464"/>
        <w:spacing w:after="0" w:line="286" w:lineRule="auto"/>
        <w:tabs>
          <w:tab w:leader="none" w:pos="861"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Counterparts. </w:t>
      </w:r>
      <w:r>
        <w:rPr>
          <w:rFonts w:ascii="Times New Roman" w:cs="Times New Roman" w:eastAsia="Times New Roman" w:hAnsi="Times New Roman"/>
          <w:sz w:val="18"/>
          <w:szCs w:val="18"/>
          <w:color w:val="auto"/>
        </w:rPr>
        <w:t>This Agreement may be signed in two or more counterparts, each of which shall be an original, with the same effect as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154"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Applicable Law. </w:t>
      </w:r>
      <w:r>
        <w:rPr>
          <w:rFonts w:ascii="Times New Roman" w:cs="Times New Roman" w:eastAsia="Times New Roman" w:hAnsi="Times New Roman"/>
          <w:sz w:val="18"/>
          <w:szCs w:val="18"/>
          <w:color w:val="auto"/>
        </w:rPr>
        <w:t>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60" w:firstLine="464"/>
        <w:spacing w:after="0" w:line="286" w:lineRule="auto"/>
        <w:tabs>
          <w:tab w:leader="none" w:pos="861"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w:t>
      </w:r>
    </w:p>
    <w:p>
      <w:pPr>
        <w:spacing w:after="0" w:line="154" w:lineRule="exact"/>
        <w:rPr>
          <w:rFonts w:ascii="Times New Roman" w:cs="Times New Roman" w:eastAsia="Times New Roman" w:hAnsi="Times New Roman"/>
          <w:sz w:val="18"/>
          <w:szCs w:val="18"/>
          <w:color w:val="auto"/>
        </w:rPr>
      </w:pPr>
    </w:p>
    <w:p>
      <w:pPr>
        <w:ind w:right="60" w:firstLine="464"/>
        <w:spacing w:after="0" w:line="286" w:lineRule="auto"/>
        <w:tabs>
          <w:tab w:leader="none" w:pos="861"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sent to the Representative at:</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Bridge Avenue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Penthouse, Red Bank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NJ 07701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to the Company shall be delivered, mailed or sent to iClick Interactive Asia Group Limited, 15/F, Prosperity Millennia Plaza, 663 King’s Road, Quarry Bay, Hong Kong S.A.R., Attention: Jie Jiao;</w:t>
      </w:r>
    </w:p>
    <w:p>
      <w:pPr>
        <w:spacing w:after="0" w:line="158" w:lineRule="exact"/>
        <w:rPr>
          <w:sz w:val="20"/>
          <w:szCs w:val="20"/>
          <w:color w:val="auto"/>
        </w:rPr>
      </w:pPr>
    </w:p>
    <w:p>
      <w:pPr>
        <w:ind w:right="40" w:firstLine="464"/>
        <w:spacing w:after="0" w:line="262" w:lineRule="auto"/>
        <w:tabs>
          <w:tab w:leader="none" w:pos="861"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Parties at Interest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Agreement set forth has been and is made solely for the benefit of the Underwriters, the Company and to the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in Section 9 hereof the controlling persons, partners, directors and officers referred to in such sections and their respective successors, assigns, heirs, personal representatives and executors and administrators. No other person, partnership, association or corporation (including a purchaser, as such purchaser, from any of the Underwriters) shall acquire or have any rights under or by virtue of this Agreement.</w:t>
      </w:r>
    </w:p>
    <w:p>
      <w:pPr>
        <w:spacing w:after="0" w:line="176" w:lineRule="exact"/>
        <w:rPr>
          <w:rFonts w:ascii="Times New Roman" w:cs="Times New Roman" w:eastAsia="Times New Roman" w:hAnsi="Times New Roman"/>
          <w:sz w:val="18"/>
          <w:szCs w:val="18"/>
          <w:color w:val="auto"/>
        </w:rPr>
      </w:pPr>
    </w:p>
    <w:p>
      <w:pPr>
        <w:ind w:firstLine="464"/>
        <w:spacing w:after="0" w:line="286" w:lineRule="auto"/>
        <w:tabs>
          <w:tab w:leader="none" w:pos="861"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 will act for the several Underwriters in connection with the transactions contemplated by this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action under this Agreement taken by the Representative jointly will be binding upon all the Underwriters.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65" w:right="239" w:bottom="1440" w:gutter="0" w:footer="0" w:header="0"/>
        </w:sectPr>
      </w:pPr>
    </w:p>
    <w:bookmarkStart w:id="423" w:name="page424"/>
    <w:bookmarkEnd w:id="423"/>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w:t>
      </w:r>
      <w:r>
        <w:rPr>
          <w:sz w:val="20"/>
          <w:szCs w:val="20"/>
          <w:color w:val="auto"/>
        </w:rPr>
        <w:tab/>
      </w:r>
      <w:r>
        <w:rPr>
          <w:rFonts w:ascii="Times New Roman" w:cs="Times New Roman" w:eastAsia="Times New Roman" w:hAnsi="Times New Roman"/>
          <w:sz w:val="18"/>
          <w:szCs w:val="18"/>
          <w:b w:val="1"/>
          <w:bCs w:val="1"/>
          <w:i w:val="1"/>
          <w:iCs w:val="1"/>
          <w:color w:val="auto"/>
        </w:rPr>
        <w:t>Absence of Fiduciary Relationship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acknowledges and agrees to each of the following</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20" w:firstLine="464"/>
        <w:spacing w:after="0" w:line="267" w:lineRule="auto"/>
        <w:tabs>
          <w:tab w:leader="none" w:pos="81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Other Relationship. </w:t>
      </w:r>
      <w:r>
        <w:rPr>
          <w:rFonts w:ascii="Times New Roman" w:cs="Times New Roman" w:eastAsia="Times New Roman" w:hAnsi="Times New Roman"/>
          <w:sz w:val="18"/>
          <w:szCs w:val="18"/>
          <w:color w:val="auto"/>
        </w:rPr>
        <w:t>The Representative has been retained solely to act as an underwriter in connection with the sale of the Shares and that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advisory or agency relationship between the Company and the Representative has been created in respect of any of the transactions contemplated by this Agreement or the Prospectus, irrespective of whether the Representative has advised or are advising the Company on other matters.</w:t>
      </w:r>
    </w:p>
    <w:p>
      <w:pPr>
        <w:spacing w:after="0" w:line="173" w:lineRule="exact"/>
        <w:rPr>
          <w:rFonts w:ascii="Times New Roman" w:cs="Times New Roman" w:eastAsia="Times New Roman" w:hAnsi="Times New Roman"/>
          <w:sz w:val="18"/>
          <w:szCs w:val="18"/>
          <w:color w:val="auto"/>
        </w:rPr>
      </w:pPr>
    </w:p>
    <w:p>
      <w:pPr>
        <w:ind w:left="-20" w:right="100" w:firstLine="464"/>
        <w:spacing w:after="0" w:line="267" w:lineRule="auto"/>
        <w:tabs>
          <w:tab w:leader="none" w:pos="82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Arms’ Length Negotiations. </w:t>
      </w:r>
      <w:r>
        <w:rPr>
          <w:rFonts w:ascii="Times New Roman" w:cs="Times New Roman" w:eastAsia="Times New Roman" w:hAnsi="Times New Roman"/>
          <w:sz w:val="18"/>
          <w:szCs w:val="18"/>
          <w:color w:val="auto"/>
        </w:rPr>
        <w:t>The price of the Shares set forth in this Agreement was established by the Company following discussions and arms-length negotiations with the Representative and the Company is capable of evaluating and understanding and understands and accepts the terms, risks and conditions of the transactions contemplated by this Agreement.</w:t>
      </w:r>
    </w:p>
    <w:p>
      <w:pPr>
        <w:spacing w:after="0" w:line="173" w:lineRule="exact"/>
        <w:rPr>
          <w:rFonts w:ascii="Times New Roman" w:cs="Times New Roman" w:eastAsia="Times New Roman" w:hAnsi="Times New Roman"/>
          <w:sz w:val="18"/>
          <w:szCs w:val="18"/>
          <w:color w:val="auto"/>
        </w:rPr>
      </w:pPr>
    </w:p>
    <w:p>
      <w:pPr>
        <w:jc w:val="both"/>
        <w:ind w:left="-20" w:right="540" w:firstLine="464"/>
        <w:spacing w:after="0" w:line="267" w:lineRule="auto"/>
        <w:tabs>
          <w:tab w:leader="none" w:pos="81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Obligation to Disclose. </w:t>
      </w:r>
      <w:r>
        <w:rPr>
          <w:rFonts w:ascii="Times New Roman" w:cs="Times New Roman" w:eastAsia="Times New Roman" w:hAnsi="Times New Roman"/>
          <w:sz w:val="18"/>
          <w:szCs w:val="18"/>
          <w:color w:val="auto"/>
        </w:rPr>
        <w:t>The Company has been advised that the Representative and its affiliates are engaged in a broad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which may involve interests that differ from those of the Company and that Representative has no obligation to disclose such interests and transactions to the Company by virtue of any fiduciary, advisory or agency relationship.</w:t>
      </w:r>
    </w:p>
    <w:p>
      <w:pPr>
        <w:spacing w:after="0" w:line="173" w:lineRule="exact"/>
        <w:rPr>
          <w:rFonts w:ascii="Times New Roman" w:cs="Times New Roman" w:eastAsia="Times New Roman" w:hAnsi="Times New Roman"/>
          <w:sz w:val="18"/>
          <w:szCs w:val="18"/>
          <w:color w:val="auto"/>
        </w:rPr>
      </w:pPr>
    </w:p>
    <w:p>
      <w:pPr>
        <w:jc w:val="both"/>
        <w:ind w:left="-20" w:right="280" w:firstLine="464"/>
        <w:spacing w:after="0" w:line="261" w:lineRule="auto"/>
        <w:tabs>
          <w:tab w:leader="none" w:pos="82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w:t>
      </w:r>
      <w:r>
        <w:rPr>
          <w:rFonts w:ascii="Times New Roman" w:cs="Times New Roman" w:eastAsia="Times New Roman" w:hAnsi="Times New Roman"/>
          <w:sz w:val="18"/>
          <w:szCs w:val="18"/>
          <w:color w:val="auto"/>
        </w:rPr>
        <w:t>The Company waives, to the fullest extent permitted by law, any claims it may have against the Representative for breach of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or alleged breach of fiduciary duty and agrees that the Representative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78" w:lineRule="exact"/>
        <w:rPr>
          <w:sz w:val="20"/>
          <w:szCs w:val="20"/>
          <w:color w:val="auto"/>
        </w:rPr>
      </w:pPr>
    </w:p>
    <w:p>
      <w:pPr>
        <w:ind w:left="-20" w:right="80" w:firstLine="464"/>
        <w:spacing w:after="0" w:line="255" w:lineRule="auto"/>
        <w:tabs>
          <w:tab w:leader="none" w:pos="841"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shall be binding upon the Underwriters, the Company and their successors and assigns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or assign of any substantial portion of the Company’s and any of the Underwriters’ respective businesses and/or assets.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indemnities and agreements of the Underwriters contained in this Agreement shall be deemed to be for the benefit of its directors, its officers who have signed the Registration Statement and any person controlling the Company within the meaning of Section 15 of the Securities Act. Nothing in this Agreement is intended or shall be construed to give any person, other than the persons referred to in this Section 22, any legal or equitable right, remedy or claim under or in respect of this Agreement or any provision contained herein.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60" w:top="266" w:right="239" w:bottom="1440" w:gutter="0" w:footer="0" w:header="0"/>
        </w:sectPr>
      </w:pPr>
    </w:p>
    <w:bookmarkStart w:id="424" w:name="page425"/>
    <w:bookmarkEnd w:id="424"/>
    <w:p>
      <w:pPr>
        <w:ind w:left="-20" w:firstLine="464"/>
        <w:spacing w:after="0" w:line="257" w:lineRule="auto"/>
        <w:tabs>
          <w:tab w:leader="none" w:pos="841"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Partial Unenforceability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invalidity or unenforceability of any section, subsection, paragraph or provision of this Agreement shall not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validity or enforceability of any other section, subsection, paragraph or provision hereof. If any section, subsection, paragraph or provision of this Agreement is for any reason determined to be invalid or unenforceable, there shall be deemed to be made such minor changes (and only such minor changes) as are necessary to make it valid and enforceable.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may only be amended or modified in writing, signed by all of the parties hereto, and no condition herein (express or implied) may be waived unless waived in writing by each party whom the condition is meant to benefit. [</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page follows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60" w:top="266" w:right="239" w:bottom="1440" w:gutter="0" w:footer="0" w:header="0"/>
        </w:sectPr>
      </w:pPr>
    </w:p>
    <w:bookmarkStart w:id="425" w:name="page426"/>
    <w:bookmarkEnd w:id="425"/>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ICLICK INTERACTIVE ASIA GROUP LIMITED</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9400"/>
          </w:cols>
          <w:pgMar w:left="1440" w:top="269" w:right="105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several Underwriters named in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NETWORK 1 FINANCIAL</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SECURITIES,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70" w:right="1440" w:bottom="1440" w:gutter="0" w:footer="0" w:header="0"/>
        </w:sectPr>
      </w:pPr>
    </w:p>
    <w:bookmarkStart w:id="427" w:name="page428"/>
    <w:bookmarkEnd w:id="427"/>
    <w:p>
      <w:pPr>
        <w:ind w:left="9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ectPr>
          <w:pgSz w:w="11900" w:h="16838" w:orient="portrait"/>
          <w:cols w:equalWidth="0" w:num="1">
            <w:col w:w="10220"/>
          </w:cols>
          <w:pgMar w:left="14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16510</wp:posOffset>
            </wp:positionV>
            <wp:extent cx="5505450" cy="1371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Shenwan Hongyuan Securities (H.K.) Limited</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-116840</wp:posOffset>
            </wp:positionV>
            <wp:extent cx="5505450" cy="1371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96"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Firm Shares</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To Be</w:t>
      </w:r>
    </w:p>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270510</wp:posOffset>
            </wp:positionV>
            <wp:extent cx="48895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2">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287655</wp:posOffset>
            </wp:positionV>
            <wp:extent cx="48895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3">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442595</wp:posOffset>
            </wp:positionV>
            <wp:extent cx="48895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4">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459740</wp:posOffset>
            </wp:positionV>
            <wp:extent cx="48895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Maximum</w:t>
      </w:r>
    </w:p>
    <w:p>
      <w:pPr>
        <w:jc w:val="center"/>
        <w:ind w:right="1420"/>
        <w:spacing w:after="0" w:line="229" w:lineRule="auto"/>
        <w:rPr>
          <w:sz w:val="20"/>
          <w:szCs w:val="20"/>
          <w:color w:val="auto"/>
        </w:rPr>
      </w:pPr>
      <w:r>
        <w:rPr>
          <w:rFonts w:ascii="Times New Roman" w:cs="Times New Roman" w:eastAsia="Times New Roman" w:hAnsi="Times New Roman"/>
          <w:sz w:val="14"/>
          <w:szCs w:val="14"/>
          <w:b w:val="1"/>
          <w:bCs w:val="1"/>
          <w:color w:val="auto"/>
        </w:rPr>
        <w:t>Number of</w:t>
      </w:r>
    </w:p>
    <w:p>
      <w:pPr>
        <w:jc w:val="center"/>
        <w:ind w:right="1420"/>
        <w:spacing w:after="0" w:line="222" w:lineRule="auto"/>
        <w:rPr>
          <w:sz w:val="20"/>
          <w:szCs w:val="20"/>
          <w:color w:val="auto"/>
        </w:rPr>
      </w:pPr>
      <w:r>
        <w:rPr>
          <w:rFonts w:ascii="Times New Roman" w:cs="Times New Roman" w:eastAsia="Times New Roman" w:hAnsi="Times New Roman"/>
          <w:sz w:val="14"/>
          <w:szCs w:val="14"/>
          <w:b w:val="1"/>
          <w:bCs w:val="1"/>
          <w:color w:val="auto"/>
        </w:rPr>
        <w:t>Additional</w:t>
      </w:r>
    </w:p>
    <w:p>
      <w:pPr>
        <w:jc w:val="center"/>
        <w:ind w:right="1420"/>
        <w:spacing w:after="0" w:line="221" w:lineRule="auto"/>
        <w:rPr>
          <w:sz w:val="20"/>
          <w:szCs w:val="20"/>
          <w:color w:val="auto"/>
        </w:rPr>
      </w:pPr>
      <w:r>
        <w:rPr>
          <w:rFonts w:ascii="Times New Roman" w:cs="Times New Roman" w:eastAsia="Times New Roman" w:hAnsi="Times New Roman"/>
          <w:sz w:val="14"/>
          <w:szCs w:val="14"/>
          <w:b w:val="1"/>
          <w:bCs w:val="1"/>
          <w:color w:val="auto"/>
        </w:rPr>
        <w:t>Shares To Be</w:t>
      </w: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51435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6">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287655</wp:posOffset>
            </wp:positionV>
            <wp:extent cx="51435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51435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459740</wp:posOffset>
            </wp:positionV>
            <wp:extent cx="51435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ectPr>
          <w:pgSz w:w="11900" w:h="16838" w:orient="portrait"/>
          <w:cols w:equalWidth="0" w:num="3">
            <w:col w:w="6140" w:space="720"/>
            <w:col w:w="760" w:space="380"/>
            <w:col w:w="2220"/>
          </w:cols>
          <w:pgMar w:left="1440" w:top="265" w:right="239" w:bottom="1440" w:gutter="0" w:footer="0" w:header="0"/>
          <w:type w:val="continuous"/>
        </w:sectPr>
      </w:pPr>
    </w:p>
    <w:bookmarkStart w:id="428" w:name="page429"/>
    <w:bookmarkEnd w:id="4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60" w:hanging="452"/>
        <w:spacing w:after="0"/>
        <w:tabs>
          <w:tab w:leader="none" w:pos="4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December 1, 2017</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filed on December 11, 2017 by the Company under Rule 433(d) of the Securities Act</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communicated pricing information such as price per share and size of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w:t>
      </w:r>
    </w:p>
    <w:p>
      <w:pPr>
        <w:sectPr>
          <w:pgSz w:w="11900" w:h="16838" w:orient="portrait"/>
          <w:cols w:equalWidth="0" w:num="1">
            <w:col w:w="11420"/>
          </w:cols>
          <w:pgMar w:left="240" w:top="266" w:right="239"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742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Optimix Media Asia Limited</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20" w:type="dxa"/>
            <w:vAlign w:val="bottom"/>
            <w:vMerge w:val="continue"/>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iClick Interactive Asia Limited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Media Group Limited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Digital Marketing Group Limited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Tetris Media Limited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 Search (Asia) Limited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Buzzinate Company Limited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OptAim (HK) Limited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i-Click Interactive Taiwan Limited Taiwan Branch</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Diablo Holdings Corporation</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Harmanttan Capital Holdings Corporation</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OptAim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iClick Interactive (Singapore) Pte.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iClick Interactive (Beijing) Advertisement Co.,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OptAim (Beijing) Information Technology Co.,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Tetris Media (Shanghai) Co.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Buzzinate (Shanghai) Information Technology Co.,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Search Asia Technology (Shenzhen)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Anhui Zhiyunzhong Information Technology Co., Ltd.</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742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Schedule III-A</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430" w:name="page431"/>
    <w:bookmarkEnd w:id="4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AFFILIATED ENTITIES OF THE COMPANY</w:t>
            </w: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Beijing OptAim Network Technology Co., Ltd.</w:t>
            </w:r>
          </w:p>
        </w:tc>
        <w:tc>
          <w:tcPr>
            <w:tcW w:w="2320" w:type="dxa"/>
            <w:vAlign w:val="bottom"/>
            <w:vMerge w:val="continue"/>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Zhiyunzhong (Shanghai) Technology Co., Ltd.</w:t>
            </w:r>
          </w:p>
        </w:tc>
        <w:tc>
          <w:tcPr>
            <w:tcW w:w="23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Schedule III-B</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LOCKED-UP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directors and executive officers of the Company:</w:t>
      </w:r>
    </w:p>
    <w:p>
      <w:pPr>
        <w:spacing w:after="0" w:line="225" w:lineRule="exact"/>
        <w:rPr>
          <w:sz w:val="20"/>
          <w:szCs w:val="20"/>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Wing Hong Sammy Hsieh</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Jian Tang</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Yau Ping Ng</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 Long</w:t>
      </w:r>
    </w:p>
    <w:p>
      <w:pPr>
        <w:spacing w:after="0" w:line="225"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Antares Au</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Jie Jiao</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Yan Lee</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Moore</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Dylan Huang</w:t>
      </w:r>
    </w:p>
    <w:p>
      <w:pPr>
        <w:spacing w:after="0" w:line="225"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Honnus Cheung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Bertelsmann Asia Investments AG and its affiliate</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Focus International Limited</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Sumitomo Corporation Equity Asia Limited</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Wing Hong Sammy Hsieh</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Czerny Holdings Limited</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Cervetto Holdings Limited</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Igomax Inc.</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Maestro Investment Holdings Limited</w:t>
      </w:r>
    </w:p>
    <w:p>
      <w:pPr>
        <w:spacing w:after="0" w:line="225"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&amp; K Investment Limited</w:t>
      </w:r>
    </w:p>
    <w:p>
      <w:pPr>
        <w:spacing w:after="0" w:line="225"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Shenwan Hongyuan Goldspring Fund I</w:t>
      </w:r>
    </w:p>
    <w:p>
      <w:pPr>
        <w:spacing w:after="0" w:line="225"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Arda Holdings Limited</w:t>
      </w:r>
    </w:p>
    <w:p>
      <w:pPr>
        <w:spacing w:after="0" w:line="225"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 Tooth Corporation</w:t>
      </w:r>
    </w:p>
    <w:p>
      <w:pPr>
        <w:spacing w:after="0" w:line="225"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 Yau Ping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IV</w:t>
      </w:r>
    </w:p>
    <w:p>
      <w:pPr>
        <w:sectPr>
          <w:pgSz w:w="11900" w:h="16838" w:orient="portrait"/>
          <w:cols w:equalWidth="0" w:num="1">
            <w:col w:w="11420"/>
          </w:cols>
          <w:pgMar w:left="240" w:top="266" w:right="239" w:bottom="1440" w:gutter="0" w:footer="0" w:header="0"/>
        </w:sectPr>
      </w:pPr>
    </w:p>
    <w:bookmarkStart w:id="432" w:name="page433"/>
    <w:bookmarkEnd w:id="432"/>
    <w:p>
      <w:pPr>
        <w:ind w:left="400" w:hanging="396"/>
        <w:spacing w:after="0"/>
        <w:tabs>
          <w:tab w:leader="none" w:pos="4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Hao Zheng</w:t>
      </w:r>
    </w:p>
    <w:p>
      <w:pPr>
        <w:spacing w:after="0" w:line="225"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 GmbH</w:t>
      </w:r>
    </w:p>
    <w:p>
      <w:pPr>
        <w:spacing w:after="0" w:line="225"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Saga Investments Limited</w:t>
      </w:r>
    </w:p>
    <w:p>
      <w:pPr>
        <w:spacing w:after="0" w:line="225"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Bondwa Enterprises Limited</w:t>
      </w:r>
    </w:p>
    <w:p>
      <w:pPr>
        <w:spacing w:after="0" w:line="225"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Triwin Holdings Limited</w:t>
      </w:r>
    </w:p>
    <w:p>
      <w:pPr>
        <w:spacing w:after="0" w:line="225"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Force Limited</w:t>
      </w:r>
    </w:p>
    <w:p>
      <w:pPr>
        <w:spacing w:after="0" w:line="225"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Volfwin Inc.</w:t>
      </w:r>
    </w:p>
    <w:p>
      <w:pPr>
        <w:spacing w:after="0" w:line="156"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Signatory page for Underwriting Agreement</w:t>
      </w:r>
      <w:r>
        <w:rPr>
          <w:rFonts w:ascii="Times New Roman" w:cs="Times New Roman" w:eastAsia="Times New Roman" w:hAnsi="Times New Roman"/>
          <w:sz w:val="18"/>
          <w:szCs w:val="18"/>
          <w:color w:val="auto"/>
        </w:rPr>
        <w:t>]</w:t>
      </w:r>
    </w:p>
    <w:p>
      <w:pPr>
        <w:sectPr>
          <w:pgSz w:w="11900" w:h="16838" w:orient="portrait"/>
          <w:cols w:equalWidth="0" w:num="1">
            <w:col w:w="9759"/>
          </w:cols>
          <w:pgMar w:left="700" w:top="270" w:right="1440" w:bottom="1440" w:gutter="0" w:footer="0" w:header="0"/>
        </w:sectPr>
      </w:pPr>
    </w:p>
    <w:bookmarkStart w:id="433" w:name="page434"/>
    <w:bookmarkEnd w:id="4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2017</w:t>
      </w:r>
    </w:p>
    <w:p>
      <w:pPr>
        <w:spacing w:after="0" w:line="221" w:lineRule="exact"/>
        <w:rPr>
          <w:sz w:val="20"/>
          <w:szCs w:val="20"/>
          <w:color w:val="auto"/>
        </w:rPr>
      </w:pPr>
    </w:p>
    <w:p>
      <w:pPr>
        <w:ind w:right="220" w:firstLine="456"/>
        <w:spacing w:after="0" w:line="259" w:lineRule="auto"/>
        <w:rPr>
          <w:sz w:val="20"/>
          <w:szCs w:val="20"/>
          <w:color w:val="auto"/>
        </w:rPr>
      </w:pPr>
      <w:r>
        <w:rPr>
          <w:rFonts w:ascii="Times New Roman" w:cs="Times New Roman" w:eastAsia="Times New Roman" w:hAnsi="Times New Roman"/>
          <w:sz w:val="18"/>
          <w:szCs w:val="18"/>
          <w:color w:val="auto"/>
        </w:rPr>
        <w:t>I, Jie Jiao, chief financial officer of iClick Interactive Asia Group Limited, a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am providing this Chief Financial Officer’s Certificate in connection with the initial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 American Depositary Shares, each American depositary share representing [●] Class A ordinary shares, par value US$0.001 per share, of the Company, pursuant to Section 5(c) of the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dated [●], 2017 among the Company, Network 1 Financial Securities, Inc., as the representative on behalf of the several underwriters listed on Schedule I thereto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and I hereby certify as follows:</w:t>
      </w:r>
    </w:p>
    <w:p>
      <w:pPr>
        <w:spacing w:after="0" w:line="89" w:lineRule="exact"/>
        <w:rPr>
          <w:sz w:val="20"/>
          <w:szCs w:val="20"/>
          <w:color w:val="auto"/>
        </w:rPr>
      </w:pPr>
    </w:p>
    <w:p>
      <w:pPr>
        <w:ind w:left="900" w:right="140" w:hanging="446"/>
        <w:spacing w:after="0" w:line="282" w:lineRule="auto"/>
        <w:tabs>
          <w:tab w:leader="none" w:pos="90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among other things, financial and accounting matters of the Company, and am familiar with the accounting, operations and records systems and internal controls over financial reporting of the Company.</w:t>
      </w:r>
    </w:p>
    <w:p>
      <w:pPr>
        <w:spacing w:after="0" w:line="67" w:lineRule="exact"/>
        <w:rPr>
          <w:rFonts w:ascii="Times New Roman" w:cs="Times New Roman" w:eastAsia="Times New Roman" w:hAnsi="Times New Roman"/>
          <w:sz w:val="18"/>
          <w:szCs w:val="18"/>
          <w:color w:val="auto"/>
        </w:rPr>
      </w:pPr>
    </w:p>
    <w:p>
      <w:pPr>
        <w:ind w:left="900" w:right="240" w:hanging="446"/>
        <w:spacing w:after="0" w:line="266" w:lineRule="auto"/>
        <w:tabs>
          <w:tab w:leader="none" w:pos="90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amounts, percentages, ratios and other statistical data identified by you on the pages of each of the Registration Statement, the Time of Sale Prospectus and the Prospectus relating to the Offering attached hereto as Annex A and have performed the following procedures:</w:t>
      </w:r>
    </w:p>
    <w:p>
      <w:pPr>
        <w:spacing w:after="0" w:line="81" w:lineRule="exact"/>
        <w:rPr>
          <w:rFonts w:ascii="Times New Roman" w:cs="Times New Roman" w:eastAsia="Times New Roman" w:hAnsi="Times New Roman"/>
          <w:sz w:val="18"/>
          <w:szCs w:val="18"/>
          <w:color w:val="auto"/>
        </w:rPr>
      </w:pPr>
    </w:p>
    <w:p>
      <w:pPr>
        <w:ind w:left="900" w:right="160" w:hanging="446"/>
        <w:spacing w:after="0" w:line="261" w:lineRule="auto"/>
        <w:tabs>
          <w:tab w:leader="none" w:pos="90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compared the amount, percentage or ratio to, or computed the amount, percentage or ratio from, (i) the Company’s accounting books and records prepared by the Company’s accounting personnel, or (ii) the corresponding data and other records maintained by the Company, as applicable, for the periods, or as of the dates, indicated and found such information to be in agreement, and such information is true, complete and accurate (giving effect to rounding where applicable).</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Capitalized terms used herein and not otherwise defined shall have the meanings ascribed to them in the Underwriting Agreement. This certificate is to assist the Underwriters in conducting and documenting their investigation of the affairs of the Company in connection with the Offering.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420"/>
          </w:cols>
          <w:pgMar w:left="240" w:top="266" w:right="23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duly executed and delivered this Chief Financial Officer’s Certificate as of the date first written above.</w:t>
      </w:r>
    </w:p>
    <w:p>
      <w:pPr>
        <w:spacing w:after="0" w:line="26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2158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Jie Jiao</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CFO’s Certificate</w:t>
      </w:r>
      <w:r>
        <w:rPr>
          <w:rFonts w:ascii="Times New Roman" w:cs="Times New Roman" w:eastAsia="Times New Roman" w:hAnsi="Times New Roman"/>
          <w:sz w:val="18"/>
          <w:szCs w:val="18"/>
          <w:color w:val="auto"/>
        </w:rPr>
        <w:t>]</w:t>
      </w:r>
    </w:p>
    <w:p>
      <w:pPr>
        <w:sectPr>
          <w:pgSz w:w="11900" w:h="16838" w:orient="portrait"/>
          <w:cols w:equalWidth="0" w:num="1">
            <w:col w:w="10880"/>
          </w:cols>
          <w:pgMar w:left="700" w:top="270" w:right="31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9"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7"/>
          <w:szCs w:val="17"/>
          <w:color w:val="auto"/>
        </w:rPr>
        <w:t>, 2017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Bridge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Penthouse, 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NJ 07701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1"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The undersigned understands that Network 1 Financial Securities, Inc.,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under the Underwriting Agreement,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iClick Interactive Asia Group Limited, an exempted company incorporated with limited liability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 of a certain number of Class A ordinary shares, par value US$0.001 per share,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the form of American Depositary Shares (“</w:t>
      </w:r>
      <w:r>
        <w:rPr>
          <w:rFonts w:ascii="Times New Roman" w:cs="Times New Roman" w:eastAsia="Times New Roman" w:hAnsi="Times New Roman"/>
          <w:sz w:val="18"/>
          <w:szCs w:val="18"/>
          <w:b w:val="1"/>
          <w:bCs w:val="1"/>
          <w:color w:val="auto"/>
        </w:rPr>
        <w:t>American Depositary Shares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7"/>
          <w:szCs w:val="17"/>
          <w:color w:val="auto"/>
        </w:rPr>
        <w:t>To induce the Underwriters that may participate in the Public Offering to continue their efforts in connection with the Public Offering, the undersigned hereby agrees that, without the prior written consent of the Representative on behalf of the Underwriters, it will not, during the period commencing on the date hereof and ending 180 days after the date of the final prospectus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relating to the Public Offering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Ordinary Shares or American Depositary Shares (collectively,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beneficially owned (as such term is used in Rule 13d-3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by the undersigned or any other securities so owned convertible into or exercisable or exchangeable for the Securities or (2) enter into any swap or other arrangement that transfers to another, in whole or in part, any of the economic consequences of ownership of the Securities, whether any such transaction described in clause (1) or</w:t>
      </w:r>
    </w:p>
    <w:p>
      <w:pPr>
        <w:spacing w:after="0" w:line="1" w:lineRule="exact"/>
        <w:rPr>
          <w:sz w:val="20"/>
          <w:szCs w:val="20"/>
          <w:color w:val="auto"/>
        </w:rPr>
      </w:pPr>
    </w:p>
    <w:p>
      <w:pPr>
        <w:ind w:right="40" w:firstLine="8"/>
        <w:spacing w:after="0" w:line="250" w:lineRule="auto"/>
        <w:tabs>
          <w:tab w:leader="none" w:pos="25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to be settled by delivery of the Securities or such other securities, in cash or otherwise. The foregoing sentence shall not apply to (a) transactions relating to the Securities or other securities of the Company acquired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the Securities or other securities acquired in such open market transactions, (b) transfers of shares of the Securities or any security convertible into the Securities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w:t>
      </w:r>
    </w:p>
    <w:p>
      <w:pPr>
        <w:spacing w:after="0" w:line="1" w:lineRule="exact"/>
        <w:rPr>
          <w:rFonts w:ascii="Times New Roman" w:cs="Times New Roman" w:eastAsia="Times New Roman" w:hAnsi="Times New Roman"/>
          <w:sz w:val="18"/>
          <w:szCs w:val="18"/>
          <w:color w:val="auto"/>
        </w:rPr>
      </w:pPr>
    </w:p>
    <w:p>
      <w:pPr>
        <w:ind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transfers of shares of the Securities to any trust for the benefit of the undersigned or its immediate family member, (d) distributions of shares of the Securities or any security convertible into the Securities to limited partners or stockholders of the undersigned, (e) the issuance by the Company of Ordinary Shares upon the exercise of an option or warrant or the conversion of a security outstanding on the date hereof of which the Underwriters have been advised in writing and grants of employee share awards pursuant to the Company’s share incentive plans of which the Underwriters have been advised in writing and the issuance of Ordinary Shares pursuant to the exercise of such share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distribution pursuant to clause (b), (c), (d) or (e), (i) each donee or distributee shall sign and deliver to the Representative a lock-up letter substantially in the form of this letter and (ii) no filing under Section 16(a) of the Exchange Act, reporting a reduction in beneficial ownership of the Securities, shall be required or shall be voluntarily made during the Restricted Period, or (f) the establishment of a trading plan pursuant to Rule 10b5-1 under the Exchange Act for the transfer of Securities, provided that</w:t>
      </w:r>
    </w:p>
    <w:p>
      <w:pPr>
        <w:spacing w:after="0" w:line="3"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plan does not provide for the transfer of Securities during the Restricted Period and (ii) no public announcement shall be made regarding the establishment of such plan. In addition, the undersigned agrees that, without the prior written consent of the Representative on behalf of the Underwriters, it will not, during the Restricted Period, make any demand for or exercise any right with respect to, the registration of any Securities or any security convertible into or exercisable or exchangeable for the Securities. The undersigned hereby also agrees and consents to the entry of stop transfer instructions with the Company’s transfer agent and registrar against the transfer of the undersigned’s Securities unless such transfer is in compliance with the foregoing restrictions.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11420"/>
          </w:cols>
          <w:pgMar w:left="240" w:top="265" w:right="239" w:bottom="1440" w:gutter="0" w:footer="0" w:header="0"/>
        </w:sectPr>
      </w:pPr>
    </w:p>
    <w:bookmarkStart w:id="436" w:name="page437"/>
    <w:bookmarkEnd w:id="436"/>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undersigned is an officer or director of the Company, the undersigned further agrees that the foregoing provisions shall be equally applicable to any issuer-directed Securities the undersigned may purchase in the Public Offering.</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 agrees that, at least three business days before the effective date of any release or waiver of the foregoing restrictions in connection with a transfer of the Securities, the Representative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r>
        <w:rPr>
          <w:rFonts w:ascii="Times New Roman" w:cs="Times New Roman" w:eastAsia="Times New Roman" w:hAnsi="Times New Roman"/>
          <w:sz w:val="15"/>
          <w:szCs w:val="15"/>
          <w:color w:val="auto"/>
        </w:rPr>
        <w:t>1</w:t>
      </w:r>
    </w:p>
    <w:p>
      <w:pPr>
        <w:spacing w:after="0" w:line="189"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Representative on behalf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5360" w:right="5360" w:hanging="5352"/>
        <w:spacing w:after="0" w:line="454" w:lineRule="auto"/>
        <w:tabs>
          <w:tab w:leader="none" w:pos="447" w:val="left"/>
        </w:tabs>
        <w:numPr>
          <w:ilvl w:val="0"/>
          <w:numId w:val="45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if the undersigned is an executive officer or director of the Company. Exhibit B</w:t>
      </w:r>
    </w:p>
    <w:p>
      <w:pPr>
        <w:sectPr>
          <w:pgSz w:w="11900" w:h="16838" w:orient="portrait"/>
          <w:cols w:equalWidth="0" w:num="1">
            <w:col w:w="11420"/>
          </w:cols>
          <w:pgMar w:left="240" w:top="269" w:right="239" w:bottom="1440" w:gutter="0" w:footer="0" w:header="0"/>
        </w:sectPr>
      </w:pPr>
    </w:p>
    <w:bookmarkStart w:id="437" w:name="page438"/>
    <w:bookmarkEnd w:id="437"/>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is governed by, and to be construed in accordance with, the internal laws of the State of New York, without regard to the conflict of laws principles thereof.</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(Address)</w:t>
      </w:r>
    </w:p>
    <w:p>
      <w:pPr>
        <w:spacing w:after="0" w:line="1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11080"/>
          </w:cols>
          <w:pgMar w:left="240" w:top="270" w:right="57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r>
        <w:rPr>
          <w:rFonts w:ascii="Times New Roman" w:cs="Times New Roman" w:eastAsia="Times New Roman" w:hAnsi="Times New Roman"/>
          <w:sz w:val="15"/>
          <w:szCs w:val="15"/>
          <w:b w:val="1"/>
          <w:bCs w:val="1"/>
          <w:color w:val="auto"/>
        </w:rPr>
        <w:t>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OF LOCK-UP</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[Name]: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is being delivered to you in connection with the offering by iClick Interactive Asia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 Class A ordinary</w:t>
      </w:r>
    </w:p>
    <w:p>
      <w:pPr>
        <w:spacing w:after="0" w:line="31" w:lineRule="exact"/>
        <w:rPr>
          <w:sz w:val="20"/>
          <w:szCs w:val="20"/>
          <w:color w:val="auto"/>
        </w:rPr>
      </w:pPr>
    </w:p>
    <w:p>
      <w:pPr>
        <w:spacing w:after="0"/>
        <w:tabs>
          <w:tab w:leader="none" w:pos="9920" w:val="left"/>
        </w:tabs>
        <w:rPr>
          <w:sz w:val="20"/>
          <w:szCs w:val="20"/>
          <w:color w:val="auto"/>
        </w:rPr>
      </w:pPr>
      <w:r>
        <w:rPr>
          <w:rFonts w:ascii="Times New Roman" w:cs="Times New Roman" w:eastAsia="Times New Roman" w:hAnsi="Times New Roman"/>
          <w:sz w:val="18"/>
          <w:szCs w:val="18"/>
          <w:color w:val="auto"/>
        </w:rPr>
        <w:t>shares, par value US$0.001 per share, of the Company in the form of [●] American depositary shares, and the lock-up letter dated</w:t>
      </w:r>
      <w:r>
        <w:rPr>
          <w:sz w:val="20"/>
          <w:szCs w:val="20"/>
          <w:color w:val="auto"/>
        </w:rPr>
        <w:tab/>
      </w:r>
      <w:r>
        <w:rPr>
          <w:rFonts w:ascii="Times New Roman" w:cs="Times New Roman" w:eastAsia="Times New Roman" w:hAnsi="Times New Roman"/>
          <w:sz w:val="17"/>
          <w:szCs w:val="17"/>
          <w:color w:val="auto"/>
        </w:rPr>
        <w:t>, 2017 (the</w:t>
      </w:r>
    </w:p>
    <w:p>
      <w:pPr>
        <w:spacing w:after="0" w:line="9"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Letter</w:t>
      </w:r>
      <w:r>
        <w:rPr>
          <w:rFonts w:ascii="Times New Roman" w:cs="Times New Roman" w:eastAsia="Times New Roman" w:hAnsi="Times New Roman"/>
          <w:sz w:val="18"/>
          <w:szCs w:val="18"/>
          <w:color w:val="auto"/>
        </w:rPr>
        <w:t>”), executed by you in connection with such offering, and your request for a [waiver] [release] dated</w:t>
      </w:r>
      <w:r>
        <w:rPr>
          <w:sz w:val="20"/>
          <w:szCs w:val="20"/>
          <w:color w:val="auto"/>
        </w:rPr>
        <w:tab/>
      </w:r>
      <w:r>
        <w:rPr>
          <w:rFonts w:ascii="Times New Roman" w:cs="Times New Roman" w:eastAsia="Times New Roman" w:hAnsi="Times New Roman"/>
          <w:sz w:val="18"/>
          <w:szCs w:val="18"/>
          <w:color w:val="auto"/>
        </w:rPr>
        <w:t>, 2017, with respect to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undersigned hereby agrees to [waive] [release] the transfer restrictions set forth in the Lock-up Letter, but only with respect to the Shares, effective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such [waiver] [release] is conditioned on the Company announcing the impending [waiver] [release] by press release through a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news service at least two business days before effectiveness of such [waiver] [release]. This letter will serve as notice to the Company of the impending [waiver]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5360" w:right="5360" w:hanging="5352"/>
        <w:spacing w:after="0" w:line="454" w:lineRule="auto"/>
        <w:tabs>
          <w:tab w:leader="none" w:pos="447" w:val="left"/>
        </w:tabs>
        <w:numPr>
          <w:ilvl w:val="0"/>
          <w:numId w:val="4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if the undersigned is an executive officer or director of the Company. Exhibit C</w:t>
      </w:r>
    </w:p>
    <w:p>
      <w:pPr>
        <w:sectPr>
          <w:pgSz w:w="11900" w:h="16838" w:orient="portrait"/>
          <w:cols w:equalWidth="0" w:num="1">
            <w:col w:w="11420"/>
          </w:cols>
          <w:pgMar w:left="240" w:top="266" w:right="239" w:bottom="1440" w:gutter="0" w:footer="0" w:header="0"/>
        </w:sectPr>
      </w:pPr>
    </w:p>
    <w:bookmarkStart w:id="439" w:name="page440"/>
    <w:bookmarkEnd w:id="439"/>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Company</w:t>
      </w:r>
    </w:p>
    <w:p>
      <w:pPr>
        <w:spacing w:after="0" w:line="156"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Signatory page for Underwriting Agreement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70" w:right="1440" w:bottom="1440" w:gutter="0" w:footer="0" w:header="0"/>
        </w:sectPr>
      </w:pPr>
    </w:p>
    <w:bookmarkStart w:id="440" w:name="page441"/>
    <w:bookmarkEnd w:id="44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iClick Interactive Asia Group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today that Network 1 Financial Securities, Inc., the sole book-running manager in the Company’s recent public sale of [•] Class A ordinary shares in the form of [•] American depositary shares is [waiving] [releasing] a lock-up restriction with respect to [•] Class A ordinary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 held by [</w:t>
      </w:r>
      <w:r>
        <w:rPr>
          <w:rFonts w:ascii="Times New Roman" w:cs="Times New Roman" w:eastAsia="Times New Roman" w:hAnsi="Times New Roman"/>
          <w:sz w:val="17"/>
          <w:szCs w:val="17"/>
          <w:i w:val="1"/>
          <w:iCs w:val="1"/>
          <w:color w:val="auto"/>
        </w:rPr>
        <w:t>certain officers or directors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 officer or director</w:t>
      </w:r>
      <w:r>
        <w:rPr>
          <w:rFonts w:ascii="Times New Roman" w:cs="Times New Roman" w:eastAsia="Times New Roman" w:hAnsi="Times New Roman"/>
          <w:sz w:val="17"/>
          <w:szCs w:val="17"/>
          <w:color w:val="auto"/>
        </w:rPr>
        <w:t>] of the Company. The</w:t>
      </w:r>
    </w:p>
    <w:p>
      <w:pPr>
        <w:spacing w:after="0" w:line="1" w:lineRule="exact"/>
        <w:rPr>
          <w:sz w:val="20"/>
          <w:szCs w:val="20"/>
          <w:color w:val="auto"/>
        </w:rPr>
      </w:pPr>
    </w:p>
    <w:p>
      <w:pPr>
        <w:spacing w:after="0"/>
        <w:tabs>
          <w:tab w:leader="none" w:pos="3200" w:val="left"/>
          <w:tab w:leader="none" w:pos="3640" w:val="left"/>
        </w:tabs>
        <w:rPr>
          <w:sz w:val="20"/>
          <w:szCs w:val="20"/>
          <w:color w:val="auto"/>
        </w:rPr>
      </w:pPr>
      <w:r>
        <w:rPr>
          <w:rFonts w:ascii="Times New Roman" w:cs="Times New Roman" w:eastAsia="Times New Roman" w:hAnsi="Times New Roman"/>
          <w:sz w:val="18"/>
          <w:szCs w:val="18"/>
          <w:color w:val="auto"/>
        </w:rPr>
        <w:t>[waiver] [release] will take effect on</w:t>
      </w:r>
      <w:r>
        <w:rPr>
          <w:sz w:val="20"/>
          <w:szCs w:val="20"/>
          <w:color w:val="auto"/>
        </w:rPr>
        <w:tab/>
      </w:r>
      <w:r>
        <w:rPr>
          <w:rFonts w:ascii="Times New Roman" w:cs="Times New Roman" w:eastAsia="Times New Roman" w:hAnsi="Times New Roman"/>
          <w:sz w:val="18"/>
          <w:szCs w:val="18"/>
          <w:color w:val="auto"/>
        </w:rPr>
        <w:t>, 20</w:t>
        <w:tab/>
        <w:t>, and the Shares may be sold on or after such date.</w:t>
      </w:r>
    </w:p>
    <w:p>
      <w:pPr>
        <w:spacing w:after="0" w:line="20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Form of Press Release</w:t>
      </w:r>
    </w:p>
    <w:p>
      <w:pPr>
        <w:sectPr>
          <w:pgSz w:w="11900" w:h="16838" w:orient="portrait"/>
          <w:cols w:equalWidth="0" w:num="1">
            <w:col w:w="11200"/>
          </w:cols>
          <w:pgMar w:left="240" w:top="265" w:right="459" w:bottom="1440" w:gutter="0" w:footer="0" w:header="0"/>
        </w:sectPr>
      </w:pPr>
    </w:p>
    <w:bookmarkStart w:id="441" w:name="page442"/>
    <w:bookmarkEnd w:id="4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Amendment No. 3 to Form F-1 of iClick Interactive Asia Group Limited of our report dated May 18, 2017, except with respect to our opinion on the consolidated financial statements insofar as it relates to a deemed dividend described in Note 22, as to which the date is July 13, 2017 and our report dated May 18, 2017 relating to the financial statements of OptAim Limited, which appear in such Registration Statement.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80662"/>
    <w:multiLevelType w:val="hybridMultilevel"/>
    <w:lvl w:ilvl="0">
      <w:lvlJc w:val="left"/>
      <w:lvlText w:val="(%1)"/>
      <w:numFmt w:val="decimal"/>
      <w:start w:val="1"/>
    </w:lvl>
  </w:abstractNum>
  <w:abstractNum w:abstractNumId="1">
    <w:nsid w:val="46B24DBC"/>
    <w:multiLevelType w:val="hybridMultilevel"/>
    <w:lvl w:ilvl="0">
      <w:lvlJc w:val="left"/>
      <w:lvlText w:val="(%1)"/>
      <w:numFmt w:val="decimal"/>
      <w:start w:val="1"/>
    </w:lvl>
  </w:abstractNum>
  <w:abstractNum w:abstractNumId="2">
    <w:nsid w:val="75B52783"/>
    <w:multiLevelType w:val="hybridMultilevel"/>
    <w:lvl w:ilvl="0">
      <w:lvlJc w:val="left"/>
      <w:lvlText w:val="•"/>
      <w:numFmt w:val="bullet"/>
      <w:start w:val="1"/>
    </w:lvl>
  </w:abstractNum>
  <w:abstractNum w:abstractNumId="3">
    <w:nsid w:val="57CE66B4"/>
    <w:multiLevelType w:val="hybridMultilevel"/>
    <w:lvl w:ilvl="0">
      <w:lvlJc w:val="left"/>
      <w:lvlText w:val="•"/>
      <w:numFmt w:val="bullet"/>
      <w:start w:val="1"/>
    </w:lvl>
  </w:abstractNum>
  <w:abstractNum w:abstractNumId="4">
    <w:nsid w:val="67A70B69"/>
    <w:multiLevelType w:val="hybridMultilevel"/>
    <w:lvl w:ilvl="0">
      <w:lvlJc w:val="left"/>
      <w:lvlText w:val="•"/>
      <w:numFmt w:val="bullet"/>
      <w:start w:val="1"/>
    </w:lvl>
  </w:abstractNum>
  <w:abstractNum w:abstractNumId="5">
    <w:nsid w:val="5953172F"/>
    <w:multiLevelType w:val="hybridMultilevel"/>
    <w:lvl w:ilvl="0">
      <w:lvlJc w:val="left"/>
      <w:lvlText w:val="•"/>
      <w:numFmt w:val="bullet"/>
      <w:start w:val="1"/>
    </w:lvl>
  </w:abstractNum>
  <w:abstractNum w:abstractNumId="6">
    <w:nsid w:val="27EDFE3A"/>
    <w:multiLevelType w:val="hybridMultilevel"/>
    <w:lvl w:ilvl="0">
      <w:lvlJc w:val="left"/>
      <w:lvlText w:val="•"/>
      <w:numFmt w:val="bullet"/>
      <w:start w:val="1"/>
    </w:lvl>
  </w:abstractNum>
  <w:abstractNum w:abstractNumId="7">
    <w:nsid w:val="52AC7DFF"/>
    <w:multiLevelType w:val="hybridMultilevel"/>
    <w:lvl w:ilvl="0">
      <w:lvlJc w:val="left"/>
      <w:lvlText w:val="•"/>
      <w:numFmt w:val="bullet"/>
      <w:start w:val="1"/>
    </w:lvl>
  </w:abstractNum>
  <w:abstractNum w:abstractNumId="8">
    <w:nsid w:val="C4C3AF"/>
    <w:multiLevelType w:val="hybridMultilevel"/>
    <w:lvl w:ilvl="0">
      <w:lvlJc w:val="left"/>
      <w:lvlText w:val="(%1)"/>
      <w:numFmt w:val="decimal"/>
      <w:start w:val="1"/>
    </w:lvl>
  </w:abstractNum>
  <w:abstractNum w:abstractNumId="9">
    <w:nsid w:val="44380727"/>
    <w:multiLevelType w:val="hybridMultilevel"/>
    <w:lvl w:ilvl="0">
      <w:lvlJc w:val="left"/>
      <w:lvlText w:val="•"/>
      <w:numFmt w:val="bullet"/>
      <w:start w:val="1"/>
    </w:lvl>
  </w:abstractNum>
  <w:abstractNum w:abstractNumId="10">
    <w:nsid w:val="6C053B16"/>
    <w:multiLevelType w:val="hybridMultilevel"/>
    <w:lvl w:ilvl="0">
      <w:lvlJc w:val="left"/>
      <w:lvlText w:val="•"/>
      <w:numFmt w:val="bullet"/>
      <w:start w:val="1"/>
    </w:lvl>
  </w:abstractNum>
  <w:abstractNum w:abstractNumId="11">
    <w:nsid w:val="4F294393"/>
    <w:multiLevelType w:val="hybridMultilevel"/>
    <w:lvl w:ilvl="0">
      <w:lvlJc w:val="left"/>
      <w:lvlText w:val="•"/>
      <w:numFmt w:val="bullet"/>
      <w:start w:val="1"/>
    </w:lvl>
  </w:abstractNum>
  <w:abstractNum w:abstractNumId="12">
    <w:nsid w:val="5243BFAC"/>
    <w:multiLevelType w:val="hybridMultilevel"/>
    <w:lvl w:ilvl="0">
      <w:lvlJc w:val="left"/>
      <w:lvlText w:val="•"/>
      <w:numFmt w:val="bullet"/>
      <w:start w:val="1"/>
    </w:lvl>
  </w:abstractNum>
  <w:abstractNum w:abstractNumId="13">
    <w:nsid w:val="425EB207"/>
    <w:multiLevelType w:val="hybridMultilevel"/>
    <w:lvl w:ilvl="0">
      <w:lvlJc w:val="left"/>
      <w:lvlText w:val="(%1)"/>
      <w:numFmt w:val="decimal"/>
      <w:start w:val="1"/>
    </w:lvl>
  </w:abstractNum>
  <w:abstractNum w:abstractNumId="14">
    <w:nsid w:val="334A6F1F"/>
    <w:multiLevelType w:val="hybridMultilevel"/>
    <w:lvl w:ilvl="0">
      <w:lvlJc w:val="left"/>
      <w:lvlText w:val="•"/>
      <w:numFmt w:val="bullet"/>
      <w:start w:val="1"/>
    </w:lvl>
  </w:abstractNum>
  <w:abstractNum w:abstractNumId="15">
    <w:nsid w:val="2E5B12B8"/>
    <w:multiLevelType w:val="hybridMultilevel"/>
    <w:lvl w:ilvl="0">
      <w:lvlJc w:val="left"/>
      <w:lvlText w:val="•"/>
      <w:numFmt w:val="bullet"/>
      <w:start w:val="1"/>
    </w:lvl>
  </w:abstractNum>
  <w:abstractNum w:abstractNumId="16">
    <w:nsid w:val="5C03D76D"/>
    <w:multiLevelType w:val="hybridMultilevel"/>
    <w:lvl w:ilvl="0">
      <w:lvlJc w:val="left"/>
      <w:lvlText w:val="•"/>
      <w:numFmt w:val="bullet"/>
      <w:start w:val="1"/>
    </w:lvl>
  </w:abstractNum>
  <w:abstractNum w:abstractNumId="17">
    <w:nsid w:val="66A48D11"/>
    <w:multiLevelType w:val="hybridMultilevel"/>
    <w:lvl w:ilvl="0">
      <w:lvlJc w:val="left"/>
      <w:lvlText w:val="•"/>
      <w:numFmt w:val="bullet"/>
      <w:start w:val="1"/>
    </w:lvl>
  </w:abstractNum>
  <w:abstractNum w:abstractNumId="18">
    <w:nsid w:val="56C28E34"/>
    <w:multiLevelType w:val="hybridMultilevel"/>
    <w:lvl w:ilvl="0">
      <w:lvlJc w:val="left"/>
      <w:lvlText w:val="•"/>
      <w:numFmt w:val="bullet"/>
      <w:start w:val="1"/>
    </w:lvl>
  </w:abstractNum>
  <w:abstractNum w:abstractNumId="19">
    <w:nsid w:val="13916F2D"/>
    <w:multiLevelType w:val="hybridMultilevel"/>
    <w:lvl w:ilvl="0">
      <w:lvlJc w:val="left"/>
      <w:lvlText w:val="•"/>
      <w:numFmt w:val="bullet"/>
      <w:start w:val="1"/>
    </w:lvl>
  </w:abstractNum>
  <w:abstractNum w:abstractNumId="20">
    <w:nsid w:val="435D38D"/>
    <w:multiLevelType w:val="hybridMultilevel"/>
    <w:lvl w:ilvl="0">
      <w:lvlJc w:val="left"/>
      <w:lvlText w:val="•"/>
      <w:numFmt w:val="bullet"/>
      <w:start w:val="1"/>
    </w:lvl>
  </w:abstractNum>
  <w:abstractNum w:abstractNumId="21">
    <w:nsid w:val="822C0EF"/>
    <w:multiLevelType w:val="hybridMultilevel"/>
    <w:lvl w:ilvl="0">
      <w:lvlJc w:val="left"/>
      <w:lvlText w:val="•"/>
      <w:numFmt w:val="bullet"/>
      <w:start w:val="1"/>
    </w:lvl>
  </w:abstractNum>
  <w:abstractNum w:abstractNumId="22">
    <w:nsid w:val="57C5BB4F"/>
    <w:multiLevelType w:val="hybridMultilevel"/>
    <w:lvl w:ilvl="0">
      <w:lvlJc w:val="left"/>
      <w:lvlText w:val="•"/>
      <w:numFmt w:val="bullet"/>
      <w:start w:val="1"/>
    </w:lvl>
  </w:abstractNum>
  <w:abstractNum w:abstractNumId="23">
    <w:nsid w:val="1803D089"/>
    <w:multiLevelType w:val="hybridMultilevel"/>
    <w:lvl w:ilvl="0">
      <w:lvlJc w:val="left"/>
      <w:lvlText w:val="•"/>
      <w:numFmt w:val="bullet"/>
      <w:start w:val="1"/>
    </w:lvl>
  </w:abstractNum>
  <w:abstractNum w:abstractNumId="24">
    <w:nsid w:val="4F3A06D4"/>
    <w:multiLevelType w:val="hybridMultilevel"/>
    <w:lvl w:ilvl="0">
      <w:lvlJc w:val="left"/>
      <w:lvlText w:val="•"/>
      <w:numFmt w:val="bullet"/>
      <w:start w:val="1"/>
    </w:lvl>
  </w:abstractNum>
  <w:abstractNum w:abstractNumId="25">
    <w:nsid w:val="59A377B6"/>
    <w:multiLevelType w:val="hybridMultilevel"/>
    <w:lvl w:ilvl="0">
      <w:lvlJc w:val="left"/>
      <w:lvlText w:val="•"/>
      <w:numFmt w:val="bullet"/>
      <w:start w:val="1"/>
    </w:lvl>
  </w:abstractNum>
  <w:abstractNum w:abstractNumId="26">
    <w:nsid w:val="48AEB063"/>
    <w:multiLevelType w:val="hybridMultilevel"/>
    <w:lvl w:ilvl="0">
      <w:lvlJc w:val="left"/>
      <w:lvlText w:val="•"/>
      <w:numFmt w:val="bullet"/>
      <w:start w:val="1"/>
    </w:lvl>
  </w:abstractNum>
  <w:abstractNum w:abstractNumId="27">
    <w:nsid w:val="24E135"/>
    <w:multiLevelType w:val="hybridMultilevel"/>
    <w:lvl w:ilvl="0">
      <w:lvlJc w:val="left"/>
      <w:lvlText w:val="•"/>
      <w:numFmt w:val="bullet"/>
      <w:start w:val="1"/>
    </w:lvl>
  </w:abstractNum>
  <w:abstractNum w:abstractNumId="28">
    <w:nsid w:val="BB13C1"/>
    <w:multiLevelType w:val="hybridMultilevel"/>
    <w:lvl w:ilvl="0">
      <w:lvlJc w:val="left"/>
      <w:lvlText w:val="•"/>
      <w:numFmt w:val="bullet"/>
      <w:start w:val="1"/>
    </w:lvl>
  </w:abstractNum>
  <w:abstractNum w:abstractNumId="29">
    <w:nsid w:val="271210C7"/>
    <w:multiLevelType w:val="hybridMultilevel"/>
    <w:lvl w:ilvl="0">
      <w:lvlJc w:val="left"/>
      <w:lvlText w:val="•"/>
      <w:numFmt w:val="bullet"/>
      <w:start w:val="1"/>
    </w:lvl>
  </w:abstractNum>
  <w:abstractNum w:abstractNumId="30">
    <w:nsid w:val="217B22E4"/>
    <w:multiLevelType w:val="hybridMultilevel"/>
    <w:lvl w:ilvl="0">
      <w:lvlJc w:val="left"/>
      <w:lvlText w:val="(%1)"/>
      <w:numFmt w:val="decimal"/>
      <w:start w:val="1"/>
    </w:lvl>
  </w:abstractNum>
  <w:abstractNum w:abstractNumId="31">
    <w:nsid w:val="53E31A24"/>
    <w:multiLevelType w:val="hybridMultilevel"/>
    <w:lvl w:ilvl="0">
      <w:lvlJc w:val="left"/>
      <w:lvlText w:val="(%1)"/>
      <w:numFmt w:val="decimal"/>
      <w:start w:val="1"/>
    </w:lvl>
  </w:abstractNum>
  <w:abstractNum w:abstractNumId="32">
    <w:nsid w:val="6DC45E83"/>
    <w:multiLevelType w:val="hybridMultilevel"/>
    <w:lvl w:ilvl="0">
      <w:lvlJc w:val="left"/>
      <w:lvlText w:val="(%1)"/>
      <w:numFmt w:val="decimal"/>
      <w:start w:val="1"/>
    </w:lvl>
  </w:abstractNum>
  <w:abstractNum w:abstractNumId="33">
    <w:nsid w:val="17304A67"/>
    <w:multiLevelType w:val="hybridMultilevel"/>
    <w:lvl w:ilvl="0">
      <w:lvlJc w:val="left"/>
      <w:lvlText w:val="•"/>
      <w:numFmt w:val="bullet"/>
      <w:start w:val="1"/>
    </w:lvl>
  </w:abstractNum>
  <w:abstractNum w:abstractNumId="34">
    <w:nsid w:val="2BB180D8"/>
    <w:multiLevelType w:val="hybridMultilevel"/>
    <w:lvl w:ilvl="0">
      <w:lvlJc w:val="left"/>
      <w:lvlText w:val="•"/>
      <w:numFmt w:val="bullet"/>
      <w:start w:val="1"/>
    </w:lvl>
  </w:abstractNum>
  <w:abstractNum w:abstractNumId="35">
    <w:nsid w:val="556B69ED"/>
    <w:multiLevelType w:val="hybridMultilevel"/>
    <w:lvl w:ilvl="0">
      <w:lvlJc w:val="left"/>
      <w:lvlText w:val="•"/>
      <w:numFmt w:val="bullet"/>
      <w:start w:val="1"/>
    </w:lvl>
  </w:abstractNum>
  <w:abstractNum w:abstractNumId="36">
    <w:nsid w:val="70836196"/>
    <w:multiLevelType w:val="hybridMultilevel"/>
    <w:lvl w:ilvl="0">
      <w:lvlJc w:val="left"/>
      <w:lvlText w:val="•"/>
      <w:numFmt w:val="bullet"/>
      <w:start w:val="1"/>
    </w:lvl>
  </w:abstractNum>
  <w:abstractNum w:abstractNumId="37">
    <w:nsid w:val="539F7F12"/>
    <w:multiLevelType w:val="hybridMultilevel"/>
    <w:lvl w:ilvl="0">
      <w:lvlJc w:val="left"/>
      <w:lvlText w:val="(%1)"/>
      <w:numFmt w:val="decimal"/>
      <w:start w:val="1"/>
    </w:lvl>
  </w:abstractNum>
  <w:abstractNum w:abstractNumId="38">
    <w:nsid w:val="2817E7EC"/>
    <w:multiLevelType w:val="hybridMultilevel"/>
    <w:lvl w:ilvl="0">
      <w:lvlJc w:val="left"/>
      <w:lvlText w:val="•"/>
      <w:numFmt w:val="bullet"/>
      <w:start w:val="1"/>
    </w:lvl>
  </w:abstractNum>
  <w:abstractNum w:abstractNumId="39">
    <w:nsid w:val="71482545"/>
    <w:multiLevelType w:val="hybridMultilevel"/>
    <w:lvl w:ilvl="0">
      <w:lvlJc w:val="left"/>
      <w:lvlText w:val="•"/>
      <w:numFmt w:val="bullet"/>
      <w:start w:val="1"/>
    </w:lvl>
  </w:abstractNum>
  <w:abstractNum w:abstractNumId="40">
    <w:nsid w:val="17D78639"/>
    <w:multiLevelType w:val="hybridMultilevel"/>
    <w:lvl w:ilvl="0">
      <w:lvlJc w:val="left"/>
      <w:lvlText w:val="(%1)"/>
      <w:numFmt w:val="decimal"/>
      <w:start w:val="4"/>
    </w:lvl>
  </w:abstractNum>
  <w:abstractNum w:abstractNumId="41">
    <w:nsid w:val="141D2302"/>
    <w:multiLevelType w:val="hybridMultilevel"/>
    <w:lvl w:ilvl="0">
      <w:lvlJc w:val="left"/>
      <w:lvlText w:val="•"/>
      <w:numFmt w:val="bullet"/>
      <w:start w:val="1"/>
    </w:lvl>
  </w:abstractNum>
  <w:abstractNum w:abstractNumId="42">
    <w:nsid w:val="407168D8"/>
    <w:multiLevelType w:val="hybridMultilevel"/>
    <w:lvl w:ilvl="0">
      <w:lvlJc w:val="left"/>
      <w:lvlText w:val="(%1)"/>
      <w:numFmt w:val="decimal"/>
      <w:start w:val="1"/>
    </w:lvl>
  </w:abstractNum>
  <w:abstractNum w:abstractNumId="43">
    <w:nsid w:val="6A1B45E5"/>
    <w:multiLevelType w:val="hybridMultilevel"/>
    <w:lvl w:ilvl="0">
      <w:lvlJc w:val="left"/>
      <w:lvlText w:val="(%1)"/>
      <w:numFmt w:val="decimal"/>
      <w:start w:val="1"/>
    </w:lvl>
  </w:abstractNum>
  <w:abstractNum w:abstractNumId="44">
    <w:nsid w:val="567BD50A"/>
    <w:multiLevelType w:val="hybridMultilevel"/>
    <w:lvl w:ilvl="0">
      <w:lvlJc w:val="left"/>
      <w:lvlText w:val="(%1)"/>
      <w:numFmt w:val="decimal"/>
      <w:start w:val="1"/>
    </w:lvl>
  </w:abstractNum>
  <w:abstractNum w:abstractNumId="45">
    <w:nsid w:val="73BBD7F8"/>
    <w:multiLevelType w:val="hybridMultilevel"/>
    <w:lvl w:ilvl="0">
      <w:lvlJc w:val="left"/>
      <w:lvlText w:val="(%1)"/>
      <w:numFmt w:val="decimal"/>
      <w:start w:val="1"/>
    </w:lvl>
  </w:abstractNum>
  <w:abstractNum w:abstractNumId="46">
    <w:nsid w:val="1876589D"/>
    <w:multiLevelType w:val="hybridMultilevel"/>
    <w:lvl w:ilvl="0">
      <w:lvlJc w:val="left"/>
      <w:lvlText w:val="•"/>
      <w:numFmt w:val="bullet"/>
      <w:start w:val="1"/>
    </w:lvl>
  </w:abstractNum>
  <w:abstractNum w:abstractNumId="47">
    <w:nsid w:val="327FAC77"/>
    <w:multiLevelType w:val="hybridMultilevel"/>
    <w:lvl w:ilvl="0">
      <w:lvlJc w:val="left"/>
      <w:lvlText w:val="•"/>
      <w:numFmt w:val="bullet"/>
      <w:start w:val="1"/>
    </w:lvl>
  </w:abstractNum>
  <w:abstractNum w:abstractNumId="48">
    <w:nsid w:val="5A606509"/>
    <w:multiLevelType w:val="hybridMultilevel"/>
    <w:lvl w:ilvl="0">
      <w:lvlJc w:val="left"/>
      <w:lvlText w:val="•"/>
      <w:numFmt w:val="bullet"/>
      <w:start w:val="1"/>
    </w:lvl>
  </w:abstractNum>
  <w:abstractNum w:abstractNumId="49">
    <w:nsid w:val="6F38E6D1"/>
    <w:multiLevelType w:val="hybridMultilevel"/>
    <w:lvl w:ilvl="0">
      <w:lvlJc w:val="left"/>
      <w:lvlText w:val="•"/>
      <w:numFmt w:val="bullet"/>
      <w:start w:val="1"/>
    </w:lvl>
  </w:abstractNum>
  <w:abstractNum w:abstractNumId="50">
    <w:nsid w:val="46111BA5"/>
    <w:multiLevelType w:val="hybridMultilevel"/>
    <w:lvl w:ilvl="0">
      <w:lvlJc w:val="left"/>
      <w:lvlText w:val="•"/>
      <w:numFmt w:val="bullet"/>
      <w:start w:val="1"/>
    </w:lvl>
  </w:abstractNum>
  <w:abstractNum w:abstractNumId="51">
    <w:nsid w:val="5E963896"/>
    <w:multiLevelType w:val="hybridMultilevel"/>
    <w:lvl w:ilvl="0">
      <w:lvlJc w:val="left"/>
      <w:lvlText w:val="•"/>
      <w:numFmt w:val="bullet"/>
      <w:start w:val="1"/>
    </w:lvl>
  </w:abstractNum>
  <w:abstractNum w:abstractNumId="52">
    <w:nsid w:val="775BA7C1"/>
    <w:multiLevelType w:val="hybridMultilevel"/>
    <w:lvl w:ilvl="0">
      <w:lvlJc w:val="left"/>
      <w:lvlText w:val="•"/>
      <w:numFmt w:val="bullet"/>
      <w:start w:val="1"/>
    </w:lvl>
  </w:abstractNum>
  <w:abstractNum w:abstractNumId="53">
    <w:nsid w:val="1DD6D6F4"/>
    <w:multiLevelType w:val="hybridMultilevel"/>
    <w:lvl w:ilvl="0">
      <w:lvlJc w:val="left"/>
      <w:lvlText w:val="(%1)"/>
      <w:numFmt w:val="decimal"/>
      <w:start w:val="1"/>
    </w:lvl>
  </w:abstractNum>
  <w:abstractNum w:abstractNumId="54">
    <w:nsid w:val="769A091F"/>
    <w:multiLevelType w:val="hybridMultilevel"/>
    <w:lvl w:ilvl="0">
      <w:lvlJc w:val="left"/>
      <w:lvlText w:val="(%1)"/>
      <w:numFmt w:val="lowerLetter"/>
      <w:start w:val="1"/>
    </w:lvl>
  </w:abstractNum>
  <w:abstractNum w:abstractNumId="55">
    <w:nsid w:val="4695AE95"/>
    <w:multiLevelType w:val="hybridMultilevel"/>
    <w:lvl w:ilvl="0">
      <w:lvlJc w:val="left"/>
      <w:lvlText w:val="•"/>
      <w:numFmt w:val="bullet"/>
      <w:start w:val="1"/>
    </w:lvl>
  </w:abstractNum>
  <w:abstractNum w:abstractNumId="56">
    <w:nsid w:val="777A4EAA"/>
    <w:multiLevelType w:val="hybridMultilevel"/>
    <w:lvl w:ilvl="0">
      <w:lvlJc w:val="left"/>
      <w:lvlText w:val="•"/>
      <w:numFmt w:val="bullet"/>
      <w:start w:val="1"/>
    </w:lvl>
  </w:abstractNum>
  <w:abstractNum w:abstractNumId="57">
    <w:nsid w:val="3F48B982"/>
    <w:multiLevelType w:val="hybridMultilevel"/>
    <w:lvl w:ilvl="0">
      <w:lvlJc w:val="left"/>
      <w:lvlText w:val="•"/>
      <w:numFmt w:val="bullet"/>
      <w:start w:val="1"/>
    </w:lvl>
  </w:abstractNum>
  <w:abstractNum w:abstractNumId="58">
    <w:nsid w:val="46BA8FCA"/>
    <w:multiLevelType w:val="hybridMultilevel"/>
    <w:lvl w:ilvl="0">
      <w:lvlJc w:val="left"/>
      <w:lvlText w:val="•"/>
      <w:numFmt w:val="bullet"/>
      <w:start w:val="1"/>
    </w:lvl>
  </w:abstractNum>
  <w:abstractNum w:abstractNumId="59">
    <w:nsid w:val="7835626C"/>
    <w:multiLevelType w:val="hybridMultilevel"/>
    <w:lvl w:ilvl="0">
      <w:lvlJc w:val="left"/>
      <w:lvlText w:val="•"/>
      <w:numFmt w:val="bullet"/>
      <w:start w:val="1"/>
    </w:lvl>
  </w:abstractNum>
  <w:abstractNum w:abstractNumId="60">
    <w:nsid w:val="665ACA49"/>
    <w:multiLevelType w:val="hybridMultilevel"/>
    <w:lvl w:ilvl="0">
      <w:lvlJc w:val="left"/>
      <w:lvlText w:val="•"/>
      <w:numFmt w:val="bullet"/>
      <w:start w:val="1"/>
    </w:lvl>
  </w:abstractNum>
  <w:abstractNum w:abstractNumId="61">
    <w:nsid w:val="6835B2AE"/>
    <w:multiLevelType w:val="hybridMultilevel"/>
    <w:lvl w:ilvl="0">
      <w:lvlJc w:val="left"/>
      <w:lvlText w:val="•"/>
      <w:numFmt w:val="bullet"/>
      <w:start w:val="1"/>
    </w:lvl>
  </w:abstractNum>
  <w:abstractNum w:abstractNumId="62">
    <w:nsid w:val="4C187C90"/>
    <w:multiLevelType w:val="hybridMultilevel"/>
    <w:lvl w:ilvl="0">
      <w:lvlJc w:val="left"/>
      <w:lvlText w:val="•"/>
      <w:numFmt w:val="bullet"/>
      <w:start w:val="1"/>
    </w:lvl>
  </w:abstractNum>
  <w:abstractNum w:abstractNumId="63">
    <w:nsid w:val="541F28CD"/>
    <w:multiLevelType w:val="hybridMultilevel"/>
    <w:lvl w:ilvl="0">
      <w:lvlJc w:val="left"/>
      <w:lvlText w:val="•"/>
      <w:numFmt w:val="bullet"/>
      <w:start w:val="1"/>
    </w:lvl>
  </w:abstractNum>
  <w:abstractNum w:abstractNumId="64">
    <w:nsid w:val="7F65FD16"/>
    <w:multiLevelType w:val="hybridMultilevel"/>
    <w:lvl w:ilvl="0">
      <w:lvlJc w:val="left"/>
      <w:lvlText w:val="•"/>
      <w:numFmt w:val="bullet"/>
      <w:start w:val="1"/>
    </w:lvl>
  </w:abstractNum>
  <w:abstractNum w:abstractNumId="65">
    <w:nsid w:val="77C9FD68"/>
    <w:multiLevelType w:val="hybridMultilevel"/>
    <w:lvl w:ilvl="0">
      <w:lvlJc w:val="left"/>
      <w:lvlText w:val="•"/>
      <w:numFmt w:val="bullet"/>
      <w:start w:val="1"/>
    </w:lvl>
  </w:abstractNum>
  <w:abstractNum w:abstractNumId="66">
    <w:nsid w:val="298A92BA"/>
    <w:multiLevelType w:val="hybridMultilevel"/>
    <w:lvl w:ilvl="0">
      <w:lvlJc w:val="left"/>
      <w:lvlText w:val="•"/>
      <w:numFmt w:val="bullet"/>
      <w:start w:val="1"/>
    </w:lvl>
  </w:abstractNum>
  <w:abstractNum w:abstractNumId="67">
    <w:nsid w:val="6FE95EAC"/>
    <w:multiLevelType w:val="hybridMultilevel"/>
    <w:lvl w:ilvl="0">
      <w:lvlJc w:val="left"/>
      <w:lvlText w:val="•"/>
      <w:numFmt w:val="bullet"/>
      <w:start w:val="1"/>
    </w:lvl>
  </w:abstractNum>
  <w:abstractNum w:abstractNumId="68">
    <w:nsid w:val="4B697C7A"/>
    <w:multiLevelType w:val="hybridMultilevel"/>
    <w:lvl w:ilvl="0">
      <w:lvlJc w:val="left"/>
      <w:lvlText w:val="•"/>
      <w:numFmt w:val="bullet"/>
      <w:start w:val="1"/>
    </w:lvl>
  </w:abstractNum>
  <w:abstractNum w:abstractNumId="69">
    <w:nsid w:val="51A27AA6"/>
    <w:multiLevelType w:val="hybridMultilevel"/>
    <w:lvl w:ilvl="0">
      <w:lvlJc w:val="left"/>
      <w:lvlText w:val="•"/>
      <w:numFmt w:val="bullet"/>
      <w:start w:val="1"/>
    </w:lvl>
  </w:abstractNum>
  <w:abstractNum w:abstractNumId="70">
    <w:nsid w:val="613183F2"/>
    <w:multiLevelType w:val="hybridMultilevel"/>
    <w:lvl w:ilvl="0">
      <w:lvlJc w:val="left"/>
      <w:lvlText w:val="•"/>
      <w:numFmt w:val="bullet"/>
      <w:start w:val="1"/>
    </w:lvl>
  </w:abstractNum>
  <w:abstractNum w:abstractNumId="71">
    <w:nsid w:val="634102B4"/>
    <w:multiLevelType w:val="hybridMultilevel"/>
    <w:lvl w:ilvl="0">
      <w:lvlJc w:val="left"/>
      <w:lvlText w:val="•"/>
      <w:numFmt w:val="bullet"/>
      <w:start w:val="1"/>
    </w:lvl>
  </w:abstractNum>
  <w:abstractNum w:abstractNumId="72">
    <w:nsid w:val="65BF9DA8"/>
    <w:multiLevelType w:val="hybridMultilevel"/>
    <w:lvl w:ilvl="0">
      <w:lvlJc w:val="left"/>
      <w:lvlText w:val="•"/>
      <w:numFmt w:val="bullet"/>
      <w:start w:val="1"/>
    </w:lvl>
  </w:abstractNum>
  <w:abstractNum w:abstractNumId="73">
    <w:nsid w:val="21A2ECCA"/>
    <w:multiLevelType w:val="hybridMultilevel"/>
    <w:lvl w:ilvl="0">
      <w:lvlJc w:val="left"/>
      <w:lvlText w:val="•"/>
      <w:numFmt w:val="bullet"/>
      <w:start w:val="1"/>
    </w:lvl>
  </w:abstractNum>
  <w:abstractNum w:abstractNumId="74">
    <w:nsid w:val="4D5C4899"/>
    <w:multiLevelType w:val="hybridMultilevel"/>
    <w:lvl w:ilvl="0">
      <w:lvlJc w:val="left"/>
      <w:lvlText w:val="(%1)"/>
      <w:numFmt w:val="lowerRoman"/>
      <w:start w:val="2"/>
    </w:lvl>
  </w:abstractNum>
  <w:abstractNum w:abstractNumId="75">
    <w:nsid w:val="3C3B72B2"/>
    <w:multiLevelType w:val="hybridMultilevel"/>
    <w:lvl w:ilvl="0">
      <w:lvlJc w:val="left"/>
      <w:lvlText w:val="*"/>
      <w:numFmt w:val="bullet"/>
      <w:start w:val="1"/>
    </w:lvl>
  </w:abstractNum>
  <w:abstractNum w:abstractNumId="76">
    <w:nsid w:val="155EC4C2"/>
    <w:multiLevelType w:val="hybridMultilevel"/>
    <w:lvl w:ilvl="0">
      <w:lvlJc w:val="left"/>
      <w:lvlText w:val="•"/>
      <w:numFmt w:val="bullet"/>
      <w:start w:val="1"/>
    </w:lvl>
  </w:abstractNum>
  <w:abstractNum w:abstractNumId="77">
    <w:nsid w:val="65D2A137"/>
    <w:multiLevelType w:val="hybridMultilevel"/>
    <w:lvl w:ilvl="0">
      <w:lvlJc w:val="left"/>
      <w:lvlText w:val="•"/>
      <w:numFmt w:val="bullet"/>
      <w:start w:val="1"/>
    </w:lvl>
  </w:abstractNum>
  <w:abstractNum w:abstractNumId="78">
    <w:nsid w:val="6EBB1F2A"/>
    <w:multiLevelType w:val="hybridMultilevel"/>
    <w:lvl w:ilvl="0">
      <w:lvlJc w:val="left"/>
      <w:lvlText w:val="•"/>
      <w:numFmt w:val="bullet"/>
      <w:start w:val="1"/>
    </w:lvl>
  </w:abstractNum>
  <w:abstractNum w:abstractNumId="79">
    <w:nsid w:val="6FBF29CB"/>
    <w:multiLevelType w:val="hybridMultilevel"/>
    <w:lvl w:ilvl="0">
      <w:lvlJc w:val="left"/>
      <w:lvlText w:val="(%1)"/>
      <w:numFmt w:val="lowerRoman"/>
      <w:start w:val="1"/>
    </w:lvl>
  </w:abstractNum>
  <w:abstractNum w:abstractNumId="80">
    <w:nsid w:val="550B8808"/>
    <w:multiLevelType w:val="hybridMultilevel"/>
    <w:lvl w:ilvl="0">
      <w:lvlJc w:val="left"/>
      <w:lvlText w:val="*"/>
      <w:numFmt w:val="bullet"/>
      <w:start w:val="1"/>
    </w:lvl>
  </w:abstractNum>
  <w:abstractNum w:abstractNumId="81">
    <w:nsid w:val="34CC3ACF"/>
    <w:multiLevelType w:val="hybridMultilevel"/>
    <w:lvl w:ilvl="0">
      <w:lvlJc w:val="left"/>
      <w:lvlText w:val="•"/>
      <w:numFmt w:val="bullet"/>
      <w:start w:val="1"/>
    </w:lvl>
  </w:abstractNum>
  <w:abstractNum w:abstractNumId="82">
    <w:nsid w:val="4E556261"/>
    <w:multiLevelType w:val="hybridMultilevel"/>
    <w:lvl w:ilvl="0">
      <w:lvlJc w:val="left"/>
      <w:lvlText w:val="(%1)"/>
      <w:numFmt w:val="lowerRoman"/>
      <w:start w:val="1"/>
    </w:lvl>
  </w:abstractNum>
  <w:abstractNum w:abstractNumId="83">
    <w:nsid w:val="4C672FC9"/>
    <w:multiLevelType w:val="hybridMultilevel"/>
    <w:lvl w:ilvl="0">
      <w:lvlJc w:val="left"/>
      <w:lvlText w:val="(%1)"/>
      <w:numFmt w:val="lowerRoman"/>
      <w:start w:val="3"/>
    </w:lvl>
  </w:abstractNum>
  <w:abstractNum w:abstractNumId="84">
    <w:nsid w:val="52A311C3"/>
    <w:multiLevelType w:val="hybridMultilevel"/>
    <w:lvl w:ilvl="0">
      <w:lvlJc w:val="left"/>
      <w:lvlText w:val="(%1)"/>
      <w:numFmt w:val="decimal"/>
      <w:start w:val="1"/>
    </w:lvl>
  </w:abstractNum>
  <w:abstractNum w:abstractNumId="85">
    <w:nsid w:val="44EF6B80"/>
    <w:multiLevelType w:val="hybridMultilevel"/>
    <w:lvl w:ilvl="0">
      <w:lvlJc w:val="left"/>
      <w:lvlText w:val="(%1)"/>
      <w:numFmt w:val="decimal"/>
      <w:start w:val="3"/>
    </w:lvl>
  </w:abstractNum>
  <w:abstractNum w:abstractNumId="86">
    <w:nsid w:val="12FCDE5E"/>
    <w:multiLevelType w:val="hybridMultilevel"/>
    <w:lvl w:ilvl="0">
      <w:lvlJc w:val="left"/>
      <w:lvlText w:val="(%1)"/>
      <w:numFmt w:val="lowerLetter"/>
      <w:start w:val="1"/>
    </w:lvl>
  </w:abstractNum>
  <w:abstractNum w:abstractNumId="87">
    <w:nsid w:val="4A1D606E"/>
    <w:multiLevelType w:val="hybridMultilevel"/>
    <w:lvl w:ilvl="0">
      <w:lvlJc w:val="left"/>
      <w:lvlText w:val="•"/>
      <w:numFmt w:val="bullet"/>
      <w:start w:val="1"/>
    </w:lvl>
  </w:abstractNum>
  <w:abstractNum w:abstractNumId="88">
    <w:nsid w:val="4382503"/>
    <w:multiLevelType w:val="hybridMultilevel"/>
    <w:lvl w:ilvl="0">
      <w:lvlJc w:val="left"/>
      <w:lvlText w:val="•"/>
      <w:numFmt w:val="bullet"/>
      <w:start w:val="1"/>
    </w:lvl>
  </w:abstractNum>
  <w:abstractNum w:abstractNumId="89">
    <w:nsid w:val="59B76E28"/>
    <w:multiLevelType w:val="hybridMultilevel"/>
    <w:lvl w:ilvl="0">
      <w:lvlJc w:val="left"/>
      <w:lvlText w:val="•"/>
      <w:numFmt w:val="bullet"/>
      <w:start w:val="1"/>
    </w:lvl>
  </w:abstractNum>
  <w:abstractNum w:abstractNumId="90">
    <w:nsid w:val="4252C2DA"/>
    <w:multiLevelType w:val="hybridMultilevel"/>
    <w:lvl w:ilvl="0">
      <w:lvlJc w:val="left"/>
      <w:lvlText w:val="•"/>
      <w:numFmt w:val="bullet"/>
      <w:start w:val="1"/>
    </w:lvl>
  </w:abstractNum>
  <w:abstractNum w:abstractNumId="91">
    <w:nsid w:val="6A92EF4C"/>
    <w:multiLevelType w:val="hybridMultilevel"/>
    <w:lvl w:ilvl="0">
      <w:lvlJc w:val="left"/>
      <w:lvlText w:val="•"/>
      <w:numFmt w:val="bullet"/>
      <w:start w:val="1"/>
    </w:lvl>
  </w:abstractNum>
  <w:abstractNum w:abstractNumId="92">
    <w:nsid w:val="41ED20D7"/>
    <w:multiLevelType w:val="hybridMultilevel"/>
    <w:lvl w:ilvl="0">
      <w:lvlJc w:val="left"/>
      <w:lvlText w:val="(%1)"/>
      <w:numFmt w:val="lowerLetter"/>
      <w:start w:val="1"/>
    </w:lvl>
  </w:abstractNum>
  <w:abstractNum w:abstractNumId="93">
    <w:nsid w:val="E6B3F6A"/>
    <w:multiLevelType w:val="hybridMultilevel"/>
    <w:lvl w:ilvl="0">
      <w:lvlJc w:val="left"/>
      <w:lvlText w:val="•"/>
      <w:numFmt w:val="bullet"/>
      <w:start w:val="1"/>
    </w:lvl>
  </w:abstractNum>
  <w:abstractNum w:abstractNumId="94">
    <w:nsid w:val="3EB21819"/>
    <w:multiLevelType w:val="hybridMultilevel"/>
    <w:lvl w:ilvl="0">
      <w:lvlJc w:val="left"/>
      <w:lvlText w:val="•"/>
      <w:numFmt w:val="bullet"/>
      <w:start w:val="1"/>
    </w:lvl>
    <w:lvl w:ilvl="1">
      <w:lvlJc w:val="left"/>
      <w:lvlText w:val="(%2)"/>
      <w:numFmt w:val="lowerRoman"/>
      <w:start w:val="1"/>
    </w:lvl>
  </w:abstractNum>
  <w:abstractNum w:abstractNumId="95">
    <w:nsid w:val="41531DED"/>
    <w:multiLevelType w:val="hybridMultilevel"/>
    <w:lvl w:ilvl="0">
      <w:lvlJc w:val="left"/>
      <w:lvlText w:val="•"/>
      <w:numFmt w:val="bullet"/>
      <w:start w:val="1"/>
    </w:lvl>
  </w:abstractNum>
  <w:abstractNum w:abstractNumId="96">
    <w:nsid w:val="6353CD2"/>
    <w:multiLevelType w:val="hybridMultilevel"/>
    <w:lvl w:ilvl="0">
      <w:lvlJc w:val="left"/>
      <w:lvlText w:val="•"/>
      <w:numFmt w:val="bullet"/>
      <w:start w:val="1"/>
    </w:lvl>
  </w:abstractNum>
  <w:abstractNum w:abstractNumId="97">
    <w:nsid w:val="683CAAD3"/>
    <w:multiLevelType w:val="hybridMultilevel"/>
    <w:lvl w:ilvl="0">
      <w:lvlJc w:val="left"/>
      <w:lvlText w:val="•"/>
      <w:numFmt w:val="bullet"/>
      <w:start w:val="1"/>
    </w:lvl>
  </w:abstractNum>
  <w:abstractNum w:abstractNumId="98">
    <w:nsid w:val="313C7C99"/>
    <w:multiLevelType w:val="hybridMultilevel"/>
    <w:lvl w:ilvl="0">
      <w:lvlJc w:val="left"/>
      <w:lvlText w:val="(%1)"/>
      <w:numFmt w:val="lowerRoman"/>
      <w:start w:val="1"/>
    </w:lvl>
  </w:abstractNum>
  <w:abstractNum w:abstractNumId="99">
    <w:nsid w:val="519EB94C"/>
    <w:multiLevelType w:val="hybridMultilevel"/>
    <w:lvl w:ilvl="0">
      <w:lvlJc w:val="left"/>
      <w:lvlText w:val="•"/>
      <w:numFmt w:val="bullet"/>
      <w:start w:val="1"/>
    </w:lvl>
  </w:abstractNum>
  <w:abstractNum w:abstractNumId="100">
    <w:nsid w:val="39DF2579"/>
    <w:multiLevelType w:val="hybridMultilevel"/>
    <w:lvl w:ilvl="0">
      <w:lvlJc w:val="left"/>
      <w:lvlText w:val="(%1)"/>
      <w:numFmt w:val="decimal"/>
      <w:start w:val="1"/>
    </w:lvl>
  </w:abstractNum>
  <w:abstractNum w:abstractNumId="101">
    <w:nsid w:val="126E008B"/>
    <w:multiLevelType w:val="hybridMultilevel"/>
    <w:lvl w:ilvl="0">
      <w:lvlJc w:val="left"/>
      <w:lvlText w:val="(%1)"/>
      <w:numFmt w:val="lowerLetter"/>
      <w:start w:val="9"/>
    </w:lvl>
  </w:abstractNum>
  <w:abstractNum w:abstractNumId="102">
    <w:nsid w:val="34DFBC00"/>
    <w:multiLevelType w:val="hybridMultilevel"/>
    <w:lvl w:ilvl="0">
      <w:lvlJc w:val="left"/>
      <w:lvlText w:val="(%1)"/>
      <w:numFmt w:val="lowerLetter"/>
      <w:start w:val="2"/>
    </w:lvl>
  </w:abstractNum>
  <w:abstractNum w:abstractNumId="103">
    <w:nsid w:val="1F9EC322"/>
    <w:multiLevelType w:val="hybridMultilevel"/>
    <w:lvl w:ilvl="0">
      <w:lvlJc w:val="left"/>
      <w:lvlText w:val="•"/>
      <w:numFmt w:val="bullet"/>
      <w:start w:val="1"/>
    </w:lvl>
  </w:abstractNum>
  <w:abstractNum w:abstractNumId="104">
    <w:nsid w:val="3410ED56"/>
    <w:multiLevelType w:val="hybridMultilevel"/>
    <w:lvl w:ilvl="0">
      <w:lvlJc w:val="left"/>
      <w:lvlText w:val="(%1)"/>
      <w:numFmt w:val="lowerRoman"/>
      <w:start w:val="1"/>
    </w:lvl>
  </w:abstractNum>
  <w:abstractNum w:abstractNumId="105">
    <w:nsid w:val="23C049A"/>
    <w:multiLevelType w:val="hybridMultilevel"/>
    <w:lvl w:ilvl="0">
      <w:lvlJc w:val="left"/>
      <w:lvlText w:val="•"/>
      <w:numFmt w:val="bullet"/>
      <w:start w:val="1"/>
    </w:lvl>
  </w:abstractNum>
  <w:abstractNum w:abstractNumId="106">
    <w:nsid w:val="5BDA35D4"/>
    <w:multiLevelType w:val="hybridMultilevel"/>
    <w:lvl w:ilvl="0">
      <w:lvlJc w:val="left"/>
      <w:lvlText w:val="•"/>
      <w:numFmt w:val="bullet"/>
      <w:start w:val="1"/>
    </w:lvl>
  </w:abstractNum>
  <w:abstractNum w:abstractNumId="107">
    <w:nsid w:val="496FB218"/>
    <w:multiLevelType w:val="hybridMultilevel"/>
    <w:lvl w:ilvl="0">
      <w:lvlJc w:val="left"/>
      <w:lvlText w:val="•"/>
      <w:numFmt w:val="bullet"/>
      <w:start w:val="1"/>
    </w:lvl>
  </w:abstractNum>
  <w:abstractNum w:abstractNumId="108">
    <w:nsid w:val="680EA5D1"/>
    <w:multiLevelType w:val="hybridMultilevel"/>
    <w:lvl w:ilvl="0">
      <w:lvlJc w:val="left"/>
      <w:lvlText w:val="•"/>
      <w:numFmt w:val="bullet"/>
      <w:start w:val="1"/>
    </w:lvl>
  </w:abstractNum>
  <w:abstractNum w:abstractNumId="109">
    <w:nsid w:val="4A9554FE"/>
    <w:multiLevelType w:val="hybridMultilevel"/>
    <w:lvl w:ilvl="0">
      <w:lvlJc w:val="left"/>
      <w:lvlText w:val="•"/>
      <w:numFmt w:val="bullet"/>
      <w:start w:val="1"/>
    </w:lvl>
  </w:abstractNum>
  <w:abstractNum w:abstractNumId="110">
    <w:nsid w:val="392EDBE4"/>
    <w:multiLevelType w:val="hybridMultilevel"/>
    <w:lvl w:ilvl="0">
      <w:lvlJc w:val="left"/>
      <w:lvlText w:val="•"/>
      <w:numFmt w:val="bullet"/>
      <w:start w:val="1"/>
    </w:lvl>
  </w:abstractNum>
  <w:abstractNum w:abstractNumId="111">
    <w:nsid w:val="3D1A2DD9"/>
    <w:multiLevelType w:val="hybridMultilevel"/>
    <w:lvl w:ilvl="0">
      <w:lvlJc w:val="left"/>
      <w:lvlText w:val="•"/>
      <w:numFmt w:val="bullet"/>
      <w:start w:val="1"/>
    </w:lvl>
  </w:abstractNum>
  <w:abstractNum w:abstractNumId="112">
    <w:nsid w:val="7F618FCD"/>
    <w:multiLevelType w:val="hybridMultilevel"/>
    <w:lvl w:ilvl="0">
      <w:lvlJc w:val="left"/>
      <w:lvlText w:val="•"/>
      <w:numFmt w:val="bullet"/>
      <w:start w:val="1"/>
    </w:lvl>
  </w:abstractNum>
  <w:abstractNum w:abstractNumId="113">
    <w:nsid w:val="7843E45"/>
    <w:multiLevelType w:val="hybridMultilevel"/>
    <w:lvl w:ilvl="0">
      <w:lvlJc w:val="left"/>
      <w:lvlText w:val="•"/>
      <w:numFmt w:val="bullet"/>
      <w:start w:val="1"/>
    </w:lvl>
  </w:abstractNum>
  <w:abstractNum w:abstractNumId="114">
    <w:nsid w:val="9815DA3"/>
    <w:multiLevelType w:val="hybridMultilevel"/>
    <w:lvl w:ilvl="0">
      <w:lvlJc w:val="left"/>
      <w:lvlText w:val="•"/>
      <w:numFmt w:val="bullet"/>
      <w:start w:val="1"/>
    </w:lvl>
  </w:abstractNum>
  <w:abstractNum w:abstractNumId="115">
    <w:nsid w:val="5204A191"/>
    <w:multiLevelType w:val="hybridMultilevel"/>
    <w:lvl w:ilvl="0">
      <w:lvlJc w:val="left"/>
      <w:lvlText w:val="•"/>
      <w:numFmt w:val="bullet"/>
      <w:start w:val="1"/>
    </w:lvl>
  </w:abstractNum>
  <w:abstractNum w:abstractNumId="116">
    <w:nsid w:val="4C73A9C6"/>
    <w:multiLevelType w:val="hybridMultilevel"/>
    <w:lvl w:ilvl="0">
      <w:lvlJc w:val="left"/>
      <w:lvlText w:val="•"/>
      <w:numFmt w:val="bullet"/>
      <w:start w:val="1"/>
    </w:lvl>
  </w:abstractNum>
  <w:abstractNum w:abstractNumId="117">
    <w:nsid w:val="1C7E3C01"/>
    <w:multiLevelType w:val="hybridMultilevel"/>
    <w:lvl w:ilvl="0">
      <w:lvlJc w:val="left"/>
      <w:lvlText w:val="•"/>
      <w:numFmt w:val="bullet"/>
      <w:start w:val="1"/>
    </w:lvl>
  </w:abstractNum>
  <w:abstractNum w:abstractNumId="118">
    <w:nsid w:val="1C2201FF"/>
    <w:multiLevelType w:val="hybridMultilevel"/>
    <w:lvl w:ilvl="0">
      <w:lvlJc w:val="left"/>
      <w:lvlText w:val="•"/>
      <w:numFmt w:val="bullet"/>
      <w:start w:val="1"/>
    </w:lvl>
  </w:abstractNum>
  <w:abstractNum w:abstractNumId="119">
    <w:nsid w:val="50ABCEC9"/>
    <w:multiLevelType w:val="hybridMultilevel"/>
    <w:lvl w:ilvl="0">
      <w:lvlJc w:val="left"/>
      <w:lvlText w:val="•"/>
      <w:numFmt w:val="bullet"/>
      <w:start w:val="1"/>
    </w:lvl>
  </w:abstractNum>
  <w:abstractNum w:abstractNumId="120">
    <w:nsid w:val="7635AA2A"/>
    <w:multiLevelType w:val="hybridMultilevel"/>
    <w:lvl w:ilvl="0">
      <w:lvlJc w:val="left"/>
      <w:lvlText w:val="•"/>
      <w:numFmt w:val="bullet"/>
      <w:start w:val="1"/>
    </w:lvl>
  </w:abstractNum>
  <w:abstractNum w:abstractNumId="121">
    <w:nsid w:val="5E74C4D9"/>
    <w:multiLevelType w:val="hybridMultilevel"/>
    <w:lvl w:ilvl="0">
      <w:lvlJc w:val="left"/>
      <w:lvlText w:val="•"/>
      <w:numFmt w:val="bullet"/>
      <w:start w:val="1"/>
    </w:lvl>
  </w:abstractNum>
  <w:abstractNum w:abstractNumId="122">
    <w:nsid w:val="3B3EBE15"/>
    <w:multiLevelType w:val="hybridMultilevel"/>
    <w:lvl w:ilvl="0">
      <w:lvlJc w:val="left"/>
      <w:lvlText w:val="•"/>
      <w:numFmt w:val="bullet"/>
      <w:start w:val="1"/>
    </w:lvl>
  </w:abstractNum>
  <w:abstractNum w:abstractNumId="123">
    <w:nsid w:val="3822CB01"/>
    <w:multiLevelType w:val="hybridMultilevel"/>
    <w:lvl w:ilvl="0">
      <w:lvlJc w:val="left"/>
      <w:lvlText w:val="•"/>
      <w:numFmt w:val="bullet"/>
      <w:start w:val="1"/>
    </w:lvl>
    <w:lvl w:ilvl="1">
      <w:lvlJc w:val="left"/>
      <w:lvlText w:val="(%2)"/>
      <w:numFmt w:val="lowerRoman"/>
      <w:start w:val="1"/>
    </w:lvl>
  </w:abstractNum>
  <w:abstractNum w:abstractNumId="124">
    <w:nsid w:val="6CE00443"/>
    <w:multiLevelType w:val="hybridMultilevel"/>
    <w:lvl w:ilvl="0">
      <w:lvlJc w:val="left"/>
      <w:lvlText w:val="•"/>
      <w:numFmt w:val="bullet"/>
      <w:start w:val="1"/>
    </w:lvl>
  </w:abstractNum>
  <w:abstractNum w:abstractNumId="125">
    <w:nsid w:val="79F0D62F"/>
    <w:multiLevelType w:val="hybridMultilevel"/>
    <w:lvl w:ilvl="0">
      <w:lvlJc w:val="left"/>
      <w:lvlText w:val="1"/>
      <w:numFmt w:val="bullet"/>
      <w:start w:val="1"/>
    </w:lvl>
  </w:abstractNum>
  <w:abstractNum w:abstractNumId="126">
    <w:nsid w:val="7975E8EE"/>
    <w:multiLevelType w:val="hybridMultilevel"/>
    <w:lvl w:ilvl="0">
      <w:lvlJc w:val="left"/>
      <w:lvlText w:val="(%1)"/>
      <w:numFmt w:val="lowerLetter"/>
      <w:start w:val="1"/>
    </w:lvl>
  </w:abstractNum>
  <w:abstractNum w:abstractNumId="127">
    <w:nsid w:val="73154115"/>
    <w:multiLevelType w:val="hybridMultilevel"/>
    <w:lvl w:ilvl="0">
      <w:lvlJc w:val="left"/>
      <w:lvlText w:val="1"/>
      <w:numFmt w:val="bullet"/>
      <w:start w:val="1"/>
    </w:lvl>
  </w:abstractNum>
  <w:abstractNum w:abstractNumId="128">
    <w:nsid w:val="622D8102"/>
    <w:multiLevelType w:val="hybridMultilevel"/>
    <w:lvl w:ilvl="0">
      <w:lvlJc w:val="left"/>
      <w:lvlText w:val="(%1)"/>
      <w:numFmt w:val="lowerLetter"/>
      <w:start w:val="1"/>
    </w:lvl>
  </w:abstractNum>
  <w:abstractNum w:abstractNumId="129">
    <w:nsid w:val="2AB26587"/>
    <w:multiLevelType w:val="hybridMultilevel"/>
    <w:lvl w:ilvl="0">
      <w:lvlJc w:val="left"/>
      <w:lvlText w:val="1"/>
      <w:numFmt w:val="bullet"/>
      <w:start w:val="1"/>
    </w:lvl>
  </w:abstractNum>
  <w:abstractNum w:abstractNumId="130">
    <w:nsid w:val="44B3FA61"/>
    <w:multiLevelType w:val="hybridMultilevel"/>
    <w:lvl w:ilvl="0">
      <w:lvlJc w:val="left"/>
      <w:lvlText w:val="(%1)"/>
      <w:numFmt w:val="lowerLetter"/>
      <w:start w:val="1"/>
    </w:lvl>
  </w:abstractNum>
  <w:abstractNum w:abstractNumId="131">
    <w:nsid w:val="1C0CA67C"/>
    <w:multiLevelType w:val="hybridMultilevel"/>
    <w:lvl w:ilvl="0">
      <w:lvlJc w:val="left"/>
      <w:lvlText w:val="1"/>
      <w:numFmt w:val="bullet"/>
      <w:start w:val="1"/>
    </w:lvl>
  </w:abstractNum>
  <w:abstractNum w:abstractNumId="132">
    <w:nsid w:val="3D206613"/>
    <w:multiLevelType w:val="hybridMultilevel"/>
    <w:lvl w:ilvl="0">
      <w:lvlJc w:val="left"/>
      <w:lvlText w:val="(%1)"/>
      <w:numFmt w:val="lowerLetter"/>
      <w:start w:val="2"/>
    </w:lvl>
  </w:abstractNum>
  <w:abstractNum w:abstractNumId="133">
    <w:nsid w:val="7993B662"/>
    <w:multiLevelType w:val="hybridMultilevel"/>
    <w:lvl w:ilvl="0">
      <w:lvlJc w:val="left"/>
      <w:lvlText w:val="•"/>
      <w:numFmt w:val="bullet"/>
      <w:start w:val="1"/>
    </w:lvl>
  </w:abstractNum>
  <w:abstractNum w:abstractNumId="134">
    <w:nsid w:val="3BAB699E"/>
    <w:multiLevelType w:val="hybridMultilevel"/>
    <w:lvl w:ilvl="0">
      <w:lvlJc w:val="left"/>
      <w:lvlText w:val="•"/>
      <w:numFmt w:val="bullet"/>
      <w:start w:val="1"/>
    </w:lvl>
  </w:abstractNum>
  <w:abstractNum w:abstractNumId="135">
    <w:nsid w:val="71315369"/>
    <w:multiLevelType w:val="hybridMultilevel"/>
    <w:lvl w:ilvl="0">
      <w:lvlJc w:val="left"/>
      <w:lvlText w:val="•"/>
      <w:numFmt w:val="bullet"/>
      <w:start w:val="1"/>
    </w:lvl>
  </w:abstractNum>
  <w:abstractNum w:abstractNumId="136">
    <w:nsid w:val="7BCFBAFC"/>
    <w:multiLevelType w:val="hybridMultilevel"/>
    <w:lvl w:ilvl="0">
      <w:lvlJc w:val="left"/>
      <w:lvlText w:val="1"/>
      <w:numFmt w:val="bullet"/>
      <w:start w:val="1"/>
    </w:lvl>
  </w:abstractNum>
  <w:abstractNum w:abstractNumId="137">
    <w:nsid w:val="17859F72"/>
    <w:multiLevelType w:val="hybridMultilevel"/>
    <w:lvl w:ilvl="0">
      <w:lvlJc w:val="left"/>
      <w:lvlText w:val="(%1)"/>
      <w:numFmt w:val="lowerLetter"/>
      <w:start w:val="2"/>
    </w:lvl>
  </w:abstractNum>
  <w:abstractNum w:abstractNumId="138">
    <w:nsid w:val="3AA10581"/>
    <w:multiLevelType w:val="hybridMultilevel"/>
    <w:lvl w:ilvl="0">
      <w:lvlJc w:val="left"/>
      <w:lvlText w:val="•"/>
      <w:numFmt w:val="bullet"/>
      <w:start w:val="1"/>
    </w:lvl>
  </w:abstractNum>
  <w:abstractNum w:abstractNumId="139">
    <w:nsid w:val="63DE60CD"/>
    <w:multiLevelType w:val="hybridMultilevel"/>
    <w:lvl w:ilvl="0">
      <w:lvlJc w:val="left"/>
      <w:lvlText w:val="•"/>
      <w:numFmt w:val="bullet"/>
      <w:start w:val="1"/>
    </w:lvl>
  </w:abstractNum>
  <w:abstractNum w:abstractNumId="140">
    <w:nsid w:val="621AF471"/>
    <w:multiLevelType w:val="hybridMultilevel"/>
    <w:lvl w:ilvl="0">
      <w:lvlJc w:val="left"/>
      <w:lvlText w:val="1"/>
      <w:numFmt w:val="bullet"/>
      <w:start w:val="1"/>
    </w:lvl>
  </w:abstractNum>
  <w:abstractNum w:abstractNumId="141">
    <w:nsid w:val="73CFE165"/>
    <w:multiLevelType w:val="hybridMultilevel"/>
    <w:lvl w:ilvl="0">
      <w:lvlJc w:val="left"/>
      <w:lvlText w:val="(%1)"/>
      <w:numFmt w:val="lowerLetter"/>
      <w:start w:val="2"/>
    </w:lvl>
  </w:abstractNum>
  <w:abstractNum w:abstractNumId="142">
    <w:nsid w:val="20F88EA6"/>
    <w:multiLevelType w:val="hybridMultilevel"/>
    <w:lvl w:ilvl="0">
      <w:lvlJc w:val="left"/>
      <w:lvlText w:val="2"/>
      <w:numFmt w:val="bullet"/>
      <w:start w:val="1"/>
    </w:lvl>
  </w:abstractNum>
  <w:abstractNum w:abstractNumId="143">
    <w:nsid w:val="617C843E"/>
    <w:multiLevelType w:val="hybridMultilevel"/>
    <w:lvl w:ilvl="0">
      <w:lvlJc w:val="left"/>
      <w:lvlText w:val="(%1)"/>
      <w:numFmt w:val="lowerLetter"/>
      <w:start w:val="1"/>
    </w:lvl>
  </w:abstractNum>
  <w:abstractNum w:abstractNumId="144">
    <w:nsid w:val="7B541FAB"/>
    <w:multiLevelType w:val="hybridMultilevel"/>
    <w:lvl w:ilvl="0">
      <w:lvlJc w:val="left"/>
      <w:lvlText w:val="2"/>
      <w:numFmt w:val="bullet"/>
      <w:start w:val="1"/>
    </w:lvl>
  </w:abstractNum>
  <w:abstractNum w:abstractNumId="145">
    <w:nsid w:val="2A79EC49"/>
    <w:multiLevelType w:val="hybridMultilevel"/>
    <w:lvl w:ilvl="0">
      <w:lvlJc w:val="left"/>
      <w:lvlText w:val="(%1)"/>
      <w:numFmt w:val="lowerLetter"/>
      <w:start w:val="3"/>
    </w:lvl>
  </w:abstractNum>
  <w:abstractNum w:abstractNumId="146">
    <w:nsid w:val="338125CF"/>
    <w:multiLevelType w:val="hybridMultilevel"/>
    <w:lvl w:ilvl="0">
      <w:lvlJc w:val="left"/>
      <w:lvlText w:val="2"/>
      <w:numFmt w:val="bullet"/>
      <w:start w:val="1"/>
    </w:lvl>
  </w:abstractNum>
  <w:abstractNum w:abstractNumId="147">
    <w:nsid w:val="47C7C971"/>
    <w:multiLevelType w:val="hybridMultilevel"/>
    <w:lvl w:ilvl="0">
      <w:lvlJc w:val="left"/>
      <w:lvlText w:val="(%1)"/>
      <w:numFmt w:val="lowerLetter"/>
      <w:start w:val="5"/>
    </w:lvl>
  </w:abstractNum>
  <w:abstractNum w:abstractNumId="148">
    <w:nsid w:val="46F8284B"/>
    <w:multiLevelType w:val="hybridMultilevel"/>
    <w:lvl w:ilvl="0">
      <w:lvlJc w:val="left"/>
      <w:lvlText w:val="2"/>
      <w:numFmt w:val="bullet"/>
      <w:start w:val="1"/>
    </w:lvl>
  </w:abstractNum>
  <w:abstractNum w:abstractNumId="149">
    <w:nsid w:val="4FA327CE"/>
    <w:multiLevelType w:val="hybridMultilevel"/>
    <w:lvl w:ilvl="0">
      <w:lvlJc w:val="left"/>
      <w:lvlText w:val="(%1)"/>
      <w:numFmt w:val="lowerLetter"/>
      <w:start w:val="9"/>
    </w:lvl>
  </w:abstractNum>
  <w:abstractNum w:abstractNumId="150">
    <w:nsid w:val="1873983A"/>
    <w:multiLevelType w:val="hybridMultilevel"/>
    <w:lvl w:ilvl="0">
      <w:lvlJc w:val="left"/>
      <w:lvlText w:val="2"/>
      <w:numFmt w:val="bullet"/>
      <w:start w:val="1"/>
    </w:lvl>
  </w:abstractNum>
  <w:abstractNum w:abstractNumId="151">
    <w:nsid w:val="3D2DD275"/>
    <w:multiLevelType w:val="hybridMultilevel"/>
    <w:lvl w:ilvl="0">
      <w:lvlJc w:val="left"/>
      <w:lvlText w:val="(%1)"/>
      <w:numFmt w:val="lowerLetter"/>
      <w:start w:val="12"/>
    </w:lvl>
  </w:abstractNum>
  <w:abstractNum w:abstractNumId="152">
    <w:nsid w:val="2E17ECA7"/>
    <w:multiLevelType w:val="hybridMultilevel"/>
    <w:lvl w:ilvl="0">
      <w:lvlJc w:val="left"/>
      <w:lvlText w:val="(%1)"/>
      <w:numFmt w:val="lowerLetter"/>
      <w:start w:val="13"/>
    </w:lvl>
  </w:abstractNum>
  <w:abstractNum w:abstractNumId="153">
    <w:nsid w:val="53B2564F"/>
    <w:multiLevelType w:val="hybridMultilevel"/>
    <w:lvl w:ilvl="0">
      <w:lvlJc w:val="left"/>
      <w:lvlText w:val="(%1)"/>
      <w:numFmt w:val="lowerLetter"/>
      <w:start w:val="15"/>
    </w:lvl>
  </w:abstractNum>
  <w:abstractNum w:abstractNumId="154">
    <w:nsid w:val="75509D76"/>
    <w:multiLevelType w:val="hybridMultilevel"/>
    <w:lvl w:ilvl="0">
      <w:lvlJc w:val="left"/>
      <w:lvlText w:val="2"/>
      <w:numFmt w:val="bullet"/>
      <w:start w:val="1"/>
    </w:lvl>
  </w:abstractNum>
  <w:abstractNum w:abstractNumId="155">
    <w:nsid w:val="1AF7F0EA"/>
    <w:multiLevelType w:val="hybridMultilevel"/>
    <w:lvl w:ilvl="0">
      <w:lvlJc w:val="left"/>
      <w:lvlText w:val="(%1)"/>
      <w:numFmt w:val="lowerLetter"/>
      <w:start w:val="17"/>
    </w:lvl>
  </w:abstractNum>
  <w:abstractNum w:abstractNumId="156">
    <w:nsid w:val="4DA32C7E"/>
    <w:multiLevelType w:val="hybridMultilevel"/>
    <w:lvl w:ilvl="0">
      <w:lvlJc w:val="left"/>
      <w:lvlText w:val="2"/>
      <w:numFmt w:val="bullet"/>
      <w:start w:val="1"/>
    </w:lvl>
  </w:abstractNum>
  <w:abstractNum w:abstractNumId="157">
    <w:nsid w:val="6EC68664"/>
    <w:multiLevelType w:val="hybridMultilevel"/>
    <w:lvl w:ilvl="0">
      <w:lvlJc w:val="left"/>
      <w:lvlText w:val="(%1)"/>
      <w:numFmt w:val="lowerLetter"/>
      <w:start w:val="20"/>
    </w:lvl>
  </w:abstractNum>
  <w:abstractNum w:abstractNumId="158">
    <w:nsid w:val="E0D31FF"/>
    <w:multiLevelType w:val="hybridMultilevel"/>
    <w:lvl w:ilvl="0">
      <w:lvlJc w:val="left"/>
      <w:lvlText w:val="2"/>
      <w:numFmt w:val="bullet"/>
      <w:start w:val="1"/>
    </w:lvl>
  </w:abstractNum>
  <w:abstractNum w:abstractNumId="159">
    <w:nsid w:val="2FD0AD81"/>
    <w:multiLevelType w:val="hybridMultilevel"/>
    <w:lvl w:ilvl="0">
      <w:lvlJc w:val="left"/>
      <w:lvlText w:val="(%1)"/>
      <w:numFmt w:val="lowerLetter"/>
      <w:start w:val="21"/>
    </w:lvl>
  </w:abstractNum>
  <w:abstractNum w:abstractNumId="160">
    <w:nsid w:val="1978EBEB"/>
    <w:multiLevelType w:val="hybridMultilevel"/>
    <w:lvl w:ilvl="0">
      <w:lvlJc w:val="left"/>
      <w:lvlText w:val="(%1)"/>
      <w:numFmt w:val="lowerLetter"/>
      <w:start w:val="24"/>
    </w:lvl>
  </w:abstractNum>
  <w:abstractNum w:abstractNumId="161">
    <w:nsid w:val="52C12C61"/>
    <w:multiLevelType w:val="hybridMultilevel"/>
    <w:lvl w:ilvl="0">
      <w:lvlJc w:val="left"/>
      <w:lvlText w:val="2"/>
      <w:numFmt w:val="bullet"/>
      <w:start w:val="1"/>
    </w:lvl>
  </w:abstractNum>
  <w:abstractNum w:abstractNumId="162">
    <w:nsid w:val="4BDD53FD"/>
    <w:multiLevelType w:val="hybridMultilevel"/>
    <w:lvl w:ilvl="0">
      <w:lvlJc w:val="left"/>
      <w:lvlText w:val="(%1)"/>
      <w:numFmt w:val="lowerLetter"/>
      <w:start w:val="26"/>
    </w:lvl>
  </w:abstractNum>
  <w:abstractNum w:abstractNumId="163">
    <w:nsid w:val="569951FE"/>
    <w:multiLevelType w:val="hybridMultilevel"/>
    <w:lvl w:ilvl="0">
      <w:lvlJc w:val="left"/>
      <w:lvlText w:val="(%1)"/>
      <w:numFmt w:val="lowerLetter"/>
      <w:start w:val="27"/>
    </w:lvl>
  </w:abstractNum>
  <w:abstractNum w:abstractNumId="164">
    <w:nsid w:val="4C54E2C3"/>
    <w:multiLevelType w:val="hybridMultilevel"/>
    <w:lvl w:ilvl="0">
      <w:lvlJc w:val="left"/>
      <w:lvlText w:val="2"/>
      <w:numFmt w:val="bullet"/>
      <w:start w:val="1"/>
    </w:lvl>
  </w:abstractNum>
  <w:abstractNum w:abstractNumId="165">
    <w:nsid w:val="788BD9B"/>
    <w:multiLevelType w:val="hybridMultilevel"/>
    <w:lvl w:ilvl="0">
      <w:lvlJc w:val="left"/>
      <w:lvlText w:val="2"/>
      <w:numFmt w:val="bullet"/>
      <w:start w:val="1"/>
    </w:lvl>
  </w:abstractNum>
  <w:abstractNum w:abstractNumId="166">
    <w:nsid w:val="47CAA567"/>
    <w:multiLevelType w:val="hybridMultilevel"/>
    <w:lvl w:ilvl="0">
      <w:lvlJc w:val="left"/>
      <w:lvlText w:val="2"/>
      <w:numFmt w:val="bullet"/>
      <w:start w:val="1"/>
    </w:lvl>
  </w:abstractNum>
  <w:abstractNum w:abstractNumId="167">
    <w:nsid w:val="48249DBF"/>
    <w:multiLevelType w:val="hybridMultilevel"/>
    <w:lvl w:ilvl="0">
      <w:lvlJc w:val="left"/>
      <w:lvlText w:val="2"/>
      <w:numFmt w:val="bullet"/>
      <w:start w:val="1"/>
    </w:lvl>
  </w:abstractNum>
  <w:abstractNum w:abstractNumId="168">
    <w:nsid w:val="1F0E5D0D"/>
    <w:multiLevelType w:val="hybridMultilevel"/>
    <w:lvl w:ilvl="0">
      <w:lvlJc w:val="left"/>
      <w:lvlText w:val="(%1)"/>
      <w:numFmt w:val="lowerRoman"/>
      <w:start w:val="2"/>
    </w:lvl>
  </w:abstractNum>
  <w:abstractNum w:abstractNumId="169">
    <w:nsid w:val="26BAAE9"/>
    <w:multiLevelType w:val="hybridMultilevel"/>
    <w:lvl w:ilvl="0">
      <w:lvlJc w:val="left"/>
      <w:lvlText w:val="2"/>
      <w:numFmt w:val="bullet"/>
      <w:start w:val="1"/>
    </w:lvl>
  </w:abstractNum>
  <w:abstractNum w:abstractNumId="170">
    <w:nsid w:val="2C02FE8C"/>
    <w:multiLevelType w:val="hybridMultilevel"/>
    <w:lvl w:ilvl="0">
      <w:lvlJc w:val="left"/>
      <w:lvlText w:val="3"/>
      <w:numFmt w:val="bullet"/>
      <w:start w:val="1"/>
    </w:lvl>
  </w:abstractNum>
  <w:abstractNum w:abstractNumId="171">
    <w:nsid w:val="129517E"/>
    <w:multiLevelType w:val="hybridMultilevel"/>
    <w:lvl w:ilvl="0">
      <w:lvlJc w:val="left"/>
      <w:lvlText w:val="(%1)"/>
      <w:numFmt w:val="lowerLetter"/>
      <w:start w:val="1"/>
    </w:lvl>
    <w:lvl w:ilvl="1">
      <w:lvlJc w:val="left"/>
      <w:lvlText w:val="•"/>
      <w:numFmt w:val="bullet"/>
      <w:start w:val="1"/>
    </w:lvl>
  </w:abstractNum>
  <w:abstractNum w:abstractNumId="172">
    <w:nsid w:val="763B8C4E"/>
    <w:multiLevelType w:val="hybridMultilevel"/>
    <w:lvl w:ilvl="0">
      <w:lvlJc w:val="left"/>
      <w:lvlText w:val="3"/>
      <w:numFmt w:val="bullet"/>
      <w:start w:val="1"/>
    </w:lvl>
  </w:abstractNum>
  <w:abstractNum w:abstractNumId="173">
    <w:nsid w:val="4CFB8D32"/>
    <w:multiLevelType w:val="hybridMultilevel"/>
    <w:lvl w:ilvl="0">
      <w:lvlJc w:val="left"/>
      <w:lvlText w:val="(%1)"/>
      <w:numFmt w:val="lowerLetter"/>
      <w:start w:val="1"/>
    </w:lvl>
  </w:abstractNum>
  <w:abstractNum w:abstractNumId="174">
    <w:nsid w:val="62A5D5BD"/>
    <w:multiLevelType w:val="hybridMultilevel"/>
    <w:lvl w:ilvl="0">
      <w:lvlJc w:val="left"/>
      <w:lvlText w:val="3"/>
      <w:numFmt w:val="bullet"/>
      <w:start w:val="1"/>
    </w:lvl>
  </w:abstractNum>
  <w:abstractNum w:abstractNumId="175">
    <w:nsid w:val="718FABF9"/>
    <w:multiLevelType w:val="hybridMultilevel"/>
    <w:lvl w:ilvl="0">
      <w:lvlJc w:val="left"/>
      <w:lvlText w:val="(%1)"/>
      <w:numFmt w:val="lowerLetter"/>
      <w:start w:val="1"/>
    </w:lvl>
  </w:abstractNum>
  <w:abstractNum w:abstractNumId="176">
    <w:nsid w:val="7775797C"/>
    <w:multiLevelType w:val="hybridMultilevel"/>
    <w:lvl w:ilvl="0">
      <w:lvlJc w:val="left"/>
      <w:lvlText w:val="3"/>
      <w:numFmt w:val="bullet"/>
      <w:start w:val="1"/>
    </w:lvl>
  </w:abstractNum>
  <w:abstractNum w:abstractNumId="177">
    <w:nsid w:val="1626FB8C"/>
    <w:multiLevelType w:val="hybridMultilevel"/>
    <w:lvl w:ilvl="0">
      <w:lvlJc w:val="left"/>
      <w:lvlText w:val="(%1)"/>
      <w:numFmt w:val="lowerLetter"/>
      <w:start w:val="1"/>
    </w:lvl>
  </w:abstractNum>
  <w:abstractNum w:abstractNumId="178">
    <w:nsid w:val="3957756A"/>
    <w:multiLevelType w:val="hybridMultilevel"/>
    <w:lvl w:ilvl="0">
      <w:lvlJc w:val="left"/>
      <w:lvlText w:val="3"/>
      <w:numFmt w:val="bullet"/>
      <w:start w:val="1"/>
    </w:lvl>
  </w:abstractNum>
  <w:abstractNum w:abstractNumId="179">
    <w:nsid w:val="3E6DA1C7"/>
    <w:multiLevelType w:val="hybridMultilevel"/>
    <w:lvl w:ilvl="0">
      <w:lvlJc w:val="left"/>
      <w:lvlText w:val="(%1)"/>
      <w:numFmt w:val="lowerLetter"/>
      <w:start w:val="3"/>
    </w:lvl>
  </w:abstractNum>
  <w:abstractNum w:abstractNumId="180">
    <w:nsid w:val="65CA235B"/>
    <w:multiLevelType w:val="hybridMultilevel"/>
    <w:lvl w:ilvl="0">
      <w:lvlJc w:val="left"/>
      <w:lvlText w:val="(%1)"/>
      <w:numFmt w:val="lowerLetter"/>
      <w:start w:val="4"/>
    </w:lvl>
  </w:abstractNum>
  <w:abstractNum w:abstractNumId="181">
    <w:nsid w:val="51CB0DA4"/>
    <w:multiLevelType w:val="hybridMultilevel"/>
    <w:lvl w:ilvl="0">
      <w:lvlJc w:val="left"/>
      <w:lvlText w:val="(%1)"/>
      <w:numFmt w:val="lowerRoman"/>
      <w:start w:val="1"/>
    </w:lvl>
  </w:abstractNum>
  <w:abstractNum w:abstractNumId="182">
    <w:nsid w:val="7B9B743C"/>
    <w:multiLevelType w:val="hybridMultilevel"/>
    <w:lvl w:ilvl="0">
      <w:lvlJc w:val="left"/>
      <w:lvlText w:val="(%1)"/>
      <w:numFmt w:val="lowerRoman"/>
      <w:start w:val="2"/>
    </w:lvl>
  </w:abstractNum>
  <w:abstractNum w:abstractNumId="183">
    <w:nsid w:val="13E21002"/>
    <w:multiLevelType w:val="hybridMultilevel"/>
    <w:lvl w:ilvl="0">
      <w:lvlJc w:val="left"/>
      <w:lvlText w:val="3"/>
      <w:numFmt w:val="bullet"/>
      <w:start w:val="1"/>
    </w:lvl>
  </w:abstractNum>
  <w:abstractNum w:abstractNumId="184">
    <w:nsid w:val="257D63F4"/>
    <w:multiLevelType w:val="hybridMultilevel"/>
    <w:lvl w:ilvl="0">
      <w:lvlJc w:val="left"/>
      <w:lvlText w:val="(%1)"/>
      <w:numFmt w:val="lowerLetter"/>
      <w:start w:val="4"/>
    </w:lvl>
    <w:lvl w:ilvl="1">
      <w:lvlJc w:val="left"/>
      <w:lvlText w:val="(%2)"/>
      <w:numFmt w:val="lowerLetter"/>
      <w:start w:val="35"/>
    </w:lvl>
  </w:abstractNum>
  <w:abstractNum w:abstractNumId="185">
    <w:nsid w:val="70EC11B2"/>
    <w:multiLevelType w:val="hybridMultilevel"/>
    <w:lvl w:ilvl="0">
      <w:lvlJc w:val="left"/>
      <w:lvlText w:val="4"/>
      <w:numFmt w:val="bullet"/>
      <w:start w:val="1"/>
    </w:lvl>
  </w:abstractNum>
  <w:abstractNum w:abstractNumId="186">
    <w:nsid w:val="2EDA00ED"/>
    <w:multiLevelType w:val="hybridMultilevel"/>
    <w:lvl w:ilvl="0">
      <w:lvlJc w:val="left"/>
      <w:lvlText w:val="(%1)"/>
      <w:numFmt w:val="lowerLetter"/>
      <w:start w:val="1"/>
    </w:lvl>
  </w:abstractNum>
  <w:abstractNum w:abstractNumId="187">
    <w:nsid w:val="73209072"/>
    <w:multiLevelType w:val="hybridMultilevel"/>
    <w:lvl w:ilvl="0">
      <w:lvlJc w:val="left"/>
      <w:lvlText w:val="4"/>
      <w:numFmt w:val="bullet"/>
      <w:start w:val="1"/>
    </w:lvl>
  </w:abstractNum>
  <w:abstractNum w:abstractNumId="188">
    <w:nsid w:val="5FB29816"/>
    <w:multiLevelType w:val="hybridMultilevel"/>
    <w:lvl w:ilvl="0">
      <w:lvlJc w:val="left"/>
      <w:lvlText w:val="(%1)"/>
      <w:numFmt w:val="lowerLetter"/>
      <w:start w:val="1"/>
    </w:lvl>
  </w:abstractNum>
  <w:abstractNum w:abstractNumId="189">
    <w:nsid w:val="3CE732EC"/>
    <w:multiLevelType w:val="hybridMultilevel"/>
    <w:lvl w:ilvl="0">
      <w:lvlJc w:val="left"/>
      <w:lvlText w:val="4"/>
      <w:numFmt w:val="bullet"/>
      <w:start w:val="1"/>
    </w:lvl>
  </w:abstractNum>
  <w:abstractNum w:abstractNumId="190">
    <w:nsid w:val="22F13DF3"/>
    <w:multiLevelType w:val="hybridMultilevel"/>
    <w:lvl w:ilvl="0">
      <w:lvlJc w:val="left"/>
      <w:lvlText w:val="(%1)"/>
      <w:numFmt w:val="lowerLetter"/>
      <w:start w:val="1"/>
    </w:lvl>
  </w:abstractNum>
  <w:abstractNum w:abstractNumId="191">
    <w:nsid w:val="792B8401"/>
    <w:multiLevelType w:val="hybridMultilevel"/>
    <w:lvl w:ilvl="0">
      <w:lvlJc w:val="left"/>
      <w:lvlText w:val="(%1)"/>
      <w:numFmt w:val="lowerLetter"/>
      <w:start w:val="2"/>
    </w:lvl>
  </w:abstractNum>
  <w:abstractNum w:abstractNumId="192">
    <w:nsid w:val="FA85F4D"/>
    <w:multiLevelType w:val="hybridMultilevel"/>
    <w:lvl w:ilvl="0">
      <w:lvlJc w:val="left"/>
      <w:lvlText w:val="4"/>
      <w:numFmt w:val="bullet"/>
      <w:start w:val="1"/>
    </w:lvl>
  </w:abstractNum>
  <w:abstractNum w:abstractNumId="193">
    <w:nsid w:val="6ECE91F0"/>
    <w:multiLevelType w:val="hybridMultilevel"/>
    <w:lvl w:ilvl="0">
      <w:lvlJc w:val="left"/>
      <w:lvlText w:val="(%1)"/>
      <w:numFmt w:val="lowerLetter"/>
      <w:start w:val="2"/>
    </w:lvl>
  </w:abstractNum>
  <w:abstractNum w:abstractNumId="194">
    <w:nsid w:val="4FC4D600"/>
    <w:multiLevelType w:val="hybridMultilevel"/>
    <w:lvl w:ilvl="0">
      <w:lvlJc w:val="left"/>
      <w:lvlText w:val="5"/>
      <w:numFmt w:val="bullet"/>
      <w:start w:val="1"/>
    </w:lvl>
  </w:abstractNum>
  <w:abstractNum w:abstractNumId="195">
    <w:nsid w:val="5BFD4210"/>
    <w:multiLevelType w:val="hybridMultilevel"/>
    <w:lvl w:ilvl="0">
      <w:lvlJc w:val="left"/>
      <w:lvlText w:val="6"/>
      <w:numFmt w:val="bullet"/>
      <w:start w:val="1"/>
    </w:lvl>
  </w:abstractNum>
  <w:abstractNum w:abstractNumId="196">
    <w:nsid w:val="76574F8B"/>
    <w:multiLevelType w:val="hybridMultilevel"/>
    <w:lvl w:ilvl="0">
      <w:lvlJc w:val="left"/>
      <w:lvlText w:val="7"/>
      <w:numFmt w:val="bullet"/>
      <w:start w:val="1"/>
    </w:lvl>
  </w:abstractNum>
  <w:abstractNum w:abstractNumId="197">
    <w:nsid w:val="178F7B67"/>
    <w:multiLevelType w:val="hybridMultilevel"/>
    <w:lvl w:ilvl="0">
      <w:lvlJc w:val="left"/>
      <w:lvlText w:val="%1"/>
      <w:numFmt w:val="decimal"/>
      <w:start w:val="10"/>
    </w:lvl>
  </w:abstractNum>
  <w:abstractNum w:abstractNumId="198">
    <w:nsid w:val="2421DFCF"/>
    <w:multiLevelType w:val="hybridMultilevel"/>
    <w:lvl w:ilvl="0">
      <w:lvlJc w:val="left"/>
      <w:lvlText w:val="%1"/>
      <w:numFmt w:val="decimal"/>
      <w:start w:val="10"/>
    </w:lvl>
  </w:abstractNum>
  <w:abstractNum w:abstractNumId="199">
    <w:nsid w:val="1565AC99"/>
    <w:multiLevelType w:val="hybridMultilevel"/>
    <w:lvl w:ilvl="0">
      <w:lvlJc w:val="left"/>
      <w:lvlText w:val="(%1)"/>
      <w:numFmt w:val="lowerRoman"/>
      <w:start w:val="1"/>
    </w:lvl>
  </w:abstractNum>
  <w:abstractNum w:abstractNumId="200">
    <w:nsid w:val="19FB2650"/>
    <w:multiLevelType w:val="hybridMultilevel"/>
    <w:lvl w:ilvl="0">
      <w:lvlJc w:val="left"/>
      <w:lvlText w:val="(%1)"/>
      <w:numFmt w:val="lowerRoman"/>
      <w:start w:val="6"/>
    </w:lvl>
  </w:abstractNum>
  <w:abstractNum w:abstractNumId="201">
    <w:nsid w:val="5024DE5B"/>
    <w:multiLevelType w:val="hybridMultilevel"/>
    <w:lvl w:ilvl="0">
      <w:lvlJc w:val="left"/>
      <w:lvlText w:val="%1"/>
      <w:numFmt w:val="decimal"/>
      <w:start w:val="16"/>
    </w:lvl>
  </w:abstractNum>
  <w:abstractNum w:abstractNumId="202">
    <w:nsid w:val="168EFE17"/>
    <w:multiLevelType w:val="hybridMultilevel"/>
    <w:lvl w:ilvl="0">
      <w:lvlJc w:val="left"/>
      <w:lvlText w:val="%1"/>
      <w:numFmt w:val="decimal"/>
      <w:start w:val="16"/>
    </w:lvl>
  </w:abstractNum>
  <w:abstractNum w:abstractNumId="203">
    <w:nsid w:val="1036B29F"/>
    <w:multiLevelType w:val="hybridMultilevel"/>
    <w:lvl w:ilvl="0">
      <w:lvlJc w:val="left"/>
      <w:lvlText w:val="%1"/>
      <w:numFmt w:val="decimal"/>
      <w:start w:val="16"/>
    </w:lvl>
    <w:lvl w:ilvl="1">
      <w:lvlJc w:val="left"/>
      <w:lvlText w:val="•"/>
      <w:numFmt w:val="bullet"/>
      <w:start w:val="1"/>
    </w:lvl>
  </w:abstractNum>
  <w:abstractNum w:abstractNumId="204">
    <w:nsid w:val="1D206B8E"/>
    <w:multiLevelType w:val="hybridMultilevel"/>
    <w:lvl w:ilvl="0">
      <w:lvlJc w:val="left"/>
      <w:lvlText w:val="%1"/>
      <w:numFmt w:val="decimal"/>
      <w:start w:val="16"/>
    </w:lvl>
  </w:abstractNum>
  <w:abstractNum w:abstractNumId="205">
    <w:nsid w:val="7934D3D4"/>
    <w:multiLevelType w:val="hybridMultilevel"/>
    <w:lvl w:ilvl="0">
      <w:lvlJc w:val="left"/>
      <w:lvlText w:val="%1"/>
      <w:numFmt w:val="decimal"/>
      <w:start w:val="16"/>
    </w:lvl>
  </w:abstractNum>
  <w:abstractNum w:abstractNumId="206">
    <w:nsid w:val="1C65E98"/>
    <w:multiLevelType w:val="hybridMultilevel"/>
    <w:lvl w:ilvl="0">
      <w:lvlJc w:val="left"/>
      <w:lvlText w:val="%1"/>
      <w:numFmt w:val="decimal"/>
      <w:start w:val="16"/>
    </w:lvl>
  </w:abstractNum>
  <w:abstractNum w:abstractNumId="207">
    <w:nsid w:val="1495E50A"/>
    <w:multiLevelType w:val="hybridMultilevel"/>
    <w:lvl w:ilvl="0">
      <w:lvlJc w:val="left"/>
      <w:lvlText w:val="%1"/>
      <w:numFmt w:val="decimal"/>
      <w:start w:val="16"/>
    </w:lvl>
  </w:abstractNum>
  <w:abstractNum w:abstractNumId="208">
    <w:nsid w:val="F5BCF61"/>
    <w:multiLevelType w:val="hybridMultilevel"/>
    <w:lvl w:ilvl="0">
      <w:lvlJc w:val="left"/>
      <w:lvlText w:val="%1"/>
      <w:numFmt w:val="decimal"/>
      <w:start w:val="17"/>
    </w:lvl>
  </w:abstractNum>
  <w:abstractNum w:abstractNumId="209">
    <w:nsid w:val="3B1DD403"/>
    <w:multiLevelType w:val="hybridMultilevel"/>
    <w:lvl w:ilvl="0">
      <w:lvlJc w:val="left"/>
      <w:lvlText w:val="%1"/>
      <w:numFmt w:val="decimal"/>
      <w:start w:val="17"/>
    </w:lvl>
  </w:abstractNum>
  <w:abstractNum w:abstractNumId="210">
    <w:nsid w:val="530386D1"/>
    <w:multiLevelType w:val="hybridMultilevel"/>
    <w:lvl w:ilvl="0">
      <w:lvlJc w:val="left"/>
      <w:lvlText w:val="(%1)"/>
      <w:numFmt w:val="lowerLetter"/>
      <w:start w:val="1"/>
    </w:lvl>
  </w:abstractNum>
  <w:abstractNum w:abstractNumId="211">
    <w:nsid w:val="7525F2BC"/>
    <w:multiLevelType w:val="hybridMultilevel"/>
    <w:lvl w:ilvl="0">
      <w:lvlJc w:val="left"/>
      <w:lvlText w:val="(%1)"/>
      <w:numFmt w:val="lowerRoman"/>
      <w:start w:val="1"/>
    </w:lvl>
  </w:abstractNum>
  <w:abstractNum w:abstractNumId="212">
    <w:nsid w:val="CE8E1A7"/>
    <w:multiLevelType w:val="hybridMultilevel"/>
    <w:lvl w:ilvl="0">
      <w:lvlJc w:val="left"/>
      <w:lvlText w:val="(%1)"/>
      <w:numFmt w:val="lowerLetter"/>
      <w:start w:val="1"/>
    </w:lvl>
    <w:lvl w:ilvl="1">
      <w:lvlJc w:val="left"/>
      <w:lvlText w:val="(%2)"/>
      <w:numFmt w:val="lowerRoman"/>
      <w:start w:val="3"/>
    </w:lvl>
  </w:abstractNum>
  <w:abstractNum w:abstractNumId="213">
    <w:nsid w:val="4E9EFB0D"/>
    <w:multiLevelType w:val="hybridMultilevel"/>
    <w:lvl w:ilvl="0">
      <w:lvlJc w:val="left"/>
      <w:lvlText w:val="(%1)"/>
      <w:numFmt w:val="lowerLetter"/>
      <w:start w:val="1"/>
    </w:lvl>
  </w:abstractNum>
  <w:abstractNum w:abstractNumId="214">
    <w:nsid w:val="90802BE"/>
    <w:multiLevelType w:val="hybridMultilevel"/>
    <w:lvl w:ilvl="0">
      <w:lvlJc w:val="left"/>
      <w:lvlText w:val="(%1)"/>
      <w:numFmt w:val="lowerLetter"/>
      <w:start w:val="1"/>
    </w:lvl>
  </w:abstractNum>
  <w:abstractNum w:abstractNumId="215">
    <w:nsid w:val="3266459B"/>
    <w:multiLevelType w:val="hybridMultilevel"/>
    <w:lvl w:ilvl="0">
      <w:lvlJc w:val="left"/>
      <w:lvlText w:val="%1"/>
      <w:numFmt w:val="lowerLetter"/>
      <w:start w:val="1"/>
    </w:lvl>
    <w:lvl w:ilvl="1">
      <w:lvlJc w:val="left"/>
      <w:lvlText w:val="(%2)"/>
      <w:numFmt w:val="lowerRoman"/>
      <w:start w:val="1"/>
    </w:lvl>
  </w:abstractNum>
  <w:abstractNum w:abstractNumId="216">
    <w:nsid w:val="3F8B0CBF"/>
    <w:multiLevelType w:val="hybridMultilevel"/>
    <w:lvl w:ilvl="0">
      <w:lvlJc w:val="left"/>
      <w:lvlText w:val="(%1)"/>
      <w:numFmt w:val="lowerLetter"/>
      <w:start w:val="2"/>
    </w:lvl>
    <w:lvl w:ilvl="1">
      <w:lvlJc w:val="left"/>
      <w:lvlText w:val="%2"/>
      <w:numFmt w:val="lowerRoman"/>
      <w:start w:val="1"/>
    </w:lvl>
  </w:abstractNum>
  <w:abstractNum w:abstractNumId="217">
    <w:nsid w:val="37E203AB"/>
    <w:multiLevelType w:val="hybridMultilevel"/>
    <w:lvl w:ilvl="0">
      <w:lvlJc w:val="left"/>
      <w:lvlText w:val="(%1)"/>
      <w:numFmt w:val="lowerLetter"/>
      <w:start w:val="3"/>
    </w:lvl>
  </w:abstractNum>
  <w:abstractNum w:abstractNumId="218">
    <w:nsid w:val="2586D60E"/>
    <w:multiLevelType w:val="hybridMultilevel"/>
    <w:lvl w:ilvl="0">
      <w:lvlJc w:val="left"/>
      <w:lvlText w:val="(%1)"/>
      <w:numFmt w:val="lowerRoman"/>
      <w:start w:val="1"/>
    </w:lvl>
  </w:abstractNum>
  <w:abstractNum w:abstractNumId="219">
    <w:nsid w:val="1F3DA4D5"/>
    <w:multiLevelType w:val="hybridMultilevel"/>
    <w:lvl w:ilvl="0">
      <w:lvlJc w:val="left"/>
      <w:lvlText w:val="%1"/>
      <w:numFmt w:val="decimal"/>
      <w:start w:val="21"/>
    </w:lvl>
  </w:abstractNum>
  <w:abstractNum w:abstractNumId="220">
    <w:nsid w:val="74C93698"/>
    <w:multiLevelType w:val="hybridMultilevel"/>
    <w:lvl w:ilvl="0">
      <w:lvlJc w:val="left"/>
      <w:lvlText w:val="(%1)"/>
      <w:numFmt w:val="lowerLetter"/>
      <w:start w:val="1"/>
    </w:lvl>
  </w:abstractNum>
  <w:abstractNum w:abstractNumId="221">
    <w:nsid w:val="48781401"/>
    <w:multiLevelType w:val="hybridMultilevel"/>
    <w:lvl w:ilvl="0">
      <w:lvlJc w:val="left"/>
      <w:lvlText w:val="%1"/>
      <w:numFmt w:val="decimal"/>
      <w:start w:val="21"/>
    </w:lvl>
  </w:abstractNum>
  <w:abstractNum w:abstractNumId="222">
    <w:nsid w:val="186928D6"/>
    <w:multiLevelType w:val="hybridMultilevel"/>
    <w:lvl w:ilvl="0">
      <w:lvlJc w:val="left"/>
      <w:lvlText w:val="(%1)"/>
      <w:numFmt w:val="lowerRoman"/>
      <w:start w:val="1"/>
    </w:lvl>
  </w:abstractNum>
  <w:abstractNum w:abstractNumId="223">
    <w:nsid w:val="47195E5"/>
    <w:multiLevelType w:val="hybridMultilevel"/>
    <w:lvl w:ilvl="0">
      <w:lvlJc w:val="left"/>
      <w:lvlText w:val="(%1)"/>
      <w:numFmt w:val="lowerLetter"/>
      <w:start w:val="1"/>
    </w:lvl>
  </w:abstractNum>
  <w:abstractNum w:abstractNumId="224">
    <w:nsid w:val="3746A5F2"/>
    <w:multiLevelType w:val="hybridMultilevel"/>
    <w:lvl w:ilvl="0">
      <w:lvlJc w:val="left"/>
      <w:lvlText w:val="(%1)"/>
      <w:numFmt w:val="lowerLetter"/>
      <w:start w:val="2"/>
    </w:lvl>
  </w:abstractNum>
  <w:abstractNum w:abstractNumId="225">
    <w:nsid w:val="682DFED6"/>
    <w:multiLevelType w:val="hybridMultilevel"/>
    <w:lvl w:ilvl="0">
      <w:lvlJc w:val="left"/>
      <w:lvlText w:val="(%1)"/>
      <w:numFmt w:val="lowerLetter"/>
      <w:start w:val="2"/>
    </w:lvl>
  </w:abstractNum>
  <w:abstractNum w:abstractNumId="226">
    <w:nsid w:val="606ED7F6"/>
    <w:multiLevelType w:val="hybridMultilevel"/>
    <w:lvl w:ilvl="0">
      <w:lvlJc w:val="left"/>
      <w:lvlText w:val="%1"/>
      <w:numFmt w:val="decimal"/>
      <w:start w:val="24"/>
    </w:lvl>
  </w:abstractNum>
  <w:abstractNum w:abstractNumId="227">
    <w:nsid w:val="2D9DF57D"/>
    <w:multiLevelType w:val="hybridMultilevel"/>
    <w:lvl w:ilvl="0">
      <w:lvlJc w:val="left"/>
      <w:lvlText w:val="(%1)"/>
      <w:numFmt w:val="lowerLetter"/>
      <w:start w:val="1"/>
    </w:lvl>
  </w:abstractNum>
  <w:abstractNum w:abstractNumId="228">
    <w:nsid w:val="7FBD7A3E"/>
    <w:multiLevelType w:val="hybridMultilevel"/>
    <w:lvl w:ilvl="0">
      <w:lvlJc w:val="left"/>
      <w:lvlText w:val="(%1)"/>
      <w:numFmt w:val="lowerLetter"/>
      <w:start w:val="2"/>
    </w:lvl>
  </w:abstractNum>
  <w:abstractNum w:abstractNumId="229">
    <w:nsid w:val="490B7C5"/>
    <w:multiLevelType w:val="hybridMultilevel"/>
    <w:lvl w:ilvl="0">
      <w:lvlJc w:val="left"/>
      <w:lvlText w:val="%1"/>
      <w:numFmt w:val="decimal"/>
      <w:start w:val="26"/>
    </w:lvl>
  </w:abstractNum>
  <w:abstractNum w:abstractNumId="230">
    <w:nsid w:val="4303A216"/>
    <w:multiLevelType w:val="hybridMultilevel"/>
    <w:lvl w:ilvl="0">
      <w:lvlJc w:val="left"/>
      <w:lvlText w:val="1"/>
      <w:numFmt w:val="bullet"/>
      <w:start w:val="1"/>
    </w:lvl>
  </w:abstractNum>
  <w:abstractNum w:abstractNumId="231">
    <w:nsid w:val="19B8A08E"/>
    <w:multiLevelType w:val="hybridMultilevel"/>
    <w:lvl w:ilvl="0">
      <w:lvlJc w:val="left"/>
      <w:lvlText w:val="(%1)"/>
      <w:numFmt w:val="lowerLetter"/>
      <w:start w:val="1"/>
    </w:lvl>
  </w:abstractNum>
  <w:abstractNum w:abstractNumId="232">
    <w:nsid w:val="54B59621"/>
    <w:multiLevelType w:val="hybridMultilevel"/>
    <w:lvl w:ilvl="0">
      <w:lvlJc w:val="left"/>
      <w:lvlText w:val="1"/>
      <w:numFmt w:val="bullet"/>
      <w:start w:val="1"/>
    </w:lvl>
  </w:abstractNum>
  <w:abstractNum w:abstractNumId="233">
    <w:nsid w:val="5992A02E"/>
    <w:multiLevelType w:val="hybridMultilevel"/>
    <w:lvl w:ilvl="0">
      <w:lvlJc w:val="left"/>
      <w:lvlText w:val="(%1)"/>
      <w:numFmt w:val="lowerLetter"/>
      <w:start w:val="1"/>
    </w:lvl>
  </w:abstractNum>
  <w:abstractNum w:abstractNumId="234">
    <w:nsid w:val="29EF532D"/>
    <w:multiLevelType w:val="hybridMultilevel"/>
    <w:lvl w:ilvl="0">
      <w:lvlJc w:val="left"/>
      <w:lvlText w:val="1"/>
      <w:numFmt w:val="bullet"/>
      <w:start w:val="1"/>
    </w:lvl>
  </w:abstractNum>
  <w:abstractNum w:abstractNumId="235">
    <w:nsid w:val="71D601AF"/>
    <w:multiLevelType w:val="hybridMultilevel"/>
    <w:lvl w:ilvl="0">
      <w:lvlJc w:val="left"/>
      <w:lvlText w:val="(%1)"/>
      <w:numFmt w:val="lowerLetter"/>
      <w:start w:val="1"/>
    </w:lvl>
    <w:lvl w:ilvl="1">
      <w:lvlJc w:val="left"/>
      <w:lvlText w:val="%"/>
      <w:numFmt w:val="bullet"/>
      <w:start w:val="1"/>
    </w:lvl>
  </w:abstractNum>
  <w:abstractNum w:abstractNumId="236">
    <w:nsid w:val="52C77402"/>
    <w:multiLevelType w:val="hybridMultilevel"/>
    <w:lvl w:ilvl="0">
      <w:lvlJc w:val="left"/>
      <w:lvlText w:val="(%1)"/>
      <w:numFmt w:val="lowerLetter"/>
      <w:start w:val="2"/>
    </w:lvl>
  </w:abstractNum>
  <w:abstractNum w:abstractNumId="237">
    <w:nsid w:val="2BB5B1C6"/>
    <w:multiLevelType w:val="hybridMultilevel"/>
    <w:lvl w:ilvl="0">
      <w:lvlJc w:val="left"/>
      <w:lvlText w:val="•"/>
      <w:numFmt w:val="bullet"/>
      <w:start w:val="1"/>
    </w:lvl>
  </w:abstractNum>
  <w:abstractNum w:abstractNumId="238">
    <w:nsid w:val="66BE6B9"/>
    <w:multiLevelType w:val="hybridMultilevel"/>
    <w:lvl w:ilvl="0">
      <w:lvlJc w:val="left"/>
      <w:lvlText w:val="1"/>
      <w:numFmt w:val="bullet"/>
      <w:start w:val="1"/>
    </w:lvl>
  </w:abstractNum>
  <w:abstractNum w:abstractNumId="239">
    <w:nsid w:val="62234363"/>
    <w:multiLevelType w:val="hybridMultilevel"/>
    <w:lvl w:ilvl="0">
      <w:lvlJc w:val="left"/>
      <w:lvlText w:val="(%1)"/>
      <w:numFmt w:val="lowerLetter"/>
      <w:start w:val="2"/>
    </w:lvl>
  </w:abstractNum>
  <w:abstractNum w:abstractNumId="240">
    <w:nsid w:val="66D385C9"/>
    <w:multiLevelType w:val="hybridMultilevel"/>
    <w:lvl w:ilvl="0">
      <w:lvlJc w:val="left"/>
      <w:lvlText w:val="•"/>
      <w:numFmt w:val="bullet"/>
      <w:start w:val="1"/>
    </w:lvl>
  </w:abstractNum>
  <w:abstractNum w:abstractNumId="241">
    <w:nsid w:val="596F6D8A"/>
    <w:multiLevelType w:val="hybridMultilevel"/>
    <w:lvl w:ilvl="0">
      <w:lvlJc w:val="left"/>
      <w:lvlText w:val="•"/>
      <w:numFmt w:val="bullet"/>
      <w:start w:val="1"/>
    </w:lvl>
  </w:abstractNum>
  <w:abstractNum w:abstractNumId="242">
    <w:nsid w:val="5749361F"/>
    <w:multiLevelType w:val="hybridMultilevel"/>
    <w:lvl w:ilvl="0">
      <w:lvlJc w:val="left"/>
      <w:lvlText w:val="•"/>
      <w:numFmt w:val="bullet"/>
      <w:start w:val="1"/>
    </w:lvl>
  </w:abstractNum>
  <w:abstractNum w:abstractNumId="243">
    <w:nsid w:val="73BC6770"/>
    <w:multiLevelType w:val="hybridMultilevel"/>
    <w:lvl w:ilvl="0">
      <w:lvlJc w:val="left"/>
      <w:lvlText w:val="1"/>
      <w:numFmt w:val="bullet"/>
      <w:start w:val="1"/>
    </w:lvl>
  </w:abstractNum>
  <w:abstractNum w:abstractNumId="244">
    <w:nsid w:val="280E6897"/>
    <w:multiLevelType w:val="hybridMultilevel"/>
    <w:lvl w:ilvl="0">
      <w:lvlJc w:val="left"/>
      <w:lvlText w:val="(%1)"/>
      <w:numFmt w:val="lowerLetter"/>
      <w:start w:val="2"/>
    </w:lvl>
  </w:abstractNum>
  <w:abstractNum w:abstractNumId="245">
    <w:nsid w:val="605138DE"/>
    <w:multiLevelType w:val="hybridMultilevel"/>
    <w:lvl w:ilvl="0">
      <w:lvlJc w:val="left"/>
      <w:lvlText w:val="•"/>
      <w:numFmt w:val="bullet"/>
      <w:start w:val="1"/>
    </w:lvl>
  </w:abstractNum>
  <w:abstractNum w:abstractNumId="246">
    <w:nsid w:val="2622AD0C"/>
    <w:multiLevelType w:val="hybridMultilevel"/>
    <w:lvl w:ilvl="0">
      <w:lvlJc w:val="left"/>
      <w:lvlText w:val="1"/>
      <w:numFmt w:val="bullet"/>
      <w:start w:val="1"/>
    </w:lvl>
  </w:abstractNum>
  <w:abstractNum w:abstractNumId="247">
    <w:nsid w:val="67997556"/>
    <w:multiLevelType w:val="hybridMultilevel"/>
    <w:lvl w:ilvl="0">
      <w:lvlJc w:val="left"/>
      <w:lvlText w:val="(%1)"/>
      <w:numFmt w:val="lowerLetter"/>
      <w:start w:val="2"/>
    </w:lvl>
  </w:abstractNum>
  <w:abstractNum w:abstractNumId="248">
    <w:nsid w:val="18333C89"/>
    <w:multiLevelType w:val="hybridMultilevel"/>
    <w:lvl w:ilvl="0">
      <w:lvlJc w:val="left"/>
      <w:lvlText w:val="2"/>
      <w:numFmt w:val="bullet"/>
      <w:start w:val="1"/>
    </w:lvl>
  </w:abstractNum>
  <w:abstractNum w:abstractNumId="249">
    <w:nsid w:val="4BA9831A"/>
    <w:multiLevelType w:val="hybridMultilevel"/>
    <w:lvl w:ilvl="0">
      <w:lvlJc w:val="left"/>
      <w:lvlText w:val="(%1)"/>
      <w:numFmt w:val="lowerLetter"/>
      <w:start w:val="1"/>
    </w:lvl>
  </w:abstractNum>
  <w:abstractNum w:abstractNumId="250">
    <w:nsid w:val="6D71A2B"/>
    <w:multiLevelType w:val="hybridMultilevel"/>
    <w:lvl w:ilvl="0">
      <w:lvlJc w:val="left"/>
      <w:lvlText w:val="2"/>
      <w:numFmt w:val="bullet"/>
      <w:start w:val="1"/>
    </w:lvl>
  </w:abstractNum>
  <w:abstractNum w:abstractNumId="251">
    <w:nsid w:val="CFC7321"/>
    <w:multiLevelType w:val="hybridMultilevel"/>
    <w:lvl w:ilvl="0">
      <w:lvlJc w:val="left"/>
      <w:lvlText w:val="(%1)"/>
      <w:numFmt w:val="lowerLetter"/>
      <w:start w:val="2"/>
    </w:lvl>
  </w:abstractNum>
  <w:abstractNum w:abstractNumId="252">
    <w:nsid w:val="1421971B"/>
    <w:multiLevelType w:val="hybridMultilevel"/>
    <w:lvl w:ilvl="0">
      <w:lvlJc w:val="left"/>
      <w:lvlText w:val="2"/>
      <w:numFmt w:val="bullet"/>
      <w:start w:val="1"/>
    </w:lvl>
  </w:abstractNum>
  <w:abstractNum w:abstractNumId="253">
    <w:nsid w:val="1F404301"/>
    <w:multiLevelType w:val="hybridMultilevel"/>
    <w:lvl w:ilvl="0">
      <w:lvlJc w:val="left"/>
      <w:lvlText w:val="(%1)"/>
      <w:numFmt w:val="lowerLetter"/>
      <w:start w:val="2"/>
    </w:lvl>
  </w:abstractNum>
  <w:abstractNum w:abstractNumId="254">
    <w:nsid w:val="116E0907"/>
    <w:multiLevelType w:val="hybridMultilevel"/>
    <w:lvl w:ilvl="0">
      <w:lvlJc w:val="left"/>
      <w:lvlText w:val="2"/>
      <w:numFmt w:val="bullet"/>
      <w:start w:val="1"/>
    </w:lvl>
  </w:abstractNum>
  <w:abstractNum w:abstractNumId="255">
    <w:nsid w:val="4B683D0D"/>
    <w:multiLevelType w:val="hybridMultilevel"/>
    <w:lvl w:ilvl="0">
      <w:lvlJc w:val="left"/>
      <w:lvlText w:val="(%1)"/>
      <w:numFmt w:val="lowerLetter"/>
      <w:start w:val="2"/>
    </w:lvl>
  </w:abstractNum>
  <w:abstractNum w:abstractNumId="256">
    <w:nsid w:val="76E41D8"/>
    <w:multiLevelType w:val="hybridMultilevel"/>
    <w:lvl w:ilvl="0">
      <w:lvlJc w:val="left"/>
      <w:lvlText w:val="3"/>
      <w:numFmt w:val="bullet"/>
      <w:start w:val="1"/>
    </w:lvl>
  </w:abstractNum>
  <w:abstractNum w:abstractNumId="257">
    <w:nsid w:val="71DCE0FD"/>
    <w:multiLevelType w:val="hybridMultilevel"/>
    <w:lvl w:ilvl="0">
      <w:lvlJc w:val="left"/>
      <w:lvlText w:val="(%1)"/>
      <w:numFmt w:val="lowerLetter"/>
      <w:start w:val="1"/>
    </w:lvl>
    <w:lvl w:ilvl="1">
      <w:lvlJc w:val="left"/>
      <w:lvlText w:val="•"/>
      <w:numFmt w:val="bullet"/>
      <w:start w:val="1"/>
    </w:lvl>
  </w:abstractNum>
  <w:abstractNum w:abstractNumId="258">
    <w:nsid w:val="7906328B"/>
    <w:multiLevelType w:val="hybridMultilevel"/>
    <w:lvl w:ilvl="0">
      <w:lvlJc w:val="left"/>
      <w:lvlText w:val="3"/>
      <w:numFmt w:val="bullet"/>
      <w:start w:val="1"/>
    </w:lvl>
  </w:abstractNum>
  <w:abstractNum w:abstractNumId="259">
    <w:nsid w:val="72BBC16"/>
    <w:multiLevelType w:val="hybridMultilevel"/>
    <w:lvl w:ilvl="0">
      <w:lvlJc w:val="left"/>
      <w:lvlText w:val="(%1)"/>
      <w:numFmt w:val="lowerLetter"/>
      <w:start w:val="1"/>
    </w:lvl>
    <w:lvl w:ilvl="1">
      <w:lvlJc w:val="left"/>
      <w:lvlText w:val="•"/>
      <w:numFmt w:val="bullet"/>
      <w:start w:val="1"/>
    </w:lvl>
  </w:abstractNum>
  <w:abstractNum w:abstractNumId="260">
    <w:nsid w:val="766D98C2"/>
    <w:multiLevelType w:val="hybridMultilevel"/>
    <w:lvl w:ilvl="0">
      <w:lvlJc w:val="left"/>
      <w:lvlText w:val="3"/>
      <w:numFmt w:val="bullet"/>
      <w:start w:val="1"/>
    </w:lvl>
  </w:abstractNum>
  <w:abstractNum w:abstractNumId="261">
    <w:nsid w:val="3C09D4A1"/>
    <w:multiLevelType w:val="hybridMultilevel"/>
    <w:lvl w:ilvl="0">
      <w:lvlJc w:val="left"/>
      <w:lvlText w:val="(%1)"/>
      <w:numFmt w:val="lowerLetter"/>
      <w:start w:val="1"/>
    </w:lvl>
  </w:abstractNum>
  <w:abstractNum w:abstractNumId="262">
    <w:nsid w:val="20E45CA4"/>
    <w:multiLevelType w:val="hybridMultilevel"/>
    <w:lvl w:ilvl="0">
      <w:lvlJc w:val="left"/>
      <w:lvlText w:val="(%1)"/>
      <w:numFmt w:val="lowerLetter"/>
      <w:start w:val="2"/>
    </w:lvl>
  </w:abstractNum>
  <w:abstractNum w:abstractNumId="263">
    <w:nsid w:val="4B232EE3"/>
    <w:multiLevelType w:val="hybridMultilevel"/>
    <w:lvl w:ilvl="0">
      <w:lvlJc w:val="left"/>
      <w:lvlText w:val="3"/>
      <w:numFmt w:val="bullet"/>
      <w:start w:val="1"/>
    </w:lvl>
  </w:abstractNum>
  <w:abstractNum w:abstractNumId="264">
    <w:nsid w:val="159C74CF"/>
    <w:multiLevelType w:val="hybridMultilevel"/>
    <w:lvl w:ilvl="0">
      <w:lvlJc w:val="left"/>
      <w:lvlText w:val="(%1)"/>
      <w:numFmt w:val="lowerLetter"/>
      <w:start w:val="2"/>
    </w:lvl>
  </w:abstractNum>
  <w:abstractNum w:abstractNumId="265">
    <w:nsid w:val="4AD3AFD2"/>
    <w:multiLevelType w:val="hybridMultilevel"/>
    <w:lvl w:ilvl="0">
      <w:lvlJc w:val="left"/>
      <w:lvlText w:val="(%1)"/>
      <w:numFmt w:val="lowerLetter"/>
      <w:start w:val="3"/>
    </w:lvl>
  </w:abstractNum>
  <w:abstractNum w:abstractNumId="266">
    <w:nsid w:val="3CF93092"/>
    <w:multiLevelType w:val="hybridMultilevel"/>
    <w:lvl w:ilvl="0">
      <w:lvlJc w:val="left"/>
      <w:lvlText w:val="(%1)"/>
      <w:numFmt w:val="lowerRoman"/>
      <w:start w:val="1"/>
    </w:lvl>
  </w:abstractNum>
  <w:abstractNum w:abstractNumId="267">
    <w:nsid w:val="6863E8D2"/>
    <w:multiLevelType w:val="hybridMultilevel"/>
    <w:lvl w:ilvl="0">
      <w:lvlJc w:val="left"/>
      <w:lvlText w:val="3"/>
      <w:numFmt w:val="bullet"/>
      <w:start w:val="1"/>
    </w:lvl>
  </w:abstractNum>
  <w:abstractNum w:abstractNumId="268">
    <w:nsid w:val="76896198"/>
    <w:multiLevelType w:val="hybridMultilevel"/>
    <w:lvl w:ilvl="0">
      <w:lvlJc w:val="left"/>
      <w:lvlText w:val="(%1)"/>
      <w:numFmt w:val="lowerLetter"/>
      <w:start w:val="3"/>
    </w:lvl>
  </w:abstractNum>
  <w:abstractNum w:abstractNumId="269">
    <w:nsid w:val="4365174B"/>
    <w:multiLevelType w:val="hybridMultilevel"/>
    <w:lvl w:ilvl="0">
      <w:lvlJc w:val="left"/>
      <w:lvlText w:val="(%1)"/>
      <w:numFmt w:val="lowerRoman"/>
      <w:start w:val="2"/>
    </w:lvl>
  </w:abstractNum>
  <w:abstractNum w:abstractNumId="270">
    <w:nsid w:val="4A872C35"/>
    <w:multiLevelType w:val="hybridMultilevel"/>
    <w:lvl w:ilvl="0">
      <w:lvlJc w:val="left"/>
      <w:lvlText w:val="4"/>
      <w:numFmt w:val="bullet"/>
      <w:start w:val="1"/>
    </w:lvl>
  </w:abstractNum>
  <w:abstractNum w:abstractNumId="271">
    <w:nsid w:val="5D5CE761"/>
    <w:multiLevelType w:val="hybridMultilevel"/>
    <w:lvl w:ilvl="0">
      <w:lvlJc w:val="left"/>
      <w:lvlText w:val="5"/>
      <w:numFmt w:val="bullet"/>
      <w:start w:val="1"/>
    </w:lvl>
  </w:abstractNum>
  <w:abstractNum w:abstractNumId="272">
    <w:nsid w:val="1CD484D5"/>
    <w:multiLevelType w:val="hybridMultilevel"/>
    <w:lvl w:ilvl="0">
      <w:lvlJc w:val="left"/>
      <w:lvlText w:val="8"/>
      <w:numFmt w:val="bullet"/>
      <w:start w:val="1"/>
    </w:lvl>
  </w:abstractNum>
  <w:abstractNum w:abstractNumId="273">
    <w:nsid w:val="21D06255"/>
    <w:multiLevelType w:val="hybridMultilevel"/>
    <w:lvl w:ilvl="0">
      <w:lvlJc w:val="left"/>
      <w:lvlText w:val="%1"/>
      <w:numFmt w:val="decimal"/>
      <w:start w:val="10"/>
    </w:lvl>
  </w:abstractNum>
  <w:abstractNum w:abstractNumId="274">
    <w:nsid w:val="51194ED1"/>
    <w:multiLevelType w:val="hybridMultilevel"/>
    <w:lvl w:ilvl="0">
      <w:lvlJc w:val="left"/>
      <w:lvlText w:val="%1"/>
      <w:numFmt w:val="decimal"/>
      <w:start w:val="10"/>
    </w:lvl>
  </w:abstractNum>
  <w:abstractNum w:abstractNumId="275">
    <w:nsid w:val="44E2ED6C"/>
    <w:multiLevelType w:val="hybridMultilevel"/>
    <w:lvl w:ilvl="0">
      <w:lvlJc w:val="left"/>
      <w:lvlText w:val="(%1)"/>
      <w:numFmt w:val="lowerRoman"/>
      <w:start w:val="1"/>
    </w:lvl>
  </w:abstractNum>
  <w:abstractNum w:abstractNumId="276">
    <w:nsid w:val="2219B33"/>
    <w:multiLevelType w:val="hybridMultilevel"/>
    <w:lvl w:ilvl="0">
      <w:lvlJc w:val="left"/>
      <w:lvlText w:val="%1"/>
      <w:numFmt w:val="decimal"/>
      <w:start w:val="13"/>
    </w:lvl>
  </w:abstractNum>
  <w:abstractNum w:abstractNumId="277">
    <w:nsid w:val="773BFBDD"/>
    <w:multiLevelType w:val="hybridMultilevel"/>
    <w:lvl w:ilvl="0">
      <w:lvlJc w:val="left"/>
      <w:lvlText w:val="(%1)"/>
      <w:numFmt w:val="lowerRoman"/>
      <w:start w:val="5"/>
    </w:lvl>
  </w:abstractNum>
  <w:abstractNum w:abstractNumId="278">
    <w:nsid w:val="2C7C62C2"/>
    <w:multiLevelType w:val="hybridMultilevel"/>
    <w:lvl w:ilvl="0">
      <w:lvlJc w:val="left"/>
      <w:lvlText w:val="%1"/>
      <w:numFmt w:val="decimal"/>
      <w:start w:val="14"/>
    </w:lvl>
  </w:abstractNum>
  <w:abstractNum w:abstractNumId="279">
    <w:nsid w:val="1A54D7BC"/>
    <w:multiLevelType w:val="hybridMultilevel"/>
    <w:lvl w:ilvl="0">
      <w:lvlJc w:val="left"/>
      <w:lvlText w:val="%1"/>
      <w:numFmt w:val="decimal"/>
      <w:start w:val="14"/>
    </w:lvl>
    <w:lvl w:ilvl="1">
      <w:lvlJc w:val="left"/>
      <w:lvlText w:val="•"/>
      <w:numFmt w:val="bullet"/>
      <w:start w:val="1"/>
    </w:lvl>
  </w:abstractNum>
  <w:abstractNum w:abstractNumId="280">
    <w:nsid w:val="42E57EF7"/>
    <w:multiLevelType w:val="hybridMultilevel"/>
    <w:lvl w:ilvl="0">
      <w:lvlJc w:val="left"/>
      <w:lvlText w:val="%1"/>
      <w:numFmt w:val="decimal"/>
      <w:start w:val="14"/>
    </w:lvl>
  </w:abstractNum>
  <w:abstractNum w:abstractNumId="281">
    <w:nsid w:val="33537CED"/>
    <w:multiLevelType w:val="hybridMultilevel"/>
    <w:lvl w:ilvl="0">
      <w:lvlJc w:val="left"/>
      <w:lvlText w:val="%1"/>
      <w:numFmt w:val="decimal"/>
      <w:start w:val="14"/>
    </w:lvl>
  </w:abstractNum>
  <w:abstractNum w:abstractNumId="282">
    <w:nsid w:val="27514ADE"/>
    <w:multiLevelType w:val="hybridMultilevel"/>
    <w:lvl w:ilvl="0">
      <w:lvlJc w:val="left"/>
      <w:lvlText w:val="%1"/>
      <w:numFmt w:val="decimal"/>
      <w:start w:val="14"/>
    </w:lvl>
  </w:abstractNum>
  <w:abstractNum w:abstractNumId="283">
    <w:nsid w:val="57071613"/>
    <w:multiLevelType w:val="hybridMultilevel"/>
    <w:lvl w:ilvl="0">
      <w:lvlJc w:val="left"/>
      <w:lvlText w:val="%1"/>
      <w:numFmt w:val="decimal"/>
      <w:start w:val="14"/>
    </w:lvl>
  </w:abstractNum>
  <w:abstractNum w:abstractNumId="284">
    <w:nsid w:val="5293BFEF"/>
    <w:multiLevelType w:val="hybridMultilevel"/>
    <w:lvl w:ilvl="0">
      <w:lvlJc w:val="left"/>
      <w:lvlText w:val="%1"/>
      <w:numFmt w:val="decimal"/>
      <w:start w:val="14"/>
    </w:lvl>
  </w:abstractNum>
  <w:abstractNum w:abstractNumId="285">
    <w:nsid w:val="38BF53E5"/>
    <w:multiLevelType w:val="hybridMultilevel"/>
    <w:lvl w:ilvl="0">
      <w:lvlJc w:val="left"/>
      <w:lvlText w:val="%1"/>
      <w:numFmt w:val="decimal"/>
      <w:start w:val="14"/>
    </w:lvl>
  </w:abstractNum>
  <w:abstractNum w:abstractNumId="286">
    <w:nsid w:val="226F5320"/>
    <w:multiLevelType w:val="hybridMultilevel"/>
    <w:lvl w:ilvl="0">
      <w:lvlJc w:val="left"/>
      <w:lvlText w:val="%1"/>
      <w:numFmt w:val="decimal"/>
      <w:start w:val="15"/>
    </w:lvl>
  </w:abstractNum>
  <w:abstractNum w:abstractNumId="287">
    <w:nsid w:val="5A0201C7"/>
    <w:multiLevelType w:val="hybridMultilevel"/>
    <w:lvl w:ilvl="0">
      <w:lvlJc w:val="left"/>
      <w:lvlText w:val="%1"/>
      <w:numFmt w:val="decimal"/>
      <w:start w:val="16"/>
    </w:lvl>
  </w:abstractNum>
  <w:abstractNum w:abstractNumId="288">
    <w:nsid w:val="2A9C34E2"/>
    <w:multiLevelType w:val="hybridMultilevel"/>
    <w:lvl w:ilvl="0">
      <w:lvlJc w:val="left"/>
      <w:lvlText w:val="(%1)"/>
      <w:numFmt w:val="lowerLetter"/>
      <w:start w:val="1"/>
    </w:lvl>
  </w:abstractNum>
  <w:abstractNum w:abstractNumId="289">
    <w:nsid w:val="1B7585AB"/>
    <w:multiLevelType w:val="hybridMultilevel"/>
    <w:lvl w:ilvl="0">
      <w:lvlJc w:val="left"/>
      <w:lvlText w:val="(%1)"/>
      <w:numFmt w:val="lowerLetter"/>
      <w:start w:val="1"/>
    </w:lvl>
  </w:abstractNum>
  <w:abstractNum w:abstractNumId="290">
    <w:nsid w:val="612DBDDD"/>
    <w:multiLevelType w:val="hybridMultilevel"/>
    <w:lvl w:ilvl="0">
      <w:lvlJc w:val="left"/>
      <w:lvlText w:val="(%1)"/>
      <w:numFmt w:val="lowerRoman"/>
      <w:start w:val="1"/>
    </w:lvl>
  </w:abstractNum>
  <w:abstractNum w:abstractNumId="291">
    <w:nsid w:val="2109CDA4"/>
    <w:multiLevelType w:val="hybridMultilevel"/>
    <w:lvl w:ilvl="0">
      <w:lvlJc w:val="left"/>
      <w:lvlText w:val="(%1)"/>
      <w:numFmt w:val="lowerLetter"/>
      <w:start w:val="1"/>
    </w:lvl>
    <w:lvl w:ilvl="1">
      <w:lvlJc w:val="left"/>
      <w:lvlText w:val="(%2)"/>
      <w:numFmt w:val="lowerRoman"/>
      <w:start w:val="3"/>
    </w:lvl>
  </w:abstractNum>
  <w:abstractNum w:abstractNumId="292">
    <w:nsid w:val="577F5A4D"/>
    <w:multiLevelType w:val="hybridMultilevel"/>
    <w:lvl w:ilvl="0">
      <w:lvlJc w:val="left"/>
      <w:lvlText w:val="(%1)"/>
      <w:numFmt w:val="lowerLetter"/>
      <w:start w:val="1"/>
    </w:lvl>
  </w:abstractNum>
  <w:abstractNum w:abstractNumId="293">
    <w:nsid w:val="2121A81"/>
    <w:multiLevelType w:val="hybridMultilevel"/>
    <w:lvl w:ilvl="0">
      <w:lvlJc w:val="left"/>
      <w:lvlText w:val="(%1)"/>
      <w:numFmt w:val="lowerLetter"/>
      <w:start w:val="1"/>
    </w:lvl>
  </w:abstractNum>
  <w:abstractNum w:abstractNumId="294">
    <w:nsid w:val="6C2CFC88"/>
    <w:multiLevelType w:val="hybridMultilevel"/>
    <w:lvl w:ilvl="0">
      <w:lvlJc w:val="left"/>
      <w:lvlText w:val="%1"/>
      <w:numFmt w:val="lowerLetter"/>
      <w:start w:val="1"/>
    </w:lvl>
    <w:lvl w:ilvl="1">
      <w:lvlJc w:val="left"/>
      <w:lvlText w:val="(%2)"/>
      <w:numFmt w:val="lowerRoman"/>
      <w:start w:val="1"/>
    </w:lvl>
  </w:abstractNum>
  <w:abstractNum w:abstractNumId="295">
    <w:nsid w:val="6D1BCF1C"/>
    <w:multiLevelType w:val="hybridMultilevel"/>
    <w:lvl w:ilvl="0">
      <w:lvlJc w:val="left"/>
      <w:lvlText w:val="(%1)"/>
      <w:numFmt w:val="lowerLetter"/>
      <w:start w:val="2"/>
    </w:lvl>
    <w:lvl w:ilvl="1">
      <w:lvlJc w:val="left"/>
      <w:lvlText w:val="%2"/>
      <w:numFmt w:val="lowerRoman"/>
      <w:start w:val="1"/>
    </w:lvl>
  </w:abstractNum>
  <w:abstractNum w:abstractNumId="296">
    <w:nsid w:val="4CE5CA53"/>
    <w:multiLevelType w:val="hybridMultilevel"/>
    <w:lvl w:ilvl="0">
      <w:lvlJc w:val="left"/>
      <w:lvlText w:val="(%1)"/>
      <w:numFmt w:val="lowerLetter"/>
      <w:start w:val="3"/>
    </w:lvl>
  </w:abstractNum>
  <w:abstractNum w:abstractNumId="297">
    <w:nsid w:val="29262D1A"/>
    <w:multiLevelType w:val="hybridMultilevel"/>
    <w:lvl w:ilvl="0">
      <w:lvlJc w:val="left"/>
      <w:lvlText w:val="(%1)"/>
      <w:numFmt w:val="lowerLetter"/>
      <w:start w:val="1"/>
    </w:lvl>
  </w:abstractNum>
  <w:abstractNum w:abstractNumId="298">
    <w:nsid w:val="557FB7EE"/>
    <w:multiLevelType w:val="hybridMultilevel"/>
    <w:lvl w:ilvl="0">
      <w:lvlJc w:val="left"/>
      <w:lvlText w:val="(%1)"/>
      <w:numFmt w:val="lowerLetter"/>
      <w:start w:val="3"/>
    </w:lvl>
  </w:abstractNum>
  <w:abstractNum w:abstractNumId="299">
    <w:nsid w:val="436F2BEB"/>
    <w:multiLevelType w:val="hybridMultilevel"/>
    <w:lvl w:ilvl="0">
      <w:lvlJc w:val="left"/>
      <w:lvlText w:val="%1"/>
      <w:numFmt w:val="decimal"/>
      <w:start w:val="19"/>
    </w:lvl>
  </w:abstractNum>
  <w:abstractNum w:abstractNumId="300">
    <w:nsid w:val="6C8B4466"/>
    <w:multiLevelType w:val="hybridMultilevel"/>
    <w:lvl w:ilvl="0">
      <w:lvlJc w:val="left"/>
      <w:lvlText w:val="(%1)"/>
      <w:numFmt w:val="lowerRoman"/>
      <w:start w:val="1"/>
    </w:lvl>
  </w:abstractNum>
  <w:abstractNum w:abstractNumId="301">
    <w:nsid w:val="2006E424"/>
    <w:multiLevelType w:val="hybridMultilevel"/>
    <w:lvl w:ilvl="0">
      <w:lvlJc w:val="left"/>
      <w:lvlText w:val="%1"/>
      <w:numFmt w:val="decimal"/>
      <w:start w:val="19"/>
    </w:lvl>
  </w:abstractNum>
  <w:abstractNum w:abstractNumId="302">
    <w:nsid w:val="20CC134C"/>
    <w:multiLevelType w:val="hybridMultilevel"/>
    <w:lvl w:ilvl="0">
      <w:lvlJc w:val="left"/>
      <w:lvlText w:val="(%1)"/>
      <w:numFmt w:val="lowerLetter"/>
      <w:start w:val="1"/>
    </w:lvl>
  </w:abstractNum>
  <w:abstractNum w:abstractNumId="303">
    <w:nsid w:val="95FC93B"/>
    <w:multiLevelType w:val="hybridMultilevel"/>
    <w:lvl w:ilvl="0">
      <w:lvlJc w:val="left"/>
      <w:lvlText w:val="(%1)"/>
      <w:numFmt w:val="lowerLetter"/>
      <w:start w:val="2"/>
    </w:lvl>
  </w:abstractNum>
  <w:abstractNum w:abstractNumId="304">
    <w:nsid w:val="41D74679"/>
    <w:multiLevelType w:val="hybridMultilevel"/>
    <w:lvl w:ilvl="0">
      <w:lvlJc w:val="left"/>
      <w:lvlText w:val="%1"/>
      <w:numFmt w:val="decimal"/>
      <w:start w:val="22"/>
    </w:lvl>
  </w:abstractNum>
  <w:abstractNum w:abstractNumId="305">
    <w:nsid w:val="71E5621E"/>
    <w:multiLevelType w:val="hybridMultilevel"/>
    <w:lvl w:ilvl="0">
      <w:lvlJc w:val="left"/>
      <w:lvlText w:val="%1"/>
      <w:numFmt w:val="decimal"/>
      <w:start w:val="23"/>
    </w:lvl>
  </w:abstractNum>
  <w:abstractNum w:abstractNumId="306">
    <w:nsid w:val="4E42B6A8"/>
    <w:multiLevelType w:val="hybridMultilevel"/>
    <w:lvl w:ilvl="0">
      <w:lvlJc w:val="left"/>
      <w:lvlText w:val="1"/>
      <w:numFmt w:val="bullet"/>
      <w:start w:val="1"/>
    </w:lvl>
  </w:abstractNum>
  <w:abstractNum w:abstractNumId="307">
    <w:nsid w:val="43F8E1AC"/>
    <w:multiLevelType w:val="hybridMultilevel"/>
    <w:lvl w:ilvl="0">
      <w:lvlJc w:val="left"/>
      <w:lvlText w:val="(%1)"/>
      <w:numFmt w:val="lowerLetter"/>
      <w:start w:val="1"/>
    </w:lvl>
  </w:abstractNum>
  <w:abstractNum w:abstractNumId="308">
    <w:nsid w:val="69215DFB"/>
    <w:multiLevelType w:val="hybridMultilevel"/>
    <w:lvl w:ilvl="0">
      <w:lvlJc w:val="left"/>
      <w:lvlText w:val="(%1)"/>
      <w:numFmt w:val="lowerLetter"/>
      <w:start w:val="2"/>
    </w:lvl>
  </w:abstractNum>
  <w:abstractNum w:abstractNumId="309">
    <w:nsid w:val="7ABF196A"/>
    <w:multiLevelType w:val="hybridMultilevel"/>
    <w:lvl w:ilvl="0">
      <w:lvlJc w:val="left"/>
      <w:lvlText w:val="1"/>
      <w:numFmt w:val="bullet"/>
      <w:start w:val="1"/>
    </w:lvl>
  </w:abstractNum>
  <w:abstractNum w:abstractNumId="310">
    <w:nsid w:val="5E4DB968"/>
    <w:multiLevelType w:val="hybridMultilevel"/>
    <w:lvl w:ilvl="0">
      <w:lvlJc w:val="left"/>
      <w:lvlText w:val="(%1)"/>
      <w:numFmt w:val="lowerLetter"/>
      <w:start w:val="2"/>
    </w:lvl>
  </w:abstractNum>
  <w:abstractNum w:abstractNumId="311">
    <w:nsid w:val="2C06DCF3"/>
    <w:multiLevelType w:val="hybridMultilevel"/>
    <w:lvl w:ilvl="0">
      <w:lvlJc w:val="left"/>
      <w:lvlText w:val="•"/>
      <w:numFmt w:val="bullet"/>
      <w:start w:val="1"/>
    </w:lvl>
  </w:abstractNum>
  <w:abstractNum w:abstractNumId="312">
    <w:nsid w:val="2E129658"/>
    <w:multiLevelType w:val="hybridMultilevel"/>
    <w:lvl w:ilvl="0">
      <w:lvlJc w:val="left"/>
      <w:lvlText w:val="•"/>
      <w:numFmt w:val="bullet"/>
      <w:start w:val="1"/>
    </w:lvl>
  </w:abstractNum>
  <w:abstractNum w:abstractNumId="313">
    <w:nsid w:val="59F0446"/>
    <w:multiLevelType w:val="hybridMultilevel"/>
    <w:lvl w:ilvl="0">
      <w:lvlJc w:val="left"/>
      <w:lvlText w:val="•"/>
      <w:numFmt w:val="bullet"/>
      <w:start w:val="1"/>
    </w:lvl>
  </w:abstractNum>
  <w:abstractNum w:abstractNumId="314">
    <w:nsid w:val="30DF306"/>
    <w:multiLevelType w:val="hybridMultilevel"/>
    <w:lvl w:ilvl="0">
      <w:lvlJc w:val="left"/>
      <w:lvlText w:val="1"/>
      <w:numFmt w:val="bullet"/>
      <w:start w:val="1"/>
    </w:lvl>
  </w:abstractNum>
  <w:abstractNum w:abstractNumId="315">
    <w:nsid w:val="A65647"/>
    <w:multiLevelType w:val="hybridMultilevel"/>
    <w:lvl w:ilvl="0">
      <w:lvlJc w:val="left"/>
      <w:lvlText w:val="(%1)"/>
      <w:numFmt w:val="lowerLetter"/>
      <w:start w:val="3"/>
    </w:lvl>
    <w:lvl w:ilvl="1">
      <w:lvlJc w:val="left"/>
      <w:lvlText w:val="•"/>
      <w:numFmt w:val="bullet"/>
      <w:start w:val="1"/>
    </w:lvl>
  </w:abstractNum>
  <w:abstractNum w:abstractNumId="316">
    <w:nsid w:val="3E5E582B"/>
    <w:multiLevelType w:val="hybridMultilevel"/>
    <w:lvl w:ilvl="0">
      <w:lvlJc w:val="left"/>
      <w:lvlText w:val="•"/>
      <w:numFmt w:val="bullet"/>
      <w:start w:val="1"/>
    </w:lvl>
  </w:abstractNum>
  <w:abstractNum w:abstractNumId="317">
    <w:nsid w:val="257D4626"/>
    <w:multiLevelType w:val="hybridMultilevel"/>
    <w:lvl w:ilvl="0">
      <w:lvlJc w:val="left"/>
      <w:lvlText w:val="1"/>
      <w:numFmt w:val="bullet"/>
      <w:start w:val="1"/>
    </w:lvl>
  </w:abstractNum>
  <w:abstractNum w:abstractNumId="318">
    <w:nsid w:val="5AA8580E"/>
    <w:multiLevelType w:val="hybridMultilevel"/>
    <w:lvl w:ilvl="0">
      <w:lvlJc w:val="left"/>
      <w:lvlText w:val="(%1)"/>
      <w:numFmt w:val="lowerLetter"/>
      <w:start w:val="3"/>
    </w:lvl>
  </w:abstractNum>
  <w:abstractNum w:abstractNumId="319">
    <w:nsid w:val="68FA8D0D"/>
    <w:multiLevelType w:val="hybridMultilevel"/>
    <w:lvl w:ilvl="0">
      <w:lvlJc w:val="left"/>
      <w:lvlText w:val="2"/>
      <w:numFmt w:val="bullet"/>
      <w:start w:val="1"/>
    </w:lvl>
  </w:abstractNum>
  <w:abstractNum w:abstractNumId="320">
    <w:nsid w:val="40F2CBD2"/>
    <w:multiLevelType w:val="hybridMultilevel"/>
    <w:lvl w:ilvl="0">
      <w:lvlJc w:val="left"/>
      <w:lvlText w:val="(%1)"/>
      <w:numFmt w:val="lowerLetter"/>
      <w:start w:val="1"/>
    </w:lvl>
  </w:abstractNum>
  <w:abstractNum w:abstractNumId="321">
    <w:nsid w:val="3BD615EB"/>
    <w:multiLevelType w:val="hybridMultilevel"/>
    <w:lvl w:ilvl="0">
      <w:lvlJc w:val="left"/>
      <w:lvlText w:val="2"/>
      <w:numFmt w:val="bullet"/>
      <w:start w:val="1"/>
    </w:lvl>
  </w:abstractNum>
  <w:abstractNum w:abstractNumId="322">
    <w:nsid w:val="A045AB2"/>
    <w:multiLevelType w:val="hybridMultilevel"/>
    <w:lvl w:ilvl="0">
      <w:lvlJc w:val="left"/>
      <w:lvlText w:val="(%1)"/>
      <w:numFmt w:val="lowerLetter"/>
      <w:start w:val="3"/>
    </w:lvl>
  </w:abstractNum>
  <w:abstractNum w:abstractNumId="323">
    <w:nsid w:val="1872261F"/>
    <w:multiLevelType w:val="hybridMultilevel"/>
    <w:lvl w:ilvl="0">
      <w:lvlJc w:val="left"/>
      <w:lvlText w:val="2"/>
      <w:numFmt w:val="bullet"/>
      <w:start w:val="1"/>
    </w:lvl>
  </w:abstractNum>
  <w:abstractNum w:abstractNumId="324">
    <w:nsid w:val="3DE8306C"/>
    <w:multiLevelType w:val="hybridMultilevel"/>
    <w:lvl w:ilvl="0">
      <w:lvlJc w:val="left"/>
      <w:lvlText w:val="(%1)"/>
      <w:numFmt w:val="lowerLetter"/>
      <w:start w:val="5"/>
    </w:lvl>
  </w:abstractNum>
  <w:abstractNum w:abstractNumId="325">
    <w:nsid w:val="7631573A"/>
    <w:multiLevelType w:val="hybridMultilevel"/>
    <w:lvl w:ilvl="0">
      <w:lvlJc w:val="left"/>
      <w:lvlText w:val="2"/>
      <w:numFmt w:val="bullet"/>
      <w:start w:val="1"/>
    </w:lvl>
  </w:abstractNum>
  <w:abstractNum w:abstractNumId="326">
    <w:nsid w:val="58DF53B"/>
    <w:multiLevelType w:val="hybridMultilevel"/>
    <w:lvl w:ilvl="0">
      <w:lvlJc w:val="left"/>
      <w:lvlText w:val="(%1)"/>
      <w:numFmt w:val="lowerLetter"/>
      <w:start w:val="8"/>
    </w:lvl>
  </w:abstractNum>
  <w:abstractNum w:abstractNumId="327">
    <w:nsid w:val="ACDFAC0"/>
    <w:multiLevelType w:val="hybridMultilevel"/>
    <w:lvl w:ilvl="0">
      <w:lvlJc w:val="left"/>
      <w:lvlText w:val="2"/>
      <w:numFmt w:val="bullet"/>
      <w:start w:val="1"/>
    </w:lvl>
  </w:abstractNum>
  <w:abstractNum w:abstractNumId="328">
    <w:nsid w:val="1F578454"/>
    <w:multiLevelType w:val="hybridMultilevel"/>
    <w:lvl w:ilvl="0">
      <w:lvlJc w:val="left"/>
      <w:lvlText w:val="(%1)"/>
      <w:numFmt w:val="lowerLetter"/>
      <w:start w:val="11"/>
    </w:lvl>
  </w:abstractNum>
  <w:abstractNum w:abstractNumId="329">
    <w:nsid w:val="5B0DAD2A"/>
    <w:multiLevelType w:val="hybridMultilevel"/>
    <w:lvl w:ilvl="0">
      <w:lvlJc w:val="left"/>
      <w:lvlText w:val="2"/>
      <w:numFmt w:val="bullet"/>
      <w:start w:val="1"/>
    </w:lvl>
  </w:abstractNum>
  <w:abstractNum w:abstractNumId="330">
    <w:nsid w:val="4E3D26AB"/>
    <w:multiLevelType w:val="hybridMultilevel"/>
    <w:lvl w:ilvl="0">
      <w:lvlJc w:val="left"/>
      <w:lvlText w:val="(%1)"/>
      <w:numFmt w:val="lowerLetter"/>
      <w:start w:val="13"/>
    </w:lvl>
  </w:abstractNum>
  <w:abstractNum w:abstractNumId="331">
    <w:nsid w:val="BE2C8BA"/>
    <w:multiLevelType w:val="hybridMultilevel"/>
    <w:lvl w:ilvl="0">
      <w:lvlJc w:val="left"/>
      <w:lvlText w:val="(%1)"/>
      <w:numFmt w:val="lowerLetter"/>
      <w:start w:val="15"/>
    </w:lvl>
  </w:abstractNum>
  <w:abstractNum w:abstractNumId="332">
    <w:nsid w:val="7B14914E"/>
    <w:multiLevelType w:val="hybridMultilevel"/>
    <w:lvl w:ilvl="0">
      <w:lvlJc w:val="left"/>
      <w:lvlText w:val="2"/>
      <w:numFmt w:val="bullet"/>
      <w:start w:val="1"/>
    </w:lvl>
  </w:abstractNum>
  <w:abstractNum w:abstractNumId="333">
    <w:nsid w:val="6F0939F8"/>
    <w:multiLevelType w:val="hybridMultilevel"/>
    <w:lvl w:ilvl="0">
      <w:lvlJc w:val="left"/>
      <w:lvlText w:val="(%1)"/>
      <w:numFmt w:val="lowerLetter"/>
      <w:start w:val="18"/>
    </w:lvl>
  </w:abstractNum>
  <w:abstractNum w:abstractNumId="334">
    <w:nsid w:val="154291F6"/>
    <w:multiLevelType w:val="hybridMultilevel"/>
    <w:lvl w:ilvl="0">
      <w:lvlJc w:val="left"/>
      <w:lvlText w:val="2"/>
      <w:numFmt w:val="bullet"/>
      <w:start w:val="1"/>
    </w:lvl>
  </w:abstractNum>
  <w:abstractNum w:abstractNumId="335">
    <w:nsid w:val="3CEBD7C7"/>
    <w:multiLevelType w:val="hybridMultilevel"/>
    <w:lvl w:ilvl="0">
      <w:lvlJc w:val="left"/>
      <w:lvlText w:val="(%1)"/>
      <w:numFmt w:val="lowerLetter"/>
      <w:start w:val="20"/>
    </w:lvl>
  </w:abstractNum>
  <w:abstractNum w:abstractNumId="336">
    <w:nsid w:val="60EE9C16"/>
    <w:multiLevelType w:val="hybridMultilevel"/>
    <w:lvl w:ilvl="0">
      <w:lvlJc w:val="left"/>
      <w:lvlText w:val="2"/>
      <w:numFmt w:val="bullet"/>
      <w:start w:val="1"/>
    </w:lvl>
  </w:abstractNum>
  <w:abstractNum w:abstractNumId="337">
    <w:nsid w:val="6385489E"/>
    <w:multiLevelType w:val="hybridMultilevel"/>
    <w:lvl w:ilvl="0">
      <w:lvlJc w:val="left"/>
      <w:lvlText w:val="(%1)"/>
      <w:numFmt w:val="lowerLetter"/>
      <w:start w:val="22"/>
    </w:lvl>
  </w:abstractNum>
  <w:abstractNum w:abstractNumId="338">
    <w:nsid w:val="E4B973"/>
    <w:multiLevelType w:val="hybridMultilevel"/>
    <w:lvl w:ilvl="0">
      <w:lvlJc w:val="left"/>
      <w:lvlText w:val="2"/>
      <w:numFmt w:val="bullet"/>
      <w:start w:val="1"/>
    </w:lvl>
  </w:abstractNum>
  <w:abstractNum w:abstractNumId="339">
    <w:nsid w:val="4A0FFA11"/>
    <w:multiLevelType w:val="hybridMultilevel"/>
    <w:lvl w:ilvl="0">
      <w:lvlJc w:val="left"/>
      <w:lvlText w:val="(%1)"/>
      <w:numFmt w:val="lowerLetter"/>
      <w:start w:val="26"/>
    </w:lvl>
  </w:abstractNum>
  <w:abstractNum w:abstractNumId="340">
    <w:nsid w:val="5E446208"/>
    <w:multiLevelType w:val="hybridMultilevel"/>
    <w:lvl w:ilvl="0">
      <w:lvlJc w:val="left"/>
      <w:lvlText w:val="2"/>
      <w:numFmt w:val="bullet"/>
      <w:start w:val="1"/>
    </w:lvl>
  </w:abstractNum>
  <w:abstractNum w:abstractNumId="341">
    <w:nsid w:val="5F3272DB"/>
    <w:multiLevelType w:val="hybridMultilevel"/>
    <w:lvl w:ilvl="0">
      <w:lvlJc w:val="left"/>
      <w:lvlText w:val="(%1)"/>
      <w:numFmt w:val="lowerLetter"/>
      <w:start w:val="26"/>
    </w:lvl>
  </w:abstractNum>
  <w:abstractNum w:abstractNumId="342">
    <w:nsid w:val="7616D704"/>
    <w:multiLevelType w:val="hybridMultilevel"/>
    <w:lvl w:ilvl="0">
      <w:lvlJc w:val="left"/>
      <w:lvlText w:val="2"/>
      <w:numFmt w:val="bullet"/>
      <w:start w:val="1"/>
    </w:lvl>
  </w:abstractNum>
  <w:abstractNum w:abstractNumId="343">
    <w:nsid w:val="C56F860"/>
    <w:multiLevelType w:val="hybridMultilevel"/>
    <w:lvl w:ilvl="0">
      <w:lvlJc w:val="left"/>
      <w:lvlText w:val="(%1)"/>
      <w:numFmt w:val="lowerLetter"/>
      <w:start w:val="26"/>
    </w:lvl>
  </w:abstractNum>
  <w:abstractNum w:abstractNumId="344">
    <w:nsid w:val="64D17722"/>
    <w:multiLevelType w:val="hybridMultilevel"/>
    <w:lvl w:ilvl="0">
      <w:lvlJc w:val="left"/>
      <w:lvlText w:val="3"/>
      <w:numFmt w:val="bullet"/>
      <w:start w:val="1"/>
    </w:lvl>
  </w:abstractNum>
  <w:abstractNum w:abstractNumId="345">
    <w:nsid w:val="7924CA0A"/>
    <w:multiLevelType w:val="hybridMultilevel"/>
    <w:lvl w:ilvl="0">
      <w:lvlJc w:val="left"/>
      <w:lvlText w:val="(%1)"/>
      <w:numFmt w:val="lowerLetter"/>
      <w:start w:val="1"/>
    </w:lvl>
    <w:lvl w:ilvl="1">
      <w:lvlJc w:val="left"/>
      <w:lvlText w:val="•"/>
      <w:numFmt w:val="bullet"/>
      <w:start w:val="1"/>
    </w:lvl>
  </w:abstractNum>
  <w:abstractNum w:abstractNumId="346">
    <w:nsid w:val="CFD4EA7"/>
    <w:multiLevelType w:val="hybridMultilevel"/>
    <w:lvl w:ilvl="0">
      <w:lvlJc w:val="left"/>
      <w:lvlText w:val="3"/>
      <w:numFmt w:val="bullet"/>
      <w:start w:val="1"/>
    </w:lvl>
  </w:abstractNum>
  <w:abstractNum w:abstractNumId="347">
    <w:nsid w:val="232FCF4D"/>
    <w:multiLevelType w:val="hybridMultilevel"/>
    <w:lvl w:ilvl="0">
      <w:lvlJc w:val="left"/>
      <w:lvlText w:val="(%1)"/>
      <w:numFmt w:val="lowerLetter"/>
      <w:start w:val="1"/>
    </w:lvl>
  </w:abstractNum>
  <w:abstractNum w:abstractNumId="348">
    <w:nsid w:val="1EA21031"/>
    <w:multiLevelType w:val="hybridMultilevel"/>
    <w:lvl w:ilvl="0">
      <w:lvlJc w:val="left"/>
      <w:lvlText w:val="•"/>
      <w:numFmt w:val="bullet"/>
      <w:start w:val="1"/>
    </w:lvl>
  </w:abstractNum>
  <w:abstractNum w:abstractNumId="349">
    <w:nsid w:val="67A5A6B5"/>
    <w:multiLevelType w:val="hybridMultilevel"/>
    <w:lvl w:ilvl="0">
      <w:lvlJc w:val="left"/>
      <w:lvlText w:val="3"/>
      <w:numFmt w:val="bullet"/>
      <w:start w:val="1"/>
    </w:lvl>
  </w:abstractNum>
  <w:abstractNum w:abstractNumId="350">
    <w:nsid w:val="C2A5C5B"/>
    <w:multiLevelType w:val="hybridMultilevel"/>
    <w:lvl w:ilvl="0">
      <w:lvlJc w:val="left"/>
      <w:lvlText w:val="(%1)"/>
      <w:numFmt w:val="lowerLetter"/>
      <w:start w:val="1"/>
    </w:lvl>
  </w:abstractNum>
  <w:abstractNum w:abstractNumId="351">
    <w:nsid w:val="5F94DC03"/>
    <w:multiLevelType w:val="hybridMultilevel"/>
    <w:lvl w:ilvl="0">
      <w:lvlJc w:val="left"/>
      <w:lvlText w:val="3"/>
      <w:numFmt w:val="bullet"/>
      <w:start w:val="1"/>
    </w:lvl>
  </w:abstractNum>
  <w:abstractNum w:abstractNumId="352">
    <w:nsid w:val="237BBCA0"/>
    <w:multiLevelType w:val="hybridMultilevel"/>
    <w:lvl w:ilvl="0">
      <w:lvlJc w:val="left"/>
      <w:lvlText w:val="(%1)"/>
      <w:numFmt w:val="lowerLetter"/>
      <w:start w:val="2"/>
    </w:lvl>
  </w:abstractNum>
  <w:abstractNum w:abstractNumId="353">
    <w:nsid w:val="162EB70D"/>
    <w:multiLevelType w:val="hybridMultilevel"/>
    <w:lvl w:ilvl="0">
      <w:lvlJc w:val="left"/>
      <w:lvlText w:val="(%1)"/>
      <w:numFmt w:val="lowerRoman"/>
      <w:start w:val="1"/>
    </w:lvl>
  </w:abstractNum>
  <w:abstractNum w:abstractNumId="354">
    <w:nsid w:val="78070222"/>
    <w:multiLevelType w:val="hybridMultilevel"/>
    <w:lvl w:ilvl="0">
      <w:lvlJc w:val="left"/>
      <w:lvlText w:val="(%1)"/>
      <w:numFmt w:val="lowerRoman"/>
      <w:start w:val="2"/>
    </w:lvl>
  </w:abstractNum>
  <w:abstractNum w:abstractNumId="355">
    <w:nsid w:val="6163ED0D"/>
    <w:multiLevelType w:val="hybridMultilevel"/>
    <w:lvl w:ilvl="0">
      <w:lvlJc w:val="left"/>
      <w:lvlText w:val="3"/>
      <w:numFmt w:val="bullet"/>
      <w:start w:val="1"/>
    </w:lvl>
  </w:abstractNum>
  <w:abstractNum w:abstractNumId="356">
    <w:nsid w:val="C600E47"/>
    <w:multiLevelType w:val="hybridMultilevel"/>
    <w:lvl w:ilvl="0">
      <w:lvlJc w:val="left"/>
      <w:lvlText w:val="(%1)"/>
      <w:numFmt w:val="lowerLetter"/>
      <w:start w:val="3"/>
    </w:lvl>
  </w:abstractNum>
  <w:abstractNum w:abstractNumId="357">
    <w:nsid w:val="7D94F75D"/>
    <w:multiLevelType w:val="hybridMultilevel"/>
    <w:lvl w:ilvl="0">
      <w:lvlJc w:val="left"/>
      <w:lvlText w:val="4"/>
      <w:numFmt w:val="bullet"/>
      <w:start w:val="1"/>
    </w:lvl>
  </w:abstractNum>
  <w:abstractNum w:abstractNumId="358">
    <w:nsid w:val="6C31E7CD"/>
    <w:multiLevelType w:val="hybridMultilevel"/>
    <w:lvl w:ilvl="0">
      <w:lvlJc w:val="left"/>
      <w:lvlText w:val="6"/>
      <w:numFmt w:val="bullet"/>
      <w:start w:val="1"/>
    </w:lvl>
  </w:abstractNum>
  <w:abstractNum w:abstractNumId="359">
    <w:nsid w:val="2BB7929B"/>
    <w:multiLevelType w:val="hybridMultilevel"/>
    <w:lvl w:ilvl="0">
      <w:lvlJc w:val="left"/>
      <w:lvlText w:val="7"/>
      <w:numFmt w:val="bullet"/>
      <w:start w:val="1"/>
    </w:lvl>
  </w:abstractNum>
  <w:abstractNum w:abstractNumId="360">
    <w:nsid w:val="58A2A487"/>
    <w:multiLevelType w:val="hybridMultilevel"/>
    <w:lvl w:ilvl="0">
      <w:lvlJc w:val="left"/>
      <w:lvlText w:val="8"/>
      <w:numFmt w:val="bullet"/>
      <w:start w:val="1"/>
    </w:lvl>
  </w:abstractNum>
  <w:abstractNum w:abstractNumId="361">
    <w:nsid w:val="3A6F0E78"/>
    <w:multiLevelType w:val="hybridMultilevel"/>
    <w:lvl w:ilvl="0">
      <w:lvlJc w:val="left"/>
      <w:lvlText w:val="9"/>
      <w:numFmt w:val="bullet"/>
      <w:start w:val="1"/>
    </w:lvl>
  </w:abstractNum>
  <w:abstractNum w:abstractNumId="362">
    <w:nsid w:val="379A5B56"/>
    <w:multiLevelType w:val="hybridMultilevel"/>
    <w:lvl w:ilvl="0">
      <w:lvlJc w:val="left"/>
      <w:lvlText w:val="%1"/>
      <w:numFmt w:val="decimal"/>
      <w:start w:val="10"/>
    </w:lvl>
  </w:abstractNum>
  <w:abstractNum w:abstractNumId="363">
    <w:nsid w:val="53B735D5"/>
    <w:multiLevelType w:val="hybridMultilevel"/>
    <w:lvl w:ilvl="0">
      <w:lvlJc w:val="left"/>
      <w:lvlText w:val="%1"/>
      <w:numFmt w:val="decimal"/>
      <w:start w:val="10"/>
    </w:lvl>
  </w:abstractNum>
  <w:abstractNum w:abstractNumId="364">
    <w:nsid w:val="29784870"/>
    <w:multiLevelType w:val="hybridMultilevel"/>
    <w:lvl w:ilvl="0">
      <w:lvlJc w:val="left"/>
      <w:lvlText w:val="%1"/>
      <w:numFmt w:val="decimal"/>
      <w:start w:val="12"/>
    </w:lvl>
  </w:abstractNum>
  <w:abstractNum w:abstractNumId="365">
    <w:nsid w:val="4CDCED4C"/>
    <w:multiLevelType w:val="hybridMultilevel"/>
    <w:lvl w:ilvl="0">
      <w:lvlJc w:val="left"/>
      <w:lvlText w:val="%1"/>
      <w:numFmt w:val="decimal"/>
      <w:start w:val="12"/>
    </w:lvl>
  </w:abstractNum>
  <w:abstractNum w:abstractNumId="366">
    <w:nsid w:val="10A30D9C"/>
    <w:multiLevelType w:val="hybridMultilevel"/>
    <w:lvl w:ilvl="0">
      <w:lvlJc w:val="left"/>
      <w:lvlText w:val="(%1)"/>
      <w:numFmt w:val="lowerLetter"/>
      <w:start w:val="1"/>
    </w:lvl>
  </w:abstractNum>
  <w:abstractNum w:abstractNumId="367">
    <w:nsid w:val="A66E486"/>
    <w:multiLevelType w:val="hybridMultilevel"/>
    <w:lvl w:ilvl="0">
      <w:lvlJc w:val="left"/>
      <w:lvlText w:val="(%1)"/>
      <w:numFmt w:val="lowerLetter"/>
      <w:start w:val="1"/>
    </w:lvl>
  </w:abstractNum>
  <w:abstractNum w:abstractNumId="368">
    <w:nsid w:val="306235EA"/>
    <w:multiLevelType w:val="hybridMultilevel"/>
    <w:lvl w:ilvl="0">
      <w:lvlJc w:val="left"/>
      <w:lvlText w:val="(%1)"/>
      <w:numFmt w:val="lowerRoman"/>
      <w:start w:val="1"/>
    </w:lvl>
  </w:abstractNum>
  <w:abstractNum w:abstractNumId="369">
    <w:nsid w:val="1187C70F"/>
    <w:multiLevelType w:val="hybridMultilevel"/>
    <w:lvl w:ilvl="0">
      <w:lvlJc w:val="left"/>
      <w:lvlText w:val="(%1)"/>
      <w:numFmt w:val="lowerLetter"/>
      <w:start w:val="1"/>
    </w:lvl>
    <w:lvl w:ilvl="1">
      <w:lvlJc w:val="left"/>
      <w:lvlText w:val="(%2)"/>
      <w:numFmt w:val="lowerRoman"/>
      <w:start w:val="7"/>
    </w:lvl>
  </w:abstractNum>
  <w:abstractNum w:abstractNumId="370">
    <w:nsid w:val="5476DE98"/>
    <w:multiLevelType w:val="hybridMultilevel"/>
    <w:lvl w:ilvl="0">
      <w:lvlJc w:val="left"/>
      <w:lvlText w:val="(%1)"/>
      <w:numFmt w:val="lowerLetter"/>
      <w:start w:val="1"/>
    </w:lvl>
    <w:lvl w:ilvl="1">
      <w:lvlJc w:val="left"/>
      <w:lvlText w:val="(%2)"/>
      <w:numFmt w:val="lowerRoman"/>
      <w:start w:val="18"/>
    </w:lvl>
  </w:abstractNum>
  <w:abstractNum w:abstractNumId="371">
    <w:nsid w:val="EA697F2"/>
    <w:multiLevelType w:val="hybridMultilevel"/>
    <w:lvl w:ilvl="0">
      <w:lvlJc w:val="left"/>
      <w:lvlText w:val="(%1)"/>
      <w:numFmt w:val="lowerLetter"/>
      <w:start w:val="1"/>
    </w:lvl>
  </w:abstractNum>
  <w:abstractNum w:abstractNumId="372">
    <w:nsid w:val="70BA39EB"/>
    <w:multiLevelType w:val="hybridMultilevel"/>
    <w:lvl w:ilvl="0">
      <w:lvlJc w:val="left"/>
      <w:lvlText w:val="(%1)"/>
      <w:numFmt w:val="lowerRoman"/>
      <w:start w:val="1"/>
    </w:lvl>
  </w:abstractNum>
  <w:abstractNum w:abstractNumId="373">
    <w:nsid w:val="4A8DB59C"/>
    <w:multiLevelType w:val="hybridMultilevel"/>
    <w:lvl w:ilvl="0">
      <w:lvlJc w:val="left"/>
      <w:lvlText w:val="(%1)"/>
      <w:numFmt w:val="lowerRoman"/>
      <w:start w:val="1"/>
    </w:lvl>
  </w:abstractNum>
  <w:abstractNum w:abstractNumId="374">
    <w:nsid w:val="1AFD9053"/>
    <w:multiLevelType w:val="hybridMultilevel"/>
    <w:lvl w:ilvl="0">
      <w:lvlJc w:val="left"/>
      <w:lvlText w:val="(%1)"/>
      <w:numFmt w:val="lowerRoman"/>
      <w:start w:val="3"/>
    </w:lvl>
  </w:abstractNum>
  <w:abstractNum w:abstractNumId="375">
    <w:nsid w:val="558BB10D"/>
    <w:multiLevelType w:val="hybridMultilevel"/>
    <w:lvl w:ilvl="0">
      <w:lvlJc w:val="left"/>
      <w:lvlText w:val="%1"/>
      <w:numFmt w:val="decimal"/>
      <w:start w:val="14"/>
    </w:lvl>
    <w:lvl w:ilvl="1">
      <w:lvlJc w:val="left"/>
      <w:lvlText w:val="(%2)"/>
      <w:numFmt w:val="lowerLetter"/>
      <w:start w:val="1"/>
    </w:lvl>
  </w:abstractNum>
  <w:abstractNum w:abstractNumId="376">
    <w:nsid w:val="43B27FA7"/>
    <w:multiLevelType w:val="hybridMultilevel"/>
    <w:lvl w:ilvl="0">
      <w:lvlJc w:val="left"/>
      <w:lvlText w:val="%1"/>
      <w:numFmt w:val="decimal"/>
      <w:start w:val="14"/>
    </w:lvl>
  </w:abstractNum>
  <w:abstractNum w:abstractNumId="377">
    <w:nsid w:val="27FADEFA"/>
    <w:multiLevelType w:val="hybridMultilevel"/>
    <w:lvl w:ilvl="0">
      <w:lvlJc w:val="left"/>
      <w:lvlText w:val="(%1)"/>
      <w:numFmt w:val="lowerLetter"/>
      <w:start w:val="1"/>
    </w:lvl>
  </w:abstractNum>
  <w:abstractNum w:abstractNumId="378">
    <w:nsid w:val="78BB805A"/>
    <w:multiLevelType w:val="hybridMultilevel"/>
    <w:lvl w:ilvl="0">
      <w:lvlJc w:val="left"/>
      <w:lvlText w:val="(%1)"/>
      <w:numFmt w:val="lowerLetter"/>
      <w:start w:val="1"/>
    </w:lvl>
  </w:abstractNum>
  <w:abstractNum w:abstractNumId="379">
    <w:nsid w:val="62548FD8"/>
    <w:multiLevelType w:val="hybridMultilevel"/>
    <w:lvl w:ilvl="0">
      <w:lvlJc w:val="left"/>
      <w:lvlText w:val="(%1)"/>
      <w:numFmt w:val="lowerLetter"/>
      <w:start w:val="2"/>
    </w:lvl>
  </w:abstractNum>
  <w:abstractNum w:abstractNumId="380">
    <w:nsid w:val="FA085B0"/>
    <w:multiLevelType w:val="hybridMultilevel"/>
    <w:lvl w:ilvl="0">
      <w:lvlJc w:val="left"/>
      <w:lvlText w:val="%1"/>
      <w:numFmt w:val="decimal"/>
      <w:start w:val="17"/>
    </w:lvl>
  </w:abstractNum>
  <w:abstractNum w:abstractNumId="381">
    <w:nsid w:val="4E5DCB5"/>
    <w:multiLevelType w:val="hybridMultilevel"/>
    <w:lvl w:ilvl="0">
      <w:lvlJc w:val="left"/>
      <w:lvlText w:val="(%1)"/>
      <w:numFmt w:val="decimal"/>
      <w:start w:val="2"/>
    </w:lvl>
  </w:abstractNum>
  <w:abstractNum w:abstractNumId="382">
    <w:nsid w:val="41E96BDB"/>
    <w:multiLevelType w:val="hybridMultilevel"/>
    <w:lvl w:ilvl="0">
      <w:lvlJc w:val="left"/>
      <w:lvlText w:val="1"/>
      <w:numFmt w:val="bullet"/>
      <w:start w:val="1"/>
    </w:lvl>
  </w:abstractNum>
  <w:abstractNum w:abstractNumId="383">
    <w:nsid w:val="331C4250"/>
    <w:multiLevelType w:val="hybridMultilevel"/>
    <w:lvl w:ilvl="0">
      <w:lvlJc w:val="left"/>
      <w:lvlText w:val="2"/>
      <w:numFmt w:val="bullet"/>
      <w:start w:val="1"/>
    </w:lvl>
  </w:abstractNum>
  <w:abstractNum w:abstractNumId="384">
    <w:nsid w:val="1B1493C2"/>
    <w:multiLevelType w:val="hybridMultilevel"/>
    <w:lvl w:ilvl="0">
      <w:lvlJc w:val="left"/>
      <w:lvlText w:val="3"/>
      <w:numFmt w:val="bullet"/>
      <w:start w:val="1"/>
    </w:lvl>
  </w:abstractNum>
  <w:abstractNum w:abstractNumId="385">
    <w:nsid w:val="39F06DFD"/>
    <w:multiLevelType w:val="hybridMultilevel"/>
    <w:lvl w:ilvl="0">
      <w:lvlJc w:val="left"/>
      <w:lvlText w:val="4"/>
      <w:numFmt w:val="bullet"/>
      <w:start w:val="1"/>
    </w:lvl>
  </w:abstractNum>
  <w:abstractNum w:abstractNumId="386">
    <w:nsid w:val="14802F5D"/>
    <w:multiLevelType w:val="hybridMultilevel"/>
    <w:lvl w:ilvl="0">
      <w:lvlJc w:val="left"/>
      <w:lvlText w:val="†"/>
      <w:numFmt w:val="bullet"/>
      <w:start w:val="1"/>
    </w:lvl>
  </w:abstractNum>
  <w:abstractNum w:abstractNumId="387">
    <w:nsid w:val="2774A209"/>
    <w:multiLevelType w:val="hybridMultilevel"/>
    <w:lvl w:ilvl="0">
      <w:lvlJc w:val="left"/>
      <w:lvlText w:val="(%1)"/>
      <w:numFmt w:val="decimal"/>
      <w:start w:val="1"/>
    </w:lvl>
  </w:abstractNum>
  <w:abstractNum w:abstractNumId="388">
    <w:nsid w:val="3785655A"/>
    <w:multiLevelType w:val="hybridMultilevel"/>
    <w:lvl w:ilvl="0">
      <w:lvlJc w:val="left"/>
      <w:lvlText w:val="(%1)"/>
      <w:numFmt w:val="decimal"/>
      <w:start w:val="2"/>
    </w:lvl>
  </w:abstractNum>
  <w:abstractNum w:abstractNumId="389">
    <w:nsid w:val="B2172A"/>
    <w:multiLevelType w:val="hybridMultilevel"/>
    <w:lvl w:ilvl="0">
      <w:lvlJc w:val="left"/>
      <w:lvlText w:val="%1."/>
      <w:numFmt w:val="decimal"/>
      <w:start w:val="1"/>
    </w:lvl>
  </w:abstractNum>
  <w:abstractNum w:abstractNumId="390">
    <w:nsid w:val="532C34A5"/>
    <w:multiLevelType w:val="hybridMultilevel"/>
    <w:lvl w:ilvl="0">
      <w:lvlJc w:val="left"/>
      <w:lvlText w:val="(%1)"/>
      <w:numFmt w:val="lowerLetter"/>
      <w:start w:val="1"/>
    </w:lvl>
  </w:abstractNum>
  <w:abstractNum w:abstractNumId="391">
    <w:nsid w:val="102809E2"/>
    <w:multiLevelType w:val="hybridMultilevel"/>
    <w:lvl w:ilvl="0">
      <w:lvlJc w:val="left"/>
      <w:lvlText w:val="(%1)"/>
      <w:numFmt w:val="lowerLetter"/>
      <w:start w:val="3"/>
    </w:lvl>
  </w:abstractNum>
  <w:abstractNum w:abstractNumId="392">
    <w:nsid w:val="3B2125A3"/>
    <w:multiLevelType w:val="hybridMultilevel"/>
    <w:lvl w:ilvl="0">
      <w:lvlJc w:val="left"/>
      <w:lvlText w:val="(%1)"/>
      <w:numFmt w:val="lowerLetter"/>
      <w:start w:val="5"/>
    </w:lvl>
  </w:abstractNum>
  <w:abstractNum w:abstractNumId="393">
    <w:nsid w:val="AC68FFB"/>
    <w:multiLevelType w:val="hybridMultilevel"/>
    <w:lvl w:ilvl="0">
      <w:lvlJc w:val="left"/>
      <w:lvlText w:val="(%1)"/>
      <w:numFmt w:val="lowerLetter"/>
      <w:start w:val="7"/>
    </w:lvl>
    <w:lvl w:ilvl="1">
      <w:lvlJc w:val="left"/>
      <w:lvlText w:val="(%2)"/>
      <w:numFmt w:val="lowerRoman"/>
      <w:start w:val="1"/>
    </w:lvl>
  </w:abstractNum>
  <w:abstractNum w:abstractNumId="394">
    <w:nsid w:val="63DF3FB7"/>
    <w:multiLevelType w:val="hybridMultilevel"/>
    <w:lvl w:ilvl="0">
      <w:lvlJc w:val="left"/>
      <w:lvlText w:val="%1"/>
      <w:numFmt w:val="lowerLetter"/>
      <w:start w:val="1"/>
    </w:lvl>
    <w:lvl w:ilvl="1">
      <w:lvlJc w:val="left"/>
      <w:lvlText w:val="(%2)"/>
      <w:numFmt w:val="lowerRoman"/>
      <w:start w:val="3"/>
    </w:lvl>
  </w:abstractNum>
  <w:abstractNum w:abstractNumId="395">
    <w:nsid w:val="64996E13"/>
    <w:multiLevelType w:val="hybridMultilevel"/>
    <w:lvl w:ilvl="0">
      <w:lvlJc w:val="left"/>
      <w:lvlText w:val="(%1)"/>
      <w:numFmt w:val="lowerLetter"/>
      <w:start w:val="8"/>
    </w:lvl>
    <w:lvl w:ilvl="1">
      <w:lvlJc w:val="left"/>
      <w:lvlText w:val="%2"/>
      <w:numFmt w:val="lowerRoman"/>
      <w:start w:val="1"/>
    </w:lvl>
  </w:abstractNum>
  <w:abstractNum w:abstractNumId="396">
    <w:nsid w:val="57A37D47"/>
    <w:multiLevelType w:val="hybridMultilevel"/>
    <w:lvl w:ilvl="0">
      <w:lvlJc w:val="left"/>
      <w:lvlText w:val="(%1)"/>
      <w:numFmt w:val="lowerLetter"/>
      <w:start w:val="11"/>
    </w:lvl>
  </w:abstractNum>
  <w:abstractNum w:abstractNumId="397">
    <w:nsid w:val="74824D54"/>
    <w:multiLevelType w:val="hybridMultilevel"/>
    <w:lvl w:ilvl="0">
      <w:lvlJc w:val="left"/>
      <w:lvlText w:val="%1"/>
      <w:numFmt w:val="lowerLetter"/>
      <w:start w:val="1"/>
    </w:lvl>
    <w:lvl w:ilvl="1">
      <w:lvlJc w:val="left"/>
      <w:lvlText w:val="(%2)"/>
      <w:numFmt w:val="lowerLetter"/>
      <w:start w:val="17"/>
    </w:lvl>
  </w:abstractNum>
  <w:abstractNum w:abstractNumId="398">
    <w:nsid w:val="6F00529A"/>
    <w:multiLevelType w:val="hybridMultilevel"/>
    <w:lvl w:ilvl="0">
      <w:lvlJc w:val="left"/>
      <w:lvlText w:val="(%1)"/>
      <w:numFmt w:val="lowerLetter"/>
      <w:start w:val="9"/>
    </w:lvl>
    <w:lvl w:ilvl="1">
      <w:lvlJc w:val="left"/>
      <w:lvlText w:val="%2"/>
      <w:numFmt w:val="lowerLetter"/>
      <w:start w:val="1"/>
    </w:lvl>
  </w:abstractNum>
  <w:abstractNum w:abstractNumId="399">
    <w:nsid w:val="805B331"/>
    <w:multiLevelType w:val="hybridMultilevel"/>
    <w:lvl w:ilvl="0">
      <w:lvlJc w:val="left"/>
      <w:lvlText w:val="(%1)"/>
      <w:numFmt w:val="lowerLetter"/>
      <w:start w:val="20"/>
    </w:lvl>
  </w:abstractNum>
  <w:abstractNum w:abstractNumId="400">
    <w:nsid w:val="60A1463"/>
    <w:multiLevelType w:val="hybridMultilevel"/>
    <w:lvl w:ilvl="0">
      <w:lvlJc w:val="left"/>
      <w:lvlText w:val="%1"/>
      <w:numFmt w:val="lowerLetter"/>
      <w:start w:val="1"/>
    </w:lvl>
    <w:lvl w:ilvl="1">
      <w:lvlJc w:val="left"/>
      <w:lvlText w:val="(%2)"/>
      <w:numFmt w:val="lowerLetter"/>
      <w:start w:val="25"/>
    </w:lvl>
  </w:abstractNum>
  <w:abstractNum w:abstractNumId="401">
    <w:nsid w:val="43773132"/>
    <w:multiLevelType w:val="hybridMultilevel"/>
    <w:lvl w:ilvl="0">
      <w:lvlJc w:val="left"/>
      <w:lvlText w:val="(%1)"/>
      <w:numFmt w:val="lowerLetter"/>
      <w:start w:val="61"/>
    </w:lvl>
    <w:lvl w:ilvl="1">
      <w:lvlJc w:val="left"/>
      <w:lvlText w:val="(%2)"/>
      <w:numFmt w:val="lowerLetter"/>
      <w:start w:val="26"/>
    </w:lvl>
  </w:abstractNum>
  <w:abstractNum w:abstractNumId="402">
    <w:nsid w:val="16AC4B23"/>
    <w:multiLevelType w:val="hybridMultilevel"/>
    <w:lvl w:ilvl="0">
      <w:lvlJc w:val="left"/>
      <w:lvlText w:val="(%1)"/>
      <w:numFmt w:val="lowerLetter"/>
      <w:start w:val="27"/>
    </w:lvl>
    <w:lvl w:ilvl="1">
      <w:lvlJc w:val="left"/>
      <w:lvlText w:val="(%2)"/>
      <w:numFmt w:val="upperLetter"/>
      <w:start w:val="1"/>
    </w:lvl>
  </w:abstractNum>
  <w:abstractNum w:abstractNumId="403">
    <w:nsid w:val="76C44E4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04">
    <w:nsid w:val="E04E6CE"/>
    <w:multiLevelType w:val="hybridMultilevel"/>
    <w:lvl w:ilvl="0">
      <w:lvlJc w:val="left"/>
      <w:lvlText w:val="(%1)"/>
      <w:numFmt w:val="lowerLetter"/>
      <w:start w:val="28"/>
    </w:lvl>
    <w:lvl w:ilvl="1">
      <w:lvlJc w:val="left"/>
      <w:lvlText w:val="%2"/>
      <w:numFmt w:val="lowerRoman"/>
      <w:start w:val="1"/>
    </w:lvl>
    <w:lvl w:ilvl="2">
      <w:lvlJc w:val="left"/>
      <w:lvlText w:val="%3"/>
      <w:numFmt w:val="upperLetter"/>
      <w:start w:val="1"/>
    </w:lvl>
  </w:abstractNum>
  <w:abstractNum w:abstractNumId="405">
    <w:nsid w:val="31A9DB76"/>
    <w:multiLevelType w:val="hybridMultilevel"/>
    <w:lvl w:ilvl="0">
      <w:lvlJc w:val="left"/>
      <w:lvlText w:val="%1"/>
      <w:numFmt w:val="lowerLetter"/>
      <w:start w:val="1"/>
    </w:lvl>
    <w:lvl w:ilvl="1">
      <w:lvlJc w:val="left"/>
      <w:lvlText w:val="(%2)"/>
      <w:numFmt w:val="lowerLetter"/>
      <w:start w:val="30"/>
    </w:lvl>
  </w:abstractNum>
  <w:abstractNum w:abstractNumId="406">
    <w:nsid w:val="4C4FFF5B"/>
    <w:multiLevelType w:val="hybridMultilevel"/>
    <w:lvl w:ilvl="0">
      <w:lvlJc w:val="left"/>
      <w:lvlText w:val="(%1)"/>
      <w:numFmt w:val="lowerLetter"/>
      <w:start w:val="61"/>
    </w:lvl>
    <w:lvl w:ilvl="1">
      <w:lvlJc w:val="left"/>
      <w:lvlText w:val="(%2)"/>
      <w:numFmt w:val="lowerLetter"/>
      <w:start w:val="31"/>
    </w:lvl>
  </w:abstractNum>
  <w:abstractNum w:abstractNumId="407">
    <w:nsid w:val="51B76675"/>
    <w:multiLevelType w:val="hybridMultilevel"/>
    <w:lvl w:ilvl="0">
      <w:lvlJc w:val="left"/>
      <w:lvlText w:val="(%1)"/>
      <w:numFmt w:val="lowerLetter"/>
      <w:start w:val="35"/>
    </w:lvl>
  </w:abstractNum>
  <w:abstractNum w:abstractNumId="408">
    <w:nsid w:val="59A4BA71"/>
    <w:multiLevelType w:val="hybridMultilevel"/>
    <w:lvl w:ilvl="0">
      <w:lvlJc w:val="left"/>
      <w:lvlText w:val="%1"/>
      <w:numFmt w:val="lowerLetter"/>
      <w:start w:val="1"/>
    </w:lvl>
    <w:lvl w:ilvl="1">
      <w:lvlJc w:val="left"/>
      <w:lvlText w:val="(%2)"/>
      <w:numFmt w:val="lowerLetter"/>
      <w:start w:val="39"/>
    </w:lvl>
  </w:abstractNum>
  <w:abstractNum w:abstractNumId="409">
    <w:nsid w:val="450B7FB6"/>
    <w:multiLevelType w:val="hybridMultilevel"/>
    <w:lvl w:ilvl="0">
      <w:lvlJc w:val="left"/>
      <w:lvlText w:val="(%1)"/>
      <w:numFmt w:val="lowerLetter"/>
      <w:start w:val="35"/>
    </w:lvl>
    <w:lvl w:ilvl="1">
      <w:lvlJc w:val="left"/>
      <w:lvlText w:val="%2"/>
      <w:numFmt w:val="lowerLetter"/>
      <w:start w:val="1"/>
    </w:lvl>
  </w:abstractNum>
  <w:abstractNum w:abstractNumId="410">
    <w:nsid w:val="340BF64D"/>
    <w:multiLevelType w:val="hybridMultilevel"/>
    <w:lvl w:ilvl="0">
      <w:lvlJc w:val="left"/>
      <w:lvlText w:val="%1"/>
      <w:numFmt w:val="lowerLetter"/>
      <w:start w:val="1"/>
    </w:lvl>
    <w:lvl w:ilvl="1">
      <w:lvlJc w:val="left"/>
      <w:lvlText w:val="(%2)"/>
      <w:numFmt w:val="lowerLetter"/>
      <w:start w:val="42"/>
    </w:lvl>
  </w:abstractNum>
  <w:abstractNum w:abstractNumId="411">
    <w:nsid w:val="69454021"/>
    <w:multiLevelType w:val="hybridMultilevel"/>
    <w:lvl w:ilvl="0">
      <w:lvlJc w:val="left"/>
      <w:lvlText w:val="(%1)"/>
      <w:numFmt w:val="lowerLetter"/>
      <w:start w:val="35"/>
    </w:lvl>
    <w:lvl w:ilvl="1">
      <w:lvlJc w:val="left"/>
      <w:lvlText w:val="(%2)"/>
      <w:numFmt w:val="lowerLetter"/>
      <w:start w:val="43"/>
    </w:lvl>
  </w:abstractNum>
  <w:abstractNum w:abstractNumId="412">
    <w:nsid w:val="49F15C6B"/>
    <w:multiLevelType w:val="hybridMultilevel"/>
    <w:lvl w:ilvl="0">
      <w:lvlJc w:val="left"/>
      <w:lvlText w:val="(%1)"/>
      <w:numFmt w:val="lowerLetter"/>
      <w:start w:val="46"/>
    </w:lvl>
  </w:abstractNum>
  <w:abstractNum w:abstractNumId="413">
    <w:nsid w:val="75F56228"/>
    <w:multiLevelType w:val="hybridMultilevel"/>
    <w:lvl w:ilvl="0">
      <w:lvlJc w:val="left"/>
      <w:lvlText w:val="(%1)"/>
      <w:numFmt w:val="lowerLetter"/>
      <w:start w:val="50"/>
    </w:lvl>
  </w:abstractNum>
  <w:abstractNum w:abstractNumId="414">
    <w:nsid w:val="1C618271"/>
    <w:multiLevelType w:val="hybridMultilevel"/>
    <w:lvl w:ilvl="0">
      <w:lvlJc w:val="left"/>
      <w:lvlText w:val="(%1)"/>
      <w:numFmt w:val="lowerLetter"/>
      <w:start w:val="53"/>
    </w:lvl>
  </w:abstractNum>
  <w:abstractNum w:abstractNumId="415">
    <w:nsid w:val="6505F02E"/>
    <w:multiLevelType w:val="hybridMultilevel"/>
    <w:lvl w:ilvl="0">
      <w:lvlJc w:val="left"/>
      <w:lvlText w:val="(%1)"/>
      <w:numFmt w:val="lowerLetter"/>
      <w:start w:val="54"/>
    </w:lvl>
  </w:abstractNum>
  <w:abstractNum w:abstractNumId="416">
    <w:nsid w:val="2FE5D025"/>
    <w:multiLevelType w:val="hybridMultilevel"/>
    <w:lvl w:ilvl="0">
      <w:lvlJc w:val="left"/>
      <w:lvlText w:val="(%1)"/>
      <w:numFmt w:val="lowerLetter"/>
      <w:start w:val="56"/>
    </w:lvl>
  </w:abstractNum>
  <w:abstractNum w:abstractNumId="417">
    <w:nsid w:val="30E1B1CF"/>
    <w:multiLevelType w:val="hybridMultilevel"/>
    <w:lvl w:ilvl="0">
      <w:lvlJc w:val="left"/>
      <w:lvlText w:val="%1."/>
      <w:numFmt w:val="decimal"/>
      <w:start w:val="2"/>
    </w:lvl>
  </w:abstractNum>
  <w:abstractNum w:abstractNumId="418">
    <w:nsid w:val="C7A9237"/>
    <w:multiLevelType w:val="hybridMultilevel"/>
    <w:lvl w:ilvl="0">
      <w:lvlJc w:val="left"/>
      <w:lvlText w:val="%1."/>
      <w:numFmt w:val="decimal"/>
      <w:start w:val="3"/>
    </w:lvl>
  </w:abstractNum>
  <w:abstractNum w:abstractNumId="419">
    <w:nsid w:val="676B3580"/>
    <w:multiLevelType w:val="hybridMultilevel"/>
    <w:lvl w:ilvl="0">
      <w:lvlJc w:val="left"/>
      <w:lvlText w:val="(%1)"/>
      <w:numFmt w:val="lowerLetter"/>
      <w:start w:val="1"/>
    </w:lvl>
  </w:abstractNum>
  <w:abstractNum w:abstractNumId="420">
    <w:nsid w:val="3193C8F9"/>
    <w:multiLevelType w:val="hybridMultilevel"/>
    <w:lvl w:ilvl="0">
      <w:lvlJc w:val="left"/>
      <w:lvlText w:val="(%1)"/>
      <w:numFmt w:val="lowerLetter"/>
      <w:start w:val="3"/>
    </w:lvl>
  </w:abstractNum>
  <w:abstractNum w:abstractNumId="421">
    <w:nsid w:val="5FA6C6DC"/>
    <w:multiLevelType w:val="hybridMultilevel"/>
    <w:lvl w:ilvl="0">
      <w:lvlJc w:val="left"/>
      <w:lvlText w:val="%1."/>
      <w:numFmt w:val="decimal"/>
      <w:start w:val="5"/>
    </w:lvl>
  </w:abstractNum>
  <w:abstractNum w:abstractNumId="422">
    <w:nsid w:val="77933F62"/>
    <w:multiLevelType w:val="hybridMultilevel"/>
    <w:lvl w:ilvl="0">
      <w:lvlJc w:val="left"/>
      <w:lvlText w:val="(%1)"/>
      <w:numFmt w:val="lowerLetter"/>
      <w:start w:val="1"/>
    </w:lvl>
    <w:lvl w:ilvl="1">
      <w:lvlJc w:val="left"/>
      <w:lvlText w:val="(%2)"/>
      <w:numFmt w:val="lowerRoman"/>
      <w:start w:val="1"/>
    </w:lvl>
  </w:abstractNum>
  <w:abstractNum w:abstractNumId="423">
    <w:nsid w:val="6CB4EE9C"/>
    <w:multiLevelType w:val="hybridMultilevel"/>
    <w:lvl w:ilvl="0">
      <w:lvlJc w:val="left"/>
      <w:lvlText w:val="(%1)"/>
      <w:numFmt w:val="lowerLetter"/>
      <w:start w:val="4"/>
    </w:lvl>
  </w:abstractNum>
  <w:abstractNum w:abstractNumId="424">
    <w:nsid w:val="6A6D56D7"/>
    <w:multiLevelType w:val="hybridMultilevel"/>
    <w:lvl w:ilvl="0">
      <w:lvlJc w:val="left"/>
      <w:lvlText w:val="(%1)"/>
      <w:numFmt w:val="lowerLetter"/>
      <w:start w:val="8"/>
    </w:lvl>
  </w:abstractNum>
  <w:abstractNum w:abstractNumId="425">
    <w:nsid w:val="5B727F19"/>
    <w:multiLevelType w:val="hybridMultilevel"/>
    <w:lvl w:ilvl="0">
      <w:lvlJc w:val="left"/>
      <w:lvlText w:val="(%1)"/>
      <w:numFmt w:val="lowerLetter"/>
      <w:start w:val="12"/>
    </w:lvl>
  </w:abstractNum>
  <w:abstractNum w:abstractNumId="426">
    <w:nsid w:val="514E5CB0"/>
    <w:multiLevelType w:val="hybridMultilevel"/>
    <w:lvl w:ilvl="0">
      <w:lvlJc w:val="left"/>
      <w:lvlText w:val="%1."/>
      <w:numFmt w:val="decimal"/>
      <w:start w:val="6"/>
    </w:lvl>
  </w:abstractNum>
  <w:abstractNum w:abstractNumId="427">
    <w:nsid w:val="4210D41E"/>
    <w:multiLevelType w:val="hybridMultilevel"/>
    <w:lvl w:ilvl="0">
      <w:lvlJc w:val="left"/>
      <w:lvlText w:val="(%1)"/>
      <w:numFmt w:val="lowerLetter"/>
      <w:start w:val="1"/>
    </w:lvl>
  </w:abstractNum>
  <w:abstractNum w:abstractNumId="428">
    <w:nsid w:val="4FF4CC6D"/>
    <w:multiLevelType w:val="hybridMultilevel"/>
    <w:lvl w:ilvl="0">
      <w:lvlJc w:val="left"/>
      <w:lvlText w:val="(%1)"/>
      <w:numFmt w:val="lowerLetter"/>
      <w:start w:val="6"/>
    </w:lvl>
  </w:abstractNum>
  <w:abstractNum w:abstractNumId="429">
    <w:nsid w:val="404EAF4A"/>
    <w:multiLevelType w:val="hybridMultilevel"/>
    <w:lvl w:ilvl="0">
      <w:lvlJc w:val="left"/>
      <w:lvlText w:val="(%1)"/>
      <w:numFmt w:val="lowerLetter"/>
      <w:start w:val="11"/>
    </w:lvl>
  </w:abstractNum>
  <w:abstractNum w:abstractNumId="430">
    <w:nsid w:val="4A16874F"/>
    <w:multiLevelType w:val="hybridMultilevel"/>
    <w:lvl w:ilvl="0">
      <w:lvlJc w:val="left"/>
      <w:lvlText w:val="(%1)"/>
      <w:numFmt w:val="lowerLetter"/>
      <w:start w:val="14"/>
    </w:lvl>
  </w:abstractNum>
  <w:abstractNum w:abstractNumId="431">
    <w:nsid w:val="55FEE0D1"/>
    <w:multiLevelType w:val="hybridMultilevel"/>
    <w:lvl w:ilvl="0">
      <w:lvlJc w:val="left"/>
      <w:lvlText w:val="%1"/>
      <w:numFmt w:val="lowerLetter"/>
      <w:start w:val="1"/>
    </w:lvl>
    <w:lvl w:ilvl="1">
      <w:lvlJc w:val="left"/>
      <w:lvlText w:val="(%2)"/>
      <w:numFmt w:val="lowerLetter"/>
      <w:start w:val="18"/>
    </w:lvl>
  </w:abstractNum>
  <w:abstractNum w:abstractNumId="432">
    <w:nsid w:val="3C5E07C"/>
    <w:multiLevelType w:val="hybridMultilevel"/>
    <w:lvl w:ilvl="0">
      <w:lvlJc w:val="left"/>
      <w:lvlText w:val="(%1)"/>
      <w:numFmt w:val="lowerLetter"/>
      <w:start w:val="1"/>
    </w:lvl>
    <w:lvl w:ilvl="1">
      <w:lvlJc w:val="left"/>
      <w:lvlText w:val="(%2)"/>
      <w:numFmt w:val="lowerLetter"/>
      <w:start w:val="22"/>
    </w:lvl>
  </w:abstractNum>
  <w:abstractNum w:abstractNumId="433">
    <w:nsid w:val="60C2D273"/>
    <w:multiLevelType w:val="hybridMultilevel"/>
    <w:lvl w:ilvl="0">
      <w:lvlJc w:val="left"/>
      <w:lvlText w:val="%1"/>
      <w:numFmt w:val="lowerRoman"/>
      <w:start w:val="1"/>
    </w:lvl>
    <w:lvl w:ilvl="1">
      <w:lvlJc w:val="left"/>
      <w:lvlText w:val="%2."/>
      <w:numFmt w:val="decimal"/>
      <w:start w:val="7"/>
    </w:lvl>
  </w:abstractNum>
  <w:abstractNum w:abstractNumId="434">
    <w:nsid w:val="4CC32F1F"/>
    <w:multiLevelType w:val="hybridMultilevel"/>
    <w:lvl w:ilvl="0">
      <w:lvlJc w:val="left"/>
      <w:lvlText w:val="(%1)"/>
      <w:numFmt w:val="lowerRoman"/>
      <w:start w:val="6"/>
    </w:lvl>
    <w:lvl w:ilvl="1">
      <w:lvlJc w:val="left"/>
      <w:lvlText w:val="%2"/>
      <w:numFmt w:val="decimal"/>
      <w:start w:val="1"/>
    </w:lvl>
  </w:abstractNum>
  <w:abstractNum w:abstractNumId="435">
    <w:nsid w:val="11CAC74A"/>
    <w:multiLevelType w:val="hybridMultilevel"/>
    <w:lvl w:ilvl="0">
      <w:lvlJc w:val="left"/>
      <w:lvlText w:val="(%1)"/>
      <w:numFmt w:val="lowerRoman"/>
      <w:start w:val="9"/>
    </w:lvl>
    <w:lvl w:ilvl="1">
      <w:lvlJc w:val="left"/>
      <w:lvlText w:val="%2"/>
      <w:numFmt w:val="decimal"/>
      <w:start w:val="1"/>
    </w:lvl>
  </w:abstractNum>
  <w:abstractNum w:abstractNumId="436">
    <w:nsid w:val="126CADE9"/>
    <w:multiLevelType w:val="hybridMultilevel"/>
    <w:lvl w:ilvl="0">
      <w:lvlJc w:val="left"/>
      <w:lvlText w:val="(%1)"/>
      <w:numFmt w:val="lowerRoman"/>
      <w:start w:val="1"/>
    </w:lvl>
  </w:abstractNum>
  <w:abstractNum w:abstractNumId="437">
    <w:nsid w:val="19132E7B"/>
    <w:multiLevelType w:val="hybridMultilevel"/>
    <w:lvl w:ilvl="0">
      <w:lvlJc w:val="left"/>
      <w:lvlText w:val="%1."/>
      <w:numFmt w:val="decimal"/>
      <w:start w:val="8"/>
    </w:lvl>
  </w:abstractNum>
  <w:abstractNum w:abstractNumId="438">
    <w:nsid w:val="63822DC0"/>
    <w:multiLevelType w:val="hybridMultilevel"/>
    <w:lvl w:ilvl="0">
      <w:lvlJc w:val="left"/>
      <w:lvlText w:val="(%1)"/>
      <w:numFmt w:val="lowerLetter"/>
      <w:start w:val="1"/>
    </w:lvl>
  </w:abstractNum>
  <w:abstractNum w:abstractNumId="439">
    <w:nsid w:val="6C11685A"/>
    <w:multiLevelType w:val="hybridMultilevel"/>
    <w:lvl w:ilvl="0">
      <w:lvlJc w:val="left"/>
      <w:lvlText w:val="(%1)"/>
      <w:numFmt w:val="lowerLetter"/>
      <w:start w:val="3"/>
    </w:lvl>
  </w:abstractNum>
  <w:abstractNum w:abstractNumId="440">
    <w:nsid w:val="5E1EAE31"/>
    <w:multiLevelType w:val="hybridMultilevel"/>
    <w:lvl w:ilvl="0">
      <w:lvlJc w:val="left"/>
      <w:lvlText w:val="(%1)"/>
      <w:numFmt w:val="lowerLetter"/>
      <w:start w:val="4"/>
    </w:lvl>
  </w:abstractNum>
  <w:abstractNum w:abstractNumId="441">
    <w:nsid w:val="178E240D"/>
    <w:multiLevelType w:val="hybridMultilevel"/>
    <w:lvl w:ilvl="0">
      <w:lvlJc w:val="left"/>
      <w:lvlText w:val="%1"/>
      <w:numFmt w:val="lowerRoman"/>
      <w:start w:val="1"/>
    </w:lvl>
    <w:lvl w:ilvl="1">
      <w:lvlJc w:val="left"/>
      <w:lvlText w:val="%2."/>
      <w:numFmt w:val="decimal"/>
      <w:start w:val="10"/>
    </w:lvl>
  </w:abstractNum>
  <w:abstractNum w:abstractNumId="442">
    <w:nsid w:val="5556A87B"/>
    <w:multiLevelType w:val="hybridMultilevel"/>
    <w:lvl w:ilvl="0">
      <w:lvlJc w:val="left"/>
      <w:lvlText w:val="(%1)"/>
      <w:numFmt w:val="lowerRoman"/>
      <w:start w:val="2"/>
    </w:lvl>
    <w:lvl w:ilvl="1">
      <w:lvlJc w:val="left"/>
      <w:lvlText w:val="%2."/>
      <w:numFmt w:val="decimal"/>
      <w:start w:val="11"/>
    </w:lvl>
  </w:abstractNum>
  <w:abstractNum w:abstractNumId="443">
    <w:nsid w:val="28100A9C"/>
    <w:multiLevelType w:val="hybridMultilevel"/>
    <w:lvl w:ilvl="0">
      <w:lvlJc w:val="left"/>
      <w:lvlText w:val="%1."/>
      <w:numFmt w:val="decimal"/>
      <w:start w:val="12"/>
    </w:lvl>
  </w:abstractNum>
  <w:abstractNum w:abstractNumId="444">
    <w:nsid w:val="D838636"/>
    <w:multiLevelType w:val="hybridMultilevel"/>
    <w:lvl w:ilvl="0">
      <w:lvlJc w:val="left"/>
      <w:lvlText w:val="%1."/>
      <w:numFmt w:val="decimal"/>
      <w:start w:val="14"/>
    </w:lvl>
  </w:abstractNum>
  <w:abstractNum w:abstractNumId="445">
    <w:nsid w:val="71B82AED"/>
    <w:multiLevelType w:val="hybridMultilevel"/>
    <w:lvl w:ilvl="0">
      <w:lvlJc w:val="left"/>
      <w:lvlText w:val="%1."/>
      <w:numFmt w:val="decimal"/>
      <w:start w:val="19"/>
    </w:lvl>
  </w:abstractNum>
  <w:abstractNum w:abstractNumId="446">
    <w:nsid w:val="D15FACA"/>
    <w:multiLevelType w:val="hybridMultilevel"/>
    <w:lvl w:ilvl="0">
      <w:lvlJc w:val="left"/>
      <w:lvlText w:val="(%1)"/>
      <w:numFmt w:val="lowerLetter"/>
      <w:start w:val="1"/>
    </w:lvl>
  </w:abstractNum>
  <w:abstractNum w:abstractNumId="447">
    <w:nsid w:val="3D69565B"/>
    <w:multiLevelType w:val="hybridMultilevel"/>
    <w:lvl w:ilvl="0">
      <w:lvlJc w:val="left"/>
      <w:lvlText w:val="%1."/>
      <w:numFmt w:val="decimal"/>
      <w:start w:val="22"/>
    </w:lvl>
  </w:abstractNum>
  <w:abstractNum w:abstractNumId="448">
    <w:nsid w:val="2299DCBC"/>
    <w:multiLevelType w:val="hybridMultilevel"/>
    <w:lvl w:ilvl="0">
      <w:lvlJc w:val="left"/>
      <w:lvlText w:val="%1."/>
      <w:numFmt w:val="decimal"/>
      <w:start w:val="23"/>
    </w:lvl>
  </w:abstractNum>
  <w:abstractNum w:abstractNumId="449">
    <w:nsid w:val="19908D02"/>
    <w:multiLevelType w:val="hybridMultilevel"/>
    <w:lvl w:ilvl="0">
      <w:lvlJc w:val="left"/>
      <w:lvlText w:val="%1."/>
      <w:numFmt w:val="decimal"/>
      <w:start w:val="1"/>
    </w:lvl>
  </w:abstractNum>
  <w:abstractNum w:abstractNumId="450">
    <w:nsid w:val="24D48BDB"/>
    <w:multiLevelType w:val="hybridMultilevel"/>
    <w:lvl w:ilvl="0">
      <w:lvlJc w:val="left"/>
      <w:lvlText w:val="%1."/>
      <w:numFmt w:val="decimal"/>
      <w:start w:val="1"/>
    </w:lvl>
  </w:abstractNum>
  <w:abstractNum w:abstractNumId="451">
    <w:nsid w:val="542DA5B5"/>
    <w:multiLevelType w:val="hybridMultilevel"/>
    <w:lvl w:ilvl="0">
      <w:lvlJc w:val="left"/>
      <w:lvlText w:val="%1."/>
      <w:numFmt w:val="decimal"/>
      <w:start w:val="1"/>
    </w:lvl>
  </w:abstractNum>
  <w:abstractNum w:abstractNumId="452">
    <w:nsid w:val="793753DE"/>
    <w:multiLevelType w:val="hybridMultilevel"/>
    <w:lvl w:ilvl="0">
      <w:lvlJc w:val="left"/>
      <w:lvlText w:val="%1."/>
      <w:numFmt w:val="decimal"/>
      <w:start w:val="14"/>
    </w:lvl>
  </w:abstractNum>
  <w:abstractNum w:abstractNumId="453">
    <w:nsid w:val="1C67CB3D"/>
    <w:multiLevelType w:val="hybridMultilevel"/>
    <w:lvl w:ilvl="0">
      <w:lvlJc w:val="left"/>
      <w:lvlText w:val="%1."/>
      <w:numFmt w:val="decimal"/>
      <w:start w:val="1"/>
    </w:lvl>
  </w:abstractNum>
  <w:abstractNum w:abstractNumId="454">
    <w:nsid w:val="40E29452"/>
    <w:multiLevelType w:val="hybridMultilevel"/>
    <w:lvl w:ilvl="0">
      <w:lvlJc w:val="left"/>
      <w:lvlText w:val="(%1)"/>
      <w:numFmt w:val="decimal"/>
      <w:start w:val="2"/>
    </w:lvl>
  </w:abstractNum>
  <w:abstractNum w:abstractNumId="455">
    <w:nsid w:val="63A4AAB6"/>
    <w:multiLevelType w:val="hybridMultilevel"/>
    <w:lvl w:ilvl="0">
      <w:lvlJc w:val="left"/>
      <w:lvlText w:val="1"/>
      <w:numFmt w:val="bullet"/>
      <w:start w:val="1"/>
    </w:lvl>
  </w:abstractNum>
  <w:abstractNum w:abstractNumId="456">
    <w:nsid w:val="77DA4A5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45"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6" Type="http://schemas.openxmlformats.org/officeDocument/2006/relationships/image" Target="media/image543.png"/><Relationship Id="rId577" Type="http://schemas.openxmlformats.org/officeDocument/2006/relationships/image" Target="media/image544.png"/><Relationship Id="rId578" Type="http://schemas.openxmlformats.org/officeDocument/2006/relationships/image" Target="media/image545.png"/><Relationship Id="rId579" Type="http://schemas.openxmlformats.org/officeDocument/2006/relationships/image" Target="media/image546.png"/><Relationship Id="rId580" Type="http://schemas.openxmlformats.org/officeDocument/2006/relationships/image" Target="media/image547.png"/><Relationship Id="rId581" Type="http://schemas.openxmlformats.org/officeDocument/2006/relationships/image" Target="media/image548.png"/><Relationship Id="rId582" Type="http://schemas.openxmlformats.org/officeDocument/2006/relationships/image" Target="media/image549.png"/><Relationship Id="rId583" Type="http://schemas.openxmlformats.org/officeDocument/2006/relationships/image" Target="media/image550.png"/><Relationship Id="rId584" Type="http://schemas.openxmlformats.org/officeDocument/2006/relationships/image" Target="media/image551.png"/><Relationship Id="rId585" Type="http://schemas.openxmlformats.org/officeDocument/2006/relationships/image" Target="media/image552.png"/><Relationship Id="rId586" Type="http://schemas.openxmlformats.org/officeDocument/2006/relationships/image" Target="media/image553.png"/><Relationship Id="rId587" Type="http://schemas.openxmlformats.org/officeDocument/2006/relationships/image" Target="media/image554.png"/><Relationship Id="rId588" Type="http://schemas.openxmlformats.org/officeDocument/2006/relationships/image" Target="media/image555.png"/><Relationship Id="rId589" Type="http://schemas.openxmlformats.org/officeDocument/2006/relationships/image" Target="media/image556.png"/><Relationship Id="rId590" Type="http://schemas.openxmlformats.org/officeDocument/2006/relationships/image" Target="media/image557.png"/><Relationship Id="rId591" Type="http://schemas.openxmlformats.org/officeDocument/2006/relationships/image" Target="media/image558.png"/><Relationship Id="rId592" Type="http://schemas.openxmlformats.org/officeDocument/2006/relationships/image" Target="media/image559.png"/><Relationship Id="rId593" Type="http://schemas.openxmlformats.org/officeDocument/2006/relationships/image" Target="media/image560.png"/><Relationship Id="rId594" Type="http://schemas.openxmlformats.org/officeDocument/2006/relationships/image" Target="media/image561.png"/><Relationship Id="rId595" Type="http://schemas.openxmlformats.org/officeDocument/2006/relationships/image" Target="media/image562.png"/><Relationship Id="rId596" Type="http://schemas.openxmlformats.org/officeDocument/2006/relationships/image" Target="media/image563.png"/><Relationship Id="rId597" Type="http://schemas.openxmlformats.org/officeDocument/2006/relationships/image" Target="media/image564.png"/><Relationship Id="rId598" Type="http://schemas.openxmlformats.org/officeDocument/2006/relationships/image" Target="media/image565.png"/><Relationship Id="rId599" Type="http://schemas.openxmlformats.org/officeDocument/2006/relationships/image" Target="media/image566.png"/><Relationship Id="rId600" Type="http://schemas.openxmlformats.org/officeDocument/2006/relationships/image" Target="media/image567.png"/><Relationship Id="rId601" Type="http://schemas.openxmlformats.org/officeDocument/2006/relationships/image" Target="media/image568.png"/><Relationship Id="rId602" Type="http://schemas.openxmlformats.org/officeDocument/2006/relationships/image" Target="media/image569.png"/><Relationship Id="rId603" Type="http://schemas.openxmlformats.org/officeDocument/2006/relationships/image" Target="media/image570.png"/><Relationship Id="rId604" Type="http://schemas.openxmlformats.org/officeDocument/2006/relationships/image" Target="media/image571.png"/><Relationship Id="rId605" Type="http://schemas.openxmlformats.org/officeDocument/2006/relationships/image" Target="media/image572.png"/><Relationship Id="rId606" Type="http://schemas.openxmlformats.org/officeDocument/2006/relationships/image" Target="media/image573.png"/><Relationship Id="rId607" Type="http://schemas.openxmlformats.org/officeDocument/2006/relationships/image" Target="media/image574.png"/><Relationship Id="rId608" Type="http://schemas.openxmlformats.org/officeDocument/2006/relationships/image" Target="media/image575.png"/><Relationship Id="rId609" Type="http://schemas.openxmlformats.org/officeDocument/2006/relationships/image" Target="media/image576.png"/><Relationship Id="rId610" Type="http://schemas.openxmlformats.org/officeDocument/2006/relationships/image" Target="media/image577.png"/><Relationship Id="rId611" Type="http://schemas.openxmlformats.org/officeDocument/2006/relationships/image" Target="media/image578.png"/><Relationship Id="rId612" Type="http://schemas.openxmlformats.org/officeDocument/2006/relationships/image" Target="media/image579.png"/><Relationship Id="rId613" Type="http://schemas.openxmlformats.org/officeDocument/2006/relationships/image" Target="media/image580.png"/><Relationship Id="rId614" Type="http://schemas.openxmlformats.org/officeDocument/2006/relationships/image" Target="media/image581.png"/><Relationship Id="rId615" Type="http://schemas.openxmlformats.org/officeDocument/2006/relationships/image" Target="media/image582.png"/><Relationship Id="rId616" Type="http://schemas.openxmlformats.org/officeDocument/2006/relationships/image" Target="media/image583.png"/><Relationship Id="rId617" Type="http://schemas.openxmlformats.org/officeDocument/2006/relationships/image" Target="media/image584.png"/><Relationship Id="rId618" Type="http://schemas.openxmlformats.org/officeDocument/2006/relationships/image" Target="media/image585.png"/><Relationship Id="rId619" Type="http://schemas.openxmlformats.org/officeDocument/2006/relationships/image" Target="media/image586.png"/><Relationship Id="rId620" Type="http://schemas.openxmlformats.org/officeDocument/2006/relationships/image" Target="media/image587.png"/><Relationship Id="rId621" Type="http://schemas.openxmlformats.org/officeDocument/2006/relationships/image" Target="media/image588.png"/><Relationship Id="rId622" Type="http://schemas.openxmlformats.org/officeDocument/2006/relationships/image" Target="media/image589.png"/><Relationship Id="rId623" Type="http://schemas.openxmlformats.org/officeDocument/2006/relationships/image" Target="media/image590.png"/><Relationship Id="rId624" Type="http://schemas.openxmlformats.org/officeDocument/2006/relationships/image" Target="media/image591.png"/><Relationship Id="rId625" Type="http://schemas.openxmlformats.org/officeDocument/2006/relationships/image" Target="media/image592.png"/><Relationship Id="rId626" Type="http://schemas.openxmlformats.org/officeDocument/2006/relationships/image" Target="media/image593.png"/><Relationship Id="rId627" Type="http://schemas.openxmlformats.org/officeDocument/2006/relationships/image" Target="media/image594.png"/><Relationship Id="rId628" Type="http://schemas.openxmlformats.org/officeDocument/2006/relationships/image" Target="media/image595.png"/><Relationship Id="rId524" Type="http://schemas.openxmlformats.org/officeDocument/2006/relationships/hyperlink" Target="http://www.sec.gov/Archives/edgar/data/1697818/000119312517315220/d347875dex31.htm" TargetMode="External"/><Relationship Id="rId525" Type="http://schemas.openxmlformats.org/officeDocument/2006/relationships/hyperlink" Target="http://www.sec.gov/Archives/edgar/data/1697818/000119312517315220/d347875dex32.htm" TargetMode="External"/><Relationship Id="rId526" Type="http://schemas.openxmlformats.org/officeDocument/2006/relationships/hyperlink" Target="http://www.sec.gov/Archives/edgar/data/1697818/000119312517358756/d347875dex43.htm" TargetMode="External"/><Relationship Id="rId527" Type="http://schemas.openxmlformats.org/officeDocument/2006/relationships/hyperlink" Target="http://www.sec.gov/Archives/edgar/data/1697818/000119312517315220/d347875dex42.htm" TargetMode="External"/><Relationship Id="rId528" Type="http://schemas.openxmlformats.org/officeDocument/2006/relationships/hyperlink" Target="http://www.sec.gov/Archives/edgar/data/1697818/000119312517315220/d347875dex51.htm" TargetMode="External"/><Relationship Id="rId529" Type="http://schemas.openxmlformats.org/officeDocument/2006/relationships/hyperlink" Target="http://www.sec.gov/Archives/edgar/data/1697818/000119312517315220/d347875dex992.htm" TargetMode="External"/><Relationship Id="rId530" Type="http://schemas.openxmlformats.org/officeDocument/2006/relationships/hyperlink" Target="http://www.sec.gov/Archives/edgar/data/1697818/000119312517315220/d347875dex101.htm" TargetMode="External"/><Relationship Id="rId531" Type="http://schemas.openxmlformats.org/officeDocument/2006/relationships/hyperlink" Target="http://www.sec.gov/Archives/edgar/data/1697818/000119312517315220/d347875dex102.htm" TargetMode="External"/><Relationship Id="rId532" Type="http://schemas.openxmlformats.org/officeDocument/2006/relationships/hyperlink" Target="http://www.sec.gov/Archives/edgar/data/1697818/000119312517315220/d347875dex103.htm" TargetMode="External"/><Relationship Id="rId533" Type="http://schemas.openxmlformats.org/officeDocument/2006/relationships/hyperlink" Target="http://www.sec.gov/Archives/edgar/data/1697818/000119312517315220/d347875dex104.htm" TargetMode="External"/><Relationship Id="rId534" Type="http://schemas.openxmlformats.org/officeDocument/2006/relationships/hyperlink" Target="http://www.sec.gov/Archives/edgar/data/1697818/000119312517315220/d347875dex105.htm" TargetMode="External"/><Relationship Id="rId535" Type="http://schemas.openxmlformats.org/officeDocument/2006/relationships/hyperlink" Target="http://www.sec.gov/Archives/edgar/data/1697818/000119312517315220/d347875dex106.htm" TargetMode="External"/><Relationship Id="rId536" Type="http://schemas.openxmlformats.org/officeDocument/2006/relationships/hyperlink" Target="http://www.sec.gov/Archives/edgar/data/1697818/000119312517315220/d347875dex107.htm" TargetMode="External"/><Relationship Id="rId537" Type="http://schemas.openxmlformats.org/officeDocument/2006/relationships/hyperlink" Target="http://www.sec.gov/Archives/edgar/data/1697818/000119312517315220/d347875dex108.htm" TargetMode="External"/><Relationship Id="rId538" Type="http://schemas.openxmlformats.org/officeDocument/2006/relationships/hyperlink" Target="http://www.sec.gov/Archives/edgar/data/1697818/000119312517315220/d347875dex109.htm" TargetMode="External"/><Relationship Id="rId539" Type="http://schemas.openxmlformats.org/officeDocument/2006/relationships/hyperlink" Target="http://www.sec.gov/Archives/edgar/data/1697818/000119312517315220/d347875dex1010.htm" TargetMode="External"/><Relationship Id="rId540" Type="http://schemas.openxmlformats.org/officeDocument/2006/relationships/hyperlink" Target="http://www.sec.gov/Archives/edgar/data/1697818/000119312517315220/d347875dex1011.htm" TargetMode="External"/><Relationship Id="rId541" Type="http://schemas.openxmlformats.org/officeDocument/2006/relationships/hyperlink" Target="http://www.sec.gov/Archives/edgar/data/1697818/000119312517315220/d347875dex1012.htm" TargetMode="External"/><Relationship Id="rId542" Type="http://schemas.openxmlformats.org/officeDocument/2006/relationships/hyperlink" Target="http://www.sec.gov/Archives/edgar/data/1697818/000119312517315220/d347875dex1013.htm" TargetMode="External"/><Relationship Id="rId543" Type="http://schemas.openxmlformats.org/officeDocument/2006/relationships/hyperlink" Target="http://www.sec.gov/Archives/edgar/data/1697818/000119312517315220/d347875dex211.htm" TargetMode="External"/><Relationship Id="rId544" Type="http://schemas.openxmlformats.org/officeDocument/2006/relationships/hyperlink" Target="http://www.sec.gov/Archives/edgar/data/1697818/000119312517315220/d347875dex234.htm" TargetMode="External"/><Relationship Id="rId546" Type="http://schemas.openxmlformats.org/officeDocument/2006/relationships/hyperlink" Target="http://www.sec.gov/Archives/edgar/data/1697818/000119312517315220/d347875dex235.htm" TargetMode="External"/><Relationship Id="rId547" Type="http://schemas.openxmlformats.org/officeDocument/2006/relationships/hyperlink" Target="http://www.sec.gov/Archives/edgar/data/1697818/000119312517315220/d347875dex236.htm" TargetMode="External"/><Relationship Id="rId548" Type="http://schemas.openxmlformats.org/officeDocument/2006/relationships/hyperlink" Target="http://www.sec.gov/Archives/edgar/data/1697818/000119312517315220/d347875df1.htm#ii347875_1" TargetMode="External"/><Relationship Id="rId549" Type="http://schemas.openxmlformats.org/officeDocument/2006/relationships/hyperlink" Target="http://www.sec.gov/Archives/edgar/data/1697818/000119312517315220/d347875dex991.htm" TargetMode="External"/><Relationship Id="rId550" Type="http://schemas.openxmlformats.org/officeDocument/2006/relationships/hyperlink" Target="http://www.sec.gov/Archives/edgar/data/1697818/000119312517315220/d347875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2019-12-08T07:10:35Z</dcterms:created>
  <dcterms:modified xsi:type="dcterms:W3CDTF">2019-12-08T07:10:35Z</dcterms:modified>
</cp:coreProperties>
</file>