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 *</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 par value US$0.001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G47048106</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October 1, 2019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40" w:type="dxa"/>
            <w:vAlign w:val="bottom"/>
          </w:tcPr>
          <w:p>
            <w:pPr>
              <w:ind w:left="60"/>
              <w:spacing w:after="0"/>
              <w:rPr>
                <w:sz w:val="20"/>
                <w:szCs w:val="20"/>
                <w:color w:val="auto"/>
              </w:rPr>
            </w:pPr>
            <w:r>
              <w:rPr>
                <w:rFonts w:ascii="Arial" w:cs="Arial" w:eastAsia="Arial" w:hAnsi="Arial"/>
                <w:sz w:val="18"/>
                <w:szCs w:val="18"/>
                <w:color w:val="auto"/>
              </w:rPr>
              <w:t>CUSIP No.: G47048106</w:t>
            </w:r>
          </w:p>
        </w:tc>
        <w:tc>
          <w:tcPr>
            <w:tcW w:w="768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74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2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LIM Advisors Limited</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40"/>
            <w:col w:w="9180"/>
          </w:cols>
          <w:pgMar w:left="240" w:top="395" w:right="239" w:bottom="144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56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740" w:type="dxa"/>
            <w:vAlign w:val="bottom"/>
          </w:tcPr>
          <w:p>
            <w:pPr>
              <w:ind w:left="60"/>
              <w:spacing w:after="0"/>
              <w:rPr>
                <w:sz w:val="20"/>
                <w:szCs w:val="20"/>
                <w:color w:val="auto"/>
              </w:rPr>
            </w:pPr>
            <w:r>
              <w:rPr>
                <w:rFonts w:ascii="Arial" w:cs="Arial" w:eastAsia="Arial" w:hAnsi="Arial"/>
                <w:sz w:val="18"/>
                <w:szCs w:val="18"/>
                <w:color w:val="auto"/>
              </w:rPr>
              <w:t>CUSIP No.: G47048106</w:t>
            </w:r>
          </w:p>
        </w:tc>
        <w:tc>
          <w:tcPr>
            <w:tcW w:w="768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74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LIM Asia Multi-Strategy Fund Inc.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-960755</wp:posOffset>
            </wp:positionV>
            <wp:extent cx="6209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-1174750</wp:posOffset>
            </wp:positionV>
            <wp:extent cx="6209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40"/>
            <w:col w:w="9180"/>
          </w:cols>
          <w:pgMar w:left="240" w:top="395" w:right="239" w:bottom="144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56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740" w:type="dxa"/>
            <w:vAlign w:val="bottom"/>
          </w:tcPr>
          <w:p>
            <w:pPr>
              <w:ind w:left="60"/>
              <w:spacing w:after="0"/>
              <w:rPr>
                <w:sz w:val="20"/>
                <w:szCs w:val="20"/>
                <w:color w:val="auto"/>
              </w:rPr>
            </w:pPr>
            <w:r>
              <w:rPr>
                <w:rFonts w:ascii="Arial" w:cs="Arial" w:eastAsia="Arial" w:hAnsi="Arial"/>
                <w:sz w:val="18"/>
                <w:szCs w:val="18"/>
                <w:color w:val="auto"/>
              </w:rPr>
              <w:t>CUSIP No.: G47048106</w:t>
            </w:r>
          </w:p>
        </w:tc>
        <w:tc>
          <w:tcPr>
            <w:tcW w:w="768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74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Long Investment Management International Ltd.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-960755</wp:posOffset>
            </wp:positionV>
            <wp:extent cx="6209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-1174750</wp:posOffset>
            </wp:positionV>
            <wp:extent cx="6209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40"/>
            <w:col w:w="9180"/>
          </w:cols>
          <w:pgMar w:left="240" w:top="395" w:right="239" w:bottom="144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5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60" w:right="84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-1082675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-1494155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40" w:type="dxa"/>
            <w:vAlign w:val="bottom"/>
          </w:tcPr>
          <w:p>
            <w:pPr>
              <w:ind w:left="60"/>
              <w:spacing w:after="0"/>
              <w:rPr>
                <w:sz w:val="20"/>
                <w:szCs w:val="20"/>
                <w:color w:val="auto"/>
              </w:rPr>
            </w:pPr>
            <w:r>
              <w:rPr>
                <w:rFonts w:ascii="Arial" w:cs="Arial" w:eastAsia="Arial" w:hAnsi="Arial"/>
                <w:sz w:val="18"/>
                <w:szCs w:val="18"/>
                <w:color w:val="auto"/>
              </w:rPr>
              <w:t>CUSIP No.: G47048106</w:t>
            </w:r>
          </w:p>
        </w:tc>
        <w:tc>
          <w:tcPr>
            <w:tcW w:w="768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74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240" w:hanging="620"/>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George W. Long</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40"/>
            <w:col w:w="9180"/>
          </w:cols>
          <w:pgMar w:left="240" w:top="395" w:right="239" w:bottom="144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560" w:hanging="620"/>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60" w:right="8460" w:hanging="620"/>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-1082675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-1494155</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ind w:left="60"/>
              <w:spacing w:after="0"/>
              <w:rPr>
                <w:sz w:val="20"/>
                <w:szCs w:val="20"/>
                <w:color w:val="auto"/>
              </w:rPr>
            </w:pPr>
            <w:r>
              <w:rPr>
                <w:rFonts w:ascii="Arial" w:cs="Arial" w:eastAsia="Arial" w:hAnsi="Arial"/>
                <w:sz w:val="18"/>
                <w:szCs w:val="18"/>
                <w:color w:val="auto"/>
                <w:w w:val="92"/>
              </w:rPr>
              <w:t>CUSIP No.: G47048106</w:t>
            </w:r>
          </w:p>
        </w:tc>
        <w:tc>
          <w:tcPr>
            <w:tcW w:w="9560" w:type="dxa"/>
            <w:vAlign w:val="bottom"/>
          </w:tcPr>
          <w:p>
            <w:pPr>
              <w:ind w:left="3760"/>
              <w:spacing w:after="0"/>
              <w:rPr>
                <w:sz w:val="20"/>
                <w:szCs w:val="20"/>
                <w:color w:val="auto"/>
              </w:rPr>
            </w:pPr>
            <w:r>
              <w:rPr>
                <w:rFonts w:ascii="Arial" w:cs="Arial" w:eastAsia="Arial" w:hAnsi="Arial"/>
                <w:sz w:val="18"/>
                <w:szCs w:val="18"/>
                <w:color w:val="auto"/>
              </w:rPr>
              <w:t>13G</w:t>
            </w:r>
          </w:p>
        </w:tc>
        <w:tc>
          <w:tcPr>
            <w:tcW w:w="40" w:type="dxa"/>
            <w:vAlign w:val="bottom"/>
          </w:tcPr>
          <w:p>
            <w:pPr>
              <w:spacing w:after="0"/>
              <w:rPr>
                <w:sz w:val="20"/>
                <w:szCs w:val="20"/>
                <w:color w:val="auto"/>
              </w:rPr>
            </w:pPr>
          </w:p>
        </w:tc>
      </w:tr>
      <w:tr>
        <w:trPr>
          <w:trHeight w:val="54"/>
        </w:trPr>
        <w:tc>
          <w:tcPr>
            <w:tcW w:w="126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Name of Issuer:</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iClick Interactive Asia Group Limited</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4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15/F, Prosperity Millennia Plaza</w:t>
            </w:r>
          </w:p>
        </w:tc>
        <w:tc>
          <w:tcPr>
            <w:tcW w:w="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663 King’s Road, Quarry Bay</w:t>
            </w: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20"/>
                <w:szCs w:val="20"/>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Name of Person Filing:</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tc>
        <w:tc>
          <w:tcPr>
            <w:tcW w:w="4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i)  LIM Advisors Limited (“LIM”);</w:t>
            </w:r>
          </w:p>
        </w:tc>
        <w:tc>
          <w:tcPr>
            <w:tcW w:w="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ii) LIM Asia Multi-Strategy Fund Inc. (“LAMSF”);</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iii) Long Investment Management International Ltd. (“LIMIL”)</w:t>
            </w: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iv) George W. Long (“Mr. Long”)</w:t>
            </w:r>
          </w:p>
        </w:tc>
        <w:tc>
          <w:tcPr>
            <w:tcW w:w="40" w:type="dxa"/>
            <w:vAlign w:val="bottom"/>
          </w:tcPr>
          <w:p>
            <w:pPr>
              <w:spacing w:after="0"/>
              <w:rPr>
                <w:sz w:val="20"/>
                <w:szCs w:val="20"/>
                <w:color w:val="auto"/>
              </w:rPr>
            </w:pPr>
          </w:p>
        </w:tc>
      </w:tr>
      <w:tr>
        <w:trPr>
          <w:trHeight w:val="418"/>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This statement relates to Shares (as defined herein) held for the account of LAMSF. LIM is the investment adviser to LAMSF, LIMIL is the</w:t>
            </w:r>
          </w:p>
        </w:tc>
        <w:tc>
          <w:tcPr>
            <w:tcW w:w="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8"/>
              </w:rPr>
              <w:t>sole shareholder of LIM and Mr. Long is the controlling shareholder of LIMIL. In such capacities, LIM, LIMIL and Mr. Long may be</w:t>
            </w: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deemed to have direct or indirect voting and dispositive power over the Shares held for the account of LAMSF.</w:t>
            </w:r>
          </w:p>
        </w:tc>
        <w:tc>
          <w:tcPr>
            <w:tcW w:w="40" w:type="dxa"/>
            <w:vAlign w:val="bottom"/>
          </w:tcPr>
          <w:p>
            <w:pPr>
              <w:spacing w:after="0"/>
              <w:rPr>
                <w:sz w:val="20"/>
                <w:szCs w:val="20"/>
                <w:color w:val="auto"/>
              </w:rPr>
            </w:pPr>
          </w:p>
        </w:tc>
      </w:tr>
      <w:tr>
        <w:trPr>
          <w:trHeight w:val="418"/>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The filing of this Schedule 13G shall not be construed as an admission that the Reporting Person is, for the purposes of Section 13(d) or</w:t>
            </w:r>
          </w:p>
        </w:tc>
        <w:tc>
          <w:tcPr>
            <w:tcW w:w="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5"/>
              </w:rPr>
              <w:t>13(g) of the Securities Exchange Act of 1934, as amended, the beneficial owner of any of the Shares reported herein. Each Reporting</w:t>
            </w: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Person disclaims beneficial ownership of such Shares except to the extent of his, her or its pecuniary interest therein.</w:t>
            </w:r>
          </w:p>
        </w:tc>
        <w:tc>
          <w:tcPr>
            <w:tcW w:w="40" w:type="dxa"/>
            <w:vAlign w:val="bottom"/>
          </w:tcPr>
          <w:p>
            <w:pPr>
              <w:spacing w:after="0"/>
              <w:rPr>
                <w:sz w:val="20"/>
                <w:szCs w:val="20"/>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4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7"/>
              </w:rPr>
              <w:t>The principal business address of each of LIM and Mr. Long is 19/F, Ruttonjee House, 11 Duddell Street, Central, Hong Kong. The</w:t>
            </w:r>
          </w:p>
        </w:tc>
        <w:tc>
          <w:tcPr>
            <w:tcW w:w="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principal business address of each of LAMSF and LIMIL is Ritter House, Wickhams Cay II, Road Town, Tortola, British Virgin Islands.</w:t>
            </w:r>
          </w:p>
        </w:tc>
        <w:tc>
          <w:tcPr>
            <w:tcW w:w="40" w:type="dxa"/>
            <w:vAlign w:val="bottom"/>
          </w:tcPr>
          <w:p>
            <w:pPr>
              <w:spacing w:after="0"/>
              <w:rPr>
                <w:sz w:val="20"/>
                <w:szCs w:val="20"/>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Citizenship:</w:t>
            </w:r>
          </w:p>
        </w:tc>
        <w:tc>
          <w:tcPr>
            <w:tcW w:w="4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w:t>
            </w:r>
          </w:p>
        </w:tc>
        <w:tc>
          <w:tcPr>
            <w:tcW w:w="9560" w:type="dxa"/>
            <w:vAlign w:val="bottom"/>
          </w:tcPr>
          <w:p>
            <w:pPr>
              <w:ind w:left="60"/>
              <w:spacing w:after="0"/>
              <w:rPr>
                <w:sz w:val="20"/>
                <w:szCs w:val="20"/>
                <w:color w:val="auto"/>
              </w:rPr>
            </w:pPr>
            <w:r>
              <w:rPr>
                <w:rFonts w:ascii="Arial" w:cs="Arial" w:eastAsia="Arial" w:hAnsi="Arial"/>
                <w:sz w:val="18"/>
                <w:szCs w:val="18"/>
                <w:color w:val="auto"/>
              </w:rPr>
              <w:t>LIM is a Hong Kong limited company</w:t>
            </w:r>
          </w:p>
        </w:tc>
        <w:tc>
          <w:tcPr>
            <w:tcW w:w="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ii)</w:t>
            </w:r>
          </w:p>
        </w:tc>
        <w:tc>
          <w:tcPr>
            <w:tcW w:w="9560" w:type="dxa"/>
            <w:vAlign w:val="bottom"/>
          </w:tcPr>
          <w:p>
            <w:pPr>
              <w:ind w:left="60"/>
              <w:spacing w:after="0"/>
              <w:rPr>
                <w:sz w:val="20"/>
                <w:szCs w:val="20"/>
                <w:color w:val="auto"/>
              </w:rPr>
            </w:pPr>
            <w:r>
              <w:rPr>
                <w:rFonts w:ascii="Arial" w:cs="Arial" w:eastAsia="Arial" w:hAnsi="Arial"/>
                <w:sz w:val="18"/>
                <w:szCs w:val="18"/>
                <w:color w:val="auto"/>
              </w:rPr>
              <w:t>LAMSF is a British Virgin Islands limited company</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9560" w:type="dxa"/>
            <w:vAlign w:val="bottom"/>
          </w:tcPr>
          <w:p>
            <w:pPr>
              <w:ind w:left="80"/>
              <w:spacing w:after="0"/>
              <w:rPr>
                <w:sz w:val="20"/>
                <w:szCs w:val="20"/>
                <w:color w:val="auto"/>
              </w:rPr>
            </w:pPr>
            <w:r>
              <w:rPr>
                <w:rFonts w:ascii="Arial" w:cs="Arial" w:eastAsia="Arial" w:hAnsi="Arial"/>
                <w:sz w:val="18"/>
                <w:szCs w:val="18"/>
                <w:color w:val="auto"/>
              </w:rPr>
              <w:t>LIMIL is a British Virgin Islands limited company</w:t>
            </w: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iv)</w:t>
            </w:r>
          </w:p>
        </w:tc>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Mr. Long is a citizen of the United States</w:t>
            </w:r>
          </w:p>
        </w:tc>
        <w:tc>
          <w:tcPr>
            <w:tcW w:w="40" w:type="dxa"/>
            <w:vAlign w:val="bottom"/>
          </w:tcPr>
          <w:p>
            <w:pPr>
              <w:spacing w:after="0"/>
              <w:rPr>
                <w:sz w:val="20"/>
                <w:szCs w:val="20"/>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Title of Class of Securities:</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US$0.001 per share (“Shares”).</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G47048106</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ind w:left="60"/>
              <w:spacing w:after="0"/>
              <w:rPr>
                <w:sz w:val="20"/>
                <w:szCs w:val="20"/>
                <w:color w:val="auto"/>
              </w:rPr>
            </w:pPr>
            <w:r>
              <w:rPr>
                <w:rFonts w:ascii="Arial" w:cs="Arial" w:eastAsia="Arial" w:hAnsi="Arial"/>
                <w:sz w:val="18"/>
                <w:szCs w:val="18"/>
                <w:color w:val="auto"/>
              </w:rPr>
              <w:t>CUSIP No.: G47048106</w:t>
            </w:r>
          </w:p>
        </w:tc>
        <w:tc>
          <w:tcPr>
            <w:tcW w:w="6240" w:type="dxa"/>
            <w:vAlign w:val="bottom"/>
          </w:tcPr>
          <w:p>
            <w:pPr>
              <w:ind w:left="440"/>
              <w:spacing w:after="0"/>
              <w:rPr>
                <w:sz w:val="20"/>
                <w:szCs w:val="20"/>
                <w:color w:val="auto"/>
              </w:rPr>
            </w:pPr>
            <w:r>
              <w:rPr>
                <w:rFonts w:ascii="Arial" w:cs="Arial" w:eastAsia="Arial" w:hAnsi="Arial"/>
                <w:sz w:val="18"/>
                <w:szCs w:val="18"/>
                <w:color w:val="auto"/>
              </w:rPr>
              <w:t>13G</w:t>
            </w:r>
          </w:p>
        </w:tc>
      </w:tr>
      <w:tr>
        <w:trPr>
          <w:trHeight w:val="54"/>
        </w:trPr>
        <w:tc>
          <w:tcPr>
            <w:tcW w:w="940" w:type="dxa"/>
            <w:vAlign w:val="bottom"/>
            <w:tcBorders>
              <w:bottom w:val="single" w:sz="8" w:color="auto"/>
            </w:tcBorders>
          </w:tcPr>
          <w:p>
            <w:pPr>
              <w:spacing w:after="0"/>
              <w:rPr>
                <w:sz w:val="4"/>
                <w:szCs w:val="4"/>
                <w:color w:val="auto"/>
              </w:rPr>
            </w:pPr>
          </w:p>
        </w:tc>
        <w:tc>
          <w:tcPr>
            <w:tcW w:w="10480" w:type="dxa"/>
            <w:vAlign w:val="bottom"/>
            <w:tcBorders>
              <w:bottom w:val="single" w:sz="8" w:color="auto"/>
            </w:tcBorders>
            <w:gridSpan w:val="2"/>
          </w:tcPr>
          <w:p>
            <w:pPr>
              <w:spacing w:after="0"/>
              <w:rPr>
                <w:sz w:val="4"/>
                <w:szCs w:val="4"/>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80" w:type="dxa"/>
            <w:vAlign w:val="bottom"/>
            <w:gridSpan w:val="2"/>
          </w:tcPr>
          <w:p>
            <w:pPr>
              <w:ind w:left="3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432"/>
        </w:trPr>
        <w:tc>
          <w:tcPr>
            <w:tcW w:w="940" w:type="dxa"/>
            <w:vAlign w:val="bottom"/>
          </w:tcPr>
          <w:p>
            <w:pPr>
              <w:spacing w:after="0"/>
              <w:rPr>
                <w:sz w:val="24"/>
                <w:szCs w:val="24"/>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Not applicable.</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240" w:type="dxa"/>
            <w:vAlign w:val="bottom"/>
          </w:tcPr>
          <w:p>
            <w:pPr>
              <w:ind w:left="320"/>
              <w:spacing w:after="0"/>
              <w:rPr>
                <w:sz w:val="20"/>
                <w:szCs w:val="20"/>
                <w:color w:val="auto"/>
              </w:rPr>
            </w:pPr>
            <w:r>
              <w:rPr>
                <w:rFonts w:ascii="Arial" w:cs="Arial" w:eastAsia="Arial" w:hAnsi="Arial"/>
                <w:sz w:val="18"/>
                <w:szCs w:val="18"/>
                <w:b w:val="1"/>
                <w:bCs w:val="1"/>
                <w:color w:val="auto"/>
              </w:rPr>
              <w:t>Ownership:</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The information in Items 1 and 5 through 11 on the cover pages of this Schedule 13G is hereby incorporated by reference.</w:t>
            </w:r>
          </w:p>
        </w:tc>
      </w:tr>
      <w:tr>
        <w:trPr>
          <w:trHeight w:val="432"/>
        </w:trPr>
        <w:tc>
          <w:tcPr>
            <w:tcW w:w="940" w:type="dxa"/>
            <w:vAlign w:val="bottom"/>
          </w:tcPr>
          <w:p>
            <w:pPr>
              <w:spacing w:after="0"/>
              <w:rPr>
                <w:sz w:val="24"/>
                <w:szCs w:val="24"/>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The Reporting Persons do not beneficially own any Shares of Class A Ordinary Shares.</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240" w:type="dxa"/>
            <w:vAlign w:val="bottom"/>
          </w:tcPr>
          <w:p>
            <w:pPr>
              <w:ind w:left="320"/>
              <w:spacing w:after="0"/>
              <w:rPr>
                <w:sz w:val="20"/>
                <w:szCs w:val="20"/>
                <w:color w:val="auto"/>
              </w:rPr>
            </w:pPr>
            <w:r>
              <w:rPr>
                <w:rFonts w:ascii="Arial" w:cs="Arial" w:eastAsia="Arial" w:hAnsi="Arial"/>
                <w:sz w:val="18"/>
                <w:szCs w:val="18"/>
                <w:b w:val="1"/>
                <w:bCs w:val="1"/>
                <w:color w:val="auto"/>
                <w:w w:val="99"/>
              </w:rPr>
              <w:t>Ownership of Five Percent or Less of a Class:</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The Reporting Persons have ceased to be beneficial owners of more than 5% of the class of securities.</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2"/>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Not applicable</w:t>
            </w:r>
          </w:p>
        </w:tc>
        <w:tc>
          <w:tcPr>
            <w:tcW w:w="6240" w:type="dxa"/>
            <w:vAlign w:val="bottom"/>
          </w:tcPr>
          <w:p>
            <w:pPr>
              <w:spacing w:after="0"/>
              <w:rPr>
                <w:sz w:val="24"/>
                <w:szCs w:val="24"/>
                <w:color w:val="auto"/>
              </w:rPr>
            </w:pP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2"/>
          </w:tcPr>
          <w:p>
            <w:pPr>
              <w:ind w:left="32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4"/>
        </w:trPr>
        <w:tc>
          <w:tcPr>
            <w:tcW w:w="9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Arial" w:cs="Arial" w:eastAsia="Arial" w:hAnsi="Arial"/>
                <w:sz w:val="18"/>
                <w:szCs w:val="18"/>
                <w:b w:val="1"/>
                <w:bCs w:val="1"/>
                <w:color w:val="auto"/>
              </w:rPr>
              <w:t>or Control Person:</w:t>
            </w:r>
          </w:p>
        </w:tc>
        <w:tc>
          <w:tcPr>
            <w:tcW w:w="62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See disclosure in Item 2 hereof.</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80" w:type="dxa"/>
            <w:vAlign w:val="bottom"/>
            <w:gridSpan w:val="2"/>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Not applicable</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24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Not applicable</w:t>
            </w:r>
          </w:p>
        </w:tc>
        <w:tc>
          <w:tcPr>
            <w:tcW w:w="62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24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6240" w:type="dxa"/>
            <w:vAlign w:val="bottom"/>
          </w:tcPr>
          <w:p>
            <w:pPr>
              <w:spacing w:after="0"/>
              <w:rPr>
                <w:sz w:val="24"/>
                <w:szCs w:val="24"/>
                <w:color w:val="auto"/>
              </w:rPr>
            </w:pPr>
          </w:p>
        </w:tc>
      </w:tr>
    </w:tbl>
    <w:p>
      <w:pPr>
        <w:spacing w:after="0" w:line="202" w:lineRule="exact"/>
        <w:rPr>
          <w:sz w:val="20"/>
          <w:szCs w:val="20"/>
          <w:color w:val="auto"/>
        </w:rPr>
      </w:pPr>
    </w:p>
    <w:p>
      <w:pPr>
        <w:ind w:right="240" w:firstLine="98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G47048106</w:t>
            </w:r>
          </w:p>
        </w:tc>
        <w:tc>
          <w:tcPr>
            <w:tcW w:w="770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72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November 8,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Advisors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Asia Multi-Strategy Fund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Benjamin Mak</w:t>
      </w:r>
    </w:p>
    <w:p>
      <w:pPr>
        <w:spacing w:after="0" w:line="27"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Benjamin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Long Investment Management International Ltd.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Mak</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Benjamin Mak</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40" w:type="dxa"/>
            <w:vAlign w:val="bottom"/>
          </w:tcPr>
          <w:p>
            <w:pPr>
              <w:spacing w:after="0"/>
              <w:rPr>
                <w:sz w:val="20"/>
                <w:szCs w:val="20"/>
                <w:color w:val="auto"/>
              </w:rPr>
            </w:pPr>
          </w:p>
        </w:tc>
      </w:tr>
      <w:tr>
        <w:trPr>
          <w:trHeight w:val="648"/>
        </w:trPr>
        <w:tc>
          <w:tcPr>
            <w:tcW w:w="640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George W. Long</w:t>
            </w:r>
          </w:p>
        </w:tc>
        <w:tc>
          <w:tcPr>
            <w:tcW w:w="40" w:type="dxa"/>
            <w:vAlign w:val="bottom"/>
          </w:tcPr>
          <w:p>
            <w:pPr>
              <w:spacing w:after="0"/>
              <w:rPr>
                <w:sz w:val="24"/>
                <w:szCs w:val="24"/>
                <w:color w:val="auto"/>
              </w:rPr>
            </w:pPr>
          </w:p>
        </w:tc>
      </w:tr>
      <w:tr>
        <w:trPr>
          <w:trHeight w:val="224"/>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George W. Long</w:t>
            </w:r>
          </w:p>
        </w:tc>
        <w:tc>
          <w:tcPr>
            <w:tcW w:w="40" w:type="dxa"/>
            <w:vAlign w:val="bottom"/>
          </w:tcPr>
          <w:p>
            <w:pPr>
              <w:spacing w:after="0"/>
              <w:rPr>
                <w:sz w:val="19"/>
                <w:szCs w:val="19"/>
                <w:color w:val="auto"/>
              </w:rPr>
            </w:pPr>
          </w:p>
        </w:tc>
      </w:tr>
      <w:tr>
        <w:trPr>
          <w:trHeight w:val="418"/>
        </w:trPr>
        <w:tc>
          <w:tcPr>
            <w:tcW w:w="6400" w:type="dxa"/>
            <w:vAlign w:val="bottom"/>
          </w:tcPr>
          <w:p>
            <w:pPr>
              <w:ind w:left="5660"/>
              <w:spacing w:after="0"/>
              <w:rPr>
                <w:sz w:val="20"/>
                <w:szCs w:val="20"/>
                <w:color w:val="auto"/>
              </w:rPr>
            </w:pPr>
            <w:r>
              <w:rPr>
                <w:rFonts w:ascii="Arial" w:cs="Arial" w:eastAsia="Arial" w:hAnsi="Arial"/>
                <w:sz w:val="18"/>
                <w:szCs w:val="18"/>
                <w:color w:val="auto"/>
              </w:rPr>
              <w:t>8</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8" w:name="page9"/>
    <w:bookmarkEnd w:id="8"/>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8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undersigned hereby agree that the statement on Schedule 13G with respect to the Ordinary Shares of iClick Interactive Asia Group Limited, dated as of November 8, 2019,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Advisors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 Asia Multi-Strategy Fund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Benjamin Mak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Benjamin Mak</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Long Investment Management International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Benjamin Mak</w:t>
      </w:r>
    </w:p>
    <w:p>
      <w:pPr>
        <w:spacing w:after="0" w:line="27"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Benjamin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George W. Long</w:t>
            </w:r>
          </w:p>
        </w:tc>
        <w:tc>
          <w:tcPr>
            <w:tcW w:w="40" w:type="dxa"/>
            <w:vAlign w:val="bottom"/>
          </w:tcPr>
          <w:p>
            <w:pPr>
              <w:spacing w:after="0"/>
              <w:rPr>
                <w:sz w:val="20"/>
                <w:szCs w:val="20"/>
                <w:color w:val="auto"/>
              </w:rPr>
            </w:pPr>
          </w:p>
        </w:tc>
      </w:tr>
      <w:tr>
        <w:trPr>
          <w:trHeight w:val="224"/>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George W. Long</w:t>
            </w:r>
          </w:p>
        </w:tc>
        <w:tc>
          <w:tcPr>
            <w:tcW w:w="40" w:type="dxa"/>
            <w:vAlign w:val="bottom"/>
          </w:tcPr>
          <w:p>
            <w:pPr>
              <w:spacing w:after="0"/>
              <w:rPr>
                <w:sz w:val="19"/>
                <w:szCs w:val="19"/>
                <w:color w:val="auto"/>
              </w:rPr>
            </w:pPr>
          </w:p>
        </w:tc>
      </w:tr>
      <w:tr>
        <w:trPr>
          <w:trHeight w:val="334"/>
        </w:trPr>
        <w:tc>
          <w:tcPr>
            <w:tcW w:w="64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2019-11-28T10:51:49Z</dcterms:created>
  <dcterms:modified xsi:type="dcterms:W3CDTF">2019-11-28T10:51:49Z</dcterms:modified>
</cp:coreProperties>
</file>