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80" w:hanging="318"/>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1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240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r>
    </w:p>
    <w:p>
      <w:pPr>
        <w:spacing w:after="0" w:line="272" w:lineRule="exact"/>
        <w:rPr>
          <w:sz w:val="20"/>
          <w:szCs w:val="20"/>
          <w:color w:val="auto"/>
        </w:rPr>
      </w:pPr>
    </w:p>
    <w:p>
      <w:pPr>
        <w:ind w:left="680" w:right="7920" w:hanging="569"/>
        <w:spacing w:after="0" w:line="477"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Yam Tak Cheung</w:t>
      </w:r>
    </w:p>
    <w:p>
      <w:pPr>
        <w:ind w:left="680" w:hanging="56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680" w:hanging="235"/>
        <w:spacing w:after="0" w:line="207" w:lineRule="exact"/>
        <w:tabs>
          <w:tab w:leader="none" w:pos="168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680" w:right="8940" w:hanging="569"/>
        <w:spacing w:after="0" w:line="453"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PF</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Hong Kong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72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4,876,050 Class A ordinary shares</w:t>
            </w: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3"/>
        </w:trPr>
        <w:tc>
          <w:tcPr>
            <w:tcW w:w="17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680" w:type="dxa"/>
            <w:vAlign w:val="bottom"/>
            <w:tcBorders>
              <w:right w:val="single" w:sz="8" w:color="auto"/>
            </w:tcBorders>
          </w:tcPr>
          <w:p>
            <w:pPr>
              <w:spacing w:after="0"/>
              <w:rPr>
                <w:sz w:val="18"/>
                <w:szCs w:val="18"/>
                <w:color w:val="auto"/>
              </w:rPr>
            </w:pPr>
          </w:p>
        </w:tc>
        <w:tc>
          <w:tcPr>
            <w:tcW w:w="7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72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BENEFICIALLY</w:t>
            </w:r>
          </w:p>
        </w:tc>
        <w:tc>
          <w:tcPr>
            <w:tcW w:w="1680" w:type="dxa"/>
            <w:vAlign w:val="bottom"/>
            <w:tcBorders>
              <w:right w:val="single" w:sz="8" w:color="auto"/>
            </w:tcBorders>
          </w:tcPr>
          <w:p>
            <w:pPr>
              <w:spacing w:after="0"/>
              <w:rPr>
                <w:sz w:val="9"/>
                <w:szCs w:val="9"/>
                <w:color w:val="auto"/>
              </w:rPr>
            </w:pPr>
          </w:p>
        </w:tc>
        <w:tc>
          <w:tcPr>
            <w:tcW w:w="7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OWNED BY EACH</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7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1680" w:type="dxa"/>
            <w:vAlign w:val="bottom"/>
            <w:tcBorders>
              <w:right w:val="single" w:sz="8" w:color="auto"/>
            </w:tcBorders>
          </w:tcPr>
          <w:p>
            <w:pPr>
              <w:spacing w:after="0"/>
              <w:rPr>
                <w:sz w:val="17"/>
                <w:szCs w:val="17"/>
                <w:color w:val="auto"/>
              </w:rPr>
            </w:pPr>
          </w:p>
        </w:tc>
        <w:tc>
          <w:tcPr>
            <w:tcW w:w="7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PERSON WITH</w:t>
            </w: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4,876,050 Class A ordinary shares</w:t>
            </w: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17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80" w:right="4000" w:hanging="569"/>
        <w:spacing w:after="0" w:line="45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4,876,050 Class A ordinary shares</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right="5420" w:hanging="569"/>
        <w:spacing w:after="0" w:line="38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9.97%</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80" w:right="8060" w:hanging="569"/>
        <w:spacing w:after="0" w:line="53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jc w:val="both"/>
        <w:ind w:firstLine="8"/>
        <w:spacing w:after="0" w:line="224" w:lineRule="auto"/>
        <w:tabs>
          <w:tab w:leader="none" w:pos="135"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46,579,619 Class A Ordinary Shares outstanding, which includes (i) the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 (ii) the 2,102,263 Class A Ordinary Shares issuable upon the conversion of 2,102,263 Class B Ordinary Shares held by Igomax Inc., and the 2,282,815 Class A Ordinary Shares issuable upon the conversion of 2,282,815 Class B Ordinary Shares held by Bubinga Holdings Limited, as reported in the Schedule 13D/A filed by the Founders Group (as defined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2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240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r>
    </w:p>
    <w:p>
      <w:pPr>
        <w:spacing w:after="0" w:line="272" w:lineRule="exact"/>
        <w:rPr>
          <w:sz w:val="20"/>
          <w:szCs w:val="20"/>
          <w:color w:val="auto"/>
        </w:rPr>
      </w:pPr>
    </w:p>
    <w:p>
      <w:pPr>
        <w:ind w:left="680" w:right="7560" w:hanging="569"/>
        <w:spacing w:after="0" w:line="477"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Integrated Asset Management (Asia) Ltd.</w:t>
      </w:r>
    </w:p>
    <w:p>
      <w:pPr>
        <w:ind w:left="680" w:hanging="569"/>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680" w:hanging="235"/>
        <w:spacing w:after="0" w:line="207" w:lineRule="exact"/>
        <w:tabs>
          <w:tab w:leader="none" w:pos="16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66"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680" w:right="8940" w:hanging="569"/>
        <w:spacing w:after="0" w:line="453"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PF</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hanging="569"/>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72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4,876,050 Class A ordinary shares</w:t>
            </w: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3"/>
        </w:trPr>
        <w:tc>
          <w:tcPr>
            <w:tcW w:w="17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680" w:type="dxa"/>
            <w:vAlign w:val="bottom"/>
            <w:tcBorders>
              <w:right w:val="single" w:sz="8" w:color="auto"/>
            </w:tcBorders>
          </w:tcPr>
          <w:p>
            <w:pPr>
              <w:spacing w:after="0"/>
              <w:rPr>
                <w:sz w:val="18"/>
                <w:szCs w:val="18"/>
                <w:color w:val="auto"/>
              </w:rPr>
            </w:pPr>
          </w:p>
        </w:tc>
        <w:tc>
          <w:tcPr>
            <w:tcW w:w="78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72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BENEFICIALLY</w:t>
            </w:r>
          </w:p>
        </w:tc>
        <w:tc>
          <w:tcPr>
            <w:tcW w:w="1680" w:type="dxa"/>
            <w:vAlign w:val="bottom"/>
            <w:tcBorders>
              <w:right w:val="single" w:sz="8" w:color="auto"/>
            </w:tcBorders>
          </w:tcPr>
          <w:p>
            <w:pPr>
              <w:spacing w:after="0"/>
              <w:rPr>
                <w:sz w:val="9"/>
                <w:szCs w:val="9"/>
                <w:color w:val="auto"/>
              </w:rPr>
            </w:pPr>
          </w:p>
        </w:tc>
        <w:tc>
          <w:tcPr>
            <w:tcW w:w="7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OWNED BY EACH</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7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1680" w:type="dxa"/>
            <w:vAlign w:val="bottom"/>
            <w:tcBorders>
              <w:right w:val="single" w:sz="8" w:color="auto"/>
            </w:tcBorders>
          </w:tcPr>
          <w:p>
            <w:pPr>
              <w:spacing w:after="0"/>
              <w:rPr>
                <w:sz w:val="17"/>
                <w:szCs w:val="17"/>
                <w:color w:val="auto"/>
              </w:rPr>
            </w:pPr>
          </w:p>
        </w:tc>
        <w:tc>
          <w:tcPr>
            <w:tcW w:w="7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PERSON WITH</w:t>
            </w: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4,876,050 Class A ordinary shares</w:t>
            </w:r>
          </w:p>
        </w:tc>
        <w:tc>
          <w:tcPr>
            <w:tcW w:w="0" w:type="dxa"/>
            <w:vAlign w:val="bottom"/>
          </w:tcPr>
          <w:p>
            <w:pPr>
              <w:spacing w:after="0"/>
              <w:rPr>
                <w:sz w:val="1"/>
                <w:szCs w:val="1"/>
                <w:color w:val="auto"/>
              </w:rPr>
            </w:pPr>
          </w:p>
        </w:tc>
      </w:tr>
      <w:tr>
        <w:trPr>
          <w:trHeight w:val="81"/>
        </w:trPr>
        <w:tc>
          <w:tcPr>
            <w:tcW w:w="1720" w:type="dxa"/>
            <w:vAlign w:val="bottom"/>
            <w:tcBorders>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7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7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1"/>
        </w:trPr>
        <w:tc>
          <w:tcPr>
            <w:tcW w:w="17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80" w:right="4000" w:hanging="569"/>
        <w:spacing w:after="0" w:line="45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4,876,050 Class A ordinary shares</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right="5420" w:hanging="569"/>
        <w:spacing w:after="0" w:line="38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9.97%</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680" w:right="8060" w:hanging="569"/>
        <w:spacing w:after="0" w:line="53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jc w:val="both"/>
        <w:ind w:firstLine="8"/>
        <w:spacing w:after="0" w:line="224" w:lineRule="auto"/>
        <w:tabs>
          <w:tab w:leader="none" w:pos="135"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46,579,619 Class A Ordinary Shares outstanding, which includes (i) the 44,477,356 Class A Ordinary Shares outstanding as of November 24, 2023, as specified in the Merger Agreement filed by the Issuer with the SEC on November 24, 2023, (ii) the 2,102,263 Class A Ordinary Shares issuable upon the conversion of 2,102,263 Class B Ordinary Shares held by Igomax Inc., and the 2,282,815 Class A Ordinary Shares issuable upon the conversion of 2,282,815 Class B Ordinary Shares held by Bubinga Holdings Limited, as reported in the Schedule 13D/A filed by the Founders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3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2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229" w:lineRule="exact"/>
        <w:rPr>
          <w:sz w:val="20"/>
          <w:szCs w:val="20"/>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(1) Yam Tak Cheung, a citizen of Hong Kong, and (2) Integrated Asset Management (Asia) Ltd. (“</w:t>
      </w:r>
      <w:r>
        <w:rPr>
          <w:rFonts w:ascii="Times New Roman" w:cs="Times New Roman" w:eastAsia="Times New Roman" w:hAnsi="Times New Roman"/>
          <w:sz w:val="18"/>
          <w:szCs w:val="18"/>
          <w:u w:val="single" w:color="auto"/>
          <w:color w:val="auto"/>
        </w:rPr>
        <w:t>IAM</w:t>
      </w:r>
      <w:r>
        <w:rPr>
          <w:rFonts w:ascii="Times New Roman" w:cs="Times New Roman" w:eastAsia="Times New Roman" w:hAnsi="Times New Roman"/>
          <w:sz w:val="18"/>
          <w:szCs w:val="18"/>
          <w:color w:val="auto"/>
        </w:rPr>
        <w:t>”), a British Virgin Islands company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beneficially owned by each of the Reporting Persons were previously reported on a Schedule 13G filed jointly by the Reporting Persons on January 23, 2020, as amended on February 10, 2021, and on February 14, 2022. This Schedule 13D constitutes an initial Schedule 13D filing on behalf of each of the Reporting Persons and is being filed as a result of the events described in Item 4 below.</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21/F, 88 Gloucester Road, Wan Chai, Hong Kong, S.A.R.</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Yam is the sole shareholder and sole director of IAM. Mr. Yam’s principal occupation is private investor. The principal business of IAM is the acquiring, holding, managing, supervising and disposing of investments for its sole shareholder.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 above for the citizenship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4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Yam previously reported his beneficial ownership of equity securities of the Issuer on Schedule 13G filed on January 23, 2020, pursuant to Rule 13d-1(c), and as amended on February 10, 2021, and on February 14, 2022, but is now filing this Schedule 13D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in connection with the transactions described in Item 4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25, 2023, IAM purchased 318,720 ADSs from another shareholder in a privately negotiated transaction for $659,750.40 from the personal funds of Mr. Yam. Such purchase was not in connection with the transaction giving rise to the filing of this Schedule 13D.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(together with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5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ind w:left="1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6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Mr. Yam is the sole shareholder and sole director of IAM. Pursuant to Section 13(d) of the Exchange Act and the rules promulgated thereunder, Mr. Yam may be deemed to beneficially own all of the Class A Ordinary Shares held by IAM.</w:t>
      </w:r>
    </w:p>
    <w:p>
      <w:pPr>
        <w:spacing w:after="0" w:line="176"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40" w:hanging="971"/>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4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Joint Filing Agreement, dated November 28,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0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7" w:lineRule="exact"/>
        <w:rPr>
          <w:sz w:val="20"/>
          <w:szCs w:val="20"/>
          <w:color w:val="auto"/>
        </w:rPr>
      </w:pPr>
    </w:p>
    <w:p>
      <w:pPr>
        <w:jc w:val="both"/>
        <w:ind w:left="1460" w:right="120" w:hanging="1349"/>
        <w:spacing w:after="0" w:line="255" w:lineRule="auto"/>
        <w:tabs>
          <w:tab w:leader="none" w:pos="144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Exhibit 99.2</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furnished by the Issuer to the SEC on November 24,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460" w:right="120" w:hanging="1349"/>
        <w:spacing w:after="0" w:line="255" w:lineRule="auto"/>
        <w:tabs>
          <w:tab w:leader="none" w:pos="1440" w:val="left"/>
        </w:tabs>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Exhibit 99.3</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Holdings Limited, Wing Hong Sammy Hsieh, Huang Jianjun, Marine Central Limited, Creative Big Limited, Cheer Lead Global</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Limited, Huge Superpower Limited, Capable Excel Limited, Infinity Global Fund SPC, Integrated Asset Management (Asia)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Limited, Chang Nai Hang, Likeable Limited, Tsang Hing Sze, Lau Ying Wai, Chik Yu Chung Roni, Tse Kok Yu Ryan, Imen Pang,</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Zhao Yong and Yang Xin, incorporated herein by reference to Exhibit 99.5 to the Schedule 13D/A filed by the Founders Group with</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800" w:type="dxa"/>
            <w:vAlign w:val="bottom"/>
            <w:tcBorders>
              <w:top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Page 7 of 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28, 2023</w:t>
      </w:r>
      <w:r>
        <w:rPr>
          <w:sz w:val="20"/>
          <w:szCs w:val="20"/>
          <w:color w:val="auto"/>
        </w:rPr>
        <w:tab/>
      </w:r>
      <w:r>
        <w:rPr>
          <w:rFonts w:ascii="Times New Roman" w:cs="Times New Roman" w:eastAsia="Times New Roman" w:hAnsi="Times New Roman"/>
          <w:sz w:val="17"/>
          <w:szCs w:val="17"/>
          <w:b w:val="1"/>
          <w:bCs w:val="1"/>
          <w:color w:val="auto"/>
        </w:rPr>
        <w:t>Yam Tak Cheung</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Yam Tak Cheung</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28, 2023</w:t>
      </w:r>
      <w:r>
        <w:rPr>
          <w:sz w:val="20"/>
          <w:szCs w:val="20"/>
          <w:color w:val="auto"/>
        </w:rPr>
        <w:tab/>
      </w:r>
      <w:r>
        <w:rPr>
          <w:rFonts w:ascii="Times New Roman" w:cs="Times New Roman" w:eastAsia="Times New Roman" w:hAnsi="Times New Roman"/>
          <w:sz w:val="17"/>
          <w:szCs w:val="17"/>
          <w:b w:val="1"/>
          <w:bCs w:val="1"/>
          <w:color w:val="auto"/>
        </w:rPr>
        <w:t>Yam Tak Cheung</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Yam Tak Cheung</w:t>
      </w: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Integrated Asset Management (Asia)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Yam Tak Cheung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27" Type="http://schemas.openxmlformats.org/officeDocument/2006/relationships/hyperlink" Target="https://www.sec.gov/Archives/edgar/data/1697818/000110465923120926/tm2331491d1_ex99-2.htm" TargetMode="External"/><Relationship Id="rId28" Type="http://schemas.openxmlformats.org/officeDocument/2006/relationships/hyperlink" Target="https://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2023-11-29T05:28:12Z</dcterms:created>
  <dcterms:modified xsi:type="dcterms:W3CDTF">2023-11-29T05:28:12Z</dcterms:modified>
</cp:coreProperties>
</file>