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jc w:val="left"/>
        <w:rPr>
          <w:bdr w:val="single" w:sz="16" w:space="1" w:color="000000"/>
        </w:rPr>
      </w:pPr>
      <w:bookmarkStart w:id="0" w:name="tm2621473d1_6k.htm"/>
      <w:bookmarkStart w:id="1" w:name="kstm2621473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Amber International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(Nasdaq: AMBR) (“Amber International” or the “Company”) today announced that it has appointed Prouden HK Limited (“Prouden”) as its independent registered public accounting firm, effective July 28, 2026. Prouden replaces WWC, P.C. (“WWC”), the former independent registered public accounting firm of the Company, which the Company dismissed on the same date. The change of the Company’s independent auditor has been approved by the audit committee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 of WWC on the Company’s consolidated financial statements for the fiscal years ended December 31, 2025 and 2024 contained no adverse opinion or disclaimer of opinion and was not qualified or modified as to uncertainty, audit scope or accounting principles. The report of WWC on the effectiveness of internal control over financial reporting as of December 31, 2025 expressed an adverse opinion as a result of the existence of material weaknesses described in Item 15 of the Company’s annual report on Form 20-F for the fiscal year ended December 31, 2025. During the fiscal years ended December 31, 2025 and 2024 and the subsequent interim period through July 28, 2026, there have been (i) no disagreements (as defined in Item 16F(a)(1)(iv) of Form 20-F and the related instructions thereto) with WWC on any matter of accounting principles or practices, financial statement disclosure, or auditing scope or procedure, which disagreements, if not resolved to the satisfaction of WWC, would have caused it to make reference thereto in its reports on the Company’s consolidated financial statements for such years, and (ii) no reportable events (as defined in Item 16F(a)(1)(v) of Form 20-F), except for the material weaknesses in internal control over financial reporting disclosed in Item 15 of the Company’s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2025 and 2024 and the subsequent interim period through July 28, 2026, neither the Company nor anyone acting on its behalf consulted with Prouden regarding either (i) the application of accounting principles to a specified transaction, either completed or proposed, or the type of audit opinion that might be rendered on the Company’s consolidated financial statements, and neither a written report was provided to the Company nor oral advice was provided to the Company that Prouden concluded was an important factor considered by the Company in reaching a decision as to the accounting, auditing or financial reporting issue; or (ii) any matter that was either the subject of a disagreement (as defined in Item 16F(a)(1)(iv) of the instructions to Form 20-F), or a reportable event (as defined in Item 16F(a)(1)(v) of the instructions to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WWC with a copy of the foregoing disclosures and requested that WWC furnish a letter addressed to the Securities and Exchange Commission stating whether or not it agrees with the foregoing disclosures. A copy of WWC’s letter, dated July 28, 2026, is filed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this Form 6-K and the accompanying exhibit to satisfy its reporting obligations under Item 16F(a) of its Form 20-F for the year ending December 31, 2026 to the extent provided in and permitted by Paragraph 2 of the Instructions to Item 16F of Form 20-F, and plans to incorporate Exhibit 99.1 by reference into its Form 20-F to the extent necessary to satisfy such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283"/>
        <w:jc w:val="left"/>
        <w:rPr/>
      </w:pPr>
      <w:r>
        <w:rPr/>
        <w:t> </w:t>
      </w:r>
    </w:p>
    <w:tbl>
      <w:tblPr>
        <w:tblW w:w="8035" w:type="dxa"/>
        <w:jc w:val="left"/>
        <w:tblInd w:w="0" w:type="dxa"/>
        <w:tblLayout w:type="fixed"/>
        <w:tblCellMar>
          <w:top w:w="0" w:type="dxa"/>
          <w:left w:w="0" w:type="dxa"/>
          <w:bottom w:w="28" w:type="dxa"/>
          <w:right w:w="0" w:type="dxa"/>
        </w:tblCellMar>
      </w:tblPr>
      <w:tblGrid>
        <w:gridCol w:w="725"/>
        <w:gridCol w:w="60"/>
        <w:gridCol w:w="725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72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0"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w:anchor="tm262147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250" w:type="dxa"/>
            <w:tcBorders/>
            <w:tcMar>
              <w:bottom w:w="0" w:type="dxa"/>
            </w:tcMar>
            <w:vAlign w:val="center"/>
          </w:tcPr>
          <w:p>
            <w:pPr>
              <w:pStyle w:val="TableContents"/>
              <w:bidi w:val="0"/>
              <w:spacing w:before="0" w:after="283"/>
              <w:jc w:val="left"/>
              <w:rPr/>
            </w:pPr>
            <w:hyperlink w:anchor="tm2621473d1_ex99-1.htm">
              <w:r>
                <w:rPr>
                  <w:rStyle w:val="InternetLink"/>
                  <w:rFonts w:ascii="Times New Roman;Times;Serif" w:hAnsi="Times New Roman;Times;Serif"/>
                  <w:sz w:val="20"/>
                </w:rPr>
                <w:t>Letter from WWC, P.C. to the Securities and Exchange Commission, dated July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545"/>
        <w:gridCol w:w="324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21473d1_ex99-1.htm"/>
      <w:bookmarkStart w:id="3" w:name="kstm2621473d1_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865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86500" cy="1028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 P.C. (“WWC”) has been furnished with a copy of the Form 6-K to be filed by Amber International Holding Limited (the “Company”) on July 28, 2026. WWC does not disagree with the Company’s statements regarding WWC contained in the Form 6-K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 has no basis to agree or disagree with other statements of the Company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WWC, P.C.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 P.C.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1171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104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10425"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4310</Characters>
  <CharactersWithSpaces>5141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