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December 1, 2017</w:t>
      </w:r>
    </w:p>
    <w:p>
      <w:pPr>
        <w:spacing w:after="0" w:line="27" w:lineRule="exact"/>
        <w:rPr>
          <w:sz w:val="24"/>
          <w:szCs w:val="24"/>
          <w:color w:val="auto"/>
        </w:rPr>
      </w:pPr>
    </w:p>
    <w:p>
      <w:pPr>
        <w:jc w:val="right"/>
        <w:ind w:right="5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F-6</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jc w:val="center"/>
        <w:spacing w:after="0" w:line="236" w:lineRule="auto"/>
        <w:rPr>
          <w:sz w:val="20"/>
          <w:szCs w:val="20"/>
          <w:color w:val="auto"/>
        </w:rPr>
      </w:pPr>
      <w:r>
        <w:rPr>
          <w:rFonts w:ascii="Arial" w:cs="Arial" w:eastAsia="Arial" w:hAnsi="Arial"/>
          <w:sz w:val="22"/>
          <w:szCs w:val="22"/>
          <w:b w:val="1"/>
          <w:bCs w:val="1"/>
          <w:i w:val="1"/>
          <w:iCs w:val="1"/>
          <w:color w:val="auto"/>
        </w:rPr>
        <w:t>THE SECURITIES ACT OF 1933</w:t>
      </w:r>
    </w:p>
    <w:p>
      <w:pPr>
        <w:jc w:val="center"/>
        <w:spacing w:after="0"/>
        <w:rPr>
          <w:sz w:val="20"/>
          <w:szCs w:val="20"/>
          <w:color w:val="auto"/>
        </w:rPr>
      </w:pPr>
      <w:r>
        <w:rPr>
          <w:rFonts w:ascii="Arial" w:cs="Arial" w:eastAsia="Arial" w:hAnsi="Arial"/>
          <w:sz w:val="18"/>
          <w:szCs w:val="18"/>
          <w:b w:val="1"/>
          <w:bCs w:val="1"/>
          <w:color w:val="auto"/>
        </w:rPr>
        <w:t>For Depositary Shares Evidenced by 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issuer’s name into English)</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Cayman Islands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 of issuer)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depositary as specified in its charter)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 New York Plaza, Floor 12, New York, NY, 10004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990-1135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Law Debenture Corporate Services,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4th Floor, 400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750-6474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 New York Plaza, Floor 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No.: (800) 990-1135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 is proposed that this filing become effective under Rule 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940" w:hanging="273"/>
        <w:spacing w:after="0"/>
        <w:tabs>
          <w:tab w:leader="none" w:pos="4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immediately upon filing</w:t>
      </w:r>
    </w:p>
    <w:p>
      <w:pPr>
        <w:spacing w:after="0" w:line="25" w:lineRule="exact"/>
        <w:rPr>
          <w:rFonts w:ascii="MS PGothic" w:cs="MS PGothic" w:eastAsia="MS PGothic" w:hAnsi="MS PGothic"/>
          <w:sz w:val="18"/>
          <w:szCs w:val="18"/>
          <w:color w:val="auto"/>
        </w:rPr>
      </w:pPr>
    </w:p>
    <w:p>
      <w:pPr>
        <w:ind w:left="4940" w:hanging="273"/>
        <w:spacing w:after="0"/>
        <w:tabs>
          <w:tab w:leader="none" w:pos="4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on (Date) at (Time)</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258445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00" w:type="dxa"/>
            <w:vAlign w:val="bottom"/>
            <w:tcBorders>
              <w:top w:val="single" w:sz="8" w:color="auto"/>
              <w:right w:val="single" w:sz="8" w:color="auto"/>
            </w:tcBorders>
          </w:tcPr>
          <w:p>
            <w:pPr>
              <w:spacing w:after="0"/>
              <w:rPr>
                <w:sz w:val="12"/>
                <w:szCs w:val="12"/>
                <w:color w:val="auto"/>
              </w:rPr>
            </w:pPr>
          </w:p>
        </w:tc>
        <w:tc>
          <w:tcPr>
            <w:tcW w:w="2180" w:type="dxa"/>
            <w:vAlign w:val="bottom"/>
            <w:tcBorders>
              <w:top w:val="single" w:sz="8" w:color="auto"/>
              <w:right w:val="single" w:sz="8" w:color="auto"/>
            </w:tcBorders>
            <w:vMerge w:val="restart"/>
          </w:tcPr>
          <w:p>
            <w:pPr>
              <w:jc w:val="center"/>
              <w:ind w:left="1"/>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top w:val="single" w:sz="8" w:color="auto"/>
              <w:right w:val="single" w:sz="8" w:color="auto"/>
            </w:tcBorders>
          </w:tcPr>
          <w:p>
            <w:pPr>
              <w:jc w:val="center"/>
              <w:ind w:left="4"/>
              <w:spacing w:after="0" w:line="139" w:lineRule="exact"/>
              <w:rPr>
                <w:sz w:val="20"/>
                <w:szCs w:val="20"/>
                <w:color w:val="auto"/>
              </w:rPr>
            </w:pPr>
            <w:r>
              <w:rPr>
                <w:rFonts w:ascii="Arial" w:cs="Arial" w:eastAsia="Arial" w:hAnsi="Arial"/>
                <w:sz w:val="14"/>
                <w:szCs w:val="14"/>
                <w:b w:val="1"/>
                <w:bCs w:val="1"/>
                <w:color w:val="auto"/>
                <w:w w:val="89"/>
              </w:rPr>
              <w:t>Proposed</w:t>
            </w:r>
          </w:p>
        </w:tc>
        <w:tc>
          <w:tcPr>
            <w:tcW w:w="1560" w:type="dxa"/>
            <w:vAlign w:val="bottom"/>
            <w:tcBorders>
              <w:top w:val="single" w:sz="8" w:color="auto"/>
              <w:right w:val="single" w:sz="8" w:color="auto"/>
            </w:tcBorders>
          </w:tcPr>
          <w:p>
            <w:pPr>
              <w:jc w:val="center"/>
              <w:ind w:left="4"/>
              <w:spacing w:after="0" w:line="13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21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Borders>
              <w:right w:val="single" w:sz="8" w:color="auto"/>
            </w:tcBorders>
            <w:vMerge w:val="continue"/>
          </w:tcPr>
          <w:p>
            <w:pPr>
              <w:spacing w:after="0"/>
              <w:rPr>
                <w:sz w:val="12"/>
                <w:szCs w:val="12"/>
                <w:color w:val="auto"/>
              </w:rPr>
            </w:pPr>
          </w:p>
        </w:tc>
        <w:tc>
          <w:tcPr>
            <w:tcW w:w="218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0"/>
              </w:rPr>
              <w:t>aggregate price</w:t>
            </w:r>
          </w:p>
        </w:tc>
        <w:tc>
          <w:tcPr>
            <w:tcW w:w="156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21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6"/>
              </w:rPr>
              <w:t>per unit (1)</w:t>
            </w:r>
          </w:p>
        </w:tc>
        <w:tc>
          <w:tcPr>
            <w:tcW w:w="15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 (2)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American Depositary Shares evidenced by American</w:t>
            </w:r>
          </w:p>
        </w:tc>
        <w:tc>
          <w:tcPr>
            <w:tcW w:w="21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Depositary Receipts, each American Depositary Share</w:t>
            </w:r>
          </w:p>
        </w:tc>
        <w:tc>
          <w:tcPr>
            <w:tcW w:w="2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representing one - half (1/2) of one Class A Ordinary Share, par</w:t>
            </w:r>
          </w:p>
        </w:tc>
        <w:tc>
          <w:tcPr>
            <w:tcW w:w="21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value US$0.001 per share, of iClick Interactive Asia Group</w:t>
            </w:r>
          </w:p>
        </w:tc>
        <w:tc>
          <w:tcPr>
            <w:tcW w:w="2180" w:type="dxa"/>
            <w:vAlign w:val="bottom"/>
            <w:tcBorders>
              <w:right w:val="single" w:sz="8" w:color="auto"/>
            </w:tcBorders>
          </w:tcPr>
          <w:p>
            <w:pPr>
              <w:jc w:val="center"/>
              <w:ind w:left="1"/>
              <w:spacing w:after="0"/>
              <w:rPr>
                <w:sz w:val="20"/>
                <w:szCs w:val="20"/>
                <w:color w:val="auto"/>
              </w:rPr>
            </w:pPr>
            <w:r>
              <w:rPr>
                <w:rFonts w:ascii="Arial" w:cs="Arial" w:eastAsia="Arial" w:hAnsi="Arial"/>
                <w:sz w:val="18"/>
                <w:szCs w:val="18"/>
                <w:color w:val="auto"/>
                <w:w w:val="89"/>
              </w:rPr>
              <w:t>100,000,000</w:t>
            </w:r>
          </w:p>
        </w:tc>
        <w:tc>
          <w:tcPr>
            <w:tcW w:w="15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Limited</w:t>
            </w:r>
          </w:p>
        </w:tc>
        <w:tc>
          <w:tcPr>
            <w:tcW w:w="21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9"/>
              </w:rPr>
              <w:t>American Depositary Shares</w:t>
            </w:r>
          </w:p>
        </w:tc>
        <w:tc>
          <w:tcPr>
            <w:tcW w:w="154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3"/>
              </w:rPr>
              <w:t>$0.05</w:t>
            </w:r>
          </w:p>
        </w:tc>
        <w:tc>
          <w:tcPr>
            <w:tcW w:w="15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8"/>
              </w:rPr>
              <w:t>$5,000,000</w:t>
            </w:r>
          </w:p>
        </w:tc>
        <w:tc>
          <w:tcPr>
            <w:tcW w:w="152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$622.50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sectPr>
          <w:pgSz w:w="11900" w:h="16838" w:orient="portrait"/>
          <w:cols w:equalWidth="0" w:num="1">
            <w:col w:w="11420"/>
          </w:cols>
          <w:pgMar w:left="240" w:top="229" w:right="239" w:bottom="0" w:gutter="0" w:footer="0" w:header="0"/>
        </w:sect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unit represents one American Depositary Share.</w:t>
      </w:r>
    </w:p>
    <w:p>
      <w:pPr>
        <w:spacing w:after="0" w:line="23" w:lineRule="exact"/>
        <w:rPr>
          <w:rFonts w:ascii="Arial" w:cs="Arial" w:eastAsia="Arial" w:hAnsi="Arial"/>
          <w:sz w:val="18"/>
          <w:szCs w:val="18"/>
          <w:color w:val="auto"/>
        </w:rPr>
      </w:pPr>
    </w:p>
    <w:p>
      <w:pPr>
        <w:jc w:val="both"/>
        <w:ind w:left="460" w:right="280" w:hanging="452"/>
        <w:spacing w:after="0" w:line="32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457(k), such estimate is computed on the basis of the maximum aggregate fees or charges to be imposed in connection with the issuance of American Depositary Receipts evidencing American Depositary Shares.</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3021965</wp:posOffset>
            </wp:positionH>
            <wp:positionV relativeFrom="page">
              <wp:posOffset>311785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02"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PROSPECTUS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Prospectus consists of the proposed form of American Depositary Receipt (“ADR” or “American Depositary Receipt”) included as Exhibit A to the Deposit Agreement filed as Exhibit (a) to this Registration Statement on Form F-6, which is incorporated herein by reference.</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CROSS REFERENCE SHEET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DESCRIPTION OF SECURITIES TO BE REGISTERED</w:t>
      </w:r>
    </w:p>
    <w:p>
      <w:pPr>
        <w:sectPr>
          <w:pgSz w:w="11900" w:h="16838" w:orient="portrait"/>
          <w:cols w:equalWidth="0" w:num="1">
            <w:col w:w="11420"/>
          </w:cols>
          <w:pgMar w:left="240" w:top="270" w:right="2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Item Number and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address of Depositary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60" w:firstLine="8"/>
        <w:spacing w:after="0" w:line="50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American Depositary Receipts and identity of deposited securities Terms of Deposit:</w:t>
      </w:r>
    </w:p>
    <w:p>
      <w:pPr>
        <w:ind w:left="720" w:hanging="352"/>
        <w:spacing w:after="0" w:line="277" w:lineRule="auto"/>
        <w:tabs>
          <w:tab w:leader="none" w:pos="745"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of deposited securities represented by one unit of American Depositary Shares</w:t>
      </w:r>
    </w:p>
    <w:p>
      <w:pPr>
        <w:spacing w:after="0" w:line="170" w:lineRule="exact"/>
        <w:rPr>
          <w:rFonts w:ascii="Arial" w:cs="Arial" w:eastAsia="Arial" w:hAnsi="Arial"/>
          <w:sz w:val="18"/>
          <w:szCs w:val="18"/>
          <w:color w:val="auto"/>
        </w:rPr>
      </w:pPr>
    </w:p>
    <w:p>
      <w:pPr>
        <w:ind w:left="760" w:hanging="392"/>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Procedure for voting, if any, the deposited securities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Collection and distribution of dividends</w:t>
      </w:r>
    </w:p>
    <w:p>
      <w:pPr>
        <w:spacing w:after="0" w:line="225" w:lineRule="exact"/>
        <w:rPr>
          <w:rFonts w:ascii="Arial" w:cs="Arial" w:eastAsia="Arial" w:hAnsi="Arial"/>
          <w:sz w:val="18"/>
          <w:szCs w:val="18"/>
          <w:color w:val="auto"/>
        </w:rPr>
      </w:pPr>
    </w:p>
    <w:p>
      <w:pPr>
        <w:ind w:left="760" w:hanging="392"/>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Transmission of notices, reports and proxy soliciting material</w:t>
      </w:r>
    </w:p>
    <w:p>
      <w:pPr>
        <w:spacing w:after="0" w:line="225" w:lineRule="exact"/>
        <w:rPr>
          <w:rFonts w:ascii="Arial" w:cs="Arial" w:eastAsia="Arial" w:hAnsi="Arial"/>
          <w:sz w:val="18"/>
          <w:szCs w:val="18"/>
          <w:color w:val="auto"/>
        </w:rPr>
      </w:pPr>
    </w:p>
    <w:p>
      <w:pPr>
        <w:ind w:left="760" w:hanging="392"/>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Sale or exercise of rights</w:t>
      </w:r>
    </w:p>
    <w:p>
      <w:pPr>
        <w:spacing w:after="0" w:line="225" w:lineRule="exact"/>
        <w:rPr>
          <w:rFonts w:ascii="Arial" w:cs="Arial" w:eastAsia="Arial" w:hAnsi="Arial"/>
          <w:sz w:val="18"/>
          <w:szCs w:val="18"/>
          <w:color w:val="auto"/>
        </w:rPr>
      </w:pPr>
    </w:p>
    <w:p>
      <w:pPr>
        <w:ind w:left="720" w:hanging="352"/>
        <w:spacing w:after="0" w:line="277" w:lineRule="auto"/>
        <w:tabs>
          <w:tab w:leader="none" w:pos="75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Deposit or sale of securities resulting from dividends, splits or plans of reorganization</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Amendment, extension or termination of the Deposit Agreement</w:t>
      </w:r>
    </w:p>
    <w:p>
      <w:pPr>
        <w:spacing w:after="0" w:line="236" w:lineRule="exact"/>
        <w:rPr>
          <w:rFonts w:ascii="Arial" w:cs="Arial" w:eastAsia="Arial" w:hAnsi="Arial"/>
          <w:sz w:val="17"/>
          <w:szCs w:val="17"/>
          <w:color w:val="auto"/>
        </w:rPr>
      </w:pPr>
    </w:p>
    <w:p>
      <w:pPr>
        <w:ind w:left="720" w:right="460" w:hanging="352"/>
        <w:spacing w:after="0" w:line="277" w:lineRule="auto"/>
        <w:tabs>
          <w:tab w:leader="none" w:pos="765" w:val="left"/>
        </w:tabs>
        <w:numPr>
          <w:ilvl w:val="1"/>
          <w:numId w:val="3"/>
        </w:numPr>
        <w:rPr>
          <w:rFonts w:ascii="Arial" w:cs="Arial" w:eastAsia="Arial" w:hAnsi="Arial"/>
          <w:sz w:val="18"/>
          <w:szCs w:val="18"/>
          <w:color w:val="auto"/>
        </w:rPr>
      </w:pPr>
      <w:r>
        <w:rPr>
          <w:rFonts w:ascii="Arial" w:cs="Arial" w:eastAsia="Arial" w:hAnsi="Arial"/>
          <w:sz w:val="18"/>
          <w:szCs w:val="18"/>
          <w:color w:val="auto"/>
        </w:rPr>
        <w:t>Rightsof holders of ADRs to inspect the transfer books of the Depositary and the list of Holders of ADRs</w:t>
      </w:r>
    </w:p>
    <w:p>
      <w:pPr>
        <w:spacing w:after="0" w:line="170" w:lineRule="exact"/>
        <w:rPr>
          <w:rFonts w:ascii="Arial" w:cs="Arial" w:eastAsia="Arial" w:hAnsi="Arial"/>
          <w:sz w:val="18"/>
          <w:szCs w:val="18"/>
          <w:color w:val="auto"/>
        </w:rPr>
      </w:pPr>
    </w:p>
    <w:p>
      <w:pPr>
        <w:ind w:left="720" w:right="220" w:hanging="352"/>
        <w:spacing w:after="0" w:line="277" w:lineRule="auto"/>
        <w:tabs>
          <w:tab w:leader="none" w:pos="755"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Restrictions upon the right to deposit or withdraw the underlying securities</w:t>
      </w:r>
    </w:p>
    <w:p>
      <w:pPr>
        <w:spacing w:after="0" w:line="170" w:lineRule="exact"/>
        <w:rPr>
          <w:rFonts w:ascii="Arial" w:cs="Arial" w:eastAsia="Arial" w:hAnsi="Arial"/>
          <w:sz w:val="18"/>
          <w:szCs w:val="18"/>
          <w:color w:val="auto"/>
        </w:rPr>
      </w:pPr>
    </w:p>
    <w:p>
      <w:pPr>
        <w:ind w:left="760" w:hanging="392"/>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Limitation upon the liability of the Depositary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Fees and Charges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Location in Form of American Depositary</w:t>
      </w:r>
    </w:p>
    <w:p>
      <w:pPr>
        <w:spacing w:after="0"/>
        <w:rPr>
          <w:sz w:val="20"/>
          <w:szCs w:val="20"/>
          <w:color w:val="auto"/>
        </w:rPr>
      </w:pPr>
      <w:r>
        <w:rPr>
          <w:rFonts w:ascii="Arial" w:cs="Arial" w:eastAsia="Arial" w:hAnsi="Arial"/>
          <w:sz w:val="14"/>
          <w:szCs w:val="14"/>
          <w:color w:val="auto"/>
        </w:rPr>
        <w:t>Receipt Filed Herewith as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Introductory paragraph and bottom of face of American Depositary Receipt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Face of American Depositary Receipt,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Face of American Depositary Receipt,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Paragraph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Paragraphs (4), (5), (7) and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Paragraphs (3), (8) and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Paragraphs (4), (5) and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Paragraphs (4), (5), (10) and (13)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Paragraphs (16) and (17)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Paragraph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Paragraphs (1), (2), (4), and (5)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Paragraph (14)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Paragraph (7)</w:t>
      </w:r>
    </w:p>
    <w:p>
      <w:pPr>
        <w:sectPr>
          <w:pgSz w:w="11900" w:h="16838" w:orient="portrait"/>
          <w:cols w:equalWidth="0" w:num="2">
            <w:col w:w="5660" w:space="400"/>
            <w:col w:w="5360"/>
          </w:cols>
          <w:pgMar w:left="240" w:top="27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180" w:type="dxa"/>
            <w:vAlign w:val="bottom"/>
            <w:gridSpan w:val="2"/>
          </w:tcPr>
          <w:p>
            <w:pPr>
              <w:ind w:left="160"/>
              <w:spacing w:after="0"/>
              <w:rPr>
                <w:sz w:val="20"/>
                <w:szCs w:val="20"/>
                <w:color w:val="auto"/>
              </w:rPr>
            </w:pPr>
            <w:r>
              <w:rPr>
                <w:rFonts w:ascii="Arial" w:cs="Arial" w:eastAsia="Arial" w:hAnsi="Arial"/>
                <w:sz w:val="18"/>
                <w:szCs w:val="18"/>
                <w:b w:val="1"/>
                <w:bCs w:val="1"/>
                <w:color w:val="auto"/>
              </w:rPr>
              <w:t>AVAILABLE INFORMATION</w:t>
            </w:r>
          </w:p>
        </w:tc>
        <w:tc>
          <w:tcPr>
            <w:tcW w:w="5360" w:type="dxa"/>
            <w:vAlign w:val="bottom"/>
          </w:tcPr>
          <w:p>
            <w:pPr>
              <w:spacing w:after="0"/>
              <w:rPr>
                <w:sz w:val="20"/>
                <w:szCs w:val="20"/>
                <w:color w:val="auto"/>
              </w:rPr>
            </w:pPr>
          </w:p>
        </w:tc>
      </w:tr>
      <w:tr>
        <w:trPr>
          <w:trHeight w:val="405"/>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Item Number and Caption</w:t>
            </w: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 in Form of American Depositary Receipt Filed Herewith as Prospectus</w:t>
            </w:r>
          </w:p>
        </w:tc>
      </w:tr>
      <w:tr>
        <w:trPr>
          <w:trHeight w:val="398"/>
        </w:trPr>
        <w:tc>
          <w:tcPr>
            <w:tcW w:w="6060" w:type="dxa"/>
            <w:vAlign w:val="bottom"/>
            <w:gridSpan w:val="3"/>
          </w:tcPr>
          <w:p>
            <w:pPr>
              <w:ind w:left="360"/>
              <w:spacing w:after="0"/>
              <w:rPr>
                <w:sz w:val="20"/>
                <w:szCs w:val="20"/>
                <w:color w:val="auto"/>
              </w:rPr>
            </w:pPr>
            <w:r>
              <w:rPr>
                <w:rFonts w:ascii="Arial" w:cs="Arial" w:eastAsia="Arial" w:hAnsi="Arial"/>
                <w:sz w:val="18"/>
                <w:szCs w:val="18"/>
                <w:color w:val="auto"/>
              </w:rPr>
              <w:t>Statement that iClick Interactive Asia Group Limited is subject to the</w:t>
            </w:r>
          </w:p>
        </w:tc>
        <w:tc>
          <w:tcPr>
            <w:tcW w:w="5360" w:type="dxa"/>
            <w:vAlign w:val="bottom"/>
          </w:tcPr>
          <w:p>
            <w:pPr>
              <w:spacing w:after="0"/>
              <w:rPr>
                <w:sz w:val="20"/>
                <w:szCs w:val="20"/>
                <w:color w:val="auto"/>
              </w:rPr>
            </w:pPr>
            <w:r>
              <w:rPr>
                <w:rFonts w:ascii="Arial" w:cs="Arial" w:eastAsia="Arial" w:hAnsi="Arial"/>
                <w:sz w:val="18"/>
                <w:szCs w:val="18"/>
                <w:color w:val="auto"/>
              </w:rPr>
              <w:t>Paragraph (8)</w:t>
            </w:r>
          </w:p>
        </w:tc>
      </w:tr>
      <w:tr>
        <w:trPr>
          <w:trHeight w:val="216"/>
        </w:trPr>
        <w:tc>
          <w:tcPr>
            <w:tcW w:w="6060" w:type="dxa"/>
            <w:vAlign w:val="bottom"/>
            <w:gridSpan w:val="3"/>
          </w:tcPr>
          <w:p>
            <w:pPr>
              <w:ind w:left="360"/>
              <w:spacing w:after="0"/>
              <w:rPr>
                <w:sz w:val="20"/>
                <w:szCs w:val="20"/>
                <w:color w:val="auto"/>
              </w:rPr>
            </w:pPr>
            <w:r>
              <w:rPr>
                <w:rFonts w:ascii="Arial" w:cs="Arial" w:eastAsia="Arial" w:hAnsi="Arial"/>
                <w:sz w:val="18"/>
                <w:szCs w:val="18"/>
                <w:color w:val="auto"/>
                <w:w w:val="95"/>
              </w:rPr>
              <w:t>periodic reporting requirements of the Securities Exchange Act of 1934, as</w:t>
            </w:r>
          </w:p>
        </w:tc>
        <w:tc>
          <w:tcPr>
            <w:tcW w:w="5360" w:type="dxa"/>
            <w:vAlign w:val="bottom"/>
          </w:tcPr>
          <w:p>
            <w:pPr>
              <w:spacing w:after="0"/>
              <w:rPr>
                <w:sz w:val="18"/>
                <w:szCs w:val="18"/>
                <w:color w:val="auto"/>
              </w:rPr>
            </w:pPr>
          </w:p>
        </w:tc>
      </w:tr>
      <w:tr>
        <w:trPr>
          <w:trHeight w:val="216"/>
        </w:trPr>
        <w:tc>
          <w:tcPr>
            <w:tcW w:w="6060" w:type="dxa"/>
            <w:vAlign w:val="bottom"/>
            <w:gridSpan w:val="3"/>
          </w:tcPr>
          <w:p>
            <w:pPr>
              <w:ind w:left="360"/>
              <w:spacing w:after="0"/>
              <w:rPr>
                <w:sz w:val="20"/>
                <w:szCs w:val="20"/>
                <w:color w:val="auto"/>
              </w:rPr>
            </w:pPr>
            <w:r>
              <w:rPr>
                <w:rFonts w:ascii="Arial" w:cs="Arial" w:eastAsia="Arial" w:hAnsi="Arial"/>
                <w:sz w:val="18"/>
                <w:szCs w:val="18"/>
                <w:color w:val="auto"/>
              </w:rPr>
              <w:t>amended, and, accordingly files certain reports with the Securities and</w:t>
            </w:r>
          </w:p>
        </w:tc>
        <w:tc>
          <w:tcPr>
            <w:tcW w:w="5360" w:type="dxa"/>
            <w:vAlign w:val="bottom"/>
          </w:tcPr>
          <w:p>
            <w:pPr>
              <w:spacing w:after="0"/>
              <w:rPr>
                <w:sz w:val="18"/>
                <w:szCs w:val="18"/>
                <w:color w:val="auto"/>
              </w:rPr>
            </w:pPr>
          </w:p>
        </w:tc>
      </w:tr>
      <w:tr>
        <w:trPr>
          <w:trHeight w:val="216"/>
        </w:trPr>
        <w:tc>
          <w:tcPr>
            <w:tcW w:w="6060" w:type="dxa"/>
            <w:vAlign w:val="bottom"/>
            <w:gridSpan w:val="3"/>
          </w:tcPr>
          <w:p>
            <w:pPr>
              <w:ind w:left="360"/>
              <w:spacing w:after="0"/>
              <w:rPr>
                <w:sz w:val="20"/>
                <w:szCs w:val="20"/>
                <w:color w:val="auto"/>
              </w:rPr>
            </w:pPr>
            <w:r>
              <w:rPr>
                <w:rFonts w:ascii="Arial" w:cs="Arial" w:eastAsia="Arial" w:hAnsi="Arial"/>
                <w:sz w:val="18"/>
                <w:szCs w:val="18"/>
                <w:color w:val="auto"/>
                <w:w w:val="95"/>
              </w:rPr>
              <w:t>Exchange Commission, and that such reports can be inspected by holders</w:t>
            </w:r>
          </w:p>
        </w:tc>
        <w:tc>
          <w:tcPr>
            <w:tcW w:w="5360" w:type="dxa"/>
            <w:vAlign w:val="bottom"/>
          </w:tcPr>
          <w:p>
            <w:pPr>
              <w:spacing w:after="0"/>
              <w:rPr>
                <w:sz w:val="18"/>
                <w:szCs w:val="18"/>
                <w:color w:val="auto"/>
              </w:rPr>
            </w:pPr>
          </w:p>
        </w:tc>
      </w:tr>
      <w:tr>
        <w:trPr>
          <w:trHeight w:val="216"/>
        </w:trPr>
        <w:tc>
          <w:tcPr>
            <w:tcW w:w="6060" w:type="dxa"/>
            <w:vAlign w:val="bottom"/>
            <w:gridSpan w:val="3"/>
          </w:tcPr>
          <w:p>
            <w:pPr>
              <w:ind w:left="360"/>
              <w:spacing w:after="0"/>
              <w:rPr>
                <w:sz w:val="20"/>
                <w:szCs w:val="20"/>
                <w:color w:val="auto"/>
              </w:rPr>
            </w:pPr>
            <w:r>
              <w:rPr>
                <w:rFonts w:ascii="Arial" w:cs="Arial" w:eastAsia="Arial" w:hAnsi="Arial"/>
                <w:sz w:val="18"/>
                <w:szCs w:val="18"/>
                <w:color w:val="auto"/>
                <w:w w:val="98"/>
              </w:rPr>
              <w:t>of American Depositary Receipts and copied at public reference facilities</w:t>
            </w:r>
          </w:p>
        </w:tc>
        <w:tc>
          <w:tcPr>
            <w:tcW w:w="5360" w:type="dxa"/>
            <w:vAlign w:val="bottom"/>
          </w:tcPr>
          <w:p>
            <w:pPr>
              <w:spacing w:after="0"/>
              <w:rPr>
                <w:sz w:val="18"/>
                <w:szCs w:val="18"/>
                <w:color w:val="auto"/>
              </w:rPr>
            </w:pPr>
          </w:p>
        </w:tc>
      </w:tr>
      <w:tr>
        <w:trPr>
          <w:trHeight w:val="216"/>
        </w:trPr>
        <w:tc>
          <w:tcPr>
            <w:tcW w:w="6060" w:type="dxa"/>
            <w:vAlign w:val="bottom"/>
            <w:gridSpan w:val="3"/>
          </w:tcPr>
          <w:p>
            <w:pPr>
              <w:ind w:left="360"/>
              <w:spacing w:after="0"/>
              <w:rPr>
                <w:sz w:val="20"/>
                <w:szCs w:val="20"/>
                <w:color w:val="auto"/>
              </w:rPr>
            </w:pPr>
            <w:r>
              <w:rPr>
                <w:rFonts w:ascii="Arial" w:cs="Arial" w:eastAsia="Arial" w:hAnsi="Arial"/>
                <w:sz w:val="18"/>
                <w:szCs w:val="18"/>
                <w:color w:val="auto"/>
                <w:w w:val="98"/>
              </w:rPr>
              <w:t>maintained by the Securities and Exchange Commission in Washington,</w:t>
            </w:r>
          </w:p>
        </w:tc>
        <w:tc>
          <w:tcPr>
            <w:tcW w:w="5360" w:type="dxa"/>
            <w:vAlign w:val="bottom"/>
          </w:tcPr>
          <w:p>
            <w:pPr>
              <w:spacing w:after="0"/>
              <w:rPr>
                <w:sz w:val="18"/>
                <w:szCs w:val="18"/>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D.C.</w:t>
            </w: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630"/>
        </w:trPr>
        <w:tc>
          <w:tcPr>
            <w:tcW w:w="880" w:type="dxa"/>
            <w:vAlign w:val="bottom"/>
          </w:tcPr>
          <w:p>
            <w:pPr>
              <w:spacing w:after="0"/>
              <w:rPr>
                <w:sz w:val="24"/>
                <w:szCs w:val="24"/>
                <w:color w:val="auto"/>
              </w:rPr>
            </w:pPr>
          </w:p>
        </w:tc>
        <w:tc>
          <w:tcPr>
            <w:tcW w:w="5180" w:type="dxa"/>
            <w:vAlign w:val="bottom"/>
            <w:gridSpan w:val="2"/>
          </w:tcPr>
          <w:p>
            <w:pPr>
              <w:jc w:val="center"/>
              <w:ind w:left="4390"/>
              <w:spacing w:after="0"/>
              <w:rPr>
                <w:sz w:val="20"/>
                <w:szCs w:val="20"/>
                <w:color w:val="auto"/>
              </w:rPr>
            </w:pPr>
            <w:r>
              <w:rPr>
                <w:rFonts w:ascii="Arial" w:cs="Arial" w:eastAsia="Arial" w:hAnsi="Arial"/>
                <w:sz w:val="18"/>
                <w:szCs w:val="18"/>
                <w:b w:val="1"/>
                <w:bCs w:val="1"/>
                <w:color w:val="auto"/>
              </w:rPr>
              <w:t>PART II</w:t>
            </w:r>
          </w:p>
        </w:tc>
        <w:tc>
          <w:tcPr>
            <w:tcW w:w="536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10540" w:type="dxa"/>
            <w:vAlign w:val="bottom"/>
            <w:gridSpan w:val="3"/>
          </w:tcPr>
          <w:p>
            <w:pPr>
              <w:jc w:val="center"/>
              <w:ind w:right="799"/>
              <w:spacing w:after="0"/>
              <w:rPr>
                <w:sz w:val="20"/>
                <w:szCs w:val="20"/>
                <w:color w:val="auto"/>
              </w:rPr>
            </w:pPr>
            <w:r>
              <w:rPr>
                <w:rFonts w:ascii="Arial" w:cs="Arial" w:eastAsia="Arial" w:hAnsi="Arial"/>
                <w:sz w:val="18"/>
                <w:szCs w:val="18"/>
                <w:b w:val="1"/>
                <w:bCs w:val="1"/>
                <w:color w:val="auto"/>
              </w:rPr>
              <w:t>INFORMATION NOT REQUIRED IN PROSPECTUS</w:t>
            </w:r>
          </w:p>
        </w:tc>
      </w:tr>
      <w:tr>
        <w:trPr>
          <w:trHeight w:val="459"/>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18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EXHIBITS</w:t>
            </w:r>
          </w:p>
        </w:tc>
        <w:tc>
          <w:tcPr>
            <w:tcW w:w="5360" w:type="dxa"/>
            <w:vAlign w:val="bottom"/>
          </w:tcPr>
          <w:p>
            <w:pPr>
              <w:spacing w:after="0"/>
              <w:rPr>
                <w:sz w:val="24"/>
                <w:szCs w:val="24"/>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right="320" w:hanging="446"/>
        <w:spacing w:after="0" w:line="266"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Deposit Agreement. </w:t>
      </w:r>
      <w:r>
        <w:rPr>
          <w:rFonts w:ascii="Arial" w:cs="Arial" w:eastAsia="Arial" w:hAnsi="Arial"/>
          <w:sz w:val="18"/>
          <w:szCs w:val="18"/>
          <w:color w:val="auto"/>
        </w:rPr>
        <w:t>Form of Deposit Agreement among iClick Interactive Asia Group Limited, JPMorgan Chase Bank, N.A., as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(the “Depositary”), and all holders from time to time of ADRs issued thereunder (the “Deposit Agreement”), including the form of American Depositary Receipt attached as Exhibit A thereto. Filed herewith as Exhibit (a).</w:t>
      </w:r>
    </w:p>
    <w:p>
      <w:pPr>
        <w:spacing w:after="0" w:line="81" w:lineRule="exact"/>
        <w:rPr>
          <w:rFonts w:ascii="Arial" w:cs="Arial" w:eastAsia="Arial" w:hAnsi="Arial"/>
          <w:sz w:val="18"/>
          <w:szCs w:val="18"/>
          <w:b w:val="1"/>
          <w:bCs w:val="1"/>
          <w:color w:val="auto"/>
        </w:rPr>
      </w:pPr>
    </w:p>
    <w:p>
      <w:pPr>
        <w:ind w:left="900" w:right="80" w:hanging="446"/>
        <w:spacing w:after="0" w:line="28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Any other agreement to which the Depositary is a party relating to the issuance of the American Depositary Shares registered hereunder or the custody of the deposited securities represented thereby. </w:t>
      </w:r>
      <w:r>
        <w:rPr>
          <w:rFonts w:ascii="Arial" w:cs="Arial" w:eastAsia="Arial" w:hAnsi="Arial"/>
          <w:sz w:val="18"/>
          <w:szCs w:val="18"/>
          <w:color w:val="auto"/>
        </w:rPr>
        <w:t>Not Applicable.</w:t>
      </w:r>
    </w:p>
    <w:p>
      <w:pPr>
        <w:spacing w:after="0" w:line="67" w:lineRule="exact"/>
        <w:rPr>
          <w:rFonts w:ascii="Arial" w:cs="Arial" w:eastAsia="Arial" w:hAnsi="Arial"/>
          <w:sz w:val="18"/>
          <w:szCs w:val="18"/>
          <w:b w:val="1"/>
          <w:bCs w:val="1"/>
          <w:color w:val="auto"/>
        </w:rPr>
      </w:pPr>
    </w:p>
    <w:p>
      <w:pPr>
        <w:ind w:left="900" w:right="180" w:hanging="446"/>
        <w:spacing w:after="0" w:line="28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Every material contract relating to the deposited securities between the Depositary and the issuer of the deposited securities in effect at any time within the last three years. </w:t>
      </w:r>
      <w:r>
        <w:rPr>
          <w:rFonts w:ascii="Arial" w:cs="Arial" w:eastAsia="Arial" w:hAnsi="Arial"/>
          <w:sz w:val="18"/>
          <w:szCs w:val="18"/>
          <w:color w:val="auto"/>
        </w:rPr>
        <w:t>Not Applicable.</w:t>
      </w:r>
    </w:p>
    <w:p>
      <w:pPr>
        <w:spacing w:after="0" w:line="67"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Opinion of Paul Hastings LLP, counsel to the Depositary, as to the legality of the securities being registered. </w:t>
      </w:r>
      <w:r>
        <w:rPr>
          <w:rFonts w:ascii="Arial" w:cs="Arial" w:eastAsia="Arial" w:hAnsi="Arial"/>
          <w:sz w:val="16"/>
          <w:szCs w:val="16"/>
          <w:color w:val="auto"/>
        </w:rPr>
        <w:t>Filed herewith as Exhibit (d).</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Certification under Rule 466. </w:t>
      </w:r>
      <w:r>
        <w:rPr>
          <w:rFonts w:ascii="Arial" w:cs="Arial" w:eastAsia="Arial" w:hAnsi="Arial"/>
          <w:sz w:val="18"/>
          <w:szCs w:val="18"/>
          <w:color w:val="auto"/>
        </w:rPr>
        <w:t>Not applicable.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 of Attorney for certain officers and directors of the Registrant. </w:t>
      </w:r>
      <w:r>
        <w:rPr>
          <w:rFonts w:ascii="Arial" w:cs="Arial" w:eastAsia="Arial" w:hAnsi="Arial"/>
          <w:sz w:val="18"/>
          <w:szCs w:val="18"/>
          <w:color w:val="auto"/>
        </w:rPr>
        <w:t>Included as part of the signature pages hereto.</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UNDERTAKINGS</w:t>
      </w:r>
    </w:p>
    <w:p>
      <w:pPr>
        <w:spacing w:after="0" w:line="135" w:lineRule="exact"/>
        <w:rPr>
          <w:sz w:val="20"/>
          <w:szCs w:val="20"/>
          <w:color w:val="auto"/>
        </w:rPr>
      </w:pPr>
    </w:p>
    <w:p>
      <w:pPr>
        <w:ind w:left="900" w:right="4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92"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amounts of fees charged are not disclosed in the prospectus, the Depositary undertakes to prepare a separate document stating the amount of any fee charged and describing the service</w:t>
      </w:r>
    </w:p>
    <w:p>
      <w:pPr>
        <w:sectPr>
          <w:pgSz w:w="11900" w:h="16838" w:orient="portrait"/>
          <w:cols w:equalWidth="0" w:num="1">
            <w:col w:w="11420"/>
          </w:cols>
          <w:pgMar w:left="240" w:top="270" w:right="239" w:bottom="1440" w:gutter="0" w:footer="0" w:header="0"/>
        </w:sectPr>
      </w:pPr>
    </w:p>
    <w:bookmarkStart w:id="4" w:name="page5"/>
    <w:bookmarkEnd w:id="4"/>
    <w:p>
      <w:pPr>
        <w:ind w:lef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which it is charged and to deliver promptly a copy of such fee schedule without charge to anyone upon request. The Depositary undertakes to notify each registered holder of an American Depositary Receipt thirty days before any change in the fee schedule.</w:t>
      </w:r>
    </w:p>
    <w:p>
      <w:pPr>
        <w:sectPr>
          <w:pgSz w:w="11900" w:h="16838" w:orient="portrait"/>
          <w:cols w:equalWidth="0" w:num="1">
            <w:col w:w="9700"/>
          </w:cols>
          <w:pgMar w:left="1440" w:top="274" w:right="7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JPMorgan Chase Bank, N.A., on behalf of the legal entity created by the Deposit Agreement, certifies that it has reasonable grounds to believe that all the requirements for filing on Form F-6 are met and has duly caused this Registration Statement to be signed on its behalf by the undersigned, thereunto duly authorized, in The City of New York, State of New York, on December 1, 2017.</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Legal entity created by the form of Deposit Agreement for the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issuance of ADRs evidencing American Depositary Shares</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JPMORGAN CHASE BANK, N.A., 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Depositary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M. Leinhauser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Joseph M. Leinhauser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1400"/>
          </w:cols>
          <w:pgMar w:left="240" w:top="27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“Securities Act of 1933”), iClick Interactive Asia Group Limited certifies that it has reasonable grounds to believe that all the requirements for filing on Form F-6 are met and has duly caused this Registration Statement on Form F-6 to be signed on its behalf by the undersigned, thereunto duly authorized, in Hong Kong, on December 1,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Wing Hong Sammy Hsieh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7"/>
              </w:rPr>
              <w:t>Chief Executive Officer and Chairman of the Board</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KNOW ALL PERSONS BY THESE PRESENTS, </w:t>
      </w:r>
      <w:r>
        <w:rPr>
          <w:rFonts w:ascii="Arial" w:cs="Arial" w:eastAsia="Arial" w:hAnsi="Arial"/>
          <w:sz w:val="17"/>
          <w:szCs w:val="17"/>
          <w:color w:val="auto"/>
        </w:rPr>
        <w:t>that each person whose signature appears below constitutes and appoints Wing Hong Sammy</w:t>
      </w:r>
      <w:r>
        <w:rPr>
          <w:rFonts w:ascii="Arial" w:cs="Arial" w:eastAsia="Arial" w:hAnsi="Arial"/>
          <w:sz w:val="17"/>
          <w:szCs w:val="17"/>
          <w:b w:val="1"/>
          <w:bCs w:val="1"/>
          <w:color w:val="auto"/>
        </w:rPr>
        <w:t xml:space="preserve"> </w:t>
      </w:r>
      <w:r>
        <w:rPr>
          <w:rFonts w:ascii="Arial" w:cs="Arial" w:eastAsia="Arial" w:hAnsi="Arial"/>
          <w:sz w:val="17"/>
          <w:szCs w:val="17"/>
          <w:color w:val="auto"/>
        </w:rPr>
        <w:t>Hsieh and Jie Jiao,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7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Signature</w:t>
            </w:r>
          </w:p>
        </w:tc>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Date</w:t>
            </w:r>
          </w:p>
        </w:tc>
      </w:tr>
      <w:tr>
        <w:trPr>
          <w:trHeight w:val="426"/>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Wing Hong Sammy Hsieh</w:t>
            </w:r>
          </w:p>
        </w:tc>
        <w:tc>
          <w:tcPr>
            <w:tcW w:w="1640" w:type="dxa"/>
            <w:vAlign w:val="bottom"/>
            <w:tcBorders>
              <w:bottom w:val="single" w:sz="8" w:color="auto"/>
            </w:tcBorders>
          </w:tcPr>
          <w:p>
            <w:pPr>
              <w:spacing w:after="0"/>
              <w:rPr>
                <w:sz w:val="24"/>
                <w:szCs w:val="24"/>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w w:val="95"/>
              </w:rPr>
              <w:t>Chief Executive Officer and Executive Chairman</w:t>
            </w: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December 1, 2017</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Wing Hong Sammy Hsieh</w:t>
            </w:r>
          </w:p>
        </w:tc>
        <w:tc>
          <w:tcPr>
            <w:tcW w:w="1640" w:type="dxa"/>
            <w:vAlign w:val="bottom"/>
          </w:tcPr>
          <w:p>
            <w:pPr>
              <w:spacing w:after="0"/>
              <w:rPr>
                <w:sz w:val="19"/>
                <w:szCs w:val="19"/>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of the Board (principal executive officer)</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Jie Jiao</w:t>
            </w:r>
          </w:p>
        </w:tc>
        <w:tc>
          <w:tcPr>
            <w:tcW w:w="1640" w:type="dxa"/>
            <w:vAlign w:val="bottom"/>
            <w:tcBorders>
              <w:bottom w:val="single" w:sz="8" w:color="auto"/>
            </w:tcBorders>
          </w:tcPr>
          <w:p>
            <w:pPr>
              <w:spacing w:after="0"/>
              <w:rPr>
                <w:sz w:val="24"/>
                <w:szCs w:val="24"/>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(principal financial and</w:t>
            </w: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December 1, 2017</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Jie Jiao</w:t>
            </w:r>
          </w:p>
        </w:tc>
        <w:tc>
          <w:tcPr>
            <w:tcW w:w="1640" w:type="dxa"/>
            <w:vAlign w:val="bottom"/>
          </w:tcPr>
          <w:p>
            <w:pPr>
              <w:spacing w:after="0"/>
              <w:rPr>
                <w:sz w:val="19"/>
                <w:szCs w:val="19"/>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principal accounting officer)</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Jian Tang</w:t>
            </w:r>
          </w:p>
        </w:tc>
        <w:tc>
          <w:tcPr>
            <w:tcW w:w="1640" w:type="dxa"/>
            <w:vAlign w:val="bottom"/>
            <w:tcBorders>
              <w:bottom w:val="single" w:sz="8" w:color="auto"/>
            </w:tcBorders>
          </w:tcPr>
          <w:p>
            <w:pPr>
              <w:spacing w:after="0"/>
              <w:rPr>
                <w:sz w:val="24"/>
                <w:szCs w:val="24"/>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December 1, 2017</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1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Yau Ping Ricky Ng</w:t>
            </w:r>
          </w:p>
        </w:tc>
        <w:tc>
          <w:tcPr>
            <w:tcW w:w="1640" w:type="dxa"/>
            <w:vAlign w:val="bottom"/>
            <w:tcBorders>
              <w:bottom w:val="single" w:sz="8" w:color="auto"/>
            </w:tcBorders>
          </w:tcPr>
          <w:p>
            <w:pPr>
              <w:spacing w:after="0"/>
              <w:rPr>
                <w:sz w:val="24"/>
                <w:szCs w:val="24"/>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December 1, 2017</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Yau Ping Ricky Ng</w:t>
            </w:r>
          </w:p>
        </w:tc>
        <w:tc>
          <w:tcPr>
            <w:tcW w:w="1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Yu Long</w:t>
            </w:r>
          </w:p>
        </w:tc>
        <w:tc>
          <w:tcPr>
            <w:tcW w:w="1640" w:type="dxa"/>
            <w:vAlign w:val="bottom"/>
            <w:tcBorders>
              <w:bottom w:val="single" w:sz="8" w:color="auto"/>
            </w:tcBorders>
          </w:tcPr>
          <w:p>
            <w:pPr>
              <w:spacing w:after="0"/>
              <w:rPr>
                <w:sz w:val="24"/>
                <w:szCs w:val="24"/>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December 1, 2017</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Yu Long</w:t>
            </w:r>
          </w:p>
        </w:tc>
        <w:tc>
          <w:tcPr>
            <w:tcW w:w="1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Antares Au</w:t>
            </w:r>
          </w:p>
        </w:tc>
        <w:tc>
          <w:tcPr>
            <w:tcW w:w="1640" w:type="dxa"/>
            <w:vAlign w:val="bottom"/>
            <w:tcBorders>
              <w:bottom w:val="single" w:sz="8" w:color="auto"/>
            </w:tcBorders>
          </w:tcPr>
          <w:p>
            <w:pPr>
              <w:spacing w:after="0"/>
              <w:rPr>
                <w:sz w:val="24"/>
                <w:szCs w:val="24"/>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December 1, 2017</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Antares Au</w:t>
            </w:r>
          </w:p>
        </w:tc>
        <w:tc>
          <w:tcPr>
            <w:tcW w:w="1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OF U.S. AUTHORIZED REPRESENTATIVE OF THE REGISTRANT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United States Securities Act of 1933, as amended, the undersigned, the registrant’s duly authorized representative in the United States, has signed this Registration Statement in New York, on the 1st day of December, 2017.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U.S. REPRESENTATIVE</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Diana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Diana Arias, on behalf of Law Debenture Corporate</w:t>
      </w:r>
    </w:p>
    <w:p>
      <w:pPr>
        <w:spacing w:after="0" w:line="3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Services Inc.</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Manager</w:t>
      </w:r>
    </w:p>
    <w:p>
      <w:pPr>
        <w:sectPr>
          <w:pgSz w:w="11900" w:h="16838" w:orient="portrait"/>
          <w:cols w:equalWidth="0" w:num="1">
            <w:col w:w="11400"/>
          </w:cols>
          <w:pgMar w:left="240" w:top="270"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u w:val="single" w:color="auto"/>
          <w:color w:val="auto"/>
        </w:rPr>
        <w:t>Number</w:t>
      </w:r>
    </w:p>
    <w:p>
      <w:pPr>
        <w:spacing w:after="0" w:line="129" w:lineRule="exact"/>
        <w:rPr>
          <w:sz w:val="20"/>
          <w:szCs w:val="20"/>
          <w:color w:val="auto"/>
        </w:rPr>
      </w:pPr>
    </w:p>
    <w:p>
      <w:pPr>
        <w:ind w:left="1260" w:hanging="1252"/>
        <w:spacing w:after="0" w:line="308"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Form of Deposit Agreement among iClick Interactive Asia Group Limited, JPMorgan Chase Bank, N.A., as depositary, and all holders from time to time of ADRs issued thereunder, including the form of American Depositary Receipt attached as Exhibit A thereto.</w:t>
      </w:r>
    </w:p>
    <w:p>
      <w:pPr>
        <w:spacing w:after="0" w:line="38" w:lineRule="exact"/>
        <w:rPr>
          <w:sz w:val="20"/>
          <w:szCs w:val="20"/>
          <w:color w:val="auto"/>
        </w:rPr>
      </w:pPr>
    </w:p>
    <w:p>
      <w:pPr>
        <w:ind w:left="1260" w:hanging="125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Paul Hastings LLP, counsel to the Depositary, as to the legality of the securities to be registered.</w:t>
      </w:r>
    </w:p>
    <w:p>
      <w:pPr>
        <w:sectPr>
          <w:pgSz w:w="11900" w:h="16838" w:orient="portrait"/>
          <w:cols w:equalWidth="0" w:num="1">
            <w:col w:w="11360"/>
          </w:cols>
          <w:pgMar w:left="240" w:top="270"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172085</wp:posOffset>
            </wp:positionV>
            <wp:extent cx="5505450" cy="2461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545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220"/>
          </w:cols>
          <w:pgMar w:left="14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99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1100" w:type="dxa"/>
            <w:vAlign w:val="bottom"/>
          </w:tcPr>
          <w:p>
            <w:pPr>
              <w:spacing w:after="0"/>
              <w:rPr>
                <w:sz w:val="20"/>
                <w:szCs w:val="20"/>
                <w:color w:val="auto"/>
              </w:rPr>
            </w:pPr>
            <w:r>
              <w:rPr>
                <w:rFonts w:ascii="Arial" w:cs="Arial" w:eastAsia="Arial" w:hAnsi="Arial"/>
                <w:sz w:val="18"/>
                <w:szCs w:val="18"/>
                <w:color w:val="auto"/>
              </w:rPr>
              <w:t>PARTIES</w:t>
            </w:r>
          </w:p>
        </w:tc>
        <w:tc>
          <w:tcPr>
            <w:tcW w:w="9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RECITALS</w:t>
            </w:r>
          </w:p>
        </w:tc>
        <w:tc>
          <w:tcPr>
            <w:tcW w:w="9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Section 1.</w:t>
            </w:r>
          </w:p>
        </w:tc>
        <w:tc>
          <w:tcPr>
            <w:tcW w:w="998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spacing w:after="0"/>
              <w:rPr>
                <w:sz w:val="24"/>
                <w:szCs w:val="24"/>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9980" w:type="dxa"/>
            <w:vAlign w:val="bottom"/>
          </w:tcPr>
          <w:p>
            <w:pPr>
              <w:ind w:left="600"/>
              <w:spacing w:after="0"/>
              <w:rPr>
                <w:sz w:val="20"/>
                <w:szCs w:val="20"/>
                <w:color w:val="auto"/>
              </w:rPr>
            </w:pPr>
            <w:r>
              <w:rPr>
                <w:rFonts w:ascii="Arial" w:cs="Arial" w:eastAsia="Arial" w:hAnsi="Arial"/>
                <w:sz w:val="18"/>
                <w:szCs w:val="18"/>
                <w:color w:val="auto"/>
              </w:rPr>
              <w:t>ADR Register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9980" w:type="dxa"/>
            <w:vAlign w:val="bottom"/>
          </w:tcPr>
          <w:p>
            <w:pPr>
              <w:ind w:left="600"/>
              <w:spacing w:after="0"/>
              <w:rPr>
                <w:sz w:val="20"/>
                <w:szCs w:val="20"/>
                <w:color w:val="auto"/>
              </w:rPr>
            </w:pPr>
            <w:r>
              <w:rPr>
                <w:rFonts w:ascii="Arial" w:cs="Arial" w:eastAsia="Arial" w:hAnsi="Arial"/>
                <w:sz w:val="18"/>
                <w:szCs w:val="18"/>
                <w:color w:val="auto"/>
              </w:rPr>
              <w:t>ADRs; Direct Registration ADRs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9980" w:type="dxa"/>
            <w:vAlign w:val="bottom"/>
          </w:tcPr>
          <w:p>
            <w:pPr>
              <w:ind w:left="600"/>
              <w:spacing w:after="0"/>
              <w:rPr>
                <w:sz w:val="20"/>
                <w:szCs w:val="20"/>
                <w:color w:val="auto"/>
              </w:rPr>
            </w:pPr>
            <w:r>
              <w:rPr>
                <w:rFonts w:ascii="Arial" w:cs="Arial" w:eastAsia="Arial" w:hAnsi="Arial"/>
                <w:sz w:val="18"/>
                <w:szCs w:val="18"/>
                <w:color w:val="auto"/>
              </w:rPr>
              <w:t>ADS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9980" w:type="dxa"/>
            <w:vAlign w:val="bottom"/>
          </w:tcPr>
          <w:p>
            <w:pPr>
              <w:ind w:left="600"/>
              <w:spacing w:after="0"/>
              <w:rPr>
                <w:sz w:val="20"/>
                <w:szCs w:val="20"/>
                <w:color w:val="auto"/>
              </w:rPr>
            </w:pPr>
            <w:r>
              <w:rPr>
                <w:rFonts w:ascii="Arial" w:cs="Arial" w:eastAsia="Arial" w:hAnsi="Arial"/>
                <w:sz w:val="18"/>
                <w:szCs w:val="18"/>
                <w:color w:val="auto"/>
              </w:rPr>
              <w:t>Custodian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9980" w:type="dxa"/>
            <w:vAlign w:val="bottom"/>
          </w:tcPr>
          <w:p>
            <w:pPr>
              <w:ind w:left="600"/>
              <w:spacing w:after="0"/>
              <w:rPr>
                <w:sz w:val="20"/>
                <w:szCs w:val="20"/>
                <w:color w:val="auto"/>
              </w:rPr>
            </w:pPr>
            <w:r>
              <w:rPr>
                <w:rFonts w:ascii="Arial" w:cs="Arial" w:eastAsia="Arial" w:hAnsi="Arial"/>
                <w:sz w:val="18"/>
                <w:szCs w:val="18"/>
                <w:color w:val="auto"/>
              </w:rPr>
              <w:t>Deliver, execute, issue et al.</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(f)</w:t>
            </w:r>
          </w:p>
        </w:tc>
        <w:tc>
          <w:tcPr>
            <w:tcW w:w="9980" w:type="dxa"/>
            <w:vAlign w:val="bottom"/>
          </w:tcPr>
          <w:p>
            <w:pPr>
              <w:ind w:left="600"/>
              <w:spacing w:after="0"/>
              <w:rPr>
                <w:sz w:val="20"/>
                <w:szCs w:val="20"/>
                <w:color w:val="auto"/>
              </w:rPr>
            </w:pPr>
            <w:r>
              <w:rPr>
                <w:rFonts w:ascii="Arial" w:cs="Arial" w:eastAsia="Arial" w:hAnsi="Arial"/>
                <w:sz w:val="18"/>
                <w:szCs w:val="18"/>
                <w:color w:val="auto"/>
              </w:rPr>
              <w:t>Delivery Order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(g)</w:t>
            </w:r>
          </w:p>
        </w:tc>
        <w:tc>
          <w:tcPr>
            <w:tcW w:w="9980" w:type="dxa"/>
            <w:vAlign w:val="bottom"/>
          </w:tcPr>
          <w:p>
            <w:pPr>
              <w:ind w:left="600"/>
              <w:spacing w:after="0"/>
              <w:rPr>
                <w:sz w:val="20"/>
                <w:szCs w:val="20"/>
                <w:color w:val="auto"/>
              </w:rPr>
            </w:pPr>
            <w:r>
              <w:rPr>
                <w:rFonts w:ascii="Arial" w:cs="Arial" w:eastAsia="Arial" w:hAnsi="Arial"/>
                <w:sz w:val="18"/>
                <w:szCs w:val="18"/>
                <w:color w:val="auto"/>
              </w:rPr>
              <w:t>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(h)</w:t>
            </w:r>
          </w:p>
        </w:tc>
        <w:tc>
          <w:tcPr>
            <w:tcW w:w="9980" w:type="dxa"/>
            <w:vAlign w:val="bottom"/>
          </w:tcPr>
          <w:p>
            <w:pPr>
              <w:ind w:left="600"/>
              <w:spacing w:after="0"/>
              <w:rPr>
                <w:sz w:val="20"/>
                <w:szCs w:val="20"/>
                <w:color w:val="auto"/>
              </w:rPr>
            </w:pPr>
            <w:r>
              <w:rPr>
                <w:rFonts w:ascii="Arial" w:cs="Arial" w:eastAsia="Arial" w:hAnsi="Arial"/>
                <w:sz w:val="18"/>
                <w:szCs w:val="18"/>
                <w:color w:val="auto"/>
              </w:rPr>
              <w:t>Direct Registration System</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(i)</w:t>
            </w:r>
          </w:p>
        </w:tc>
        <w:tc>
          <w:tcPr>
            <w:tcW w:w="9980" w:type="dxa"/>
            <w:vAlign w:val="bottom"/>
          </w:tcPr>
          <w:p>
            <w:pPr>
              <w:ind w:left="600"/>
              <w:spacing w:after="0"/>
              <w:rPr>
                <w:sz w:val="20"/>
                <w:szCs w:val="20"/>
                <w:color w:val="auto"/>
              </w:rPr>
            </w:pPr>
            <w:r>
              <w:rPr>
                <w:rFonts w:ascii="Arial" w:cs="Arial" w:eastAsia="Arial" w:hAnsi="Arial"/>
                <w:sz w:val="18"/>
                <w:szCs w:val="18"/>
                <w:color w:val="auto"/>
              </w:rPr>
              <w:t>Holder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(j)</w:t>
            </w:r>
          </w:p>
        </w:tc>
        <w:tc>
          <w:tcPr>
            <w:tcW w:w="9980" w:type="dxa"/>
            <w:vAlign w:val="bottom"/>
          </w:tcPr>
          <w:p>
            <w:pPr>
              <w:ind w:left="600"/>
              <w:spacing w:after="0"/>
              <w:rPr>
                <w:sz w:val="20"/>
                <w:szCs w:val="20"/>
                <w:color w:val="auto"/>
              </w:rPr>
            </w:pPr>
            <w:r>
              <w:rPr>
                <w:rFonts w:ascii="Arial" w:cs="Arial" w:eastAsia="Arial" w:hAnsi="Arial"/>
                <w:sz w:val="18"/>
                <w:szCs w:val="18"/>
                <w:color w:val="auto"/>
              </w:rPr>
              <w:t>Securities Act of 1933</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(k)</w:t>
            </w:r>
          </w:p>
        </w:tc>
        <w:tc>
          <w:tcPr>
            <w:tcW w:w="9980" w:type="dxa"/>
            <w:vAlign w:val="bottom"/>
          </w:tcPr>
          <w:p>
            <w:pPr>
              <w:ind w:left="600"/>
              <w:spacing w:after="0"/>
              <w:rPr>
                <w:sz w:val="20"/>
                <w:szCs w:val="20"/>
                <w:color w:val="auto"/>
              </w:rPr>
            </w:pPr>
            <w:r>
              <w:rPr>
                <w:rFonts w:ascii="Arial" w:cs="Arial" w:eastAsia="Arial" w:hAnsi="Arial"/>
                <w:sz w:val="18"/>
                <w:szCs w:val="18"/>
                <w:color w:val="auto"/>
              </w:rPr>
              <w:t>Securities Exchange Act of 1934</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(l)</w:t>
            </w:r>
          </w:p>
        </w:tc>
        <w:tc>
          <w:tcPr>
            <w:tcW w:w="9980" w:type="dxa"/>
            <w:vAlign w:val="bottom"/>
          </w:tcPr>
          <w:p>
            <w:pPr>
              <w:ind w:left="600"/>
              <w:spacing w:after="0"/>
              <w:rPr>
                <w:sz w:val="20"/>
                <w:szCs w:val="20"/>
                <w:color w:val="auto"/>
              </w:rPr>
            </w:pPr>
            <w:r>
              <w:rPr>
                <w:rFonts w:ascii="Arial" w:cs="Arial" w:eastAsia="Arial" w:hAnsi="Arial"/>
                <w:sz w:val="18"/>
                <w:szCs w:val="18"/>
                <w:color w:val="auto"/>
              </w:rPr>
              <w:t>Shares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6"/>
              </w:rPr>
              <w:t>(m)</w:t>
            </w:r>
          </w:p>
        </w:tc>
        <w:tc>
          <w:tcPr>
            <w:tcW w:w="9980" w:type="dxa"/>
            <w:vAlign w:val="bottom"/>
          </w:tcPr>
          <w:p>
            <w:pPr>
              <w:ind w:left="600"/>
              <w:spacing w:after="0"/>
              <w:rPr>
                <w:sz w:val="20"/>
                <w:szCs w:val="20"/>
                <w:color w:val="auto"/>
              </w:rPr>
            </w:pPr>
            <w:r>
              <w:rPr>
                <w:rFonts w:ascii="Arial" w:cs="Arial" w:eastAsia="Arial" w:hAnsi="Arial"/>
                <w:sz w:val="18"/>
                <w:szCs w:val="18"/>
                <w:color w:val="auto"/>
              </w:rPr>
              <w:t>Transfer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(n)</w:t>
            </w:r>
          </w:p>
        </w:tc>
        <w:tc>
          <w:tcPr>
            <w:tcW w:w="9980" w:type="dxa"/>
            <w:vAlign w:val="bottom"/>
          </w:tcPr>
          <w:p>
            <w:pPr>
              <w:ind w:left="600"/>
              <w:spacing w:after="0"/>
              <w:rPr>
                <w:sz w:val="20"/>
                <w:szCs w:val="20"/>
                <w:color w:val="auto"/>
              </w:rPr>
            </w:pPr>
            <w:r>
              <w:rPr>
                <w:rFonts w:ascii="Arial" w:cs="Arial" w:eastAsia="Arial" w:hAnsi="Arial"/>
                <w:sz w:val="18"/>
                <w:szCs w:val="18"/>
                <w:color w:val="auto"/>
              </w:rPr>
              <w:t>Withdrawal Order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9980" w:type="dxa"/>
            <w:vAlign w:val="bottom"/>
          </w:tcPr>
          <w:p>
            <w:pPr>
              <w:ind w:left="240"/>
              <w:spacing w:after="0"/>
              <w:rPr>
                <w:sz w:val="20"/>
                <w:szCs w:val="20"/>
                <w:color w:val="auto"/>
              </w:rPr>
            </w:pPr>
            <w:r>
              <w:rPr>
                <w:rFonts w:ascii="Arial" w:cs="Arial" w:eastAsia="Arial" w:hAnsi="Arial"/>
                <w:sz w:val="18"/>
                <w:szCs w:val="18"/>
                <w:color w:val="auto"/>
              </w:rPr>
              <w:t>Form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9980" w:type="dxa"/>
            <w:vAlign w:val="bottom"/>
          </w:tcPr>
          <w:p>
            <w:pPr>
              <w:ind w:left="240"/>
              <w:spacing w:after="0"/>
              <w:rPr>
                <w:sz w:val="20"/>
                <w:szCs w:val="20"/>
                <w:color w:val="auto"/>
              </w:rPr>
            </w:pPr>
            <w:r>
              <w:rPr>
                <w:rFonts w:ascii="Arial" w:cs="Arial" w:eastAsia="Arial" w:hAnsi="Arial"/>
                <w:sz w:val="18"/>
                <w:szCs w:val="18"/>
                <w:color w:val="auto"/>
              </w:rPr>
              <w:t>Deposit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w:t>
            </w:r>
          </w:p>
        </w:tc>
        <w:tc>
          <w:tcPr>
            <w:tcW w:w="9980" w:type="dxa"/>
            <w:vAlign w:val="bottom"/>
          </w:tcPr>
          <w:p>
            <w:pPr>
              <w:ind w:left="240"/>
              <w:spacing w:after="0"/>
              <w:rPr>
                <w:sz w:val="20"/>
                <w:szCs w:val="20"/>
                <w:color w:val="auto"/>
              </w:rPr>
            </w:pPr>
            <w:r>
              <w:rPr>
                <w:rFonts w:ascii="Arial" w:cs="Arial" w:eastAsia="Arial" w:hAnsi="Arial"/>
                <w:sz w:val="18"/>
                <w:szCs w:val="18"/>
                <w:color w:val="auto"/>
              </w:rPr>
              <w:t>Issue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9980" w:type="dxa"/>
            <w:vAlign w:val="bottom"/>
          </w:tcPr>
          <w:p>
            <w:pPr>
              <w:ind w:left="240"/>
              <w:spacing w:after="0"/>
              <w:rPr>
                <w:sz w:val="20"/>
                <w:szCs w:val="20"/>
                <w:color w:val="auto"/>
              </w:rPr>
            </w:pPr>
            <w:r>
              <w:rPr>
                <w:rFonts w:ascii="Arial" w:cs="Arial" w:eastAsia="Arial" w:hAnsi="Arial"/>
                <w:sz w:val="18"/>
                <w:szCs w:val="18"/>
                <w:color w:val="auto"/>
              </w:rPr>
              <w:t>Distributions on 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w:t>
            </w:r>
          </w:p>
        </w:tc>
        <w:tc>
          <w:tcPr>
            <w:tcW w:w="9980" w:type="dxa"/>
            <w:vAlign w:val="bottom"/>
          </w:tcPr>
          <w:p>
            <w:pPr>
              <w:ind w:left="240"/>
              <w:spacing w:after="0"/>
              <w:rPr>
                <w:sz w:val="20"/>
                <w:szCs w:val="20"/>
                <w:color w:val="auto"/>
              </w:rPr>
            </w:pPr>
            <w:r>
              <w:rPr>
                <w:rFonts w:ascii="Arial" w:cs="Arial" w:eastAsia="Arial" w:hAnsi="Arial"/>
                <w:sz w:val="18"/>
                <w:szCs w:val="18"/>
                <w:color w:val="auto"/>
              </w:rPr>
              <w:t>Withdrawal of 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w:t>
            </w:r>
          </w:p>
        </w:tc>
        <w:tc>
          <w:tcPr>
            <w:tcW w:w="9980" w:type="dxa"/>
            <w:vAlign w:val="bottom"/>
          </w:tcPr>
          <w:p>
            <w:pPr>
              <w:ind w:left="240"/>
              <w:spacing w:after="0"/>
              <w:rPr>
                <w:sz w:val="20"/>
                <w:szCs w:val="20"/>
                <w:color w:val="auto"/>
              </w:rPr>
            </w:pPr>
            <w:r>
              <w:rPr>
                <w:rFonts w:ascii="Arial" w:cs="Arial" w:eastAsia="Arial" w:hAnsi="Arial"/>
                <w:sz w:val="18"/>
                <w:szCs w:val="18"/>
                <w:color w:val="auto"/>
              </w:rPr>
              <w:t>Substitution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w:t>
            </w:r>
          </w:p>
        </w:tc>
        <w:tc>
          <w:tcPr>
            <w:tcW w:w="9980" w:type="dxa"/>
            <w:vAlign w:val="bottom"/>
          </w:tcPr>
          <w:p>
            <w:pPr>
              <w:ind w:left="240"/>
              <w:spacing w:after="0"/>
              <w:rPr>
                <w:sz w:val="20"/>
                <w:szCs w:val="20"/>
                <w:color w:val="auto"/>
              </w:rPr>
            </w:pPr>
            <w:r>
              <w:rPr>
                <w:rFonts w:ascii="Arial" w:cs="Arial" w:eastAsia="Arial" w:hAnsi="Arial"/>
                <w:sz w:val="18"/>
                <w:szCs w:val="18"/>
                <w:color w:val="auto"/>
              </w:rPr>
              <w:t>Cancellation and Destruction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w:t>
            </w:r>
          </w:p>
        </w:tc>
        <w:tc>
          <w:tcPr>
            <w:tcW w:w="9980" w:type="dxa"/>
            <w:vAlign w:val="bottom"/>
          </w:tcPr>
          <w:p>
            <w:pPr>
              <w:ind w:left="240"/>
              <w:spacing w:after="0"/>
              <w:rPr>
                <w:sz w:val="20"/>
                <w:szCs w:val="20"/>
                <w:color w:val="auto"/>
              </w:rPr>
            </w:pPr>
            <w:r>
              <w:rPr>
                <w:rFonts w:ascii="Arial" w:cs="Arial" w:eastAsia="Arial" w:hAnsi="Arial"/>
                <w:sz w:val="18"/>
                <w:szCs w:val="18"/>
                <w:color w:val="auto"/>
              </w:rPr>
              <w:t>The Custodian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w:t>
            </w:r>
          </w:p>
        </w:tc>
        <w:tc>
          <w:tcPr>
            <w:tcW w:w="9980" w:type="dxa"/>
            <w:vAlign w:val="bottom"/>
          </w:tcPr>
          <w:p>
            <w:pPr>
              <w:ind w:left="240"/>
              <w:spacing w:after="0"/>
              <w:rPr>
                <w:sz w:val="20"/>
                <w:szCs w:val="20"/>
                <w:color w:val="auto"/>
              </w:rPr>
            </w:pPr>
            <w:r>
              <w:rPr>
                <w:rFonts w:ascii="Arial" w:cs="Arial" w:eastAsia="Arial" w:hAnsi="Arial"/>
                <w:sz w:val="18"/>
                <w:szCs w:val="18"/>
                <w:color w:val="auto"/>
              </w:rPr>
              <w:t>Lists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11.</w:t>
            </w:r>
          </w:p>
        </w:tc>
        <w:tc>
          <w:tcPr>
            <w:tcW w:w="9980" w:type="dxa"/>
            <w:vAlign w:val="bottom"/>
          </w:tcPr>
          <w:p>
            <w:pPr>
              <w:ind w:left="240"/>
              <w:spacing w:after="0"/>
              <w:rPr>
                <w:sz w:val="20"/>
                <w:szCs w:val="20"/>
                <w:color w:val="auto"/>
              </w:rPr>
            </w:pPr>
            <w:r>
              <w:rPr>
                <w:rFonts w:ascii="Arial" w:cs="Arial" w:eastAsia="Arial" w:hAnsi="Arial"/>
                <w:sz w:val="18"/>
                <w:szCs w:val="18"/>
                <w:color w:val="auto"/>
              </w:rPr>
              <w:t>Depositary’s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12.</w:t>
            </w:r>
          </w:p>
        </w:tc>
        <w:tc>
          <w:tcPr>
            <w:tcW w:w="9980" w:type="dxa"/>
            <w:vAlign w:val="bottom"/>
          </w:tcPr>
          <w:p>
            <w:pPr>
              <w:ind w:left="24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13.</w:t>
            </w:r>
          </w:p>
        </w:tc>
        <w:tc>
          <w:tcPr>
            <w:tcW w:w="9980" w:type="dxa"/>
            <w:vAlign w:val="bottom"/>
          </w:tcPr>
          <w:p>
            <w:pPr>
              <w:ind w:left="240"/>
              <w:spacing w:after="0"/>
              <w:rPr>
                <w:sz w:val="20"/>
                <w:szCs w:val="20"/>
                <w:color w:val="auto"/>
              </w:rPr>
            </w:pPr>
            <w:r>
              <w:rPr>
                <w:rFonts w:ascii="Arial" w:cs="Arial" w:eastAsia="Arial" w:hAnsi="Arial"/>
                <w:sz w:val="18"/>
                <w:szCs w:val="18"/>
                <w:color w:val="auto"/>
              </w:rPr>
              <w:t>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14.</w:t>
            </w:r>
          </w:p>
        </w:tc>
        <w:tc>
          <w:tcPr>
            <w:tcW w:w="9980" w:type="dxa"/>
            <w:vAlign w:val="bottom"/>
          </w:tcPr>
          <w:p>
            <w:pPr>
              <w:ind w:left="240"/>
              <w:spacing w:after="0"/>
              <w:rPr>
                <w:sz w:val="20"/>
                <w:szCs w:val="20"/>
                <w:color w:val="auto"/>
              </w:rPr>
            </w:pPr>
            <w:r>
              <w:rPr>
                <w:rFonts w:ascii="Arial" w:cs="Arial" w:eastAsia="Arial" w:hAnsi="Arial"/>
                <w:sz w:val="18"/>
                <w:szCs w:val="18"/>
                <w:color w:val="auto"/>
              </w:rPr>
              <w:t>Additional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15.</w:t>
            </w:r>
          </w:p>
        </w:tc>
        <w:tc>
          <w:tcPr>
            <w:tcW w:w="998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16.</w:t>
            </w:r>
          </w:p>
        </w:tc>
        <w:tc>
          <w:tcPr>
            <w:tcW w:w="99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17.</w:t>
            </w:r>
          </w:p>
        </w:tc>
        <w:tc>
          <w:tcPr>
            <w:tcW w:w="99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18.</w:t>
            </w:r>
          </w:p>
        </w:tc>
        <w:tc>
          <w:tcPr>
            <w:tcW w:w="9980" w:type="dxa"/>
            <w:vAlign w:val="bottom"/>
          </w:tcPr>
          <w:p>
            <w:pPr>
              <w:ind w:left="240"/>
              <w:spacing w:after="0"/>
              <w:rPr>
                <w:sz w:val="20"/>
                <w:szCs w:val="20"/>
                <w:color w:val="auto"/>
              </w:rPr>
            </w:pPr>
            <w:r>
              <w:rPr>
                <w:rFonts w:ascii="Arial" w:cs="Arial" w:eastAsia="Arial" w:hAnsi="Arial"/>
                <w:sz w:val="18"/>
                <w:szCs w:val="18"/>
                <w:color w:val="auto"/>
              </w:rPr>
              <w:t>No Third Party Beneficiaries; Holders and Owners as Parties; Binding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19.</w:t>
            </w:r>
          </w:p>
        </w:tc>
        <w:tc>
          <w:tcPr>
            <w:tcW w:w="998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w:t>
            </w:r>
          </w:p>
        </w:tc>
        <w:tc>
          <w:tcPr>
            <w:tcW w:w="9980" w:type="dxa"/>
            <w:vAlign w:val="bottom"/>
          </w:tcPr>
          <w:p>
            <w:pPr>
              <w:ind w:left="240"/>
              <w:spacing w:after="0"/>
              <w:rPr>
                <w:sz w:val="20"/>
                <w:szCs w:val="20"/>
                <w:color w:val="auto"/>
              </w:rPr>
            </w:pPr>
            <w:r>
              <w:rPr>
                <w:rFonts w:ascii="Arial" w:cs="Arial" w:eastAsia="Arial" w:hAnsi="Arial"/>
                <w:sz w:val="18"/>
                <w:szCs w:val="18"/>
                <w:color w:val="auto"/>
              </w:rPr>
              <w:t>Governing Law; Consent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21.</w:t>
            </w:r>
          </w:p>
        </w:tc>
        <w:tc>
          <w:tcPr>
            <w:tcW w:w="9980" w:type="dxa"/>
            <w:vAlign w:val="bottom"/>
          </w:tcPr>
          <w:p>
            <w:pPr>
              <w:ind w:left="240"/>
              <w:spacing w:after="0"/>
              <w:rPr>
                <w:sz w:val="20"/>
                <w:szCs w:val="20"/>
                <w:color w:val="auto"/>
              </w:rPr>
            </w:pPr>
            <w:r>
              <w:rPr>
                <w:rFonts w:ascii="Arial" w:cs="Arial" w:eastAsia="Arial" w:hAnsi="Arial"/>
                <w:sz w:val="18"/>
                <w:szCs w:val="18"/>
                <w:color w:val="auto"/>
              </w:rPr>
              <w:t>Appointment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60"/>
          </w:cols>
          <w:pgMar w:left="240" w:top="270"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1460" w:type="dxa"/>
            <w:vAlign w:val="bottom"/>
          </w:tcPr>
          <w:p>
            <w:pPr>
              <w:spacing w:after="0"/>
              <w:rPr>
                <w:sz w:val="20"/>
                <w:szCs w:val="20"/>
                <w:color w:val="auto"/>
              </w:rPr>
            </w:pPr>
            <w:r>
              <w:rPr>
                <w:rFonts w:ascii="Arial" w:cs="Arial" w:eastAsia="Arial" w:hAnsi="Arial"/>
                <w:sz w:val="18"/>
                <w:szCs w:val="18"/>
                <w:color w:val="auto"/>
              </w:rPr>
              <w:t>Section 22.</w:t>
            </w:r>
          </w:p>
        </w:tc>
        <w:tc>
          <w:tcPr>
            <w:tcW w:w="9620" w:type="dxa"/>
            <w:vAlign w:val="bottom"/>
          </w:tcPr>
          <w:p>
            <w:pPr>
              <w:ind w:left="100"/>
              <w:spacing w:after="0"/>
              <w:rPr>
                <w:sz w:val="20"/>
                <w:szCs w:val="20"/>
                <w:color w:val="auto"/>
              </w:rPr>
            </w:pPr>
            <w:r>
              <w:rPr>
                <w:rFonts w:ascii="Arial" w:cs="Arial" w:eastAsia="Arial" w:hAnsi="Arial"/>
                <w:sz w:val="18"/>
                <w:szCs w:val="18"/>
                <w:color w:val="auto"/>
              </w:rPr>
              <w:t>Waiver of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460" w:type="dxa"/>
            <w:vAlign w:val="bottom"/>
          </w:tcPr>
          <w:p>
            <w:pPr>
              <w:spacing w:after="0"/>
              <w:rPr>
                <w:sz w:val="20"/>
                <w:szCs w:val="20"/>
                <w:color w:val="auto"/>
              </w:rPr>
            </w:pPr>
            <w:r>
              <w:rPr>
                <w:rFonts w:ascii="Arial" w:cs="Arial" w:eastAsia="Arial" w:hAnsi="Arial"/>
                <w:sz w:val="18"/>
                <w:szCs w:val="18"/>
                <w:color w:val="auto"/>
              </w:rPr>
              <w:t>Section 23.</w:t>
            </w:r>
          </w:p>
        </w:tc>
        <w:tc>
          <w:tcPr>
            <w:tcW w:w="96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spacing w:after="0"/>
              <w:rPr>
                <w:sz w:val="20"/>
                <w:szCs w:val="20"/>
                <w:color w:val="auto"/>
              </w:rPr>
            </w:pPr>
            <w:r>
              <w:rPr>
                <w:rFonts w:ascii="Arial" w:cs="Arial" w:eastAsia="Arial" w:hAnsi="Arial"/>
                <w:sz w:val="18"/>
                <w:szCs w:val="18"/>
                <w:b w:val="1"/>
                <w:bCs w:val="1"/>
                <w:color w:val="auto"/>
              </w:rPr>
              <w:t>TESTIMONIUM</w:t>
            </w:r>
          </w:p>
        </w:tc>
        <w:tc>
          <w:tcPr>
            <w:tcW w:w="9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60"/>
          </w:cols>
          <w:pgMar w:left="240" w:top="269"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140" w:type="dxa"/>
            <w:vAlign w:val="bottom"/>
            <w:gridSpan w:val="3"/>
          </w:tcPr>
          <w:p>
            <w:pPr>
              <w:jc w:val="right"/>
              <w:ind w:right="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FORM OF FACE OF ADR</w:t>
            </w:r>
          </w:p>
        </w:tc>
        <w:tc>
          <w:tcPr>
            <w:tcW w:w="58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 A</w:t>
            </w: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gridSpan w:val="2"/>
            <w:vMerge w:val="continue"/>
          </w:tcPr>
          <w:p>
            <w:pPr>
              <w:spacing w:after="0"/>
              <w:rPr>
                <w:sz w:val="18"/>
                <w:szCs w:val="18"/>
                <w:color w:val="auto"/>
              </w:rPr>
            </w:pPr>
          </w:p>
        </w:tc>
        <w:tc>
          <w:tcPr>
            <w:tcW w:w="5800" w:type="dxa"/>
            <w:vAlign w:val="bottom"/>
            <w:vMerge w:val="continue"/>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1"/>
        </w:trPr>
        <w:tc>
          <w:tcPr>
            <w:tcW w:w="5220" w:type="dxa"/>
            <w:vAlign w:val="bottom"/>
            <w:gridSpan w:val="2"/>
            <w:vMerge w:val="continue"/>
          </w:tcPr>
          <w:p>
            <w:pPr>
              <w:spacing w:after="0"/>
              <w:rPr>
                <w:sz w:val="18"/>
                <w:szCs w:val="18"/>
                <w:color w:val="auto"/>
              </w:rPr>
            </w:pPr>
          </w:p>
        </w:tc>
        <w:tc>
          <w:tcPr>
            <w:tcW w:w="58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Introductory Paragraph</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418"/>
        </w:trPr>
        <w:tc>
          <w:tcPr>
            <w:tcW w:w="840" w:type="dxa"/>
            <w:vAlign w:val="bottom"/>
          </w:tcPr>
          <w:p>
            <w:pPr>
              <w:ind w:left="380"/>
              <w:spacing w:after="0"/>
              <w:rPr>
                <w:sz w:val="20"/>
                <w:szCs w:val="20"/>
                <w:color w:val="auto"/>
              </w:rPr>
            </w:pPr>
            <w:r>
              <w:rPr>
                <w:rFonts w:ascii="Arial" w:cs="Arial" w:eastAsia="Arial" w:hAnsi="Arial"/>
                <w:sz w:val="18"/>
                <w:szCs w:val="18"/>
                <w:color w:val="auto"/>
              </w:rPr>
              <w:t>(1)</w:t>
            </w:r>
          </w:p>
        </w:tc>
        <w:tc>
          <w:tcPr>
            <w:tcW w:w="4380" w:type="dxa"/>
            <w:vAlign w:val="bottom"/>
          </w:tcPr>
          <w:p>
            <w:pPr>
              <w:ind w:left="180"/>
              <w:spacing w:after="0"/>
              <w:rPr>
                <w:sz w:val="20"/>
                <w:szCs w:val="20"/>
                <w:color w:val="auto"/>
              </w:rPr>
            </w:pPr>
            <w:r>
              <w:rPr>
                <w:rFonts w:ascii="Arial" w:cs="Arial" w:eastAsia="Arial" w:hAnsi="Arial"/>
                <w:sz w:val="18"/>
                <w:szCs w:val="18"/>
                <w:color w:val="auto"/>
              </w:rPr>
              <w:t>Issuance of ADSs</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(2)</w:t>
            </w:r>
          </w:p>
        </w:tc>
        <w:tc>
          <w:tcPr>
            <w:tcW w:w="4380" w:type="dxa"/>
            <w:vAlign w:val="bottom"/>
          </w:tcPr>
          <w:p>
            <w:pPr>
              <w:ind w:left="180"/>
              <w:spacing w:after="0"/>
              <w:rPr>
                <w:sz w:val="20"/>
                <w:szCs w:val="20"/>
                <w:color w:val="auto"/>
              </w:rPr>
            </w:pPr>
            <w:r>
              <w:rPr>
                <w:rFonts w:ascii="Arial" w:cs="Arial" w:eastAsia="Arial" w:hAnsi="Arial"/>
                <w:sz w:val="18"/>
                <w:szCs w:val="18"/>
                <w:color w:val="auto"/>
              </w:rPr>
              <w:t>Withdrawal of Deposited Securities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(3)</w:t>
            </w:r>
          </w:p>
        </w:tc>
        <w:tc>
          <w:tcPr>
            <w:tcW w:w="4380" w:type="dxa"/>
            <w:vAlign w:val="bottom"/>
          </w:tcPr>
          <w:p>
            <w:pPr>
              <w:ind w:left="180"/>
              <w:spacing w:after="0"/>
              <w:rPr>
                <w:sz w:val="20"/>
                <w:szCs w:val="20"/>
                <w:color w:val="auto"/>
              </w:rPr>
            </w:pPr>
            <w:r>
              <w:rPr>
                <w:rFonts w:ascii="Arial" w:cs="Arial" w:eastAsia="Arial" w:hAnsi="Arial"/>
                <w:sz w:val="18"/>
                <w:szCs w:val="18"/>
                <w:color w:val="auto"/>
              </w:rPr>
              <w:t>Transfers of ADRs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(4)</w:t>
            </w:r>
          </w:p>
        </w:tc>
        <w:tc>
          <w:tcPr>
            <w:tcW w:w="4380" w:type="dxa"/>
            <w:vAlign w:val="bottom"/>
          </w:tcPr>
          <w:p>
            <w:pPr>
              <w:ind w:left="180"/>
              <w:spacing w:after="0"/>
              <w:rPr>
                <w:sz w:val="20"/>
                <w:szCs w:val="20"/>
                <w:color w:val="auto"/>
              </w:rPr>
            </w:pPr>
            <w:r>
              <w:rPr>
                <w:rFonts w:ascii="Arial" w:cs="Arial" w:eastAsia="Arial" w:hAnsi="Arial"/>
                <w:sz w:val="18"/>
                <w:szCs w:val="18"/>
                <w:color w:val="auto"/>
              </w:rPr>
              <w:t>Certain Limitations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(5)</w:t>
            </w:r>
          </w:p>
        </w:tc>
        <w:tc>
          <w:tcPr>
            <w:tcW w:w="4380" w:type="dxa"/>
            <w:vAlign w:val="bottom"/>
          </w:tcPr>
          <w:p>
            <w:pPr>
              <w:ind w:left="180"/>
              <w:spacing w:after="0"/>
              <w:rPr>
                <w:sz w:val="20"/>
                <w:szCs w:val="20"/>
                <w:color w:val="auto"/>
              </w:rPr>
            </w:pPr>
            <w:r>
              <w:rPr>
                <w:rFonts w:ascii="Arial" w:cs="Arial" w:eastAsia="Arial" w:hAnsi="Arial"/>
                <w:sz w:val="18"/>
                <w:szCs w:val="18"/>
                <w:color w:val="auto"/>
                <w:w w:val="95"/>
              </w:rPr>
              <w:t>Liability of Holder for Taxes, Duties and Other Charges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(6)</w:t>
            </w:r>
          </w:p>
        </w:tc>
        <w:tc>
          <w:tcPr>
            <w:tcW w:w="4380" w:type="dxa"/>
            <w:vAlign w:val="bottom"/>
          </w:tcPr>
          <w:p>
            <w:pPr>
              <w:ind w:left="180"/>
              <w:spacing w:after="0"/>
              <w:rPr>
                <w:sz w:val="20"/>
                <w:szCs w:val="20"/>
                <w:color w:val="auto"/>
              </w:rPr>
            </w:pPr>
            <w:r>
              <w:rPr>
                <w:rFonts w:ascii="Arial" w:cs="Arial" w:eastAsia="Arial" w:hAnsi="Arial"/>
                <w:sz w:val="18"/>
                <w:szCs w:val="18"/>
                <w:color w:val="auto"/>
              </w:rPr>
              <w:t>Disclosure of Interests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(7)</w:t>
            </w:r>
          </w:p>
        </w:tc>
        <w:tc>
          <w:tcPr>
            <w:tcW w:w="4380" w:type="dxa"/>
            <w:vAlign w:val="bottom"/>
          </w:tcPr>
          <w:p>
            <w:pPr>
              <w:ind w:left="180"/>
              <w:spacing w:after="0"/>
              <w:rPr>
                <w:sz w:val="20"/>
                <w:szCs w:val="20"/>
                <w:color w:val="auto"/>
              </w:rPr>
            </w:pPr>
            <w:r>
              <w:rPr>
                <w:rFonts w:ascii="Arial" w:cs="Arial" w:eastAsia="Arial" w:hAnsi="Arial"/>
                <w:sz w:val="18"/>
                <w:szCs w:val="18"/>
                <w:color w:val="auto"/>
              </w:rPr>
              <w:t>Charges of Depositary</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(8)</w:t>
            </w:r>
          </w:p>
        </w:tc>
        <w:tc>
          <w:tcPr>
            <w:tcW w:w="4380" w:type="dxa"/>
            <w:vAlign w:val="bottom"/>
          </w:tcPr>
          <w:p>
            <w:pPr>
              <w:ind w:left="180"/>
              <w:spacing w:after="0"/>
              <w:rPr>
                <w:sz w:val="20"/>
                <w:szCs w:val="20"/>
                <w:color w:val="auto"/>
              </w:rPr>
            </w:pPr>
            <w:r>
              <w:rPr>
                <w:rFonts w:ascii="Arial" w:cs="Arial" w:eastAsia="Arial" w:hAnsi="Arial"/>
                <w:sz w:val="18"/>
                <w:szCs w:val="18"/>
                <w:color w:val="auto"/>
              </w:rPr>
              <w:t>Available Information</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30"/>
        </w:trPr>
        <w:tc>
          <w:tcPr>
            <w:tcW w:w="840" w:type="dxa"/>
            <w:vAlign w:val="bottom"/>
          </w:tcPr>
          <w:p>
            <w:pPr>
              <w:ind w:left="380"/>
              <w:spacing w:after="0"/>
              <w:rPr>
                <w:sz w:val="20"/>
                <w:szCs w:val="20"/>
                <w:color w:val="auto"/>
              </w:rPr>
            </w:pPr>
            <w:r>
              <w:rPr>
                <w:rFonts w:ascii="Arial" w:cs="Arial" w:eastAsia="Arial" w:hAnsi="Arial"/>
                <w:sz w:val="18"/>
                <w:szCs w:val="18"/>
                <w:color w:val="auto"/>
              </w:rPr>
              <w:t>(9)</w:t>
            </w:r>
          </w:p>
        </w:tc>
        <w:tc>
          <w:tcPr>
            <w:tcW w:w="4380" w:type="dxa"/>
            <w:vAlign w:val="bottom"/>
          </w:tcPr>
          <w:p>
            <w:pPr>
              <w:ind w:left="180"/>
              <w:spacing w:after="0"/>
              <w:rPr>
                <w:sz w:val="20"/>
                <w:szCs w:val="20"/>
                <w:color w:val="auto"/>
              </w:rPr>
            </w:pPr>
            <w:r>
              <w:rPr>
                <w:rFonts w:ascii="Arial" w:cs="Arial" w:eastAsia="Arial" w:hAnsi="Arial"/>
                <w:sz w:val="18"/>
                <w:szCs w:val="18"/>
                <w:color w:val="auto"/>
              </w:rPr>
              <w:t>Execution</w:t>
            </w:r>
          </w:p>
        </w:tc>
        <w:tc>
          <w:tcPr>
            <w:tcW w:w="5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Signature of Depositary</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Address of Depositary’s Office</w:t>
            </w:r>
          </w:p>
        </w:tc>
        <w:tc>
          <w:tcPr>
            <w:tcW w:w="6140" w:type="dxa"/>
            <w:vAlign w:val="bottom"/>
            <w:gridSpan w:val="3"/>
          </w:tcPr>
          <w:p>
            <w:pPr>
              <w:jc w:val="right"/>
              <w:ind w:right="1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FORM OF REVERSE OF ADR</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418"/>
        </w:trPr>
        <w:tc>
          <w:tcPr>
            <w:tcW w:w="840" w:type="dxa"/>
            <w:vAlign w:val="bottom"/>
          </w:tcPr>
          <w:p>
            <w:pPr>
              <w:ind w:left="380"/>
              <w:spacing w:after="0"/>
              <w:rPr>
                <w:sz w:val="20"/>
                <w:szCs w:val="20"/>
                <w:color w:val="auto"/>
              </w:rPr>
            </w:pPr>
            <w:r>
              <w:rPr>
                <w:rFonts w:ascii="Arial" w:cs="Arial" w:eastAsia="Arial" w:hAnsi="Arial"/>
                <w:sz w:val="18"/>
                <w:szCs w:val="18"/>
                <w:color w:val="auto"/>
              </w:rPr>
              <w:t>(10)</w:t>
            </w:r>
          </w:p>
        </w:tc>
        <w:tc>
          <w:tcPr>
            <w:tcW w:w="4380" w:type="dxa"/>
            <w:vAlign w:val="bottom"/>
          </w:tcPr>
          <w:p>
            <w:pPr>
              <w:ind w:left="180"/>
              <w:spacing w:after="0"/>
              <w:rPr>
                <w:sz w:val="20"/>
                <w:szCs w:val="20"/>
                <w:color w:val="auto"/>
              </w:rPr>
            </w:pPr>
            <w:r>
              <w:rPr>
                <w:rFonts w:ascii="Arial" w:cs="Arial" w:eastAsia="Arial" w:hAnsi="Arial"/>
                <w:sz w:val="18"/>
                <w:szCs w:val="18"/>
                <w:color w:val="auto"/>
              </w:rPr>
              <w:t>Distributions on Deposited Securities</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(11)</w:t>
            </w:r>
          </w:p>
        </w:tc>
        <w:tc>
          <w:tcPr>
            <w:tcW w:w="4380" w:type="dxa"/>
            <w:vAlign w:val="bottom"/>
          </w:tcPr>
          <w:p>
            <w:pPr>
              <w:ind w:left="180"/>
              <w:spacing w:after="0"/>
              <w:rPr>
                <w:sz w:val="20"/>
                <w:szCs w:val="20"/>
                <w:color w:val="auto"/>
              </w:rPr>
            </w:pPr>
            <w:r>
              <w:rPr>
                <w:rFonts w:ascii="Arial" w:cs="Arial" w:eastAsia="Arial" w:hAnsi="Arial"/>
                <w:sz w:val="18"/>
                <w:szCs w:val="18"/>
                <w:color w:val="auto"/>
              </w:rPr>
              <w:t>Record Dates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(12)</w:t>
            </w:r>
          </w:p>
        </w:tc>
        <w:tc>
          <w:tcPr>
            <w:tcW w:w="4380" w:type="dxa"/>
            <w:vAlign w:val="bottom"/>
          </w:tcPr>
          <w:p>
            <w:pPr>
              <w:ind w:left="180"/>
              <w:spacing w:after="0"/>
              <w:rPr>
                <w:sz w:val="20"/>
                <w:szCs w:val="20"/>
                <w:color w:val="auto"/>
              </w:rPr>
            </w:pPr>
            <w:r>
              <w:rPr>
                <w:rFonts w:ascii="Arial" w:cs="Arial" w:eastAsia="Arial" w:hAnsi="Arial"/>
                <w:sz w:val="18"/>
                <w:szCs w:val="18"/>
                <w:color w:val="auto"/>
              </w:rPr>
              <w:t>Voting of Deposited Securities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(13)</w:t>
            </w:r>
          </w:p>
        </w:tc>
        <w:tc>
          <w:tcPr>
            <w:tcW w:w="4380" w:type="dxa"/>
            <w:vAlign w:val="bottom"/>
          </w:tcPr>
          <w:p>
            <w:pPr>
              <w:ind w:left="180"/>
              <w:spacing w:after="0"/>
              <w:rPr>
                <w:sz w:val="20"/>
                <w:szCs w:val="20"/>
                <w:color w:val="auto"/>
              </w:rPr>
            </w:pPr>
            <w:r>
              <w:rPr>
                <w:rFonts w:ascii="Arial" w:cs="Arial" w:eastAsia="Arial" w:hAnsi="Arial"/>
                <w:sz w:val="18"/>
                <w:szCs w:val="18"/>
                <w:color w:val="auto"/>
              </w:rPr>
              <w:t>Changes Affecting Deposited Securities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(14)</w:t>
            </w:r>
          </w:p>
        </w:tc>
        <w:tc>
          <w:tcPr>
            <w:tcW w:w="4380" w:type="dxa"/>
            <w:vAlign w:val="bottom"/>
          </w:tcPr>
          <w:p>
            <w:pPr>
              <w:ind w:left="180"/>
              <w:spacing w:after="0"/>
              <w:rPr>
                <w:sz w:val="20"/>
                <w:szCs w:val="20"/>
                <w:color w:val="auto"/>
              </w:rPr>
            </w:pPr>
            <w:r>
              <w:rPr>
                <w:rFonts w:ascii="Arial" w:cs="Arial" w:eastAsia="Arial" w:hAnsi="Arial"/>
                <w:sz w:val="18"/>
                <w:szCs w:val="18"/>
                <w:color w:val="auto"/>
              </w:rPr>
              <w:t>Exoneration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(15)</w:t>
            </w:r>
          </w:p>
        </w:tc>
        <w:tc>
          <w:tcPr>
            <w:tcW w:w="4380" w:type="dxa"/>
            <w:vAlign w:val="bottom"/>
          </w:tcPr>
          <w:p>
            <w:pPr>
              <w:ind w:left="180"/>
              <w:spacing w:after="0"/>
              <w:rPr>
                <w:sz w:val="20"/>
                <w:szCs w:val="20"/>
                <w:color w:val="auto"/>
              </w:rPr>
            </w:pPr>
            <w:r>
              <w:rPr>
                <w:rFonts w:ascii="Arial" w:cs="Arial" w:eastAsia="Arial" w:hAnsi="Arial"/>
                <w:sz w:val="18"/>
                <w:szCs w:val="18"/>
                <w:color w:val="auto"/>
                <w:w w:val="95"/>
              </w:rPr>
              <w:t>Resignation and Removal of Depositary; the Custodian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(16)</w:t>
            </w:r>
          </w:p>
        </w:tc>
        <w:tc>
          <w:tcPr>
            <w:tcW w:w="438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(17)</w:t>
            </w:r>
          </w:p>
        </w:tc>
        <w:tc>
          <w:tcPr>
            <w:tcW w:w="43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(18)</w:t>
            </w:r>
          </w:p>
        </w:tc>
        <w:tc>
          <w:tcPr>
            <w:tcW w:w="4380" w:type="dxa"/>
            <w:vAlign w:val="bottom"/>
          </w:tcPr>
          <w:p>
            <w:pPr>
              <w:ind w:left="180"/>
              <w:spacing w:after="0"/>
              <w:rPr>
                <w:sz w:val="20"/>
                <w:szCs w:val="20"/>
                <w:color w:val="auto"/>
              </w:rPr>
            </w:pPr>
            <w:r>
              <w:rPr>
                <w:rFonts w:ascii="Arial" w:cs="Arial" w:eastAsia="Arial" w:hAnsi="Arial"/>
                <w:sz w:val="18"/>
                <w:szCs w:val="18"/>
                <w:color w:val="auto"/>
              </w:rPr>
              <w:t>Appointment</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(19)</w:t>
            </w:r>
          </w:p>
        </w:tc>
        <w:tc>
          <w:tcPr>
            <w:tcW w:w="4380" w:type="dxa"/>
            <w:vAlign w:val="bottom"/>
          </w:tcPr>
          <w:p>
            <w:pPr>
              <w:ind w:left="180"/>
              <w:spacing w:after="0"/>
              <w:rPr>
                <w:sz w:val="20"/>
                <w:szCs w:val="20"/>
                <w:color w:val="auto"/>
              </w:rPr>
            </w:pPr>
            <w:r>
              <w:rPr>
                <w:rFonts w:ascii="Arial" w:cs="Arial" w:eastAsia="Arial" w:hAnsi="Arial"/>
                <w:sz w:val="18"/>
                <w:szCs w:val="18"/>
                <w:color w:val="auto"/>
              </w:rPr>
              <w:t>Waiver</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30"/>
        </w:trPr>
        <w:tc>
          <w:tcPr>
            <w:tcW w:w="840" w:type="dxa"/>
            <w:vAlign w:val="bottom"/>
          </w:tcPr>
          <w:p>
            <w:pPr>
              <w:ind w:left="380"/>
              <w:spacing w:after="0"/>
              <w:rPr>
                <w:sz w:val="20"/>
                <w:szCs w:val="20"/>
                <w:color w:val="auto"/>
              </w:rPr>
            </w:pPr>
            <w:r>
              <w:rPr>
                <w:rFonts w:ascii="Arial" w:cs="Arial" w:eastAsia="Arial" w:hAnsi="Arial"/>
                <w:sz w:val="18"/>
                <w:szCs w:val="18"/>
                <w:color w:val="auto"/>
              </w:rPr>
              <w:t>(20)</w:t>
            </w:r>
          </w:p>
        </w:tc>
        <w:tc>
          <w:tcPr>
            <w:tcW w:w="4380" w:type="dxa"/>
            <w:vAlign w:val="bottom"/>
          </w:tcPr>
          <w:p>
            <w:pPr>
              <w:ind w:left="180"/>
              <w:spacing w:after="0"/>
              <w:rPr>
                <w:sz w:val="20"/>
                <w:szCs w:val="20"/>
                <w:color w:val="auto"/>
              </w:rPr>
            </w:pPr>
            <w:r>
              <w:rPr>
                <w:rFonts w:ascii="Arial" w:cs="Arial" w:eastAsia="Arial" w:hAnsi="Arial"/>
                <w:sz w:val="18"/>
                <w:szCs w:val="18"/>
                <w:color w:val="auto"/>
              </w:rPr>
              <w:t>Jurisdiction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1360"/>
          </w:cols>
          <w:pgMar w:left="240" w:top="269" w:right="299" w:bottom="1440" w:gutter="0" w:footer="0" w:header="0"/>
        </w:sectPr>
      </w:pPr>
    </w:p>
    <w:bookmarkStart w:id="13" w:name="page14"/>
    <w:bookmarkEnd w:id="13"/>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 AGREEMENT, dated as of , 2017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iClick Interactive Asia Group Limited and its successors (the “</w:t>
      </w:r>
      <w:r>
        <w:rPr>
          <w:rFonts w:ascii="Arial" w:cs="Arial" w:eastAsia="Arial" w:hAnsi="Arial"/>
          <w:sz w:val="18"/>
          <w:szCs w:val="18"/>
          <w:b w:val="1"/>
          <w:bCs w:val="1"/>
          <w:color w:val="auto"/>
        </w:rPr>
        <w:t>Company</w:t>
      </w:r>
      <w:r>
        <w:rPr>
          <w:rFonts w:ascii="Arial" w:cs="Arial" w:eastAsia="Arial" w:hAnsi="Arial"/>
          <w:sz w:val="18"/>
          <w:szCs w:val="18"/>
          <w:color w:val="auto"/>
        </w:rPr>
        <w:t>”), JPMORGAN CHASE BANK, N.A., as depositary hereunder (the “</w:t>
      </w:r>
      <w:r>
        <w:rPr>
          <w:rFonts w:ascii="Arial" w:cs="Arial" w:eastAsia="Arial" w:hAnsi="Arial"/>
          <w:sz w:val="18"/>
          <w:szCs w:val="18"/>
          <w:b w:val="1"/>
          <w:bCs w:val="1"/>
          <w:color w:val="auto"/>
        </w:rPr>
        <w:t>Depositary</w:t>
      </w:r>
      <w:r>
        <w:rPr>
          <w:rFonts w:ascii="Arial" w:cs="Arial" w:eastAsia="Arial" w:hAnsi="Arial"/>
          <w:sz w:val="18"/>
          <w:szCs w:val="18"/>
          <w:color w:val="auto"/>
        </w:rPr>
        <w:t>”), and all holders from time to time of American Depositary Receipts issued hereunder (“</w:t>
      </w:r>
      <w:r>
        <w:rPr>
          <w:rFonts w:ascii="Arial" w:cs="Arial" w:eastAsia="Arial" w:hAnsi="Arial"/>
          <w:sz w:val="18"/>
          <w:szCs w:val="18"/>
          <w:b w:val="1"/>
          <w:bCs w:val="1"/>
          <w:color w:val="auto"/>
        </w:rPr>
        <w:t>ADRs</w:t>
      </w:r>
      <w:r>
        <w:rPr>
          <w:rFonts w:ascii="Arial" w:cs="Arial" w:eastAsia="Arial" w:hAnsi="Arial"/>
          <w:sz w:val="18"/>
          <w:szCs w:val="18"/>
          <w:color w:val="auto"/>
        </w:rPr>
        <w:t>”) evidencing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deposited Shares (as defined below). The Company hereby appoints the Depositary as depositary for the Deposited Securities and hereby authorizes and directs the Depositary to act in accordance with the terms set forth in this Deposit Agreement. All capitalized terms used herein have the meanings ascribed to them in Section 1 or elsewhere in this Deposit Agreement. The parties hereto agree as follows:</w:t>
      </w:r>
    </w:p>
    <w:p>
      <w:pPr>
        <w:spacing w:after="0" w:line="188"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840" w:hanging="376"/>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 Register</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firstLine="464"/>
        <w:spacing w:after="0" w:line="256" w:lineRule="auto"/>
        <w:tabs>
          <w:tab w:leader="none" w:pos="8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ADRs</w:t>
      </w:r>
      <w:r>
        <w:rPr>
          <w:rFonts w:ascii="Arial" w:cs="Arial" w:eastAsia="Arial" w:hAnsi="Arial"/>
          <w:sz w:val="18"/>
          <w:szCs w:val="18"/>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Arial" w:cs="Arial" w:eastAsia="Arial" w:hAnsi="Arial"/>
          <w:sz w:val="18"/>
          <w:szCs w:val="18"/>
          <w:b w:val="1"/>
          <w:bCs w:val="1"/>
          <w:color w:val="auto"/>
        </w:rPr>
        <w:t>form of ADR</w:t>
      </w:r>
      <w:r>
        <w:rPr>
          <w:rFonts w:ascii="Arial" w:cs="Arial" w:eastAsia="Arial" w:hAnsi="Arial"/>
          <w:sz w:val="18"/>
          <w:szCs w:val="18"/>
          <w:color w:val="auto"/>
        </w:rPr>
        <w:t>”). The term “</w:t>
      </w:r>
      <w:r>
        <w:rPr>
          <w:rFonts w:ascii="Arial" w:cs="Arial" w:eastAsia="Arial" w:hAnsi="Arial"/>
          <w:sz w:val="18"/>
          <w:szCs w:val="18"/>
          <w:b w:val="1"/>
          <w:bCs w:val="1"/>
          <w:color w:val="auto"/>
        </w:rPr>
        <w:t>Direct Registration ADR</w:t>
      </w:r>
      <w:r>
        <w:rPr>
          <w:rFonts w:ascii="Arial" w:cs="Arial" w:eastAsia="Arial" w:hAnsi="Arial"/>
          <w:sz w:val="18"/>
          <w:szCs w:val="18"/>
          <w:color w:val="auto"/>
        </w:rPr>
        <w:t>” means an ADR, the ownership of which is recorded on the Direct Registration System. References to “</w:t>
      </w:r>
      <w:r>
        <w:rPr>
          <w:rFonts w:ascii="Arial" w:cs="Arial" w:eastAsia="Arial" w:hAnsi="Arial"/>
          <w:sz w:val="18"/>
          <w:szCs w:val="18"/>
          <w:b w:val="1"/>
          <w:bCs w:val="1"/>
          <w:color w:val="auto"/>
        </w:rPr>
        <w:t>ADRs</w:t>
      </w:r>
      <w:r>
        <w:rPr>
          <w:rFonts w:ascii="Arial" w:cs="Arial" w:eastAsia="Arial" w:hAnsi="Arial"/>
          <w:sz w:val="18"/>
          <w:szCs w:val="18"/>
          <w:color w:val="auto"/>
        </w:rPr>
        <w:t>” shall include certificated ADRs and Direct Registration ADRs, unless the context otherwise requires. The form of ADR is hereby incorporated herein and made a part hereof; the provisions of the form of ADR shall be binding upon the parties hereto.</w:t>
      </w:r>
    </w:p>
    <w:p>
      <w:pPr>
        <w:spacing w:after="0" w:line="187" w:lineRule="exact"/>
        <w:rPr>
          <w:rFonts w:ascii="Arial" w:cs="Arial" w:eastAsia="Arial" w:hAnsi="Arial"/>
          <w:sz w:val="18"/>
          <w:szCs w:val="18"/>
          <w:color w:val="auto"/>
        </w:rPr>
      </w:pPr>
    </w:p>
    <w:p>
      <w:pPr>
        <w:ind w:right="20" w:firstLine="464"/>
        <w:spacing w:after="0" w:line="282" w:lineRule="auto"/>
        <w:tabs>
          <w:tab w:leader="none" w:pos="836"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paragraph (13) of the form of ADR, (</w:t>
      </w:r>
      <w:r>
        <w:rPr>
          <w:rFonts w:ascii="Arial" w:cs="Arial" w:eastAsia="Arial" w:hAnsi="Arial"/>
          <w:sz w:val="18"/>
          <w:szCs w:val="18"/>
          <w:i w:val="1"/>
          <w:iCs w:val="1"/>
          <w:color w:val="auto"/>
        </w:rPr>
        <w:t>Changes Affecting Deposited Securities</w:t>
      </w:r>
      <w:r>
        <w:rPr>
          <w:rFonts w:ascii="Arial" w:cs="Arial" w:eastAsia="Arial" w:hAnsi="Arial"/>
          <w:sz w:val="18"/>
          <w:szCs w:val="18"/>
          <w:color w:val="auto"/>
        </w:rPr>
        <w:t>) each “</w:t>
      </w:r>
      <w:r>
        <w:rPr>
          <w:rFonts w:ascii="Arial" w:cs="Arial" w:eastAsia="Arial" w:hAnsi="Arial"/>
          <w:sz w:val="18"/>
          <w:szCs w:val="18"/>
          <w:b w:val="1"/>
          <w:bCs w:val="1"/>
          <w:color w:val="auto"/>
        </w:rPr>
        <w:t>ADS</w:t>
      </w:r>
      <w:r>
        <w:rPr>
          <w:rFonts w:ascii="Arial" w:cs="Arial" w:eastAsia="Arial" w:hAnsi="Arial"/>
          <w:sz w:val="18"/>
          <w:szCs w:val="18"/>
          <w:color w:val="auto"/>
        </w:rPr>
        <w:t>” evidenced by an ADR represents the right to receive one - half (1/2) of one Share and a pro rata share in any other Deposited Securities.</w:t>
      </w:r>
    </w:p>
    <w:p>
      <w:pPr>
        <w:spacing w:after="0" w:line="161" w:lineRule="exact"/>
        <w:rPr>
          <w:rFonts w:ascii="Arial" w:cs="Arial" w:eastAsia="Arial" w:hAnsi="Arial"/>
          <w:sz w:val="18"/>
          <w:szCs w:val="18"/>
          <w:color w:val="auto"/>
        </w:rPr>
      </w:pPr>
    </w:p>
    <w:p>
      <w:pPr>
        <w:ind w:right="740" w:firstLine="464"/>
        <w:spacing w:after="0" w:line="282" w:lineRule="auto"/>
        <w:tabs>
          <w:tab w:leader="none" w:pos="8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agent or agents of the Depositary (singly or collectively, as the context requires) and any additional or substitute Custodian appointed pursuant to Section 9.</w:t>
      </w:r>
    </w:p>
    <w:p>
      <w:pPr>
        <w:spacing w:after="0" w:line="161" w:lineRule="exact"/>
        <w:rPr>
          <w:rFonts w:ascii="Arial" w:cs="Arial" w:eastAsia="Arial" w:hAnsi="Arial"/>
          <w:sz w:val="18"/>
          <w:szCs w:val="18"/>
          <w:color w:val="auto"/>
        </w:rPr>
      </w:pPr>
    </w:p>
    <w:p>
      <w:pPr>
        <w:ind w:right="180" w:firstLine="464"/>
        <w:spacing w:after="0" w:line="261" w:lineRule="auto"/>
        <w:tabs>
          <w:tab w:leader="none" w:pos="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deliver</w:t>
      </w:r>
      <w:r>
        <w:rPr>
          <w:rFonts w:ascii="Arial" w:cs="Arial" w:eastAsia="Arial" w:hAnsi="Arial"/>
          <w:sz w:val="18"/>
          <w:szCs w:val="18"/>
          <w:color w:val="auto"/>
        </w:rPr>
        <w:t>”, “</w:t>
      </w:r>
      <w:r>
        <w:rPr>
          <w:rFonts w:ascii="Arial" w:cs="Arial" w:eastAsia="Arial" w:hAnsi="Arial"/>
          <w:sz w:val="18"/>
          <w:szCs w:val="18"/>
          <w:b w:val="1"/>
          <w:bCs w:val="1"/>
          <w:color w:val="auto"/>
        </w:rPr>
        <w:t>execute</w:t>
      </w:r>
      <w:r>
        <w:rPr>
          <w:rFonts w:ascii="Arial" w:cs="Arial" w:eastAsia="Arial" w:hAnsi="Arial"/>
          <w:sz w:val="18"/>
          <w:szCs w:val="18"/>
          <w:color w:val="auto"/>
        </w:rPr>
        <w:t>”, “</w:t>
      </w:r>
      <w:r>
        <w:rPr>
          <w:rFonts w:ascii="Arial" w:cs="Arial" w:eastAsia="Arial" w:hAnsi="Arial"/>
          <w:sz w:val="18"/>
          <w:szCs w:val="18"/>
          <w:b w:val="1"/>
          <w:bCs w:val="1"/>
          <w:color w:val="auto"/>
        </w:rPr>
        <w:t>issue</w:t>
      </w:r>
      <w:r>
        <w:rPr>
          <w:rFonts w:ascii="Arial" w:cs="Arial" w:eastAsia="Arial" w:hAnsi="Arial"/>
          <w:sz w:val="18"/>
          <w:szCs w:val="18"/>
          <w:color w:val="auto"/>
        </w:rPr>
        <w:t>”,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surrender</w:t>
      </w:r>
      <w:r>
        <w:rPr>
          <w:rFonts w:ascii="Arial" w:cs="Arial" w:eastAsia="Arial" w:hAnsi="Arial"/>
          <w:sz w:val="18"/>
          <w:szCs w:val="18"/>
          <w:color w:val="auto"/>
        </w:rPr>
        <w:t>”, “</w:t>
      </w:r>
      <w:r>
        <w:rPr>
          <w:rFonts w:ascii="Arial" w:cs="Arial" w:eastAsia="Arial" w:hAnsi="Arial"/>
          <w:sz w:val="18"/>
          <w:szCs w:val="18"/>
          <w:b w:val="1"/>
          <w:bCs w:val="1"/>
          <w:color w:val="auto"/>
        </w:rPr>
        <w:t>transfer</w:t>
      </w:r>
      <w:r>
        <w:rPr>
          <w:rFonts w:ascii="Arial" w:cs="Arial" w:eastAsia="Arial" w:hAnsi="Arial"/>
          <w:sz w:val="18"/>
          <w:szCs w:val="18"/>
          <w:color w:val="auto"/>
        </w:rPr>
        <w:t>” or “</w:t>
      </w:r>
      <w:r>
        <w:rPr>
          <w:rFonts w:ascii="Arial" w:cs="Arial" w:eastAsia="Arial" w:hAnsi="Arial"/>
          <w:sz w:val="18"/>
          <w:szCs w:val="18"/>
          <w:b w:val="1"/>
          <w:bCs w:val="1"/>
          <w:color w:val="auto"/>
        </w:rPr>
        <w:t>cancel</w:t>
      </w:r>
      <w:r>
        <w:rPr>
          <w:rFonts w:ascii="Arial" w:cs="Arial" w:eastAsia="Arial" w:hAnsi="Arial"/>
          <w:sz w:val="18"/>
          <w:szCs w:val="18"/>
          <w:color w:val="auto"/>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180" w:lineRule="exact"/>
        <w:rPr>
          <w:rFonts w:ascii="Arial" w:cs="Arial" w:eastAsia="Arial" w:hAnsi="Arial"/>
          <w:sz w:val="18"/>
          <w:szCs w:val="18"/>
          <w:color w:val="auto"/>
        </w:rPr>
      </w:pPr>
    </w:p>
    <w:p>
      <w:pPr>
        <w:ind w:left="820" w:hanging="35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Order</w:t>
      </w:r>
      <w:r>
        <w:rPr>
          <w:rFonts w:ascii="Arial" w:cs="Arial" w:eastAsia="Arial" w:hAnsi="Arial"/>
          <w:sz w:val="18"/>
          <w:szCs w:val="18"/>
          <w:color w:val="auto"/>
        </w:rPr>
        <w:t>” is defined in Section 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4" w:name="page15"/>
    <w:bookmarkEnd w:id="14"/>
    <w:p>
      <w:pPr>
        <w:ind w:right="180" w:firstLine="464"/>
        <w:spacing w:after="0" w:line="266" w:lineRule="auto"/>
        <w:tabs>
          <w:tab w:leader="none" w:pos="84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Deposited Securities</w:t>
      </w:r>
      <w:r>
        <w:rPr>
          <w:rFonts w:ascii="Arial" w:cs="Arial" w:eastAsia="Arial" w:hAnsi="Arial"/>
          <w:sz w:val="18"/>
          <w:szCs w:val="18"/>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w:t>
      </w:r>
    </w:p>
    <w:p>
      <w:pPr>
        <w:spacing w:after="0" w:line="176" w:lineRule="exact"/>
        <w:rPr>
          <w:rFonts w:ascii="Arial" w:cs="Arial" w:eastAsia="Arial" w:hAnsi="Arial"/>
          <w:sz w:val="18"/>
          <w:szCs w:val="18"/>
          <w:color w:val="auto"/>
        </w:rPr>
      </w:pPr>
    </w:p>
    <w:p>
      <w:pPr>
        <w:ind w:right="20" w:firstLine="464"/>
        <w:spacing w:after="0" w:line="258" w:lineRule="auto"/>
        <w:tabs>
          <w:tab w:leader="none" w:pos="8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Registration System</w:t>
      </w:r>
      <w:r>
        <w:rPr>
          <w:rFonts w:ascii="Arial" w:cs="Arial" w:eastAsia="Arial" w:hAnsi="Arial"/>
          <w:sz w:val="18"/>
          <w:szCs w:val="18"/>
          <w:color w:val="auto"/>
        </w:rPr>
        <w:t>” means the system for the uncertificated registration of ownership of securities established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183" w:lineRule="exact"/>
        <w:rPr>
          <w:rFonts w:ascii="Arial" w:cs="Arial" w:eastAsia="Arial" w:hAnsi="Arial"/>
          <w:sz w:val="18"/>
          <w:szCs w:val="18"/>
          <w:color w:val="auto"/>
        </w:rPr>
      </w:pPr>
    </w:p>
    <w:p>
      <w:pPr>
        <w:ind w:left="820" w:hanging="35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or persons in whose name an ADR is registered on the ADR Register.</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 of 1933</w:t>
      </w:r>
      <w:r>
        <w:rPr>
          <w:rFonts w:ascii="Arial" w:cs="Arial" w:eastAsia="Arial" w:hAnsi="Arial"/>
          <w:sz w:val="18"/>
          <w:szCs w:val="18"/>
          <w:color w:val="auto"/>
        </w:rPr>
        <w:t>” means the United States Securities Act of 1933, as from time to time amended.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 of 1934</w:t>
      </w:r>
      <w:r>
        <w:rPr>
          <w:rFonts w:ascii="Arial" w:cs="Arial" w:eastAsia="Arial" w:hAnsi="Arial"/>
          <w:sz w:val="18"/>
          <w:szCs w:val="18"/>
          <w:color w:val="auto"/>
        </w:rPr>
        <w:t>” means the United States Securities Exchange Act of 1934, as from time to time amended.</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 the Class A ordinary shares of the Company, and shall include the rights to receive Shares specified in paragraph (1) of the form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ADR.</w:t>
      </w:r>
    </w:p>
    <w:p>
      <w:pPr>
        <w:spacing w:after="0" w:line="206" w:lineRule="exact"/>
        <w:rPr>
          <w:rFonts w:ascii="Arial" w:cs="Arial" w:eastAsia="Arial" w:hAnsi="Arial"/>
          <w:sz w:val="16"/>
          <w:szCs w:val="16"/>
          <w:color w:val="auto"/>
        </w:rPr>
      </w:pPr>
    </w:p>
    <w:p>
      <w:pPr>
        <w:ind w:left="900" w:hanging="43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Office</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Order</w:t>
      </w:r>
      <w:r>
        <w:rPr>
          <w:rFonts w:ascii="Arial" w:cs="Arial" w:eastAsia="Arial" w:hAnsi="Arial"/>
          <w:sz w:val="18"/>
          <w:szCs w:val="18"/>
          <w:color w:val="auto"/>
        </w:rPr>
        <w:t>” is defined in Section 6.</w:t>
      </w:r>
    </w:p>
    <w:p>
      <w:pPr>
        <w:spacing w:after="0" w:line="225"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Form of ADRs</w:t>
      </w:r>
      <w:r>
        <w:rPr>
          <w:rFonts w:ascii="Arial" w:cs="Arial" w:eastAsia="Arial" w:hAnsi="Arial"/>
          <w:sz w:val="18"/>
          <w:szCs w:val="18"/>
          <w:color w:val="auto"/>
        </w:rPr>
        <w:t>.</w:t>
      </w:r>
    </w:p>
    <w:p>
      <w:pPr>
        <w:spacing w:after="0" w:line="229" w:lineRule="exact"/>
        <w:rPr>
          <w:sz w:val="20"/>
          <w:szCs w:val="20"/>
          <w:color w:val="auto"/>
        </w:rPr>
      </w:pPr>
    </w:p>
    <w:p>
      <w:pPr>
        <w:ind w:right="160" w:firstLine="464"/>
        <w:spacing w:after="0" w:line="277" w:lineRule="auto"/>
        <w:tabs>
          <w:tab w:leader="none" w:pos="83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Direct Registration ADRs</w:t>
      </w:r>
      <w:r>
        <w:rPr>
          <w:rFonts w:ascii="Arial" w:cs="Arial" w:eastAsia="Arial" w:hAnsi="Arial"/>
          <w:sz w:val="18"/>
          <w:szCs w:val="18"/>
          <w:color w:val="auto"/>
        </w:rPr>
        <w:t>. Notwithstanding anything in this Deposit Agreement or in the form of ADR to the contrary, ADSs shall be evidenced</w:t>
      </w:r>
      <w:r>
        <w:rPr>
          <w:rFonts w:ascii="Arial" w:cs="Arial" w:eastAsia="Arial" w:hAnsi="Arial"/>
          <w:sz w:val="18"/>
          <w:szCs w:val="18"/>
          <w:i w:val="1"/>
          <w:iCs w:val="1"/>
          <w:color w:val="auto"/>
        </w:rPr>
        <w:t xml:space="preserve"> </w:t>
      </w:r>
      <w:r>
        <w:rPr>
          <w:rFonts w:ascii="Arial" w:cs="Arial" w:eastAsia="Arial" w:hAnsi="Arial"/>
          <w:sz w:val="18"/>
          <w:szCs w:val="18"/>
          <w:color w:val="auto"/>
        </w:rPr>
        <w:t>by Direct Registration ADRs, unless certificated ADRs are specifically requested by the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5" w:name="page16"/>
    <w:bookmarkEnd w:id="15"/>
    <w:p>
      <w:pPr>
        <w:ind w:left="-20" w:right="100" w:firstLine="464"/>
        <w:spacing w:after="0" w:line="254" w:lineRule="auto"/>
        <w:tabs>
          <w:tab w:leader="none" w:pos="82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Certificated ADRs</w:t>
      </w:r>
      <w:r>
        <w:rPr>
          <w:rFonts w:ascii="Arial" w:cs="Arial" w:eastAsia="Arial" w:hAnsi="Arial"/>
          <w:sz w:val="18"/>
          <w:szCs w:val="18"/>
          <w:color w:val="auto"/>
        </w:rPr>
        <w:t>. ADRs in certificated form shall be printed or otherwise reproduced at the discretion of the Depositary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facsimile signature of anyone who was at the time of execution a duly authorized officer of the Depositary shall bind the Depositary, notwithstanding that such officer has ceased to hold such office prior to the delivery of such ADRs.</w:t>
      </w:r>
    </w:p>
    <w:p>
      <w:pPr>
        <w:spacing w:after="0" w:line="192" w:lineRule="exact"/>
        <w:rPr>
          <w:rFonts w:ascii="Arial" w:cs="Arial" w:eastAsia="Arial" w:hAnsi="Arial"/>
          <w:sz w:val="18"/>
          <w:szCs w:val="18"/>
          <w:color w:val="auto"/>
        </w:rPr>
      </w:pPr>
    </w:p>
    <w:p>
      <w:pPr>
        <w:ind w:left="-20" w:firstLine="464"/>
        <w:spacing w:after="0" w:line="277" w:lineRule="auto"/>
        <w:tabs>
          <w:tab w:leader="none" w:pos="81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w:t>
      </w:r>
      <w:r>
        <w:rPr>
          <w:rFonts w:ascii="Arial" w:cs="Arial" w:eastAsia="Arial" w:hAnsi="Arial"/>
          <w:sz w:val="18"/>
          <w:szCs w:val="18"/>
          <w:color w:val="auto"/>
        </w:rPr>
        <w:t>Holders shall be bound by the terms and conditions of this Deposit Agreement and of the form of ADR, regardless of whether their</w:t>
      </w:r>
      <w:r>
        <w:rPr>
          <w:rFonts w:ascii="Arial" w:cs="Arial" w:eastAsia="Arial" w:hAnsi="Arial"/>
          <w:sz w:val="18"/>
          <w:szCs w:val="18"/>
          <w:i w:val="1"/>
          <w:iCs w:val="1"/>
          <w:color w:val="auto"/>
        </w:rPr>
        <w:t xml:space="preserve"> </w:t>
      </w:r>
      <w:r>
        <w:rPr>
          <w:rFonts w:ascii="Arial" w:cs="Arial" w:eastAsia="Arial" w:hAnsi="Arial"/>
          <w:sz w:val="18"/>
          <w:szCs w:val="18"/>
          <w:color w:val="auto"/>
        </w:rPr>
        <w:t>ADRs are Direct Registration ADRs or certificated ADRs.</w:t>
      </w:r>
    </w:p>
    <w:p>
      <w:pPr>
        <w:spacing w:after="0" w:line="166" w:lineRule="exact"/>
        <w:rPr>
          <w:sz w:val="20"/>
          <w:szCs w:val="20"/>
          <w:color w:val="auto"/>
        </w:rPr>
      </w:pPr>
    </w:p>
    <w:p>
      <w:pPr>
        <w:ind w:left="620" w:hanging="176"/>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Deposit of Shares</w:t>
      </w:r>
      <w:r>
        <w:rPr>
          <w:rFonts w:ascii="Arial" w:cs="Arial" w:eastAsia="Arial" w:hAnsi="Arial"/>
          <w:sz w:val="18"/>
          <w:szCs w:val="18"/>
          <w:color w:val="auto"/>
        </w:rPr>
        <w:t>.</w:t>
      </w:r>
    </w:p>
    <w:p>
      <w:pPr>
        <w:spacing w:after="0" w:line="229" w:lineRule="exact"/>
        <w:rPr>
          <w:sz w:val="20"/>
          <w:szCs w:val="20"/>
          <w:color w:val="auto"/>
        </w:rPr>
      </w:pPr>
    </w:p>
    <w:p>
      <w:pPr>
        <w:ind w:left="-20" w:right="140" w:firstLine="464"/>
        <w:spacing w:after="0" w:line="297" w:lineRule="auto"/>
        <w:tabs>
          <w:tab w:leader="none" w:pos="81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Requirements. </w:t>
      </w:r>
      <w:r>
        <w:rPr>
          <w:rFonts w:ascii="Arial" w:cs="Arial" w:eastAsia="Arial" w:hAnsi="Arial"/>
          <w:sz w:val="16"/>
          <w:szCs w:val="16"/>
          <w:color w:val="auto"/>
        </w:rPr>
        <w:t>In connection with the deposit of Shares hereunder, the Depositary or the Custodian may require the following in a form</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it: (i) a written order directing the Depositary to issue to, or upon the written order of, the person or persons designated in such order a Direct Registration ADR or ADRs evidencing the number of ADSs representing such deposited Shares (a “</w:t>
      </w:r>
      <w:r>
        <w:rPr>
          <w:rFonts w:ascii="Arial" w:cs="Arial" w:eastAsia="Arial" w:hAnsi="Arial"/>
          <w:sz w:val="16"/>
          <w:szCs w:val="16"/>
          <w:b w:val="1"/>
          <w:bCs w:val="1"/>
          <w:color w:val="auto"/>
        </w:rPr>
        <w:t>Delivery Order</w:t>
      </w:r>
      <w:r>
        <w:rPr>
          <w:rFonts w:ascii="Arial" w:cs="Arial" w:eastAsia="Arial" w:hAnsi="Arial"/>
          <w:sz w:val="16"/>
          <w:szCs w:val="16"/>
          <w:color w:val="auto"/>
        </w:rPr>
        <w:t>”); and (ii) proper endorsements or duly executed instruments of transfer in respect of such deposited Shares. Shares presented for deposit shall, at the time of such deposit, be registered in the name of JPMorgan Chase Bank, N.A., as depositary for the benefit of holders of ADRs or in such other name as the Depositary shall direct.</w:t>
      </w:r>
    </w:p>
    <w:p>
      <w:pPr>
        <w:spacing w:after="0" w:line="158" w:lineRule="exact"/>
        <w:rPr>
          <w:rFonts w:ascii="Arial" w:cs="Arial" w:eastAsia="Arial" w:hAnsi="Arial"/>
          <w:sz w:val="16"/>
          <w:szCs w:val="16"/>
          <w:color w:val="auto"/>
        </w:rPr>
      </w:pPr>
    </w:p>
    <w:p>
      <w:pPr>
        <w:ind w:left="-20" w:right="100" w:firstLine="464"/>
        <w:spacing w:after="0" w:line="272" w:lineRule="auto"/>
        <w:tabs>
          <w:tab w:leader="none" w:pos="82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Delivery of Deposited Securities. </w:t>
      </w:r>
      <w:r>
        <w:rPr>
          <w:rFonts w:ascii="Arial" w:cs="Arial" w:eastAsia="Arial" w:hAnsi="Arial"/>
          <w:sz w:val="17"/>
          <w:szCs w:val="17"/>
          <w:color w:val="auto"/>
        </w:rPr>
        <w:t>Deposited Securities shall be held by the Custodian for the account and to the order of the Depositary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Holders of ADRs (to the extent not prohibited by law) at such place or places and in such manner as the Depositary shall determine. Deposited Securities may be delivered by the Custodian to any person only under the circumstances 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174" w:lineRule="exact"/>
        <w:rPr>
          <w:sz w:val="20"/>
          <w:szCs w:val="20"/>
          <w:color w:val="auto"/>
        </w:rPr>
      </w:pPr>
    </w:p>
    <w:p>
      <w:pPr>
        <w:ind w:left="-20" w:right="180" w:firstLine="464"/>
        <w:spacing w:after="0" w:line="266" w:lineRule="auto"/>
        <w:tabs>
          <w:tab w:leader="none" w:pos="61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Issue of ADRs</w:t>
      </w:r>
      <w:r>
        <w:rPr>
          <w:rFonts w:ascii="Arial" w:cs="Arial" w:eastAsia="Arial" w:hAnsi="Arial"/>
          <w:sz w:val="18"/>
          <w:szCs w:val="18"/>
          <w:color w:val="auto"/>
        </w:rPr>
        <w:t>. After any such deposit of Shares, the Custodian shall notify the Depositary of such deposit and of the information contained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Delivery Order by letter, first class airmail postage prepaid, or, at the request, risk and expense of the person making the deposit, by SWIFT, cable, telex or facsimile transmission.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6" w:name="page17"/>
    <w:bookmarkEnd w:id="16"/>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120" w:lineRule="exact"/>
        <w:rPr>
          <w:sz w:val="20"/>
          <w:szCs w:val="20"/>
          <w:color w:val="auto"/>
        </w:rPr>
      </w:pPr>
    </w:p>
    <w:p>
      <w:pPr>
        <w:ind w:firstLine="464"/>
        <w:spacing w:after="0" w:line="258"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Distributions on Deposited Securities</w:t>
      </w:r>
      <w:r>
        <w:rPr>
          <w:rFonts w:ascii="Arial" w:cs="Arial" w:eastAsia="Arial" w:hAnsi="Arial"/>
          <w:sz w:val="18"/>
          <w:szCs w:val="18"/>
          <w:color w:val="auto"/>
        </w:rPr>
        <w:t>. To the extent that the Depositary determines in its discretion that any distribution pursuant to paragraph (10)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form of ADR (</w:t>
      </w:r>
      <w:r>
        <w:rPr>
          <w:rFonts w:ascii="Arial" w:cs="Arial" w:eastAsia="Arial" w:hAnsi="Arial"/>
          <w:sz w:val="18"/>
          <w:szCs w:val="18"/>
          <w:i w:val="1"/>
          <w:iCs w:val="1"/>
          <w:color w:val="auto"/>
        </w:rPr>
        <w:t>Distributions on Deposited Securities</w:t>
      </w:r>
      <w:r>
        <w:rPr>
          <w:rFonts w:ascii="Arial" w:cs="Arial" w:eastAsia="Arial" w:hAnsi="Arial"/>
          <w:sz w:val="18"/>
          <w:szCs w:val="18"/>
          <w:color w:val="auto"/>
        </w:rPr>
        <w:t>) is not practicable with respect to any Holder, the Depositary may make such distribution as it so deems practicable, including the distribution of foreign currency, securities or property (or appropriate documents evidencing the right to receive foreign currency, securities or property) or the retention thereof as Deposited Securities with respect to such Holder’s ADRs (without liability for interest thereon or the investment thereof).</w:t>
      </w:r>
    </w:p>
    <w:p>
      <w:pPr>
        <w:spacing w:after="0" w:line="183" w:lineRule="exact"/>
        <w:rPr>
          <w:rFonts w:ascii="Arial" w:cs="Arial" w:eastAsia="Arial" w:hAnsi="Arial"/>
          <w:sz w:val="18"/>
          <w:szCs w:val="18"/>
          <w:color w:val="auto"/>
        </w:rPr>
      </w:pPr>
    </w:p>
    <w:p>
      <w:pPr>
        <w:ind w:firstLine="464"/>
        <w:spacing w:after="0" w:line="270"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Withdrawal of Deposited Securities. </w:t>
      </w:r>
      <w:r>
        <w:rPr>
          <w:rFonts w:ascii="Arial" w:cs="Arial" w:eastAsia="Arial" w:hAnsi="Arial"/>
          <w:sz w:val="17"/>
          <w:szCs w:val="17"/>
          <w:color w:val="auto"/>
        </w:rPr>
        <w:t>In connection with any surrender of an ADR for withdrawal of the Deposited Securities represented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ADSs evidenced thereby, the Depositary may require 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 (a “</w:t>
      </w:r>
      <w:r>
        <w:rPr>
          <w:rFonts w:ascii="Arial" w:cs="Arial" w:eastAsia="Arial" w:hAnsi="Arial"/>
          <w:sz w:val="17"/>
          <w:szCs w:val="17"/>
          <w:b w:val="1"/>
          <w:bCs w:val="1"/>
          <w:color w:val="auto"/>
        </w:rPr>
        <w:t>Withdrawal Order</w:t>
      </w:r>
      <w:r>
        <w:rPr>
          <w:rFonts w:ascii="Arial" w:cs="Arial" w:eastAsia="Arial" w:hAnsi="Arial"/>
          <w:sz w:val="17"/>
          <w:szCs w:val="17"/>
          <w:color w:val="auto"/>
        </w:rPr>
        <w:t>”). Directions from the Depositary to the Custodian to deliver Deposited Securities shall be given by letter, first class airmail postage prepaid, or, at the request, risk and expense of the Holder, by SWIFT, cable, telex or facsimile transmission.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acting as a registrar for the Deposited Securities.</w:t>
      </w:r>
    </w:p>
    <w:p>
      <w:pPr>
        <w:spacing w:after="0" w:line="177" w:lineRule="exact"/>
        <w:rPr>
          <w:rFonts w:ascii="Arial" w:cs="Arial" w:eastAsia="Arial" w:hAnsi="Arial"/>
          <w:sz w:val="17"/>
          <w:szCs w:val="17"/>
          <w:color w:val="auto"/>
        </w:rPr>
      </w:pPr>
    </w:p>
    <w:p>
      <w:pPr>
        <w:jc w:val="both"/>
        <w:ind w:right="360" w:firstLine="464"/>
        <w:spacing w:after="0" w:line="281"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Substitution of ADRs</w:t>
      </w:r>
      <w:r>
        <w:rPr>
          <w:rFonts w:ascii="Arial" w:cs="Arial" w:eastAsia="Arial" w:hAnsi="Arial"/>
          <w:sz w:val="17"/>
          <w:szCs w:val="17"/>
          <w:color w:val="auto"/>
        </w:rPr>
        <w:t>. The Depositary shall execute and deliver a new Direct Registration ADR in exchange and substitution for any mutilated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164" w:lineRule="exact"/>
        <w:rPr>
          <w:rFonts w:ascii="Arial" w:cs="Arial" w:eastAsia="Arial" w:hAnsi="Arial"/>
          <w:sz w:val="17"/>
          <w:szCs w:val="17"/>
          <w:color w:val="auto"/>
        </w:rPr>
      </w:pPr>
    </w:p>
    <w:p>
      <w:pPr>
        <w:ind w:firstLine="464"/>
        <w:spacing w:after="0" w:line="282"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Cancellation and Destruction of ADRs</w:t>
      </w:r>
      <w:r>
        <w:rPr>
          <w:rFonts w:ascii="Arial" w:cs="Arial" w:eastAsia="Arial" w:hAnsi="Arial"/>
          <w:sz w:val="18"/>
          <w:szCs w:val="18"/>
          <w:color w:val="auto"/>
        </w:rPr>
        <w:t>. All ADRs surrendered to the Depositary shall be cancelled by the Depositary. The Depositary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to destroy ADRs in certificated form so cancelled in accordance with its customary practices.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7" w:name="page18"/>
    <w:bookmarkEnd w:id="17"/>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Custodian</w:t>
      </w:r>
      <w:r>
        <w:rPr>
          <w:rFonts w:ascii="Arial" w:cs="Arial" w:eastAsia="Arial" w:hAnsi="Arial"/>
          <w:sz w:val="18"/>
          <w:szCs w:val="18"/>
          <w:color w:val="auto"/>
        </w:rPr>
        <w:t>.</w:t>
      </w:r>
    </w:p>
    <w:p>
      <w:pPr>
        <w:spacing w:after="0" w:line="229" w:lineRule="exact"/>
        <w:rPr>
          <w:sz w:val="20"/>
          <w:szCs w:val="20"/>
          <w:color w:val="auto"/>
        </w:rPr>
      </w:pPr>
    </w:p>
    <w:p>
      <w:pPr>
        <w:ind w:right="60" w:firstLine="464"/>
        <w:spacing w:after="0" w:line="264" w:lineRule="auto"/>
        <w:tabs>
          <w:tab w:leader="none" w:pos="83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Rights of the Depositary</w:t>
      </w:r>
      <w:r>
        <w:rPr>
          <w:rFonts w:ascii="Arial" w:cs="Arial" w:eastAsia="Arial" w:hAnsi="Arial"/>
          <w:sz w:val="18"/>
          <w:szCs w:val="18"/>
          <w:color w:val="auto"/>
        </w:rPr>
        <w:t>. Any Custodian in acting hereunder shall be subject to the directions of the Depositary and shall be responsible solely to</w:t>
      </w:r>
      <w:r>
        <w:rPr>
          <w:rFonts w:ascii="Arial" w:cs="Arial" w:eastAsia="Arial" w:hAnsi="Arial"/>
          <w:sz w:val="18"/>
          <w:szCs w:val="18"/>
          <w:i w:val="1"/>
          <w:iCs w:val="1"/>
          <w:color w:val="auto"/>
        </w:rPr>
        <w:t xml:space="preserve"> </w:t>
      </w:r>
      <w:r>
        <w:rPr>
          <w:rFonts w:ascii="Arial" w:cs="Arial" w:eastAsia="Arial" w:hAnsi="Arial"/>
          <w:sz w:val="18"/>
          <w:szCs w:val="18"/>
          <w:color w:val="auto"/>
        </w:rPr>
        <w:t>it. The Depositary reserves the right to add, replace or remove a Custodian. The Depositary will give prompt notice of any such action, which will be advance notice if practicable.</w:t>
      </w:r>
    </w:p>
    <w:p>
      <w:pPr>
        <w:spacing w:after="0" w:line="181" w:lineRule="exact"/>
        <w:rPr>
          <w:rFonts w:ascii="Arial" w:cs="Arial" w:eastAsia="Arial" w:hAnsi="Arial"/>
          <w:sz w:val="18"/>
          <w:szCs w:val="18"/>
          <w:color w:val="auto"/>
        </w:rPr>
      </w:pPr>
    </w:p>
    <w:p>
      <w:pPr>
        <w:ind w:left="860" w:hanging="39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Rights of the Custodian. </w:t>
      </w:r>
      <w:r>
        <w:rPr>
          <w:rFonts w:ascii="Arial" w:cs="Arial" w:eastAsia="Arial" w:hAnsi="Arial"/>
          <w:sz w:val="18"/>
          <w:szCs w:val="18"/>
          <w:color w:val="auto"/>
        </w:rPr>
        <w:t>Any Custodian may resign from its duties hereunder by providing at least 30 days prior written notice to the</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Depositary. Promptly after the receipt of such written notice, the Depositary shall endeavor to appoint a substitute custodian or custodians, each of which shall be a Custodian hereunder upon the effectiveness of such resignation. The Depositary may discharge any Custodian at any time upon notice to the Custodian being discharged. Any Custodian ceasing to act hereunder as Custodian shall deliver, upon the instruction of the Depositary, all Deposited Securities held by it to a Custodian continuing to act. Notwithstanding anything to the contrary contained in this Deposit Agreement (including the ADRs) and subject to the penultimate sentence of paragraph (14) of the form of ADR (</w:t>
      </w:r>
      <w:r>
        <w:rPr>
          <w:rFonts w:ascii="Arial" w:cs="Arial" w:eastAsia="Arial" w:hAnsi="Arial"/>
          <w:sz w:val="17"/>
          <w:szCs w:val="17"/>
          <w:i w:val="1"/>
          <w:iCs w:val="1"/>
          <w:color w:val="auto"/>
        </w:rPr>
        <w:t>Exoneration</w:t>
      </w:r>
      <w:r>
        <w:rPr>
          <w:rFonts w:ascii="Arial" w:cs="Arial" w:eastAsia="Arial" w:hAnsi="Arial"/>
          <w:sz w:val="17"/>
          <w:szCs w:val="17"/>
          <w:color w:val="auto"/>
        </w:rPr>
        <w:t>),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80" w:lineRule="exact"/>
        <w:rPr>
          <w:sz w:val="20"/>
          <w:szCs w:val="20"/>
          <w:color w:val="auto"/>
        </w:rPr>
      </w:pPr>
    </w:p>
    <w:p>
      <w:pPr>
        <w:jc w:val="both"/>
        <w:ind w:right="180" w:firstLine="464"/>
        <w:spacing w:after="0" w:line="261" w:lineRule="auto"/>
        <w:tabs>
          <w:tab w:leader="none" w:pos="72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Lists of Holders</w:t>
      </w:r>
      <w:r>
        <w:rPr>
          <w:rFonts w:ascii="Arial" w:cs="Arial" w:eastAsia="Arial" w:hAnsi="Arial"/>
          <w:sz w:val="18"/>
          <w:szCs w:val="18"/>
          <w:color w:val="auto"/>
        </w:rPr>
        <w:t>. The Company shall have the right to inspect transfer records of the Depositary and its agents and the ADR Register, take copies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require the Depositary and its agents to supply copies of such portions of such records as the Company may request. The Depositary or its agent shall furnish to the Company promptly upon the written request of the Company, a list of the names, addresses and holdings of ADSs by all Holders as of a date within seven days of the Depositary’s receipt of such request.</w:t>
      </w:r>
    </w:p>
    <w:p>
      <w:pPr>
        <w:spacing w:after="0" w:line="180" w:lineRule="exact"/>
        <w:rPr>
          <w:rFonts w:ascii="Arial" w:cs="Arial" w:eastAsia="Arial" w:hAnsi="Arial"/>
          <w:sz w:val="18"/>
          <w:szCs w:val="18"/>
          <w:color w:val="auto"/>
        </w:rPr>
      </w:pPr>
    </w:p>
    <w:p>
      <w:pPr>
        <w:ind w:right="180" w:firstLine="464"/>
        <w:spacing w:after="0" w:line="26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Depositary’s Agents</w:t>
      </w:r>
      <w:r>
        <w:rPr>
          <w:rFonts w:ascii="Arial" w:cs="Arial" w:eastAsia="Arial" w:hAnsi="Arial"/>
          <w:sz w:val="18"/>
          <w:szCs w:val="18"/>
          <w:color w:val="auto"/>
        </w:rPr>
        <w:t>. The Depositary may perform its obligations under this Deposit Agreement through any agent appointed by it,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notify the Company of such appointment and shall remain responsible for the performance of such obligations as if no agent were appointed, subject to paragraph (14) of the form of ADR (</w:t>
      </w:r>
      <w:r>
        <w:rPr>
          <w:rFonts w:ascii="Arial" w:cs="Arial" w:eastAsia="Arial" w:hAnsi="Arial"/>
          <w:sz w:val="18"/>
          <w:szCs w:val="18"/>
          <w:i w:val="1"/>
          <w:iCs w:val="1"/>
          <w:color w:val="auto"/>
        </w:rPr>
        <w:t>Exoneration</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740" w:hanging="27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Resignation and Removal of the Depositary; Appointment of Successor Depositary</w:t>
      </w:r>
      <w:r>
        <w:rPr>
          <w:rFonts w:ascii="Arial" w:cs="Arial" w:eastAsia="Arial" w:hAnsi="Arial"/>
          <w:sz w:val="18"/>
          <w:szCs w:val="18"/>
          <w:color w:val="auto"/>
        </w:rPr>
        <w:t>.</w:t>
      </w:r>
    </w:p>
    <w:p>
      <w:pPr>
        <w:spacing w:after="0" w:line="229" w:lineRule="exact"/>
        <w:rPr>
          <w:sz w:val="20"/>
          <w:szCs w:val="20"/>
          <w:color w:val="auto"/>
        </w:rPr>
      </w:pPr>
    </w:p>
    <w:p>
      <w:pPr>
        <w:ind w:right="120" w:firstLine="464"/>
        <w:spacing w:after="0" w:line="264" w:lineRule="auto"/>
        <w:tabs>
          <w:tab w:leader="none" w:pos="83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Resignation of the Depositary</w:t>
      </w:r>
      <w:r>
        <w:rPr>
          <w:rFonts w:ascii="Arial" w:cs="Arial" w:eastAsia="Arial" w:hAnsi="Arial"/>
          <w:sz w:val="18"/>
          <w:szCs w:val="18"/>
          <w:color w:val="auto"/>
        </w:rPr>
        <w:t>. The Depositary may at any time resign as Depositary hereunder by written notice of its election so to do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such resignation to take effect upon the appointment of a successor depositary and its acceptance of such appointment as hereinafter provided.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8" w:name="page19"/>
    <w:bookmarkEnd w:id="18"/>
    <w:p>
      <w:pPr>
        <w:ind w:left="-20" w:firstLine="464"/>
        <w:spacing w:after="0" w:line="273" w:lineRule="auto"/>
        <w:tabs>
          <w:tab w:leader="none" w:pos="82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Removal of the Depositary</w:t>
      </w:r>
      <w:r>
        <w:rPr>
          <w:rFonts w:ascii="Arial" w:cs="Arial" w:eastAsia="Arial" w:hAnsi="Arial"/>
          <w:sz w:val="17"/>
          <w:szCs w:val="17"/>
          <w:color w:val="auto"/>
        </w:rPr>
        <w:t>. The Depositary may at any time be removed by the Company by providing no less than 60 days prior written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removal to the Depositary, such removal to take effect on the later of (i) the 60</w:t>
      </w:r>
      <w:r>
        <w:rPr>
          <w:rFonts w:ascii="Arial" w:cs="Arial" w:eastAsia="Arial" w:hAnsi="Arial"/>
          <w:sz w:val="14"/>
          <w:szCs w:val="14"/>
          <w:color w:val="auto"/>
        </w:rPr>
        <w:t>th</w:t>
      </w:r>
      <w:r>
        <w:rPr>
          <w:rFonts w:ascii="Arial" w:cs="Arial" w:eastAsia="Arial" w:hAnsi="Arial"/>
          <w:sz w:val="17"/>
          <w:szCs w:val="17"/>
          <w:color w:val="auto"/>
        </w:rPr>
        <w:t xml:space="preserve"> day after such notice of removal is first provided and (ii) the appointment of a successor depositary and its acceptance of such appointment as hereinafter provided. Notwithstanding the foregoing, if upon the resignation or removal of the Depositary a successor depositary is not appointed within the applicable 60-day period (in the case of resignation) or 90-day period (in the case of removal) as specified in paragraph (17) of the form of ADR (</w:t>
      </w:r>
      <w:r>
        <w:rPr>
          <w:rFonts w:ascii="Arial" w:cs="Arial" w:eastAsia="Arial" w:hAnsi="Arial"/>
          <w:sz w:val="17"/>
          <w:szCs w:val="17"/>
          <w:i w:val="1"/>
          <w:iCs w:val="1"/>
          <w:color w:val="auto"/>
        </w:rPr>
        <w:t>Termination</w:t>
      </w:r>
      <w:r>
        <w:rPr>
          <w:rFonts w:ascii="Arial" w:cs="Arial" w:eastAsia="Arial" w:hAnsi="Arial"/>
          <w:sz w:val="17"/>
          <w:szCs w:val="17"/>
          <w:color w:val="auto"/>
        </w:rPr>
        <w:t>), then the Depositary may elect to terminate this Deposit Agreement and the ADR and the provisions of said paragraph (17) shall thereafter govern the Depositary’s obligations hereunder.</w:t>
      </w:r>
    </w:p>
    <w:p>
      <w:pPr>
        <w:spacing w:after="0" w:line="178" w:lineRule="exact"/>
        <w:rPr>
          <w:rFonts w:ascii="Arial" w:cs="Arial" w:eastAsia="Arial" w:hAnsi="Arial"/>
          <w:sz w:val="17"/>
          <w:szCs w:val="17"/>
          <w:color w:val="auto"/>
        </w:rPr>
      </w:pPr>
    </w:p>
    <w:p>
      <w:pPr>
        <w:ind w:left="-20" w:firstLine="464"/>
        <w:spacing w:after="0" w:line="269" w:lineRule="auto"/>
        <w:tabs>
          <w:tab w:leader="none" w:pos="81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Appointment of Successor Depositary</w:t>
      </w:r>
      <w:r>
        <w:rPr>
          <w:rFonts w:ascii="Arial" w:cs="Arial" w:eastAsia="Arial" w:hAnsi="Arial"/>
          <w:sz w:val="17"/>
          <w:szCs w:val="17"/>
          <w:color w:val="auto"/>
        </w:rPr>
        <w:t>. In case at any time the Depositary acting hereunder shall resign or be removed, the Company shall use its</w:t>
      </w:r>
      <w:r>
        <w:rPr>
          <w:rFonts w:ascii="Arial" w:cs="Arial" w:eastAsia="Arial" w:hAnsi="Arial"/>
          <w:sz w:val="17"/>
          <w:szCs w:val="17"/>
          <w:i w:val="1"/>
          <w:iCs w:val="1"/>
          <w:color w:val="auto"/>
        </w:rPr>
        <w:t xml:space="preserve"> </w:t>
      </w:r>
      <w:r>
        <w:rPr>
          <w:rFonts w:ascii="Arial" w:cs="Arial" w:eastAsia="Arial" w:hAnsi="Arial"/>
          <w:sz w:val="17"/>
          <w:szCs w:val="17"/>
          <w:color w:val="auto"/>
        </w:rPr>
        <w:t>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 (i) 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179" w:lineRule="exact"/>
        <w:rPr>
          <w:sz w:val="20"/>
          <w:szCs w:val="20"/>
          <w:color w:val="auto"/>
        </w:rPr>
      </w:pPr>
    </w:p>
    <w:p>
      <w:pPr>
        <w:ind w:left="-20" w:firstLine="464"/>
        <w:spacing w:after="0" w:line="273" w:lineRule="auto"/>
        <w:tabs>
          <w:tab w:leader="none" w:pos="706"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Reports. </w:t>
      </w:r>
      <w:r>
        <w:rPr>
          <w:rFonts w:ascii="Arial" w:cs="Arial" w:eastAsia="Arial" w:hAnsi="Arial"/>
          <w:sz w:val="17"/>
          <w:szCs w:val="17"/>
          <w:color w:val="auto"/>
        </w:rPr>
        <w:t>On or before the first date on which the Company makes any communication available to holders of Deposited Securities or any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19" w:name="page20"/>
    <w:bookmarkEnd w:id="19"/>
    <w:p>
      <w:pPr>
        <w:ind w:right="100" w:firstLine="464"/>
        <w:spacing w:after="0" w:line="270" w:lineRule="auto"/>
        <w:tabs>
          <w:tab w:leader="none" w:pos="726"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Shares</w:t>
      </w:r>
      <w:r>
        <w:rPr>
          <w:rFonts w:ascii="Arial" w:cs="Arial" w:eastAsia="Arial" w:hAnsi="Arial"/>
          <w:sz w:val="17"/>
          <w:szCs w:val="17"/>
          <w:color w:val="auto"/>
        </w:rPr>
        <w:t>. The Company agrees with the Depositary that neither the Company nor any company controlling, controlled by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control with the Company shall issue additional Shares, rights to subscribe for Shares, securities convertible into or exchangeable for Shares, or rights to subscribe for any such securities, or shall deposit any Shares under this Deposit Agreement, except under circumstances complying in all respects with the Securities Act of 1933. At the reasonable request of the Depositary where it deems necessary in the case of any such issuance, subscription, conversion, exchange or deposit, the Company will furnish the Depositary with legal opinions, in forms and from counsels reasonably acceptable to the Depositary, dealing with such issues requested by the Depositary. The Depositary shall not knowingly accept for deposit hereunder any Shares required to be registered under the Securities Act unless a registration statement is in effect and shall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requirements of the securities laws, rules and regulations in the United States.</w:t>
      </w:r>
    </w:p>
    <w:p>
      <w:pPr>
        <w:spacing w:after="0" w:line="177" w:lineRule="exact"/>
        <w:rPr>
          <w:rFonts w:ascii="Arial" w:cs="Arial" w:eastAsia="Arial" w:hAnsi="Arial"/>
          <w:sz w:val="17"/>
          <w:szCs w:val="17"/>
          <w:color w:val="auto"/>
        </w:rPr>
      </w:pPr>
    </w:p>
    <w:p>
      <w:pPr>
        <w:ind w:firstLine="464"/>
        <w:spacing w:after="0" w:line="295" w:lineRule="auto"/>
        <w:tabs>
          <w:tab w:leader="none" w:pos="726"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Company shall indemnify, defend and save harmless each of the Depositary, the Custodian and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employees, agents and affiliates against any loss, liability or expense (including reasonable fees and expenses of counsel) which may arise out of acts performed or omitted, in connection with the provisions of this Deposit Agreement and of the ADRs, as the same may be amended, modified or supplemented from time to time in accordance 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w:t>
      </w:r>
    </w:p>
    <w:p>
      <w:pPr>
        <w:spacing w:after="0" w:line="16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indemnities set forth in the preceding paragraph shall also apply to any liability or expense which may arise out of any misstatement or alleged misstatement or omission or alleged omission in any registration statement, proxy statement, prospectus (or placement memorandum), or preliminary prospectus (or preliminary placement memorandum) relating to the offer, issuance, deposit, withdrawal or sale of ADSs,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its agents (other than the Company)) or (ii) if such information is provided, the failure to state a material fact therein necessary in order to make the information provided, in the light of the circumstances under which made, not misleading.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20" w:name="page21"/>
    <w:bookmarkEnd w:id="20"/>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provided in the next succeeding paragraph or in Section 9 hereof, the Depositary shall indemnify, defend and save harmless the Company and its directors, officers, employees, agents and affiliates acting on the Company’s behalf hereunder against any loss, liability or expense (including reasonable fees and expenses of counsel) to the extent such loss, liability or expense is directly due to the negligence or willful misconduct of the Depositary or its Custodian (subject to the limitations provided for in Section 9 hereof) or their respective directors, officers, employees, agents and affiliates acting in their capacities as such hereunder on behalf of the Depositary.</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Notwithstanding any other provision of this Deposit Agreement or the ADRs to the contrary, neither the Depositary nor the Company, nor any of their agents shall be liable to the other for any indirect, special, punitive or consequential damages or lost profits (including, without limitation, legal fees and expenses), in each case of any form (collectively, “</w:t>
      </w:r>
      <w:r>
        <w:rPr>
          <w:rFonts w:ascii="Arial" w:cs="Arial" w:eastAsia="Arial" w:hAnsi="Arial"/>
          <w:sz w:val="16"/>
          <w:szCs w:val="16"/>
          <w:b w:val="1"/>
          <w:bCs w:val="1"/>
          <w:color w:val="auto"/>
        </w:rPr>
        <w:t>Special Damages</w:t>
      </w:r>
      <w:r>
        <w:rPr>
          <w:rFonts w:ascii="Arial" w:cs="Arial" w:eastAsia="Arial" w:hAnsi="Arial"/>
          <w:sz w:val="16"/>
          <w:szCs w:val="16"/>
          <w:color w:val="auto"/>
        </w:rPr>
        <w:t>”)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provided, however, that to the extent Special Damages arise from or out of a claim brought by a third party (including, without limitation, Holders and beneficial owners of, or holders of interests in, ADSs and ADRs) against the Depositary or any of its agents acting under the Deposit Agreement, the Depositary and its agents shall be entitled to full indemnification from the Company for all such Special Damages (including, without limitation, for the avoidance of doubt, legal fees and expenses), unless such Special Damages are found to have been a direct result of the gross negligence or willful misconduct of the Depositary.</w:t>
      </w:r>
    </w:p>
    <w:p>
      <w:pPr>
        <w:spacing w:after="0" w:line="167"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obligations set forth in this Section 15 shall survive the termination of this Deposit Agreement and the succession or substitution of any indemnified person.</w:t>
      </w:r>
    </w:p>
    <w:p>
      <w:pPr>
        <w:spacing w:after="0" w:line="166" w:lineRule="exact"/>
        <w:rPr>
          <w:sz w:val="20"/>
          <w:szCs w:val="20"/>
          <w:color w:val="auto"/>
        </w:rPr>
      </w:pPr>
    </w:p>
    <w:p>
      <w:pPr>
        <w:ind w:left="740" w:hanging="27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29" w:lineRule="exact"/>
        <w:rPr>
          <w:sz w:val="20"/>
          <w:szCs w:val="20"/>
          <w:color w:val="auto"/>
        </w:rPr>
      </w:pPr>
    </w:p>
    <w:p>
      <w:pPr>
        <w:ind w:right="100" w:firstLine="464"/>
        <w:spacing w:after="0" w:line="258" w:lineRule="auto"/>
        <w:tabs>
          <w:tab w:leader="none" w:pos="83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Notice to Holders</w:t>
      </w:r>
      <w:r>
        <w:rPr>
          <w:rFonts w:ascii="Arial" w:cs="Arial" w:eastAsia="Arial" w:hAnsi="Arial"/>
          <w:sz w:val="18"/>
          <w:szCs w:val="18"/>
          <w:color w:val="auto"/>
        </w:rPr>
        <w:t>. Notice to any Holder shall be deemed given when first mailed, first class postage prepaid, to the address of such Holder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ADR Register or received by such Holder. Failure to notify a Holder or any defect in the notification</w:t>
      </w:r>
    </w:p>
    <w:p>
      <w:pPr>
        <w:spacing w:after="0" w:line="1" w:lineRule="exact"/>
        <w:rPr>
          <w:rFonts w:ascii="Arial" w:cs="Arial" w:eastAsia="Arial" w:hAnsi="Arial"/>
          <w:sz w:val="18"/>
          <w:szCs w:val="18"/>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to a Holder shall not affect the sufficiency of notification to other Holders or beneficial owners of, and/or holders of interests in, ADSs or ADRs held by such other Holders or beneficial owners and/or holders of interests.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1" w:name="page22"/>
    <w:bookmarkEnd w:id="21"/>
    <w:p>
      <w:pPr>
        <w:ind w:left="-8" w:firstLine="8"/>
        <w:spacing w:after="0" w:line="264" w:lineRule="auto"/>
        <w:tabs>
          <w:tab w:leader="none" w:pos="24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the Depositary or the Company</w:t>
      </w:r>
      <w:r>
        <w:rPr>
          <w:rFonts w:ascii="Arial" w:cs="Arial" w:eastAsia="Arial" w:hAnsi="Arial"/>
          <w:sz w:val="18"/>
          <w:szCs w:val="18"/>
          <w:color w:val="auto"/>
        </w:rPr>
        <w:t>. Notice to the Depositary or the Company shall be deemed given when first received by it at the address or</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transmission number set forth in (a) or (b), respectively, or at such other address or facsimile transmission number as either may specify to the other by written notice:</w:t>
      </w:r>
    </w:p>
    <w:p>
      <w:pPr>
        <w:spacing w:after="0" w:line="87" w:lineRule="exact"/>
        <w:rPr>
          <w:sz w:val="20"/>
          <w:szCs w:val="20"/>
          <w:color w:val="auto"/>
        </w:rPr>
      </w:pPr>
    </w:p>
    <w:p>
      <w:pPr>
        <w:ind w:left="1912" w:hanging="440"/>
        <w:spacing w:after="0"/>
        <w:tabs>
          <w:tab w:leader="none" w:pos="19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JPMorgan Chase Bank, N.A.</w:t>
      </w:r>
    </w:p>
    <w:p>
      <w:pPr>
        <w:spacing w:after="0" w:line="23" w:lineRule="exact"/>
        <w:rPr>
          <w:rFonts w:ascii="Arial" w:cs="Arial" w:eastAsia="Arial" w:hAnsi="Arial"/>
          <w:sz w:val="18"/>
          <w:szCs w:val="18"/>
          <w:color w:val="auto"/>
        </w:rPr>
      </w:pPr>
    </w:p>
    <w:p>
      <w:pPr>
        <w:ind w:left="1932" w:right="6680"/>
        <w:spacing w:after="0" w:line="254" w:lineRule="auto"/>
        <w:rPr>
          <w:rFonts w:ascii="Arial" w:cs="Arial" w:eastAsia="Arial" w:hAnsi="Arial"/>
          <w:sz w:val="18"/>
          <w:szCs w:val="18"/>
          <w:color w:val="auto"/>
        </w:rPr>
      </w:pPr>
      <w:r>
        <w:rPr>
          <w:rFonts w:ascii="Arial" w:cs="Arial" w:eastAsia="Arial" w:hAnsi="Arial"/>
          <w:sz w:val="18"/>
          <w:szCs w:val="18"/>
          <w:color w:val="auto"/>
        </w:rPr>
        <w:t>4 New York Plaza, Floor 12 New York, New York, 10004 Attention: Depositary Receipts Group Fax: (212) 552-1950</w:t>
      </w:r>
    </w:p>
    <w:p>
      <w:pPr>
        <w:spacing w:after="0" w:line="216" w:lineRule="exact"/>
        <w:rPr>
          <w:rFonts w:ascii="Arial" w:cs="Arial" w:eastAsia="Arial" w:hAnsi="Arial"/>
          <w:sz w:val="18"/>
          <w:szCs w:val="18"/>
          <w:color w:val="auto"/>
        </w:rPr>
      </w:pPr>
    </w:p>
    <w:p>
      <w:pPr>
        <w:ind w:left="1932" w:right="6680" w:hanging="460"/>
        <w:spacing w:after="0" w:line="258" w:lineRule="auto"/>
        <w:tabs>
          <w:tab w:leader="none" w:pos="19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iClick Interactive Asia Group Limited 15/F</w:t>
      </w:r>
    </w:p>
    <w:p>
      <w:pPr>
        <w:spacing w:after="0" w:line="1" w:lineRule="exact"/>
        <w:rPr>
          <w:rFonts w:ascii="Arial" w:cs="Arial" w:eastAsia="Arial" w:hAnsi="Arial"/>
          <w:sz w:val="18"/>
          <w:szCs w:val="18"/>
          <w:color w:val="auto"/>
        </w:rPr>
      </w:pPr>
    </w:p>
    <w:p>
      <w:pPr>
        <w:ind w:left="1932"/>
        <w:spacing w:after="0"/>
        <w:rPr>
          <w:rFonts w:ascii="Arial" w:cs="Arial" w:eastAsia="Arial" w:hAnsi="Arial"/>
          <w:sz w:val="18"/>
          <w:szCs w:val="18"/>
          <w:color w:val="auto"/>
        </w:rPr>
      </w:pPr>
      <w:r>
        <w:rPr>
          <w:rFonts w:ascii="Arial" w:cs="Arial" w:eastAsia="Arial" w:hAnsi="Arial"/>
          <w:sz w:val="18"/>
          <w:szCs w:val="18"/>
          <w:color w:val="auto"/>
        </w:rPr>
        <w:t>Property Millennia Plaza</w:t>
      </w:r>
    </w:p>
    <w:p>
      <w:pPr>
        <w:spacing w:after="0" w:line="9" w:lineRule="exact"/>
        <w:rPr>
          <w:rFonts w:ascii="Arial" w:cs="Arial" w:eastAsia="Arial" w:hAnsi="Arial"/>
          <w:sz w:val="18"/>
          <w:szCs w:val="18"/>
          <w:color w:val="auto"/>
        </w:rPr>
      </w:pPr>
    </w:p>
    <w:p>
      <w:pPr>
        <w:ind w:left="1932"/>
        <w:spacing w:after="0"/>
        <w:rPr>
          <w:rFonts w:ascii="Arial" w:cs="Arial" w:eastAsia="Arial" w:hAnsi="Arial"/>
          <w:sz w:val="18"/>
          <w:szCs w:val="18"/>
          <w:color w:val="auto"/>
        </w:rPr>
      </w:pPr>
      <w:r>
        <w:rPr>
          <w:rFonts w:ascii="Arial" w:cs="Arial" w:eastAsia="Arial" w:hAnsi="Arial"/>
          <w:sz w:val="18"/>
          <w:szCs w:val="18"/>
          <w:color w:val="auto"/>
        </w:rPr>
        <w:t>663 King’s Road, Quarry Bay</w:t>
      </w:r>
    </w:p>
    <w:p>
      <w:pPr>
        <w:spacing w:after="0" w:line="9" w:lineRule="exact"/>
        <w:rPr>
          <w:rFonts w:ascii="Arial" w:cs="Arial" w:eastAsia="Arial" w:hAnsi="Arial"/>
          <w:sz w:val="18"/>
          <w:szCs w:val="18"/>
          <w:color w:val="auto"/>
        </w:rPr>
      </w:pPr>
    </w:p>
    <w:p>
      <w:pPr>
        <w:jc w:val="both"/>
        <w:ind w:left="1932" w:right="5980"/>
        <w:spacing w:after="0" w:line="255" w:lineRule="auto"/>
        <w:rPr>
          <w:rFonts w:ascii="Arial" w:cs="Arial" w:eastAsia="Arial" w:hAnsi="Arial"/>
          <w:sz w:val="18"/>
          <w:szCs w:val="18"/>
          <w:color w:val="auto"/>
        </w:rPr>
      </w:pPr>
      <w:r>
        <w:rPr>
          <w:rFonts w:ascii="Arial" w:cs="Arial" w:eastAsia="Arial" w:hAnsi="Arial"/>
          <w:sz w:val="18"/>
          <w:szCs w:val="18"/>
          <w:color w:val="auto"/>
        </w:rPr>
        <w:t>Hong Kong S.A.R., People’s Republic of China Attention: Ms. Jill Jiao, Chief Financial Officer Fax: +852 3579 1056</w:t>
      </w:r>
    </w:p>
    <w:p>
      <w:pPr>
        <w:spacing w:after="0" w:line="186" w:lineRule="exact"/>
        <w:rPr>
          <w:rFonts w:ascii="Arial" w:cs="Arial" w:eastAsia="Arial" w:hAnsi="Arial"/>
          <w:sz w:val="18"/>
          <w:szCs w:val="18"/>
          <w:color w:val="auto"/>
        </w:rPr>
      </w:pPr>
    </w:p>
    <w:p>
      <w:pPr>
        <w:ind w:left="-8" w:right="400" w:firstLine="464"/>
        <w:spacing w:after="0" w:line="289" w:lineRule="auto"/>
        <w:tabs>
          <w:tab w:leader="none" w:pos="718"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Deposit Agreement may be executed in any number of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158" w:lineRule="exact"/>
        <w:rPr>
          <w:rFonts w:ascii="Arial" w:cs="Arial" w:eastAsia="Arial" w:hAnsi="Arial"/>
          <w:sz w:val="17"/>
          <w:szCs w:val="17"/>
          <w:color w:val="auto"/>
        </w:rPr>
      </w:pPr>
    </w:p>
    <w:p>
      <w:pPr>
        <w:ind w:left="-8" w:right="80" w:firstLine="464"/>
        <w:spacing w:after="0" w:line="261" w:lineRule="auto"/>
        <w:tabs>
          <w:tab w:leader="none" w:pos="718"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No Third-Party Beneficiaries; Holders and Owners as Parties; Binding Effect</w:t>
      </w:r>
      <w:r>
        <w:rPr>
          <w:rFonts w:ascii="Arial" w:cs="Arial" w:eastAsia="Arial" w:hAnsi="Arial"/>
          <w:sz w:val="18"/>
          <w:szCs w:val="18"/>
          <w:color w:val="auto"/>
        </w:rPr>
        <w:t>. This Deposit Agreement is for the exclusive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Depositary, the Holders, and their respective successors hereunder, and, except to the extent specifically set forth in Section 15 of this Deposit Agreement, shall not give any legal or equitable right, remedy or claim whatsoever to any other person. The Holders and owners of ADRs from time to time shall be parties to this Deposit Agreement and shall be bound by all of the provisions hereof.</w:t>
      </w:r>
    </w:p>
    <w:p>
      <w:pPr>
        <w:spacing w:after="0" w:line="180" w:lineRule="exact"/>
        <w:rPr>
          <w:rFonts w:ascii="Arial" w:cs="Arial" w:eastAsia="Arial" w:hAnsi="Arial"/>
          <w:sz w:val="18"/>
          <w:szCs w:val="18"/>
          <w:color w:val="auto"/>
        </w:rPr>
      </w:pPr>
    </w:p>
    <w:p>
      <w:pPr>
        <w:ind w:left="5652" w:right="60" w:hanging="5196"/>
        <w:spacing w:after="0" w:line="454" w:lineRule="auto"/>
        <w:tabs>
          <w:tab w:leader="none" w:pos="717"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such provision is invalid, illegal or unenforceable in any respect, the remaining provisions shall in no way be affected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9</w:t>
      </w:r>
    </w:p>
    <w:p>
      <w:pPr>
        <w:sectPr>
          <w:pgSz w:w="11900" w:h="16838" w:orient="portrait"/>
          <w:cols w:equalWidth="0" w:num="1">
            <w:col w:w="11352"/>
          </w:cols>
          <w:pgMar w:left="248" w:top="274" w:right="299" w:bottom="1440" w:gutter="0" w:footer="0" w:header="0"/>
        </w:sectPr>
      </w:pPr>
    </w:p>
    <w:bookmarkStart w:id="22" w:name="page23"/>
    <w:bookmarkEnd w:id="22"/>
    <w:p>
      <w:pPr>
        <w:ind w:left="720" w:hanging="27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Consent to Jurisdiction</w:t>
      </w:r>
      <w:r>
        <w:rPr>
          <w:rFonts w:ascii="Arial" w:cs="Arial" w:eastAsia="Arial" w:hAnsi="Arial"/>
          <w:sz w:val="18"/>
          <w:szCs w:val="18"/>
          <w:color w:val="auto"/>
        </w:rPr>
        <w:t>.</w:t>
      </w:r>
    </w:p>
    <w:p>
      <w:pPr>
        <w:spacing w:after="0" w:line="229" w:lineRule="exact"/>
        <w:rPr>
          <w:sz w:val="20"/>
          <w:szCs w:val="20"/>
          <w:color w:val="auto"/>
        </w:rPr>
      </w:pPr>
    </w:p>
    <w:p>
      <w:pPr>
        <w:ind w:left="-20" w:firstLine="464"/>
        <w:spacing w:after="0" w:line="269" w:lineRule="auto"/>
        <w:tabs>
          <w:tab w:leader="none" w:pos="81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Consent to Jurisdiction. </w:t>
      </w:r>
      <w:r>
        <w:rPr>
          <w:rFonts w:ascii="Arial" w:cs="Arial" w:eastAsia="Arial" w:hAnsi="Arial"/>
          <w:sz w:val="17"/>
          <w:szCs w:val="17"/>
          <w:color w:val="auto"/>
        </w:rPr>
        <w:t>The Deposit Agreement, the ADSs and the ADRs shall be governed by and construed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internal laws of the State of New York without giving effect to the application of the conflict of law principles thereof. The Company irrevocably agrees that any legal suit, action or proceeding against the Company brought by the Depositary or any Holder, arising out of or based upon this Deposit Agreement, the ADSs or the ADRs or the transactions contemplated hereby or thereby, may be instituted in any state or federal court in the Borough of Manhattan, New York, New York, and irrevocably waives any objection which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the Company shall be finally decided in such arbitration rather than in such court.</w:t>
      </w:r>
    </w:p>
    <w:p>
      <w:pPr>
        <w:spacing w:after="0" w:line="182" w:lineRule="exact"/>
        <w:rPr>
          <w:rFonts w:ascii="Arial" w:cs="Arial" w:eastAsia="Arial" w:hAnsi="Arial"/>
          <w:sz w:val="17"/>
          <w:szCs w:val="17"/>
          <w:color w:val="auto"/>
        </w:rPr>
      </w:pPr>
    </w:p>
    <w:p>
      <w:pPr>
        <w:ind w:left="-20" w:firstLine="464"/>
        <w:spacing w:after="0" w:line="269" w:lineRule="auto"/>
        <w:tabs>
          <w:tab w:leader="none" w:pos="82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Actions by Holders, etc. </w:t>
      </w:r>
      <w:r>
        <w:rPr>
          <w:rFonts w:ascii="Arial" w:cs="Arial" w:eastAsia="Arial" w:hAnsi="Arial"/>
          <w:sz w:val="17"/>
          <w:szCs w:val="17"/>
          <w:color w:val="auto"/>
        </w:rPr>
        <w:t>By holding an ADS or an interest therein, Holders and owners of interests in ADSs each irrevocably agree that any legal</w:t>
      </w:r>
      <w:r>
        <w:rPr>
          <w:rFonts w:ascii="Arial" w:cs="Arial" w:eastAsia="Arial" w:hAnsi="Arial"/>
          <w:sz w:val="17"/>
          <w:szCs w:val="17"/>
          <w:i w:val="1"/>
          <w:iCs w:val="1"/>
          <w:color w:val="auto"/>
        </w:rPr>
        <w:t xml:space="preserve"> </w:t>
      </w:r>
      <w:r>
        <w:rPr>
          <w:rFonts w:ascii="Arial" w:cs="Arial" w:eastAsia="Arial" w:hAnsi="Arial"/>
          <w:sz w:val="17"/>
          <w:szCs w:val="17"/>
          <w:color w:val="auto"/>
        </w:rPr>
        <w:t>suit, action or proceeding against Holders or owners of interests in ADSs brought by the Company or the Depositary, arising out of or based upon this Deposit Agreement, the ADSs or the ADRs or the transactions contemplated hereby or thereby,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Holders and/or owners of interests in ADSs shall be finally decided in such arbitration rather than in such court.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0" w:right="239" w:bottom="1440" w:gutter="0" w:footer="0" w:header="0"/>
        </w:sectPr>
      </w:pPr>
    </w:p>
    <w:bookmarkStart w:id="23" w:name="page24"/>
    <w:bookmarkEnd w:id="23"/>
    <w:p>
      <w:pPr>
        <w:ind w:left="-20" w:firstLine="464"/>
        <w:spacing w:after="0" w:line="283" w:lineRule="auto"/>
        <w:tabs>
          <w:tab w:leader="none" w:pos="816"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Optional Arbitration</w:t>
      </w:r>
      <w:r>
        <w:rPr>
          <w:rFonts w:ascii="Arial" w:cs="Arial" w:eastAsia="Arial" w:hAnsi="Arial"/>
          <w:sz w:val="16"/>
          <w:szCs w:val="16"/>
          <w:color w:val="auto"/>
        </w:rPr>
        <w:t>. Notwithstanding anything in this Deposit Agreement to the contrary, each of the parties hereto (i.e.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and all Holders from time to time of ADRs issued hereunder (and any persons owning or holding interests in ADSs)) agrees that: (i) the Depositary may, in its sole discretion, elect to institute any dispute, suit, action, controversy, claim or proceeding directly or indirectly based on, arising out of or relating to this Deposit Agreement, the ADSs or the ADRs or the transactions contemplated hereby or thereby,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hereto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hereto (including, without limitation, Disputes, suits, actions or proceedings brought by Holders and owners of interests in ADSs) against the Depositary shall be referred to and finally settled by an arbitration conducted under the terms set out below;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A notice of arbitration may be mailed to the Company at its address last specified for notices under this Deposit Agreement, and, if applicable, to any Holders at their addresses on the ADR Register.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 The number of arbitrators shall be three, each of whom shall be disinterested in the dispute or controversy, shall have no connection with any party thereto, and shall be an attorney experienced in international securities transactions. Each of the Company and the Depositary shall appoint one arbitrator and the two arbitrators shall select a third arbitrator who shall serve as chairperson of the tribunal. If a Dispute shall involve more than two parties, the parties shall attempt to align themselves in two sides (i.e.,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calendar days after the Depositary serves the arbitration demand or the two arbitrators fail to select a third arbitrator within thirty (30) calendar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 The arbitrators shall have no authority to award damages against any party not measured by the prevailing party’s actual damages and shall have no authority to award any consequential, special or punitive damages against any party and may not, in any event, make any ruling, finding or award that does not conform to the terms and conditions of this Deposit Agreement. In all cases, the fees of the arbitrators and other costs incurred by the parties in connection with such arbitration shall be paid by the party (or parties) that is (or are) unsuccessful in such arbitration. 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24" w:name="page25"/>
    <w:bookmarkEnd w:id="24"/>
    <w:p>
      <w:pPr>
        <w:ind w:left="-20" w:right="220" w:firstLine="464"/>
        <w:spacing w:after="0" w:line="279" w:lineRule="auto"/>
        <w:tabs>
          <w:tab w:leader="none" w:pos="826"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or anything in this Deposit Agreement to the contrary, any suit, action or proceeding based on this Deposit Agreement, the ADSs or the ADRs or the transactions contemplated hereby or thereby, may be instituted by the Depositary in any competent court in the Cayman Islands, Hong Kong, the People’s Republic of China and/or the United States, or, subject to the federal securities law carve-out set forth in Section 20(c) above, by the Depositary through the commencement of an arbitration pursuant to Section 20(c) of this Deposit Agreement.</w:t>
      </w:r>
    </w:p>
    <w:p>
      <w:pPr>
        <w:spacing w:after="0" w:line="167" w:lineRule="exact"/>
        <w:rPr>
          <w:sz w:val="20"/>
          <w:szCs w:val="20"/>
          <w:color w:val="auto"/>
        </w:rPr>
      </w:pPr>
    </w:p>
    <w:p>
      <w:pPr>
        <w:ind w:left="720" w:hanging="27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Appointment.</w:t>
      </w:r>
    </w:p>
    <w:p>
      <w:pPr>
        <w:spacing w:after="0" w:line="229" w:lineRule="exact"/>
        <w:rPr>
          <w:sz w:val="20"/>
          <w:szCs w:val="20"/>
          <w:color w:val="auto"/>
        </w:rPr>
      </w:pPr>
    </w:p>
    <w:p>
      <w:pPr>
        <w:ind w:left="-20" w:firstLine="464"/>
        <w:spacing w:after="0" w:line="302" w:lineRule="auto"/>
        <w:tabs>
          <w:tab w:leader="none" w:pos="816"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Appointment</w:t>
      </w:r>
      <w:r>
        <w:rPr>
          <w:rFonts w:ascii="Arial" w:cs="Arial" w:eastAsia="Arial" w:hAnsi="Arial"/>
          <w:sz w:val="16"/>
          <w:szCs w:val="16"/>
          <w:color w:val="auto"/>
        </w:rPr>
        <w:t>. The Company has appointed Law Debenture Corporate Services, Inc., 4th Floor, 400 Madison Avenue, New York, New York 10017,</w:t>
      </w:r>
      <w:r>
        <w:rPr>
          <w:rFonts w:ascii="Arial" w:cs="Arial" w:eastAsia="Arial" w:hAnsi="Arial"/>
          <w:sz w:val="16"/>
          <w:szCs w:val="16"/>
          <w:i w:val="1"/>
          <w:iCs w:val="1"/>
          <w:color w:val="auto"/>
        </w:rPr>
        <w:t xml:space="preserve"> </w:t>
      </w:r>
      <w:r>
        <w:rPr>
          <w:rFonts w:ascii="Arial" w:cs="Arial" w:eastAsia="Arial" w:hAnsi="Arial"/>
          <w:sz w:val="16"/>
          <w:szCs w:val="16"/>
          <w:color w:val="auto"/>
        </w:rPr>
        <w:t>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may be served in any such suit, action or proceeding arising out of or based on this Deposit Agreement, the ADSs or the ADRs or the transactions contemplated hereby or thereby which may be instituted in any state or federal court in New York, New York by the Depositary or any Holder, and waives any other requirements of or objections to personal jurisdiction with respect thereto.</w:t>
      </w:r>
    </w:p>
    <w:p>
      <w:pPr>
        <w:spacing w:after="0" w:line="154" w:lineRule="exact"/>
        <w:rPr>
          <w:rFonts w:ascii="Arial" w:cs="Arial" w:eastAsia="Arial" w:hAnsi="Arial"/>
          <w:sz w:val="16"/>
          <w:szCs w:val="16"/>
          <w:color w:val="auto"/>
        </w:rPr>
      </w:pPr>
    </w:p>
    <w:p>
      <w:pPr>
        <w:ind w:left="-20" w:right="40" w:firstLine="464"/>
        <w:spacing w:after="0" w:line="269" w:lineRule="auto"/>
        <w:tabs>
          <w:tab w:leader="none" w:pos="871"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Agent for Service of Process</w:t>
      </w:r>
      <w:r>
        <w:rPr>
          <w:rFonts w:ascii="Arial" w:cs="Arial" w:eastAsia="Arial" w:hAnsi="Arial"/>
          <w:sz w:val="17"/>
          <w:szCs w:val="17"/>
          <w:color w:val="auto"/>
        </w:rPr>
        <w:t>. Subject to the Company’s rights to replace the Authorized Agent with another entity in the manner required were</w:t>
      </w:r>
      <w:r>
        <w:rPr>
          <w:rFonts w:ascii="Arial" w:cs="Arial" w:eastAsia="Arial" w:hAnsi="Arial"/>
          <w:sz w:val="17"/>
          <w:szCs w:val="17"/>
          <w:i w:val="1"/>
          <w:iCs w:val="1"/>
          <w:color w:val="auto"/>
        </w:rPr>
        <w:t xml:space="preserve"> </w:t>
      </w:r>
      <w:r>
        <w:rPr>
          <w:rFonts w:ascii="Arial" w:cs="Arial" w:eastAsia="Arial" w:hAnsi="Arial"/>
          <w:sz w:val="17"/>
          <w:szCs w:val="17"/>
          <w:color w:val="auto"/>
        </w:rPr>
        <w:t>the Authorized Agent to have resigned, such appointment shall be irrevocable. The Company represents and warrants that the Authorized Agent has agreed to act as said agent for service of process,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for any reason, the Authorized Agent named above or its successor shall no longer serve as agent of the Company to receive service of process, notice or papers in New York, the Company shall promptly appoint a successor that is a legal entity with offices in New York, New York, so as to serve and will promptly advise the Depositary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25" w:name="page26"/>
    <w:bookmarkEnd w:id="25"/>
    <w:p>
      <w:pPr>
        <w:ind w:right="40" w:firstLine="464"/>
        <w:spacing w:after="0" w:line="259" w:lineRule="auto"/>
        <w:tabs>
          <w:tab w:leader="none" w:pos="836"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Personal Service of Process</w:t>
      </w:r>
      <w:r>
        <w:rPr>
          <w:rFonts w:ascii="Arial" w:cs="Arial" w:eastAsia="Arial" w:hAnsi="Arial"/>
          <w:sz w:val="18"/>
          <w:szCs w:val="18"/>
          <w:color w:val="auto"/>
        </w:rPr>
        <w:t>. In the event the Company fails to continue such designation and appointment in full force and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 (5) days after the same shall have been so mailed.</w:t>
      </w:r>
    </w:p>
    <w:p>
      <w:pPr>
        <w:spacing w:after="0" w:line="183" w:lineRule="exact"/>
        <w:rPr>
          <w:sz w:val="20"/>
          <w:szCs w:val="20"/>
          <w:color w:val="auto"/>
        </w:rPr>
      </w:pPr>
    </w:p>
    <w:p>
      <w:pPr>
        <w:ind w:left="740" w:hanging="27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Waiver of Immunities.</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the extent that the Company or any of its properties, assets or revenues may have or may hereafter be entitled to, or 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188" w:lineRule="exact"/>
        <w:rPr>
          <w:sz w:val="20"/>
          <w:szCs w:val="20"/>
          <w:color w:val="auto"/>
        </w:rPr>
      </w:pPr>
    </w:p>
    <w:p>
      <w:pPr>
        <w:ind w:left="740" w:hanging="27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PARTY TO THIS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6" w:name="page27"/>
    <w:bookmarkEnd w:id="26"/>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iCLICK INTERACTIVE ASIA GROUP LIMITED and JPMORGAN CHASE BANK, N.A. have duly executed this Deposit Agreement as of the day and year first above set forth and all holders of ADRs shall become parties hereto upon acceptance by them of ADRs issued in accordance with the terms hereof.</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4" w:right="31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ANNEXED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INCORPORATED 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DEPOSIT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FACE OF ADR]</w:t>
      </w:r>
    </w:p>
    <w:p>
      <w:pPr>
        <w:spacing w:after="0" w:line="25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 of ADSs: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1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Each ADS represents</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One - Half (1/2) of One Share</w:t>
      </w:r>
    </w:p>
    <w:p>
      <w:pPr>
        <w:spacing w:after="0" w:line="21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evidencing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CLASS A ORDINARY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(Incorporated under the laws of the Cayman Islands)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JPMORGAN CHASE BANK, N.A., a national banking association organized under the laws of the United States of America, as depositary hereunder</w:t>
      </w:r>
    </w:p>
    <w:p>
      <w:pPr>
        <w:spacing w:after="0" w:line="4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Depositary</w:t>
      </w:r>
      <w:r>
        <w:rPr>
          <w:rFonts w:ascii="Arial" w:cs="Arial" w:eastAsia="Arial" w:hAnsi="Arial"/>
          <w:sz w:val="17"/>
          <w:szCs w:val="17"/>
          <w:color w:val="auto"/>
        </w:rPr>
        <w:t>”), hereby certifies that is the registered owner (a “</w:t>
      </w:r>
      <w:r>
        <w:rPr>
          <w:rFonts w:ascii="Arial" w:cs="Arial" w:eastAsia="Arial" w:hAnsi="Arial"/>
          <w:sz w:val="17"/>
          <w:szCs w:val="17"/>
          <w:b w:val="1"/>
          <w:bCs w:val="1"/>
          <w:color w:val="auto"/>
        </w:rPr>
        <w:t>Holder</w:t>
      </w:r>
      <w:r>
        <w:rPr>
          <w:rFonts w:ascii="Arial" w:cs="Arial" w:eastAsia="Arial" w:hAnsi="Arial"/>
          <w:sz w:val="17"/>
          <w:szCs w:val="17"/>
          <w:color w:val="auto"/>
        </w:rPr>
        <w:t>”) of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each (subject to paragraph (13) (</w:t>
      </w:r>
      <w:r>
        <w:rPr>
          <w:rFonts w:ascii="Arial" w:cs="Arial" w:eastAsia="Arial" w:hAnsi="Arial"/>
          <w:sz w:val="17"/>
          <w:szCs w:val="17"/>
          <w:i w:val="1"/>
          <w:iCs w:val="1"/>
          <w:color w:val="auto"/>
        </w:rPr>
        <w:t>Changes Affecting Deposited Securities</w:t>
      </w:r>
      <w:r>
        <w:rPr>
          <w:rFonts w:ascii="Arial" w:cs="Arial" w:eastAsia="Arial" w:hAnsi="Arial"/>
          <w:sz w:val="17"/>
          <w:szCs w:val="17"/>
          <w:color w:val="auto"/>
        </w:rPr>
        <w:t>)) representing one - half (1/2) of one Class A ordinary share (including the rights to receive Shares described in paragraph (1) (</w:t>
      </w:r>
      <w:r>
        <w:rPr>
          <w:rFonts w:ascii="Arial" w:cs="Arial" w:eastAsia="Arial" w:hAnsi="Arial"/>
          <w:sz w:val="17"/>
          <w:szCs w:val="17"/>
          <w:i w:val="1"/>
          <w:iCs w:val="1"/>
          <w:color w:val="auto"/>
        </w:rPr>
        <w:t>Issuance of ADSs</w:t>
      </w:r>
      <w:r>
        <w:rPr>
          <w:rFonts w:ascii="Arial" w:cs="Arial" w:eastAsia="Arial" w:hAnsi="Arial"/>
          <w:sz w:val="17"/>
          <w:szCs w:val="17"/>
          <w:color w:val="auto"/>
        </w:rPr>
        <w:t>), “</w:t>
      </w:r>
      <w:r>
        <w:rPr>
          <w:rFonts w:ascii="Arial" w:cs="Arial" w:eastAsia="Arial" w:hAnsi="Arial"/>
          <w:sz w:val="17"/>
          <w:szCs w:val="17"/>
          <w:b w:val="1"/>
          <w:bCs w:val="1"/>
          <w:color w:val="auto"/>
        </w:rPr>
        <w:t>Shares</w:t>
      </w:r>
      <w:r>
        <w:rPr>
          <w:rFonts w:ascii="Arial" w:cs="Arial" w:eastAsia="Arial" w:hAnsi="Arial"/>
          <w:sz w:val="17"/>
          <w:szCs w:val="17"/>
          <w:color w:val="auto"/>
        </w:rPr>
        <w:t>” and, together with any other securities, cash or property from time to time held by the Depositary in respect or in lieu of deposited Shares, the “</w:t>
      </w:r>
      <w:r>
        <w:rPr>
          <w:rFonts w:ascii="Arial" w:cs="Arial" w:eastAsia="Arial" w:hAnsi="Arial"/>
          <w:sz w:val="17"/>
          <w:szCs w:val="17"/>
          <w:b w:val="1"/>
          <w:bCs w:val="1"/>
          <w:color w:val="auto"/>
        </w:rPr>
        <w:t>Deposited Securities</w:t>
      </w:r>
      <w:r>
        <w:rPr>
          <w:rFonts w:ascii="Arial" w:cs="Arial" w:eastAsia="Arial" w:hAnsi="Arial"/>
          <w:sz w:val="17"/>
          <w:szCs w:val="17"/>
          <w:color w:val="auto"/>
        </w:rPr>
        <w:t>”), of iClick Interactive Asia Group Limited, an exempted company limited by shares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organized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deposited under the Deposit Agreement, dated as of , 2017 (as amended from time to time,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the Depositary and all Holders from time to time of American Depositary Receipts issued thereunder (“</w:t>
      </w:r>
      <w:r>
        <w:rPr>
          <w:rFonts w:ascii="Arial" w:cs="Arial" w:eastAsia="Arial" w:hAnsi="Arial"/>
          <w:sz w:val="18"/>
          <w:szCs w:val="18"/>
          <w:b w:val="1"/>
          <w:bCs w:val="1"/>
          <w:color w:val="auto"/>
        </w:rPr>
        <w:t>ADRs</w:t>
      </w:r>
      <w:r>
        <w:rPr>
          <w:rFonts w:ascii="Arial" w:cs="Arial" w:eastAsia="Arial" w:hAnsi="Arial"/>
          <w:sz w:val="18"/>
          <w:szCs w:val="18"/>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274" w:right="279" w:bottom="1440" w:gutter="0" w:footer="0" w:header="0"/>
        </w:sectPr>
      </w:pPr>
    </w:p>
    <w:bookmarkStart w:id="28" w:name="page29"/>
    <w:bookmarkEnd w:id="28"/>
    <w:p>
      <w:pPr>
        <w:ind w:left="712" w:hanging="256"/>
        <w:spacing w:after="0"/>
        <w:tabs>
          <w:tab w:leader="none" w:pos="71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ADSs</w:t>
      </w:r>
      <w:r>
        <w:rPr>
          <w:rFonts w:ascii="Arial" w:cs="Arial" w:eastAsia="Arial" w:hAnsi="Arial"/>
          <w:sz w:val="18"/>
          <w:szCs w:val="18"/>
          <w:color w:val="auto"/>
        </w:rPr>
        <w:t>.</w:t>
      </w:r>
    </w:p>
    <w:p>
      <w:pPr>
        <w:spacing w:after="0" w:line="229" w:lineRule="exact"/>
        <w:rPr>
          <w:sz w:val="20"/>
          <w:szCs w:val="20"/>
          <w:color w:val="auto"/>
        </w:rPr>
      </w:pPr>
    </w:p>
    <w:p>
      <w:pPr>
        <w:ind w:left="-8" w:right="120" w:firstLine="464"/>
        <w:spacing w:after="0" w:line="279" w:lineRule="auto"/>
        <w:tabs>
          <w:tab w:leader="none" w:pos="828"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Issuance</w:t>
      </w:r>
      <w:r>
        <w:rPr>
          <w:rFonts w:ascii="Arial" w:cs="Arial" w:eastAsia="Arial" w:hAnsi="Arial"/>
          <w:sz w:val="17"/>
          <w:szCs w:val="17"/>
          <w:color w:val="auto"/>
        </w:rPr>
        <w:t>. This ADR is one of the ADRs issued under the Deposit Agreement. Subject to the other provisions hereof, the Depositary may so issue</w:t>
      </w:r>
      <w:r>
        <w:rPr>
          <w:rFonts w:ascii="Arial" w:cs="Arial" w:eastAsia="Arial" w:hAnsi="Arial"/>
          <w:sz w:val="17"/>
          <w:szCs w:val="17"/>
          <w:i w:val="1"/>
          <w:iCs w:val="1"/>
          <w:color w:val="auto"/>
        </w:rPr>
        <w:t xml:space="preserve"> </w:t>
      </w:r>
      <w:r>
        <w:rPr>
          <w:rFonts w:ascii="Arial" w:cs="Arial" w:eastAsia="Arial" w:hAnsi="Arial"/>
          <w:sz w:val="17"/>
          <w:szCs w:val="17"/>
          <w:color w:val="auto"/>
        </w:rPr>
        <w:t>ADRs for delivery at the Transfer Office (as hereinafter defined) only against deposit of: (i) Shares in a form satisfactory to the Custodian; (ii) rights to receive Shares from the Company or any registrar, transfer agent, clearing agent or other entity recording Share ownership or transactions; or (iii) in accordance with the next paragraph hereof. In its capacity as Depositary, the Depositary shall not lend Shares or ADSs.</w:t>
      </w:r>
    </w:p>
    <w:p>
      <w:pPr>
        <w:spacing w:after="0" w:line="171" w:lineRule="exact"/>
        <w:rPr>
          <w:rFonts w:ascii="Arial" w:cs="Arial" w:eastAsia="Arial" w:hAnsi="Arial"/>
          <w:sz w:val="17"/>
          <w:szCs w:val="17"/>
          <w:color w:val="auto"/>
        </w:rPr>
      </w:pPr>
    </w:p>
    <w:p>
      <w:pPr>
        <w:ind w:left="-8" w:right="40" w:firstLine="464"/>
        <w:spacing w:after="0" w:line="286" w:lineRule="auto"/>
        <w:tabs>
          <w:tab w:leader="none" w:pos="838"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Depositors</w:t>
      </w:r>
      <w:r>
        <w:rPr>
          <w:rFonts w:ascii="Arial" w:cs="Arial" w:eastAsia="Arial" w:hAnsi="Arial"/>
          <w:sz w:val="16"/>
          <w:szCs w:val="16"/>
          <w:color w:val="auto"/>
        </w:rPr>
        <w:t>. Every person depositing Shares under the Deposit Agreement represents and warrants that: (i)such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the certificates therefor are duly authorized, validly issued and outstanding, fully paid, nonassessable and legally obtained by such person, (ii) all pre-emptive and comparable rights, if any, with respect to such Shares have been validly waived or exercised, (iii) the person making such deposit is duly authorized so to do, (iv) the Shares presented for deposit are free and clear of any lien, encumbrance, security interest, charge, mortgage or adverse claim, and</w:t>
      </w:r>
    </w:p>
    <w:p>
      <w:pPr>
        <w:spacing w:after="0" w:line="1" w:lineRule="exact"/>
        <w:rPr>
          <w:rFonts w:ascii="Arial" w:cs="Arial" w:eastAsia="Arial" w:hAnsi="Arial"/>
          <w:sz w:val="16"/>
          <w:szCs w:val="16"/>
          <w:color w:val="auto"/>
        </w:rPr>
      </w:pPr>
    </w:p>
    <w:p>
      <w:pPr>
        <w:ind w:left="-8" w:firstLine="8"/>
        <w:spacing w:after="0" w:line="287" w:lineRule="auto"/>
        <w:tabs>
          <w:tab w:leader="none" w:pos="2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Shares (A) are not “restricted securities” as such term is defined in Rule 144 under the Securities Act of 1933 (“</w:t>
      </w:r>
      <w:r>
        <w:rPr>
          <w:rFonts w:ascii="Arial" w:cs="Arial" w:eastAsia="Arial" w:hAnsi="Arial"/>
          <w:sz w:val="16"/>
          <w:szCs w:val="16"/>
          <w:b w:val="1"/>
          <w:bCs w:val="1"/>
          <w:color w:val="auto"/>
        </w:rPr>
        <w:t>Restricted Securities</w:t>
      </w:r>
      <w:r>
        <w:rPr>
          <w:rFonts w:ascii="Arial" w:cs="Arial" w:eastAsia="Arial" w:hAnsi="Arial"/>
          <w:sz w:val="16"/>
          <w:szCs w:val="16"/>
          <w:color w:val="auto"/>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 Such representations and warranties shall survive the deposit and withdrawal of Shares and the issuance and cancellation of ADSs in respect thereof and the transfer of such ADSs. The Depositary may refuse to accept for such deposit any Shares identified by the Company in order to facilitate compliance with the requirements of securities laws, rules and regulations in the United States.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12"/>
          </w:cols>
          <w:pgMar w:left="248" w:top="270" w:right="239" w:bottom="1440" w:gutter="0" w:footer="0" w:header="0"/>
        </w:sectPr>
      </w:pPr>
    </w:p>
    <w:bookmarkStart w:id="29" w:name="page30"/>
    <w:bookmarkEnd w:id="29"/>
    <w:p>
      <w:pPr>
        <w:ind w:left="-8" w:right="20" w:firstLine="464"/>
        <w:spacing w:after="0" w:line="291" w:lineRule="auto"/>
        <w:tabs>
          <w:tab w:leader="none" w:pos="703"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Withdrawal of Deposited Securities</w:t>
      </w:r>
      <w:r>
        <w:rPr>
          <w:rFonts w:ascii="Arial" w:cs="Arial" w:eastAsia="Arial" w:hAnsi="Arial"/>
          <w:sz w:val="16"/>
          <w:szCs w:val="16"/>
          <w:color w:val="auto"/>
        </w:rPr>
        <w:t>. Subject to paragraphs (4) (Certain Limitations to Registration, Transfer etc.) and (5) (Liability of Holder for</w:t>
      </w:r>
      <w:r>
        <w:rPr>
          <w:rFonts w:ascii="Arial" w:cs="Arial" w:eastAsia="Arial" w:hAnsi="Arial"/>
          <w:sz w:val="16"/>
          <w:szCs w:val="16"/>
          <w:b w:val="1"/>
          <w:bCs w:val="1"/>
          <w:color w:val="auto"/>
        </w:rPr>
        <w:t xml:space="preserve"> </w:t>
      </w:r>
      <w:r>
        <w:rPr>
          <w:rFonts w:ascii="Arial" w:cs="Arial" w:eastAsia="Arial" w:hAnsi="Arial"/>
          <w:sz w:val="16"/>
          <w:szCs w:val="16"/>
          <w:color w:val="auto"/>
        </w:rPr>
        <w:t>Taxes, Duties and Other Charges), upon surrender of (a) a certificated ADR in a form satisfactory to the Depositary at the 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As long as each ADS represents a fraction of one Share, ADSs may only be cancelled in multiples of such number of ADSs as will permit whole Shares to be delivered.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60" w:lineRule="exact"/>
        <w:rPr>
          <w:rFonts w:ascii="Arial" w:cs="Arial" w:eastAsia="Arial" w:hAnsi="Arial"/>
          <w:sz w:val="16"/>
          <w:szCs w:val="16"/>
          <w:color w:val="auto"/>
        </w:rPr>
      </w:pPr>
    </w:p>
    <w:p>
      <w:pPr>
        <w:ind w:left="712" w:hanging="256"/>
        <w:spacing w:after="0"/>
        <w:tabs>
          <w:tab w:leader="none" w:pos="712"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t>Transfers, Split-Ups and Combinations of ADRs</w:t>
      </w:r>
      <w:r>
        <w:rPr>
          <w:rFonts w:ascii="Arial" w:cs="Arial" w:eastAsia="Arial" w:hAnsi="Arial"/>
          <w:sz w:val="16"/>
          <w:szCs w:val="16"/>
          <w:color w:val="auto"/>
        </w:rPr>
        <w:t>. The Depositary or its agent will keep, at a designated transfer office (the “</w:t>
      </w:r>
      <w:r>
        <w:rPr>
          <w:rFonts w:ascii="Arial" w:cs="Arial" w:eastAsia="Arial" w:hAnsi="Arial"/>
          <w:sz w:val="16"/>
          <w:szCs w:val="16"/>
          <w:b w:val="1"/>
          <w:bCs w:val="1"/>
          <w:color w:val="auto"/>
        </w:rPr>
        <w:t>Transfer Office</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8" w:firstLine="8"/>
        <w:spacing w:after="0" w:line="284" w:lineRule="auto"/>
        <w:tabs>
          <w:tab w:leader="none" w:pos="2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register (the “</w:t>
      </w:r>
      <w:r>
        <w:rPr>
          <w:rFonts w:ascii="Arial" w:cs="Arial" w:eastAsia="Arial" w:hAnsi="Arial"/>
          <w:sz w:val="16"/>
          <w:szCs w:val="16"/>
          <w:b w:val="1"/>
          <w:bCs w:val="1"/>
          <w:color w:val="auto"/>
        </w:rPr>
        <w:t>ADR Register</w:t>
      </w:r>
      <w:r>
        <w:rPr>
          <w:rFonts w:ascii="Arial" w:cs="Arial" w:eastAsia="Arial" w:hAnsi="Arial"/>
          <w:sz w:val="16"/>
          <w:szCs w:val="16"/>
          <w:color w:val="auto"/>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to any holder of an ADR, unless such holder is the Holder thereof.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92"/>
          </w:cols>
          <w:pgMar w:left="248" w:top="270" w:right="259" w:bottom="1440" w:gutter="0" w:footer="0" w:header="0"/>
        </w:sectPr>
      </w:pPr>
    </w:p>
    <w:bookmarkStart w:id="30" w:name="page31"/>
    <w:bookmarkEnd w:id="30"/>
    <w:p>
      <w:pPr>
        <w:ind w:right="20" w:firstLine="464"/>
        <w:spacing w:after="0" w:line="270" w:lineRule="auto"/>
        <w:tabs>
          <w:tab w:leader="none" w:pos="711"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Certain Limitations to Registration, Transfer etc. </w:t>
      </w:r>
      <w:r>
        <w:rPr>
          <w:rFonts w:ascii="Arial" w:cs="Arial" w:eastAsia="Arial" w:hAnsi="Arial"/>
          <w:sz w:val="17"/>
          <w:szCs w:val="17"/>
          <w:color w:val="auto"/>
        </w:rPr>
        <w:t>Prior to the issue, registration, registration of transfer, split-up or combination of any ADR,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any distribution in respect thereof, or, subject to the last sentence of paragraph (2) (</w:t>
      </w:r>
      <w:r>
        <w:rPr>
          <w:rFonts w:ascii="Arial" w:cs="Arial" w:eastAsia="Arial" w:hAnsi="Arial"/>
          <w:sz w:val="17"/>
          <w:szCs w:val="17"/>
          <w:i w:val="1"/>
          <w:iCs w:val="1"/>
          <w:color w:val="auto"/>
        </w:rPr>
        <w:t>Withdrawal of Deposited Securities</w:t>
      </w:r>
      <w:r>
        <w:rPr>
          <w:rFonts w:ascii="Arial" w:cs="Arial" w:eastAsia="Arial" w:hAnsi="Arial"/>
          <w:sz w:val="17"/>
          <w:szCs w:val="17"/>
          <w:color w:val="auto"/>
        </w:rPr>
        <w:t>), the withdrawal of any Deposited Securities, and from time to time in the case of clause (b)(ii) of this paragraph (4), the Company, the Depositary or the Custodian may require: (a)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Arial" w:cs="Arial" w:eastAsia="Arial" w:hAnsi="Arial"/>
          <w:sz w:val="17"/>
          <w:szCs w:val="17"/>
          <w:i w:val="1"/>
          <w:iCs w:val="1"/>
          <w:color w:val="auto"/>
        </w:rPr>
        <w:t>Charges of Depositary</w:t>
      </w:r>
      <w:r>
        <w:rPr>
          <w:rFonts w:ascii="Arial" w:cs="Arial" w:eastAsia="Arial" w:hAnsi="Arial"/>
          <w:sz w:val="17"/>
          <w:szCs w:val="17"/>
          <w:color w:val="auto"/>
        </w:rPr>
        <w:t>) of this ADR; (b) 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 (c) compliance with such regulations as the Depositary may establish consistent with the Deposit Agreement.</w:t>
      </w:r>
    </w:p>
    <w:p>
      <w:pPr>
        <w:spacing w:after="0" w:line="18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143" w:lineRule="exact"/>
        <w:rPr>
          <w:sz w:val="20"/>
          <w:szCs w:val="20"/>
          <w:color w:val="auto"/>
        </w:rPr>
      </w:pPr>
    </w:p>
    <w:p>
      <w:pPr>
        <w:ind w:firstLine="464"/>
        <w:spacing w:after="0" w:line="285" w:lineRule="auto"/>
        <w:tabs>
          <w:tab w:leader="none" w:pos="711"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Liability of Holder for Taxes, Duties and Other Charges</w:t>
      </w:r>
      <w:r>
        <w:rPr>
          <w:rFonts w:ascii="Arial" w:cs="Arial" w:eastAsia="Arial" w:hAnsi="Arial"/>
          <w:sz w:val="16"/>
          <w:szCs w:val="16"/>
          <w:color w:val="auto"/>
        </w:rPr>
        <w:t>. If any tax or other governmental charges (including any penalties and/or interest)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having held an ADR the Holder and all prior Holders hereof, jointly and severally, agree to indemnify, defend and save harmless each of the Depositary and its agents in respect thereof. The Depositary may refuse to effect any registration, registration of transfer, split-up or combination hereof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(after attempting by reasonable means to notify the Holder hereof prior to such sale),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of an ADR or an interest therein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0" w:right="239" w:bottom="1440" w:gutter="0" w:footer="0" w:header="0"/>
        </w:sectPr>
      </w:pPr>
    </w:p>
    <w:bookmarkStart w:id="31" w:name="page32"/>
    <w:bookmarkEnd w:id="31"/>
    <w:p>
      <w:pPr>
        <w:ind w:left="-120" w:firstLine="464"/>
        <w:spacing w:after="0" w:line="291" w:lineRule="auto"/>
        <w:tabs>
          <w:tab w:leader="none" w:pos="591"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of Interests</w:t>
      </w:r>
      <w:r>
        <w:rPr>
          <w:rFonts w:ascii="Arial" w:cs="Arial" w:eastAsia="Arial" w:hAnsi="Arial"/>
          <w:sz w:val="16"/>
          <w:szCs w:val="16"/>
          <w:color w:val="auto"/>
        </w:rPr>
        <w:t>. To the extent that the provisions of or governing any Deposited Securities may require disclosure of or impose limits 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or other ownership of, or interest in, Deposited Securities, other Shares and other securities and may provide for blocking transfer, voting or other rights to enforce such disclosure or limits, Holders and all persons holding ADRs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to consult with, and provide reasonable assistance to, in each case without risk, liability or expense on the part of the Depositary, the Company on the manner or manners in which it may enforce such rights with respect to any Holder.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00"/>
          </w:cols>
          <w:pgMar w:left="360" w:top="270" w:right="339" w:bottom="1440" w:gutter="0" w:footer="0" w:header="0"/>
        </w:sectPr>
      </w:pPr>
    </w:p>
    <w:bookmarkStart w:id="32" w:name="page33"/>
    <w:bookmarkEnd w:id="32"/>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of Depositary</w:t>
      </w:r>
      <w:r>
        <w:rPr>
          <w:rFonts w:ascii="Arial" w:cs="Arial" w:eastAsia="Arial" w:hAnsi="Arial"/>
          <w:sz w:val="18"/>
          <w:szCs w:val="18"/>
          <w:color w:val="auto"/>
        </w:rPr>
        <w:t>.</w:t>
      </w:r>
    </w:p>
    <w:p>
      <w:pPr>
        <w:spacing w:after="0" w:line="229" w:lineRule="exact"/>
        <w:rPr>
          <w:sz w:val="20"/>
          <w:szCs w:val="20"/>
          <w:color w:val="auto"/>
        </w:rPr>
      </w:pPr>
    </w:p>
    <w:p>
      <w:pPr>
        <w:ind w:right="160" w:firstLine="464"/>
        <w:spacing w:after="0" w:line="291" w:lineRule="auto"/>
        <w:tabs>
          <w:tab w:leader="none" w:pos="836"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Rights of the Depositary</w:t>
      </w:r>
      <w:r>
        <w:rPr>
          <w:rFonts w:ascii="Arial" w:cs="Arial" w:eastAsia="Arial" w:hAnsi="Arial"/>
          <w:sz w:val="16"/>
          <w:szCs w:val="16"/>
          <w:color w:val="auto"/>
        </w:rPr>
        <w:t>. The Depositary may charge, and collect from, (i) each person to whom ADSs are issued, including, without limitation,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issuances against deposits of Shares, issuances in respect of Share Distributions, Rights and Other Distributions (as such terms are defined in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(as the case may be). The Depositary may sell (by public or private sale) sufficient securities and property received in respect of Share Distributions, Rights and Other Distributions prior to such deposit to pay such charge.</w:t>
      </w:r>
    </w:p>
    <w:p>
      <w:pPr>
        <w:spacing w:after="0" w:line="167" w:lineRule="exact"/>
        <w:rPr>
          <w:rFonts w:ascii="Arial" w:cs="Arial" w:eastAsia="Arial" w:hAnsi="Arial"/>
          <w:sz w:val="16"/>
          <w:szCs w:val="16"/>
          <w:color w:val="auto"/>
        </w:rPr>
      </w:pPr>
    </w:p>
    <w:p>
      <w:pPr>
        <w:ind w:firstLine="464"/>
        <w:spacing w:after="0" w:line="285" w:lineRule="auto"/>
        <w:tabs>
          <w:tab w:leader="none" w:pos="846"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Additional charges by the Depositary</w:t>
      </w:r>
      <w:r>
        <w:rPr>
          <w:rFonts w:ascii="Arial" w:cs="Arial" w:eastAsia="Arial" w:hAnsi="Arial"/>
          <w:sz w:val="16"/>
          <w:szCs w:val="16"/>
          <w:color w:val="auto"/>
        </w:rPr>
        <w:t>. The following additional charges shall be incurred by the Holders, by any party depositing or withdrawing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whichever is applicable: (i) a fee of U.S.$0.05 or less per ADS for any Cash distribution made pursuant to the Deposit Agreement, (ii) a fee of U.S.$1.50 per ADR or ADRs for transfers made pursuant to paragraph (3) hereof, (iii) 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 (iv) an aggregate fee of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 (v) 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0" w:right="239" w:bottom="1440" w:gutter="0" w:footer="0" w:header="0"/>
        </w:sectPr>
      </w:pPr>
    </w:p>
    <w:bookmarkStart w:id="33" w:name="page34"/>
    <w:bookmarkEnd w:id="33"/>
    <w:p>
      <w:pPr>
        <w:ind w:left="-8" w:right="100" w:firstLine="464"/>
        <w:spacing w:after="0" w:line="286" w:lineRule="auto"/>
        <w:tabs>
          <w:tab w:leader="none" w:pos="828"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of the Company</w:t>
      </w:r>
      <w:r>
        <w:rPr>
          <w:rFonts w:ascii="Arial" w:cs="Arial" w:eastAsia="Arial" w:hAnsi="Arial"/>
          <w:sz w:val="16"/>
          <w:szCs w:val="16"/>
          <w:color w:val="auto"/>
        </w:rPr>
        <w:t>. The Company will pay all other charges and expenses of the Depositary and any agent of the Depositary (except the</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pursuant to agreements from time to time between the Company and the Depositary, except: (i) stock transfer or other taxes and other governmental charges (which are payable by Holders or persons depositing Shares); (ii) SWIFT, cable, telex and facsimile transmission and delivery charges incurred at the request of persons depositing, or Holders delivering Shares, ADRs or Deposited Securities (which are payable by such persons or Holders);</w:t>
      </w:r>
    </w:p>
    <w:p>
      <w:pPr>
        <w:spacing w:after="0" w:line="1" w:lineRule="exact"/>
        <w:rPr>
          <w:rFonts w:ascii="Arial" w:cs="Arial" w:eastAsia="Arial" w:hAnsi="Arial"/>
          <w:sz w:val="16"/>
          <w:szCs w:val="16"/>
          <w:color w:val="auto"/>
        </w:rPr>
      </w:pPr>
    </w:p>
    <w:p>
      <w:pPr>
        <w:ind w:left="-8" w:firstLine="8"/>
        <w:spacing w:after="0" w:line="270" w:lineRule="auto"/>
        <w:tabs>
          <w:tab w:leader="none" w:pos="3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transfer or registration fees for the registration or transfer of Deposited Securities on any applicable register in connection with the deposit or withdrawal of Deposited Securities (which are payable by persons depositing Shares or Holders withdrawing Deposited Securities; and (iv) in connection with the conversion of foreign currency into U.S. dollars, JPMorgan Chase Bank, N.A. (“</w:t>
      </w:r>
      <w:r>
        <w:rPr>
          <w:rFonts w:ascii="Arial" w:cs="Arial" w:eastAsia="Arial" w:hAnsi="Arial"/>
          <w:sz w:val="17"/>
          <w:szCs w:val="17"/>
          <w:b w:val="1"/>
          <w:bCs w:val="1"/>
          <w:color w:val="auto"/>
        </w:rPr>
        <w:t>JPMorgan</w:t>
      </w:r>
      <w:r>
        <w:rPr>
          <w:rFonts w:ascii="Arial" w:cs="Arial" w:eastAsia="Arial" w:hAnsi="Arial"/>
          <w:sz w:val="17"/>
          <w:szCs w:val="17"/>
          <w:color w:val="auto"/>
        </w:rPr>
        <w:t xml:space="preserve">”) shall deduct out of such foreign currency the fees, expenses and other charges charged by it and/or its agent (which may be a division, branch or affiliate) so appointed in connection with such conversion. JPMorgan and/or its agent may act as principal for such conversion of foreign currency. Such charges may at any time and from time to time be changed by agreement between the Company and the Depositary. For further details see </w:t>
      </w:r>
      <w:r>
        <w:rPr>
          <w:rFonts w:ascii="Arial" w:cs="Arial" w:eastAsia="Arial" w:hAnsi="Arial"/>
          <w:sz w:val="17"/>
          <w:szCs w:val="17"/>
          <w:u w:val="single" w:color="auto"/>
          <w:color w:val="auto"/>
        </w:rPr>
        <w:t>https://www.adr.com</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8" w:right="220" w:firstLine="464"/>
        <w:spacing w:after="0" w:line="264" w:lineRule="auto"/>
        <w:tabs>
          <w:tab w:leader="none" w:pos="8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81" w:lineRule="exact"/>
        <w:rPr>
          <w:rFonts w:ascii="Arial" w:cs="Arial" w:eastAsia="Arial" w:hAnsi="Arial"/>
          <w:sz w:val="18"/>
          <w:szCs w:val="18"/>
          <w:color w:val="auto"/>
        </w:rPr>
      </w:pPr>
    </w:p>
    <w:p>
      <w:pPr>
        <w:ind w:left="-8" w:right="160" w:firstLine="464"/>
        <w:spacing w:after="0" w:line="279" w:lineRule="auto"/>
        <w:tabs>
          <w:tab w:leader="none" w:pos="828"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Reimbursement by the Depositary</w:t>
      </w:r>
      <w:r>
        <w:rPr>
          <w:rFonts w:ascii="Arial" w:cs="Arial" w:eastAsia="Arial" w:hAnsi="Arial"/>
          <w:sz w:val="17"/>
          <w:szCs w:val="17"/>
          <w:color w:val="auto"/>
        </w:rPr>
        <w:t>. The Depositary anticipates reimbursing the Company for certain expenses incurred by the Company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67" w:lineRule="exact"/>
        <w:rPr>
          <w:sz w:val="20"/>
          <w:szCs w:val="20"/>
          <w:color w:val="auto"/>
        </w:rPr>
      </w:pPr>
    </w:p>
    <w:p>
      <w:pPr>
        <w:ind w:left="-8" w:right="40" w:firstLine="464"/>
        <w:spacing w:after="0" w:line="272" w:lineRule="auto"/>
        <w:tabs>
          <w:tab w:leader="none" w:pos="703"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Available Information</w:t>
      </w:r>
      <w:r>
        <w:rPr>
          <w:rFonts w:ascii="Arial" w:cs="Arial" w:eastAsia="Arial" w:hAnsi="Arial"/>
          <w:sz w:val="17"/>
          <w:szCs w:val="17"/>
          <w:color w:val="auto"/>
        </w:rPr>
        <w:t>. The Deposit Agreement, the provisions of or governing Deposited Securities and any written communications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which are both received by the Custodian or its nominee as a holder of Deposited Securities and made generally available to the holders of Deposited Securities, are available for inspection by Holders at the offices of the Depositary and the Custodian and at the Transfer Office, on the website of the United States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Commission. Such reports and other information may be inspected and copied through the Commission’s EDGAR system or at public reference facilities maintained by the Commission located at the date hereof at 100 F Street, NE, Washington, DC 20549.</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12"/>
          </w:cols>
          <w:pgMar w:left="248" w:top="274" w:right="239" w:bottom="1440" w:gutter="0" w:footer="0" w:header="0"/>
        </w:sectPr>
      </w:pPr>
    </w:p>
    <w:bookmarkStart w:id="34" w:name="page35"/>
    <w:bookmarkEnd w:id="34"/>
    <w:p>
      <w:pPr>
        <w:ind w:firstLine="464"/>
        <w:spacing w:after="0" w:line="282" w:lineRule="auto"/>
        <w:tabs>
          <w:tab w:leader="none" w:pos="711"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w:t>
      </w:r>
      <w:r>
        <w:rPr>
          <w:rFonts w:ascii="Arial" w:cs="Arial" w:eastAsia="Arial" w:hAnsi="Arial"/>
          <w:sz w:val="18"/>
          <w:szCs w:val="18"/>
          <w:color w:val="auto"/>
        </w:rPr>
        <w:t>. This ADR shall not be valid for any purpose unless executed by the Depositary by the manual or facsimile signature of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the Depositary.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JPMORGAN CHASE BANK, N.A., as Depositary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New York, 10004.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640"/>
          </w:cols>
          <w:pgMar w:left="240" w:top="270" w:right="10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REVERSE OF ADR]</w:t>
      </w:r>
    </w:p>
    <w:p>
      <w:pPr>
        <w:spacing w:after="0" w:line="221" w:lineRule="exact"/>
        <w:rPr>
          <w:sz w:val="20"/>
          <w:szCs w:val="20"/>
          <w:color w:val="auto"/>
        </w:rPr>
      </w:pPr>
    </w:p>
    <w:p>
      <w:pPr>
        <w:ind w:left="-20" w:right="120" w:firstLine="464"/>
        <w:spacing w:after="0" w:line="281" w:lineRule="auto"/>
        <w:tabs>
          <w:tab w:leader="none" w:pos="781"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Distributions on Deposited Securities. </w:t>
      </w: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 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for Taxes, Duties and other Charges</w:t>
      </w:r>
      <w:r>
        <w:rPr>
          <w:rFonts w:ascii="Arial" w:cs="Arial" w:eastAsia="Arial" w:hAnsi="Arial"/>
          <w:sz w:val="17"/>
          <w:szCs w:val="17"/>
          <w:color w:val="auto"/>
        </w:rPr>
        <w:t>), to the extent practicable, the Depositary will distribute to each Holder entitled thereto on the record date set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69" w:lineRule="exact"/>
        <w:rPr>
          <w:sz w:val="20"/>
          <w:szCs w:val="20"/>
          <w:color w:val="auto"/>
        </w:rPr>
      </w:pPr>
    </w:p>
    <w:p>
      <w:pPr>
        <w:ind w:left="-20" w:firstLine="464"/>
        <w:spacing w:after="0" w:line="271" w:lineRule="auto"/>
        <w:tabs>
          <w:tab w:leader="none" w:pos="81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Any U.S. dollars available to the Depositary resulting from a cash dividend or other cash distribution or the net proceeds of sales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distribution or portion thereof authorized in this paragraph (10) (“</w:t>
      </w:r>
      <w:r>
        <w:rPr>
          <w:rFonts w:ascii="Arial" w:cs="Arial" w:eastAsia="Arial" w:hAnsi="Arial"/>
          <w:sz w:val="17"/>
          <w:szCs w:val="17"/>
          <w:b w:val="1"/>
          <w:bCs w:val="1"/>
          <w:color w:val="auto"/>
        </w:rPr>
        <w:t>Cash</w:t>
      </w:r>
      <w:r>
        <w:rPr>
          <w:rFonts w:ascii="Arial" w:cs="Arial" w:eastAsia="Arial" w:hAnsi="Arial"/>
          <w:sz w:val="17"/>
          <w:szCs w:val="17"/>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78" w:lineRule="exact"/>
        <w:rPr>
          <w:rFonts w:ascii="Arial" w:cs="Arial" w:eastAsia="Arial" w:hAnsi="Arial"/>
          <w:sz w:val="17"/>
          <w:szCs w:val="17"/>
          <w:color w:val="auto"/>
        </w:rPr>
      </w:pPr>
    </w:p>
    <w:p>
      <w:pPr>
        <w:ind w:left="-20" w:right="60" w:firstLine="464"/>
        <w:spacing w:after="0" w:line="312" w:lineRule="auto"/>
        <w:tabs>
          <w:tab w:leader="none" w:pos="826"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Shares</w:t>
      </w:r>
      <w:r>
        <w:rPr>
          <w:rFonts w:ascii="Arial" w:cs="Arial" w:eastAsia="Arial" w:hAnsi="Arial"/>
          <w:sz w:val="16"/>
          <w:szCs w:val="16"/>
          <w:color w:val="auto"/>
        </w:rPr>
        <w:t>. (i) Additional ADRs evidencing whole ADSs representing any Shares available to the Depositary resulting from a dividend or free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on Deposited Securities consisting of Shares (a “</w:t>
      </w:r>
      <w:r>
        <w:rPr>
          <w:rFonts w:ascii="Arial" w:cs="Arial" w:eastAsia="Arial" w:hAnsi="Arial"/>
          <w:sz w:val="16"/>
          <w:szCs w:val="16"/>
          <w:b w:val="1"/>
          <w:bCs w:val="1"/>
          <w:color w:val="auto"/>
        </w:rPr>
        <w:t>Share Distribution</w:t>
      </w:r>
      <w:r>
        <w:rPr>
          <w:rFonts w:ascii="Arial" w:cs="Arial" w:eastAsia="Arial" w:hAnsi="Arial"/>
          <w:sz w:val="16"/>
          <w:szCs w:val="16"/>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146" w:lineRule="exact"/>
        <w:rPr>
          <w:rFonts w:ascii="Arial" w:cs="Arial" w:eastAsia="Arial" w:hAnsi="Arial"/>
          <w:sz w:val="16"/>
          <w:szCs w:val="16"/>
          <w:color w:val="auto"/>
        </w:rPr>
      </w:pPr>
    </w:p>
    <w:p>
      <w:pPr>
        <w:ind w:left="-20" w:firstLine="464"/>
        <w:spacing w:after="0" w:line="272" w:lineRule="auto"/>
        <w:tabs>
          <w:tab w:leader="none" w:pos="81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Rights</w:t>
      </w:r>
      <w:r>
        <w:rPr>
          <w:rFonts w:ascii="Arial" w:cs="Arial" w:eastAsia="Arial" w:hAnsi="Arial"/>
          <w:sz w:val="17"/>
          <w:szCs w:val="17"/>
          <w:color w:val="auto"/>
        </w:rPr>
        <w:t>. (i) Warrants or other instruments in the discretion of the Depositary representing rights to acquire additional ADRs in respect of any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to subscribe for additional Shares or rights of any nature available to the Depositary as a result of a distribution on Deposited Securities (“</w:t>
      </w:r>
      <w:r>
        <w:rPr>
          <w:rFonts w:ascii="Arial" w:cs="Arial" w:eastAsia="Arial" w:hAnsi="Arial"/>
          <w:sz w:val="17"/>
          <w:szCs w:val="17"/>
          <w:b w:val="1"/>
          <w:bCs w:val="1"/>
          <w:color w:val="auto"/>
        </w:rPr>
        <w:t>Rights</w:t>
      </w:r>
      <w:r>
        <w:rPr>
          <w:rFonts w:ascii="Arial" w:cs="Arial" w:eastAsia="Arial" w:hAnsi="Arial"/>
          <w:sz w:val="17"/>
          <w:szCs w:val="17"/>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60" w:top="274" w:right="259" w:bottom="1440" w:gutter="0" w:footer="0" w:header="0"/>
        </w:sectPr>
      </w:pPr>
    </w:p>
    <w:bookmarkStart w:id="36" w:name="page37"/>
    <w:bookmarkEnd w:id="36"/>
    <w:p>
      <w:pPr>
        <w:ind w:left="-20" w:firstLine="464"/>
        <w:spacing w:after="0" w:line="288" w:lineRule="auto"/>
        <w:tabs>
          <w:tab w:leader="none" w:pos="826"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Distributions</w:t>
      </w:r>
      <w:r>
        <w:rPr>
          <w:rFonts w:ascii="Arial" w:cs="Arial" w:eastAsia="Arial" w:hAnsi="Arial"/>
          <w:sz w:val="16"/>
          <w:szCs w:val="16"/>
          <w:color w:val="auto"/>
        </w:rPr>
        <w:t>. (i) Securities or property available to the Depositary resulting from any distribution on Deposited Securities other than Cash,</w:t>
      </w:r>
      <w:r>
        <w:rPr>
          <w:rFonts w:ascii="Arial" w:cs="Arial" w:eastAsia="Arial" w:hAnsi="Arial"/>
          <w:sz w:val="16"/>
          <w:szCs w:val="16"/>
          <w:i w:val="1"/>
          <w:iCs w:val="1"/>
          <w:color w:val="auto"/>
        </w:rPr>
        <w:t xml:space="preserve"> </w:t>
      </w:r>
      <w:r>
        <w:rPr>
          <w:rFonts w:ascii="Arial" w:cs="Arial" w:eastAsia="Arial" w:hAnsi="Arial"/>
          <w:sz w:val="16"/>
          <w:szCs w:val="16"/>
          <w:color w:val="auto"/>
        </w:rPr>
        <w:t>Share Distributions and Rights (“</w:t>
      </w:r>
      <w:r>
        <w:rPr>
          <w:rFonts w:ascii="Arial" w:cs="Arial" w:eastAsia="Arial" w:hAnsi="Arial"/>
          <w:sz w:val="16"/>
          <w:szCs w:val="16"/>
          <w:b w:val="1"/>
          <w:bCs w:val="1"/>
          <w:color w:val="auto"/>
        </w:rPr>
        <w:t>Other Distributions</w:t>
      </w:r>
      <w:r>
        <w:rPr>
          <w:rFonts w:ascii="Arial" w:cs="Arial" w:eastAsia="Arial" w:hAnsi="Arial"/>
          <w:sz w:val="16"/>
          <w:szCs w:val="16"/>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 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Arial" w:cs="Arial" w:eastAsia="Arial" w:hAnsi="Arial"/>
          <w:sz w:val="16"/>
          <w:szCs w:val="16"/>
          <w:i w:val="1"/>
          <w:iCs w:val="1"/>
          <w:color w:val="auto"/>
        </w:rPr>
        <w:t>Charges of Depositary</w:t>
      </w:r>
      <w:r>
        <w:rPr>
          <w:rFonts w:ascii="Arial" w:cs="Arial" w:eastAsia="Arial" w:hAnsi="Arial"/>
          <w:sz w:val="16"/>
          <w:szCs w:val="16"/>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65" w:lineRule="exact"/>
        <w:rPr>
          <w:sz w:val="20"/>
          <w:szCs w:val="20"/>
          <w:color w:val="auto"/>
        </w:rPr>
      </w:pPr>
    </w:p>
    <w:p>
      <w:pPr>
        <w:ind w:left="-20" w:right="20" w:firstLine="464"/>
        <w:spacing w:after="0" w:line="277" w:lineRule="auto"/>
        <w:tabs>
          <w:tab w:leader="none" w:pos="775"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Record Dates</w:t>
      </w:r>
      <w:r>
        <w:rPr>
          <w:rFonts w:ascii="Arial" w:cs="Arial" w:eastAsia="Arial" w:hAnsi="Arial"/>
          <w:sz w:val="17"/>
          <w:szCs w:val="17"/>
          <w:color w:val="auto"/>
        </w:rPr>
        <w:t>. The Depositary may, after consultation with the Company if practicable, fix a record date (which, to the extent applicable,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168" w:lineRule="exact"/>
        <w:rPr>
          <w:rFonts w:ascii="Arial" w:cs="Arial" w:eastAsia="Arial" w:hAnsi="Arial"/>
          <w:sz w:val="17"/>
          <w:szCs w:val="17"/>
          <w:color w:val="auto"/>
        </w:rPr>
      </w:pPr>
    </w:p>
    <w:p>
      <w:pPr>
        <w:ind w:left="780" w:hanging="33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Voting of Deposited Securities</w:t>
      </w:r>
      <w:r>
        <w:rPr>
          <w:rFonts w:ascii="Arial" w:cs="Arial" w:eastAsia="Arial" w:hAnsi="Arial"/>
          <w:sz w:val="18"/>
          <w:szCs w:val="18"/>
          <w:color w:val="auto"/>
        </w:rPr>
        <w:t>.</w:t>
      </w:r>
    </w:p>
    <w:p>
      <w:pPr>
        <w:spacing w:after="0" w:line="229" w:lineRule="exact"/>
        <w:rPr>
          <w:sz w:val="20"/>
          <w:szCs w:val="20"/>
          <w:color w:val="auto"/>
        </w:rPr>
      </w:pPr>
    </w:p>
    <w:p>
      <w:pPr>
        <w:ind w:left="-20" w:right="20" w:firstLine="464"/>
        <w:spacing w:after="0" w:line="269" w:lineRule="auto"/>
        <w:tabs>
          <w:tab w:leader="none" w:pos="816"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Notice of any Meeting or Solicitation</w:t>
      </w:r>
      <w:r>
        <w:rPr>
          <w:rFonts w:ascii="Arial" w:cs="Arial" w:eastAsia="Arial" w:hAnsi="Arial"/>
          <w:sz w:val="17"/>
          <w:szCs w:val="17"/>
          <w:color w:val="auto"/>
        </w:rPr>
        <w:t>. Subject to the next sentence, as soon as practicable after receipt of notice of any meeting at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Shares are entitled to vote, or of solicitation of consents or proxies from holders of Shares or other Deposited Securities, the Depositary shall fix the ADS record date in accordance with paragraph (11) above in respect of such meeting or solicitation of consent or proxy. The Depositary shall, if requested by the Company in writing in a timely manner (the Depositary having no obligation to take any further action if the request shall not have been received by the Depositary at least 30 days prior to the date of such vote or meeting) and at the Company’s expense and provided no legal prohibitions exist, distribute to Holders a notice stating (i) such information as is contained in such notice and any solicitation materials, (ii) that each Holder on the record date set by the Depositary therefor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There is no guarantee that Holders generally or any Holder in particular will receive the notice described above with sufficient time to enable such Holder to return any voting instructions to the Depositary in a timely manner.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60" w:top="274" w:right="239" w:bottom="1440" w:gutter="0" w:footer="0" w:header="0"/>
        </w:sectPr>
      </w:pPr>
    </w:p>
    <w:bookmarkStart w:id="37" w:name="page38"/>
    <w:bookmarkEnd w:id="37"/>
    <w:p>
      <w:pPr>
        <w:ind w:firstLine="464"/>
        <w:spacing w:after="0" w:line="287" w:lineRule="auto"/>
        <w:tabs>
          <w:tab w:leader="none" w:pos="846"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of Deposited Securities</w:t>
      </w:r>
      <w:r>
        <w:rPr>
          <w:rFonts w:ascii="Arial" w:cs="Arial" w:eastAsia="Arial" w:hAnsi="Arial"/>
          <w:sz w:val="16"/>
          <w:szCs w:val="16"/>
          <w:color w:val="auto"/>
        </w:rPr>
        <w:t>. Voting instructions may only be given in respect of a number of ADSs representing an integral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Upon actual receipt by the ADR department of the Depositary of instructions of a Holder on such record date in the manner and on or before the time established by the Depositary for such purpose, the Depositary shall endeavor insofar as practicable and permitted under the provisions of or governing Deposited Securities to vote or cause to be voted the Deposited Securities represented by the ADSs evidenced by such Holder’s ADRs in accordance with such instructions. The Depositary will not itself exercise any voting discretion in respect of any Deposited Securities.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16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the extent the Depositary has been provided with at least 40 days’ notice of the proposed meeting, if such instructions are not so timely received by the Depositary from any Holder, such Holder shall be deemed, and the Depositary is instructed to deem such Holder, to have instructed the Depositary to give a discretionary proxy to a person designated by the Company to vote the Deposited Securities represented by the American Depositary Shares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There is no guarantee that Holders generally or any Holder in particular will receive the notice described above with sufficient time to enable such Holder to return any voting instructions to the Depositary in a timely manner.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74" w:right="259" w:bottom="1440" w:gutter="0" w:footer="0" w:header="0"/>
        </w:sectPr>
      </w:pPr>
    </w:p>
    <w:bookmarkStart w:id="38" w:name="page39"/>
    <w:bookmarkEnd w:id="38"/>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has been advised by the Company that under the Cayman Islands law and the Memorandum and Articles of Association of the Company, each as in effect as of the date of the Deposit Agreement, voting at any general meeting of shareholders of the Company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5" w:lineRule="exact"/>
        <w:rPr>
          <w:sz w:val="20"/>
          <w:szCs w:val="20"/>
          <w:color w:val="auto"/>
        </w:rPr>
      </w:pPr>
    </w:p>
    <w:p>
      <w:pPr>
        <w:ind w:left="800" w:hanging="33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Changes Affecting Deposited Securities.</w:t>
      </w:r>
    </w:p>
    <w:p>
      <w:pPr>
        <w:spacing w:after="0" w:line="229" w:lineRule="exact"/>
        <w:rPr>
          <w:sz w:val="20"/>
          <w:szCs w:val="20"/>
          <w:color w:val="auto"/>
        </w:rPr>
      </w:pPr>
    </w:p>
    <w:p>
      <w:pPr>
        <w:ind w:firstLine="464"/>
        <w:spacing w:after="0" w:line="271" w:lineRule="auto"/>
        <w:tabs>
          <w:tab w:leader="none" w:pos="8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 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 to Taxes, Duties and Other Charges</w:t>
      </w:r>
      <w:r>
        <w:rPr>
          <w:rFonts w:ascii="Arial" w:cs="Arial" w:eastAsia="Arial" w:hAnsi="Arial"/>
          <w:sz w:val="17"/>
          <w:szCs w:val="17"/>
          <w:color w:val="auto"/>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78" w:lineRule="exact"/>
        <w:rPr>
          <w:rFonts w:ascii="Arial" w:cs="Arial" w:eastAsia="Arial" w:hAnsi="Arial"/>
          <w:sz w:val="17"/>
          <w:szCs w:val="17"/>
          <w:color w:val="auto"/>
        </w:rPr>
      </w:pPr>
    </w:p>
    <w:p>
      <w:pPr>
        <w:ind w:right="280" w:firstLine="464"/>
        <w:spacing w:after="0" w:line="264" w:lineRule="auto"/>
        <w:tabs>
          <w:tab w:leader="none" w:pos="8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74" w:right="239" w:bottom="1440" w:gutter="0" w:footer="0" w:header="0"/>
        </w:sectPr>
      </w:pPr>
    </w:p>
    <w:bookmarkStart w:id="39" w:name="page40"/>
    <w:bookmarkEnd w:id="39"/>
    <w:p>
      <w:pPr>
        <w:ind w:right="60" w:firstLine="464"/>
        <w:spacing w:after="0" w:line="259" w:lineRule="auto"/>
        <w:tabs>
          <w:tab w:leader="none" w:pos="83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83" w:lineRule="exact"/>
        <w:rPr>
          <w:sz w:val="20"/>
          <w:szCs w:val="20"/>
          <w:color w:val="auto"/>
        </w:rPr>
      </w:pPr>
    </w:p>
    <w:p>
      <w:pPr>
        <w:ind w:left="800" w:hanging="336"/>
        <w:spacing w:after="0"/>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Exoneration</w:t>
      </w:r>
      <w:r>
        <w:rPr>
          <w:rFonts w:ascii="Arial" w:cs="Arial" w:eastAsia="Arial" w:hAnsi="Arial"/>
          <w:sz w:val="16"/>
          <w:szCs w:val="16"/>
          <w:color w:val="auto"/>
        </w:rPr>
        <w:t>. The Depositary, the Company, and each of their respective directors, officers, employees, agents and affiliates, and each of them,</w:t>
      </w:r>
    </w:p>
    <w:p>
      <w:pPr>
        <w:spacing w:after="0" w:line="50" w:lineRule="exact"/>
        <w:rPr>
          <w:rFonts w:ascii="Arial" w:cs="Arial" w:eastAsia="Arial" w:hAnsi="Arial"/>
          <w:sz w:val="16"/>
          <w:szCs w:val="16"/>
          <w:color w:val="auto"/>
        </w:rPr>
      </w:pPr>
    </w:p>
    <w:p>
      <w:pPr>
        <w:spacing w:after="0" w:line="282" w:lineRule="auto"/>
        <w:rPr>
          <w:rFonts w:ascii="Arial" w:cs="Arial" w:eastAsia="Arial" w:hAnsi="Arial"/>
          <w:sz w:val="16"/>
          <w:szCs w:val="16"/>
          <w:color w:val="auto"/>
        </w:rPr>
      </w:pPr>
      <w:r>
        <w:rPr>
          <w:rFonts w:ascii="Arial" w:cs="Arial" w:eastAsia="Arial" w:hAnsi="Arial"/>
          <w:sz w:val="16"/>
          <w:szCs w:val="16"/>
          <w:color w:val="auto"/>
        </w:rPr>
        <w:t>shall: (a) incur no liability (i) if 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nationalization,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(ii) by reason of any exercise or failure to exercise any discretion given it in the Deposit Agreement or this ADR (including, without limitation, any failure to determine that any distribution or action may be lawful or reasonably practicable); (b) assume no liability except to perform its obligations to the extent they are specifically set forth in this ADR and the Deposit Agreement without gross negligence or willful misconduct; (c) in the case of the Depositary and its agents, be under no obligation to appear in, prosecute or defend any action, suit or other proceeding in respect of any Deposited Securities, the ADSs or this ADR; (d) 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or (e) not be liable for any action or inaction by it in reliance upon the advice of or information from legal counsel, accountants, any person presenting Shares for deposit, any Holder, or any other person believed by it to be competent to give such advice or information. The Depositary shall not be liable for the acts or omissions made by, or the insolvency of, any securities depository, clearing agency or settlement system. 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penultimate sentence of this paragraph (14),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its agents and the Company may rely and shall be protected in acting upon any written notice, request, direction, instruction or document believed by them to be genuine and to have been signed, presented or given by the proper party or parties. The Depositary shall be under no obligation to inform Holders or beneficial owners of, or any other holders of an interest in, any ADSs or ADRs about the requirements of the laws, rules or regulations or any changes therein or thereto of the United States of America,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Depositary and its agents will not when acting in good faith be responsible for any failure to carry out any instructions to vote any of the Deposited Securities, for the manner in which any such vote is cast or for the effect of any such vote. The Depositary may rely upon instructions from the Company or its counsel in respect of any approval or license required for any currency conversion, transfer or distribution. The Depositary and its agents may own and deal in any class of securities of the Company and its affiliates and in ADRs.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None of the Depositary, the Custodian or the Company shall be liable for the failure by any Holder or beneficial owner of, or any other holder of an interest in, ADSs or ADRs to obtain the benefits of credits on the basis of non-U.S. tax paid against such Holder’s or beneficial owner’s or other holder’s income tax liability. The Depositary and the Company shall not incur any liability for any tax consequences that may be incurred by Holders and beneficial owners of, or other holders of interests in, ADSs or ADRs on account of their ownership of the ADSs or ADRs.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 The Depositary shall not be liable for any acts or omissions made by a successor depositary whether in connection with a previous act or omission of the Depositary or in connection with any matter arising wholly after the removal or resignation of the Depositary. The Company has agreed to indemnify the Depositary and its agents under certain circumstances and the Depositary has agreed to indemnify the Company under certain circumstances. Neither the Depositary nor the Company, nor any of their agents shall be liable to the other for any indirect, special, punitive or consequential damages or lost profits (including, without limitation, legal fees and expenses), in each case of any form (collectively, “Special Damages”)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No disclaimer of liability under the Securities Act of 1933 is intended by any provision hereof.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74" w:right="239" w:bottom="1440" w:gutter="0" w:footer="0" w:header="0"/>
        </w:sectPr>
      </w:pPr>
    </w:p>
    <w:bookmarkStart w:id="40" w:name="page41"/>
    <w:bookmarkEnd w:id="40"/>
    <w:p>
      <w:pPr>
        <w:ind w:left="780" w:hanging="33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and Removal of Depositary; the Custodian</w:t>
      </w:r>
      <w:r>
        <w:rPr>
          <w:rFonts w:ascii="Arial" w:cs="Arial" w:eastAsia="Arial" w:hAnsi="Arial"/>
          <w:sz w:val="18"/>
          <w:szCs w:val="18"/>
          <w:color w:val="auto"/>
        </w:rPr>
        <w:t>.</w:t>
      </w:r>
    </w:p>
    <w:p>
      <w:pPr>
        <w:spacing w:after="0" w:line="229" w:lineRule="exact"/>
        <w:rPr>
          <w:sz w:val="20"/>
          <w:szCs w:val="20"/>
          <w:color w:val="auto"/>
        </w:rPr>
      </w:pPr>
    </w:p>
    <w:p>
      <w:pPr>
        <w:ind w:left="-20" w:right="180" w:firstLine="464"/>
        <w:spacing w:after="0" w:line="342" w:lineRule="auto"/>
        <w:tabs>
          <w:tab w:leader="none" w:pos="816"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Resignation</w:t>
      </w:r>
      <w:r>
        <w:rPr>
          <w:rFonts w:ascii="Arial" w:cs="Arial" w:eastAsia="Arial" w:hAnsi="Arial"/>
          <w:sz w:val="16"/>
          <w:szCs w:val="16"/>
          <w:color w:val="auto"/>
        </w:rPr>
        <w:t>. The Depositary may resign as Depositary by written notice of its election so to do so delivered to the Company, such resignation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take effect upon the appointment of a successor depositary and its acceptance of such appointment as provided in the Deposit Agreement.</w:t>
      </w:r>
    </w:p>
    <w:p>
      <w:pPr>
        <w:spacing w:after="0" w:line="123" w:lineRule="exact"/>
        <w:rPr>
          <w:rFonts w:ascii="Arial" w:cs="Arial" w:eastAsia="Arial" w:hAnsi="Arial"/>
          <w:sz w:val="16"/>
          <w:szCs w:val="16"/>
          <w:color w:val="auto"/>
        </w:rPr>
      </w:pPr>
    </w:p>
    <w:p>
      <w:pPr>
        <w:jc w:val="both"/>
        <w:ind w:left="-20" w:right="180" w:firstLine="464"/>
        <w:spacing w:after="0" w:line="264" w:lineRule="auto"/>
        <w:tabs>
          <w:tab w:leader="none" w:pos="826"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 The Depositary may at any time be removed by the Company by no less than 60 days prior written notice of such removal, to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later of (i) the 60th day after delivery of the notice to the Depositary and (ii) the appointment of a successor depositary and its acceptance of such appointment as provided in the Deposit Agreement.</w:t>
      </w:r>
    </w:p>
    <w:p>
      <w:pPr>
        <w:spacing w:after="0" w:line="177" w:lineRule="exact"/>
        <w:rPr>
          <w:rFonts w:ascii="Arial" w:cs="Arial" w:eastAsia="Arial" w:hAnsi="Arial"/>
          <w:sz w:val="18"/>
          <w:szCs w:val="18"/>
          <w:color w:val="auto"/>
        </w:rPr>
      </w:pPr>
    </w:p>
    <w:p>
      <w:pPr>
        <w:ind w:left="-20" w:right="700" w:firstLine="464"/>
        <w:spacing w:after="0" w:line="282" w:lineRule="auto"/>
        <w:tabs>
          <w:tab w:leader="none" w:pos="816"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The Custodian</w:t>
      </w:r>
      <w:r>
        <w:rPr>
          <w:rFonts w:ascii="Arial" w:cs="Arial" w:eastAsia="Arial" w:hAnsi="Arial"/>
          <w:sz w:val="18"/>
          <w:szCs w:val="18"/>
          <w:color w:val="auto"/>
        </w:rPr>
        <w:t>. The Depositary may appoint substitute or additional Custodians and the term “</w:t>
      </w:r>
      <w:r>
        <w:rPr>
          <w:rFonts w:ascii="Arial" w:cs="Arial" w:eastAsia="Arial" w:hAnsi="Arial"/>
          <w:sz w:val="18"/>
          <w:szCs w:val="18"/>
          <w:b w:val="1"/>
          <w:bCs w:val="1"/>
          <w:color w:val="auto"/>
        </w:rPr>
        <w:t>Custodian</w:t>
      </w:r>
      <w:r>
        <w:rPr>
          <w:rFonts w:ascii="Arial" w:cs="Arial" w:eastAsia="Arial" w:hAnsi="Arial"/>
          <w:sz w:val="18"/>
          <w:szCs w:val="18"/>
          <w:color w:val="auto"/>
        </w:rPr>
        <w:t>” refers to each Custodian or all</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Custodians as the context requires.</w:t>
      </w:r>
    </w:p>
    <w:p>
      <w:pPr>
        <w:spacing w:after="0" w:line="162" w:lineRule="exact"/>
        <w:rPr>
          <w:sz w:val="20"/>
          <w:szCs w:val="20"/>
          <w:color w:val="auto"/>
        </w:rPr>
      </w:pPr>
    </w:p>
    <w:p>
      <w:pPr>
        <w:ind w:left="-20" w:firstLine="464"/>
        <w:spacing w:after="0" w:line="285" w:lineRule="auto"/>
        <w:tabs>
          <w:tab w:leader="none" w:pos="781"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Subject to the last sentence of paragraph (2)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ADRs and the Deposit Agreement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amended by the Company and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that imposes or increases any fees or charges (other than stock transfer or other taxes and other governmental charges, transfer or registration fees, SWIFT, cable, telex or facsimile transmission costs, delivery costs or other such expenses), or that shall otherwise prejudice any substantial existing right of Holders, shall become effective 30 days after notice of such amendment shall have been given to the Holders. Every Holder of an ADR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to retrieve or receive the text of such amendment (i.e., upon retrieval from the Commission’s, the Depositary’s or the Company’s website or upon request from the Depositary).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-14</w:t>
      </w:r>
    </w:p>
    <w:p>
      <w:pPr>
        <w:sectPr>
          <w:pgSz w:w="11900" w:h="16838" w:orient="portrait"/>
          <w:cols w:equalWidth="0" w:num="1">
            <w:col w:w="11400"/>
          </w:cols>
          <w:pgMar w:left="260" w:top="270" w:right="239" w:bottom="1440" w:gutter="0" w:footer="0" w:header="0"/>
        </w:sectPr>
      </w:pPr>
    </w:p>
    <w:bookmarkStart w:id="41" w:name="page42"/>
    <w:bookmarkEnd w:id="41"/>
    <w:p>
      <w:pPr>
        <w:ind w:left="-20" w:firstLine="464"/>
        <w:spacing w:after="0" w:line="270" w:lineRule="auto"/>
        <w:tabs>
          <w:tab w:leader="none" w:pos="781"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7"/>
          <w:szCs w:val="17"/>
          <w:color w:val="auto"/>
        </w:rPr>
        <w:t>. The Depositary may, and shall at the written direction of the Company, terminate the Deposit Agreement and this ADR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such termination to the Company and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90</w:t>
      </w:r>
      <w:r>
        <w:rPr>
          <w:rFonts w:ascii="Arial" w:cs="Arial" w:eastAsia="Arial" w:hAnsi="Arial"/>
          <w:sz w:val="14"/>
          <w:szCs w:val="14"/>
          <w:color w:val="auto"/>
        </w:rPr>
        <w:t>th</w:t>
      </w:r>
      <w:r>
        <w:rPr>
          <w:rFonts w:ascii="Arial" w:cs="Arial" w:eastAsia="Arial" w:hAnsi="Arial"/>
          <w:sz w:val="17"/>
          <w:szCs w:val="17"/>
          <w:color w:val="auto"/>
        </w:rPr>
        <w:t xml:space="preserve"> day after the Company’s notice of removal was first provided to the Depositary. Notwithstanding anything to the contrary herein, the Depositary may terminate the Deposit Agreement upon 30 days’ notice to the Company and the Holders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-15</w:t>
      </w:r>
    </w:p>
    <w:p>
      <w:pPr>
        <w:sectPr>
          <w:pgSz w:w="11900" w:h="16838" w:orient="portrait"/>
          <w:cols w:equalWidth="0" w:num="1">
            <w:col w:w="11380"/>
          </w:cols>
          <w:pgMar w:left="260" w:top="270" w:right="259" w:bottom="1440" w:gutter="0" w:footer="0" w:header="0"/>
        </w:sectPr>
      </w:pPr>
    </w:p>
    <w:bookmarkStart w:id="42" w:name="page43"/>
    <w:bookmarkEnd w:id="42"/>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upon the request of a Holder and at the expense of such Holder, use its best efforts to issue to each such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165" w:lineRule="exact"/>
        <w:rPr>
          <w:sz w:val="20"/>
          <w:szCs w:val="20"/>
          <w:color w:val="auto"/>
        </w:rPr>
      </w:pPr>
    </w:p>
    <w:p>
      <w:pPr>
        <w:ind w:firstLine="464"/>
        <w:spacing w:after="0" w:line="295" w:lineRule="auto"/>
        <w:tabs>
          <w:tab w:leader="none" w:pos="801"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Appointment. </w:t>
      </w:r>
      <w:r>
        <w:rPr>
          <w:rFonts w:ascii="Arial" w:cs="Arial" w:eastAsia="Arial" w:hAnsi="Arial"/>
          <w:sz w:val="16"/>
          <w:szCs w:val="16"/>
          <w:color w:val="auto"/>
        </w:rPr>
        <w:t>Each Holder and each owner and person holding an interest in ADSs or ADRs, upon acceptance of any ADSs or ADRs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47" w:lineRule="exact"/>
        <w:rPr>
          <w:rFonts w:ascii="Arial" w:cs="Arial" w:eastAsia="Arial" w:hAnsi="Arial"/>
          <w:sz w:val="16"/>
          <w:szCs w:val="16"/>
          <w:color w:val="auto"/>
        </w:rPr>
      </w:pPr>
    </w:p>
    <w:p>
      <w:pPr>
        <w:ind w:firstLine="464"/>
        <w:spacing w:after="0" w:line="255" w:lineRule="auto"/>
        <w:tabs>
          <w:tab w:leader="none" w:pos="801"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EACH PARTY TO THE DEPOSIT AGREEMENT (INCLUDING, FOR AVOIDANCE OF DOUBT, EACH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-16</w:t>
      </w:r>
    </w:p>
    <w:p>
      <w:pPr>
        <w:sectPr>
          <w:pgSz w:w="11900" w:h="16838" w:orient="portrait"/>
          <w:cols w:equalWidth="0" w:num="1">
            <w:col w:w="11400"/>
          </w:cols>
          <w:pgMar w:left="240" w:top="274" w:right="259" w:bottom="1440" w:gutter="0" w:footer="0" w:header="0"/>
        </w:sectPr>
      </w:pPr>
    </w:p>
    <w:bookmarkStart w:id="43" w:name="page44"/>
    <w:bookmarkEnd w:id="43"/>
    <w:p>
      <w:pPr>
        <w:ind w:firstLine="464"/>
        <w:spacing w:after="0" w:line="284" w:lineRule="auto"/>
        <w:tabs>
          <w:tab w:leader="none" w:pos="801"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Jurisdiction</w:t>
      </w:r>
      <w:r>
        <w:rPr>
          <w:rFonts w:ascii="Arial" w:cs="Arial" w:eastAsia="Arial" w:hAnsi="Arial"/>
          <w:sz w:val="16"/>
          <w:szCs w:val="16"/>
          <w:color w:val="auto"/>
        </w:rPr>
        <w:t>. By holding an ADS or an interest therein, Holders and owners of interests in ADSs each irrevocably agree that any legal suit,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proceeding against Holders or owners of interests in ADSs brought by the Company or the Depositary, arising out of or based upon the Deposit Agreement, the ADSs or the ADRs or the transactions contemplated thereby or 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the Deposit Agreement, the ADSs or the ADRs or the transactions contemplated thereby or hereby, may only be instituted in a state or federal court in New York, New York. Notwithstanding the above or anything in the Deposit Agreement to the contrary, in the Deposit Agreement each of the parties thereto (i.e. the Company, the Depositary and all Holders from time to time of ADRs issued thereunder (and any persons owning or holding interests in ADSs)) have agreed that: (i) the Depositary may, in its sole discretion, elect to institute any dispute, suit, action, controversy, claim or proceeding directly or indirectly based on, arising out of or relating to the Deposit Agreement, the ADSs or the ADRs or the transactions contemplated thereby or 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(including, without limitation, Disputes, suits, actions or proceedings brought by Holders and owners of interests in ADSs) against the Depositary shall be referred to and finally settled by an arbitration conducted under the terms set out in the Deposit Agreement: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each case as provided in the Deposit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-17</w:t>
      </w:r>
    </w:p>
    <w:p>
      <w:pPr>
        <w:sectPr>
          <w:pgSz w:w="11900" w:h="16838" w:orient="portrait"/>
          <w:cols w:equalWidth="0" w:num="1">
            <w:col w:w="11420"/>
          </w:cols>
          <w:pgMar w:left="240" w:top="27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Paul Hastings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Depositary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New York Plaza, Floor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 Registration Statement on Form F-6 – American Depositary Shares evidenced by American Depositary Receipts for deposited ordinary shares of iClick Interactive Asia Group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acted as counsel to JPMorgan Chase Bank, N.A., as depositary (the “Depositary”), in connection with the Registration Statement on Form F-6 (the “Registration Statement”) to be filed on the date hereof with the Securities and Exchange Commission (the “Commission”) pursuant to the Securities Act of 1933, as amended (the “Securities Act”), by the legal entity created by the Deposit Agreement (as defined below), relating to up to 100,000,000 American Depositary Shares (“ADSs”), evidenced by American Depositary Receipts (“ADRs”), each ADS representing one - half (1/2) of one Class A ordinary share, par value US$0.001 per share, of iClick Interactive Asia Group Limited (the “Company”), an exempted company limited by shares organized under the laws of the Cayman Islands. The ADSs will be issued pursuant to the Deposit Agreement (the “Deposit Agreement”), to be entered into among the Company and its successors, the Depositary and all holders from time to time of ADRs issued thereunder, a draft copy of which is being filed as Exhibit (a) to the Registration Statement. Capitalized terms used herein that are not herein defined shall have the meanings assigned to them in the Deposit Agreement.</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such counsel and for purposes of our opinion set forth below, we have examined originals or copies, certified or otherwise identified to our satisfaction, of such documents, corporate records, certificates of public officials and other instruments as we have deemed necessary or appropriate as a basis for the opinion set forth herein. In addition, we have made such investigations of law as we have deemed necessary or appropriate as a basis for the opinion set forth herein. In such examination and in rendering the opinion expressed below, we have assumed (i) the genuineness of all signatures on all agreements, instruments, corporate records, certificates and other documents submitted to us; (ii) the authenticity and completeness of all agreements, instruments, corporate records, certificates and other documents submitted to us;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individuals executing all agreements, instruments, corporate records, certificates and other documents; and (v) that the relevant Deposited Securities will have been legally issued and duly deposited with a Custodian under and in accordance with all applicable laws and regulations.</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Based upon and subject to the foregoing, and assuming that, at the time of their issuance, the Registration Statement will have been declared effective by the Commission and the Deposit Agreement will have been duly authorized, executed and delivered, we are of the opinion that the ADSs covered by the Registration Statement, when issued in accordance with the terms of the Deposit Agreement and the Registration Statement, will be legally issued and will entitle the registered holders thereof to the rights specified in the Deposit Agreement and the ADRs.</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express no opinion with regard to the applicability or effect of the law of any jurisdiction other than, as in effect on the date of this letter, (i) the internal laws of the State of New York and (ii) the federal laws of the United States.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This opinion letter deals only with the specified legal issues expressly addressed herein, and you should not infer any opinion that is not explicitly addressed herein from any matter stated in this letter.</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hereby consent to the use of this opinion as Exhibit (d) to the Registration Statement. In giving such consent, we do not hereby admit that we are within the category of persons whose consent is required under Section 7 of the Securities Act and the rules and regulations thereunder. This opinion is rendered to you as of the date hereof and we assume no obligation to advise you or any other person hereafter with regard to any change after the date hereof in the circumstances or the law that may bear on the matters set forth herein even though the change may affect the legal analysis or a legal conclusion or other matters in this opinion letter.</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Hastings LLP</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decimal"/>
      <w:start w:val="1"/>
    </w:lvl>
    <w:lvl w:ilvl="1">
      <w:lvlJc w:val="left"/>
      <w:lvlText w:val="(%2)"/>
      <w:numFmt w:val="lowerRoman"/>
      <w:start w:val="1"/>
    </w:lvl>
  </w:abstractNum>
  <w:abstractNum w:abstractNumId="3">
    <w:nsid w:val="5072367"/>
    <w:multiLevelType w:val="hybridMultilevel"/>
    <w:lvl w:ilvl="0">
      <w:lvlJc w:val="left"/>
      <w:lvlText w:val="(%1)"/>
      <w:numFmt w:val="lowerLetter"/>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1)"/>
      <w:numFmt w:val="lowerLetter"/>
      <w:start w:val="1"/>
    </w:lvl>
  </w:abstractNum>
  <w:abstractNum w:abstractNumId="6">
    <w:nsid w:val="7724C67E"/>
    <w:multiLevelType w:val="hybridMultilevel"/>
    <w:lvl w:ilvl="0">
      <w:lvlJc w:val="left"/>
      <w:lvlText w:val="(%1)"/>
      <w:numFmt w:val="lowerLetter"/>
      <w:start w:val="4"/>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7"/>
    </w:lvl>
  </w:abstractNum>
  <w:abstractNum w:abstractNumId="10">
    <w:nsid w:val="51EAD36B"/>
    <w:multiLevelType w:val="hybridMultilevel"/>
    <w:lvl w:ilvl="0">
      <w:lvlJc w:val="left"/>
      <w:lvlText w:val="%1."/>
      <w:numFmt w:val="decimal"/>
      <w:start w:val="2"/>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2"/>
    </w:lvl>
  </w:abstractNum>
  <w:abstractNum w:abstractNumId="13">
    <w:nsid w:val="153EA438"/>
    <w:multiLevelType w:val="hybridMultilevel"/>
    <w:lvl w:ilvl="0">
      <w:lvlJc w:val="left"/>
      <w:lvlText w:val="%1."/>
      <w:numFmt w:val="decimal"/>
      <w:start w:val="3"/>
    </w:lvl>
  </w:abstractNum>
  <w:abstractNum w:abstractNumId="14">
    <w:nsid w:val="3855585C"/>
    <w:multiLevelType w:val="hybridMultilevel"/>
    <w:lvl w:ilvl="0">
      <w:lvlJc w:val="left"/>
      <w:lvlText w:val="(%1)"/>
      <w:numFmt w:val="lowerLetter"/>
      <w:start w:val="1"/>
    </w:lvl>
  </w:abstractNum>
  <w:abstractNum w:abstractNumId="15">
    <w:nsid w:val="70A64E2A"/>
    <w:multiLevelType w:val="hybridMultilevel"/>
    <w:lvl w:ilvl="0">
      <w:lvlJc w:val="left"/>
      <w:lvlText w:val="%1."/>
      <w:numFmt w:val="decimal"/>
      <w:start w:val="4"/>
    </w:lvl>
  </w:abstractNum>
  <w:abstractNum w:abstractNumId="16">
    <w:nsid w:val="6A2342EC"/>
    <w:multiLevelType w:val="hybridMultilevel"/>
    <w:lvl w:ilvl="0">
      <w:lvlJc w:val="left"/>
      <w:lvlText w:val="%1."/>
      <w:numFmt w:val="decimal"/>
      <w:start w:val="5"/>
    </w:lvl>
  </w:abstractNum>
  <w:abstractNum w:abstractNumId="17">
    <w:nsid w:val="2A487CB0"/>
    <w:multiLevelType w:val="hybridMultilevel"/>
    <w:lvl w:ilvl="0">
      <w:lvlJc w:val="left"/>
      <w:lvlText w:val="%1."/>
      <w:numFmt w:val="decimal"/>
      <w:start w:val="9"/>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1."/>
      <w:numFmt w:val="decimal"/>
      <w:start w:val="10"/>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2"/>
    </w:lvl>
  </w:abstractNum>
  <w:abstractNum w:abstractNumId="22">
    <w:nsid w:val="7A6D8D3C"/>
    <w:multiLevelType w:val="hybridMultilevel"/>
    <w:lvl w:ilvl="0">
      <w:lvlJc w:val="left"/>
      <w:lvlText w:val="%1."/>
      <w:numFmt w:val="decimal"/>
      <w:start w:val="13"/>
    </w:lvl>
  </w:abstractNum>
  <w:abstractNum w:abstractNumId="23">
    <w:nsid w:val="4B588F54"/>
    <w:multiLevelType w:val="hybridMultilevel"/>
    <w:lvl w:ilvl="0">
      <w:lvlJc w:val="left"/>
      <w:lvlText w:val="%1."/>
      <w:numFmt w:val="decimal"/>
      <w:start w:val="14"/>
    </w:lvl>
  </w:abstractNum>
  <w:abstractNum w:abstractNumId="24">
    <w:nsid w:val="542289EC"/>
    <w:multiLevelType w:val="hybridMultilevel"/>
    <w:lvl w:ilvl="0">
      <w:lvlJc w:val="left"/>
      <w:lvlText w:val="%1."/>
      <w:numFmt w:val="decimal"/>
      <w:start w:val="16"/>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2"/>
    </w:lvl>
  </w:abstractNum>
  <w:abstractNum w:abstractNumId="27">
    <w:nsid w:val="7644A45C"/>
    <w:multiLevelType w:val="hybridMultilevel"/>
    <w:lvl w:ilvl="0">
      <w:lvlJc w:val="left"/>
      <w:lvlText w:val="%1"/>
      <w:numFmt w:val="decimal"/>
      <w:start w:val="1"/>
    </w:lvl>
    <w:lvl w:ilvl="1">
      <w:lvlJc w:val="left"/>
      <w:lvlText w:val="(%2)"/>
      <w:numFmt w:val="lowerRoman"/>
      <w:start w:val="1"/>
    </w:lvl>
  </w:abstractNum>
  <w:abstractNum w:abstractNumId="28">
    <w:nsid w:val="32FFF902"/>
    <w:multiLevelType w:val="hybridMultilevel"/>
    <w:lvl w:ilvl="0">
      <w:lvlJc w:val="left"/>
      <w:lvlText w:val="%1."/>
      <w:numFmt w:val="decimal"/>
      <w:start w:val="17"/>
    </w:lvl>
    <w:lvl w:ilvl="1">
      <w:lvlJc w:val="left"/>
      <w:lvlText w:val="%2"/>
      <w:numFmt w:val="lowerRoman"/>
      <w:start w:val="1"/>
    </w:lvl>
  </w:abstractNum>
  <w:abstractNum w:abstractNumId="29">
    <w:nsid w:val="684A481A"/>
    <w:multiLevelType w:val="hybridMultilevel"/>
    <w:lvl w:ilvl="0">
      <w:lvlJc w:val="left"/>
      <w:lvlText w:val="%1."/>
      <w:numFmt w:val="decimal"/>
      <w:start w:val="20"/>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3"/>
    </w:lvl>
  </w:abstractNum>
  <w:abstractNum w:abstractNumId="32">
    <w:nsid w:val="3DC240FB"/>
    <w:multiLevelType w:val="hybridMultilevel"/>
    <w:lvl w:ilvl="0">
      <w:lvlJc w:val="left"/>
      <w:lvlText w:val="(%1)"/>
      <w:numFmt w:val="lowerLetter"/>
      <w:start w:val="4"/>
    </w:lvl>
  </w:abstractNum>
  <w:abstractNum w:abstractNumId="33">
    <w:nsid w:val="1BA026FA"/>
    <w:multiLevelType w:val="hybridMultilevel"/>
    <w:lvl w:ilvl="0">
      <w:lvlJc w:val="left"/>
      <w:lvlText w:val="%1."/>
      <w:numFmt w:val="decimal"/>
      <w:start w:val="2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3"/>
    </w:lvl>
  </w:abstractNum>
  <w:abstractNum w:abstractNumId="36">
    <w:nsid w:val="12E685FB"/>
    <w:multiLevelType w:val="hybridMultilevel"/>
    <w:lvl w:ilvl="0">
      <w:lvlJc w:val="left"/>
      <w:lvlText w:val="%1."/>
      <w:numFmt w:val="decimal"/>
      <w:start w:val="22"/>
    </w:lvl>
  </w:abstractNum>
  <w:abstractNum w:abstractNumId="37">
    <w:nsid w:val="70C6A529"/>
    <w:multiLevelType w:val="hybridMultilevel"/>
    <w:lvl w:ilvl="0">
      <w:lvlJc w:val="left"/>
      <w:lvlText w:val="%1."/>
      <w:numFmt w:val="decimal"/>
      <w:start w:val="23"/>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lowerRoman"/>
      <w:start w:val="1"/>
    </w:lvl>
    <w:lvl w:ilvl="1">
      <w:lvlJc w:val="left"/>
      <w:lvlText w:val="(%2)"/>
      <w:numFmt w:val="lowerLetter"/>
      <w:start w:val="1"/>
    </w:lvl>
  </w:abstractNum>
  <w:abstractNum w:abstractNumId="40">
    <w:nsid w:val="4F4EF005"/>
    <w:multiLevelType w:val="hybridMultilevel"/>
    <w:lvl w:ilvl="0">
      <w:lvlJc w:val="left"/>
      <w:lvlText w:val="(%1)"/>
      <w:numFmt w:val="lowerRoman"/>
      <w:start w:val="4"/>
    </w:lvl>
    <w:lvl w:ilvl="1">
      <w:lvlJc w:val="left"/>
      <w:lvlText w:val="%2"/>
      <w:numFmt w:val="lowerLetter"/>
      <w:start w:val="1"/>
    </w:lvl>
  </w:abstractNum>
  <w:abstractNum w:abstractNumId="41">
    <w:nsid w:val="23F9C13C"/>
    <w:multiLevelType w:val="hybridMultilevel"/>
    <w:lvl w:ilvl="0">
      <w:lvlJc w:val="left"/>
      <w:lvlText w:val="%1"/>
      <w:numFmt w:val="lowerLetter"/>
      <w:start w:val="1"/>
    </w:lvl>
    <w:lvl w:ilvl="1">
      <w:lvlJc w:val="left"/>
      <w:lvlText w:val="(%2)"/>
      <w:numFmt w:val="decimal"/>
      <w:start w:val="2"/>
    </w:lvl>
  </w:abstractNum>
  <w:abstractNum w:abstractNumId="42">
    <w:nsid w:val="649BB77C"/>
    <w:multiLevelType w:val="hybridMultilevel"/>
    <w:lvl w:ilvl="0">
      <w:lvlJc w:val="left"/>
      <w:lvlText w:val="(%1)"/>
      <w:numFmt w:val="lowerLetter"/>
      <w:start w:val="1"/>
    </w:lvl>
    <w:lvl w:ilvl="1">
      <w:lvlJc w:val="left"/>
      <w:lvlText w:val="%2"/>
      <w:numFmt w:val="decimal"/>
      <w:start w:val="1"/>
    </w:lvl>
  </w:abstractNum>
  <w:abstractNum w:abstractNumId="43">
    <w:nsid w:val="275AC794"/>
    <w:multiLevelType w:val="hybridMultilevel"/>
    <w:lvl w:ilvl="0">
      <w:lvlJc w:val="left"/>
      <w:lvlText w:val="(%1)"/>
      <w:numFmt w:val="decimal"/>
      <w:start w:val="4"/>
    </w:lvl>
  </w:abstractNum>
  <w:abstractNum w:abstractNumId="44">
    <w:nsid w:val="39386575"/>
    <w:multiLevelType w:val="hybridMultilevel"/>
    <w:lvl w:ilvl="0">
      <w:lvlJc w:val="left"/>
      <w:lvlText w:val="(%1)"/>
      <w:numFmt w:val="decimal"/>
      <w:start w:val="5"/>
    </w:lvl>
  </w:abstractNum>
  <w:abstractNum w:abstractNumId="45">
    <w:nsid w:val="1CF10FD8"/>
    <w:multiLevelType w:val="hybridMultilevel"/>
    <w:lvl w:ilvl="0">
      <w:lvlJc w:val="left"/>
      <w:lvlText w:val="(%1)"/>
      <w:numFmt w:val="decimal"/>
      <w:start w:val="6"/>
    </w:lvl>
  </w:abstractNum>
  <w:abstractNum w:abstractNumId="46">
    <w:nsid w:val="180115BE"/>
    <w:multiLevelType w:val="hybridMultilevel"/>
    <w:lvl w:ilvl="0">
      <w:lvlJc w:val="left"/>
      <w:lvlText w:val="(%1)"/>
      <w:numFmt w:val="decimal"/>
      <w:start w:val="7"/>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1"/>
    </w:lvl>
    <w:lvl w:ilvl="1">
      <w:lvlJc w:val="left"/>
      <w:lvlText w:val="(%2)"/>
      <w:numFmt w:val="lowerLetter"/>
      <w:start w:val="3"/>
    </w:lvl>
  </w:abstractNum>
  <w:abstractNum w:abstractNumId="49">
    <w:nsid w:val="354FE9F9"/>
    <w:multiLevelType w:val="hybridMultilevel"/>
    <w:lvl w:ilvl="0">
      <w:lvlJc w:val="left"/>
      <w:lvlText w:val="(%1)"/>
      <w:numFmt w:val="lowerLetter"/>
      <w:start w:val="61"/>
    </w:lvl>
    <w:lvl w:ilvl="1">
      <w:lvlJc w:val="left"/>
      <w:lvlText w:val="(%2)"/>
      <w:numFmt w:val="lowerLetter"/>
      <w:start w:val="4"/>
    </w:lvl>
  </w:abstractNum>
  <w:abstractNum w:abstractNumId="50">
    <w:nsid w:val="15B5AF5C"/>
    <w:multiLevelType w:val="hybridMultilevel"/>
    <w:lvl w:ilvl="0">
      <w:lvlJc w:val="left"/>
      <w:lvlText w:val="(%1)"/>
      <w:numFmt w:val="decimal"/>
      <w:start w:val="8"/>
    </w:lvl>
  </w:abstractNum>
  <w:abstractNum w:abstractNumId="51">
    <w:nsid w:val="741226BB"/>
    <w:multiLevelType w:val="hybridMultilevel"/>
    <w:lvl w:ilvl="0">
      <w:lvlJc w:val="left"/>
      <w:lvlText w:val="(%1)"/>
      <w:numFmt w:val="decimal"/>
      <w:start w:val="9"/>
    </w:lvl>
  </w:abstractNum>
  <w:abstractNum w:abstractNumId="52">
    <w:nsid w:val="D34B6A8"/>
    <w:multiLevelType w:val="hybridMultilevel"/>
    <w:lvl w:ilvl="0">
      <w:lvlJc w:val="left"/>
      <w:lvlText w:val="(%1)"/>
      <w:numFmt w:val="decimal"/>
      <w:start w:val="10"/>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4"/>
    </w:lvl>
  </w:abstractNum>
  <w:abstractNum w:abstractNumId="55">
    <w:nsid w:val="61574095"/>
    <w:multiLevelType w:val="hybridMultilevel"/>
    <w:lvl w:ilvl="0">
      <w:lvlJc w:val="left"/>
      <w:lvlText w:val="(%1)"/>
      <w:numFmt w:val="decimal"/>
      <w:start w:val="11"/>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2"/>
    </w:lvl>
  </w:abstractNum>
  <w:abstractNum w:abstractNumId="58">
    <w:nsid w:val="579BE4F1"/>
    <w:multiLevelType w:val="hybridMultilevel"/>
    <w:lvl w:ilvl="0">
      <w:lvlJc w:val="left"/>
      <w:lvlText w:val="(%1)"/>
      <w:numFmt w:val="decimal"/>
      <w:start w:val="13"/>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3"/>
    </w:lvl>
  </w:abstractNum>
  <w:abstractNum w:abstractNumId="61">
    <w:nsid w:val="2F305DEF"/>
    <w:multiLevelType w:val="hybridMultilevel"/>
    <w:lvl w:ilvl="0">
      <w:lvlJc w:val="left"/>
      <w:lvlText w:val="(%1)"/>
      <w:numFmt w:val="decimal"/>
      <w:start w:val="14"/>
    </w:lvl>
  </w:abstractNum>
  <w:abstractNum w:abstractNumId="62">
    <w:nsid w:val="25A70BF7"/>
    <w:multiLevelType w:val="hybridMultilevel"/>
    <w:lvl w:ilvl="0">
      <w:lvlJc w:val="left"/>
      <w:lvlText w:val="(%1)"/>
      <w:numFmt w:val="decimal"/>
      <w:start w:val="15"/>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6"/>
    </w:lvl>
  </w:abstractNum>
  <w:abstractNum w:abstractNumId="65">
    <w:nsid w:val="1F48EAA1"/>
    <w:multiLevelType w:val="hybridMultilevel"/>
    <w:lvl w:ilvl="0">
      <w:lvlJc w:val="left"/>
      <w:lvlText w:val="(%1)"/>
      <w:numFmt w:val="decimal"/>
      <w:start w:val="17"/>
    </w:lvl>
  </w:abstractNum>
  <w:abstractNum w:abstractNumId="66">
    <w:nsid w:val="1381823A"/>
    <w:multiLevelType w:val="hybridMultilevel"/>
    <w:lvl w:ilvl="0">
      <w:lvlJc w:val="left"/>
      <w:lvlText w:val="(%1)"/>
      <w:numFmt w:val="decimal"/>
      <w:start w:val="18"/>
    </w:lvl>
  </w:abstractNum>
  <w:abstractNum w:abstractNumId="67">
    <w:nsid w:val="5DB70AE5"/>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2019-12-18T23:23:01Z</dcterms:created>
  <dcterms:modified xsi:type="dcterms:W3CDTF">2019-12-18T23:23:01Z</dcterms:modified>
</cp:coreProperties>
</file>