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50571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5057140"/>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IP WING WAI</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1440" w:type="dxa"/>
            <w:vAlign w:val="bottom"/>
            <w:tcBorders>
              <w:top w:val="single" w:sz="8" w:color="0000EE"/>
              <w:bottom w:val="single" w:sz="8" w:color="9A9A9A"/>
            </w:tcBorders>
          </w:tcPr>
          <w:p>
            <w:pPr>
              <w:spacing w:after="0"/>
              <w:rPr>
                <w:sz w:val="17"/>
                <w:szCs w:val="17"/>
                <w:color w:val="auto"/>
              </w:rPr>
            </w:pPr>
          </w:p>
        </w:tc>
        <w:tc>
          <w:tcPr>
            <w:tcW w:w="162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03/18/2026</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Amber International Holding Ltd</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AMBR</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328"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p>
      <w:pPr>
        <w:spacing w:after="0" w:line="105"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82"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1 WALLICH STREET, #30-02</w:t>
      </w:r>
    </w:p>
    <w:p>
      <w:pPr>
        <w:spacing w:after="0" w:line="24"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GUOCO TOWER,</w:t>
      </w:r>
    </w:p>
    <w:p>
      <w:pPr>
        <w:spacing w:after="0" w:line="373"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1780" w:type="dxa"/>
            <w:vAlign w:val="bottom"/>
          </w:tcPr>
          <w:p>
            <w:pPr>
              <w:spacing w:after="0"/>
              <w:rPr>
                <w:sz w:val="20"/>
                <w:szCs w:val="20"/>
                <w:color w:val="auto"/>
              </w:rPr>
            </w:pPr>
            <w:r>
              <w:rPr>
                <w:rFonts w:ascii="Arial" w:cs="Arial" w:eastAsia="Arial" w:hAnsi="Arial"/>
                <w:sz w:val="15"/>
                <w:szCs w:val="15"/>
                <w:color w:val="auto"/>
              </w:rPr>
              <w:t>(Street)</w:t>
            </w:r>
          </w:p>
        </w:tc>
        <w:tc>
          <w:tcPr>
            <w:tcW w:w="940" w:type="dxa"/>
            <w:vAlign w:val="bottom"/>
          </w:tcPr>
          <w:p>
            <w:pPr>
              <w:spacing w:after="0"/>
              <w:rPr>
                <w:sz w:val="17"/>
                <w:szCs w:val="17"/>
                <w:color w:val="auto"/>
              </w:rPr>
            </w:pPr>
          </w:p>
        </w:tc>
      </w:tr>
      <w:tr>
        <w:trPr>
          <w:trHeight w:val="265"/>
        </w:trPr>
        <w:tc>
          <w:tcPr>
            <w:tcW w:w="178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SINGAPORE U0</w:t>
            </w: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0000FF"/>
              </w:rPr>
              <w:t>078881</w:t>
            </w: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5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8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265"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200" w:lineRule="exact"/>
        <w:rPr>
          <w:sz w:val="24"/>
          <w:szCs w:val="24"/>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spacing w:after="0" w:line="36"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r>
      <w:tr>
        <w:trPr>
          <w:trHeight w:val="206"/>
        </w:trPr>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r>
      <w:tr>
        <w:trPr>
          <w:trHeight w:val="44"/>
        </w:trPr>
        <w:tc>
          <w:tcPr>
            <w:tcW w:w="3420" w:type="dxa"/>
            <w:vAlign w:val="bottom"/>
            <w:tcBorders>
              <w:bottom w:val="single" w:sz="8" w:color="2C2C2C"/>
            </w:tcBorders>
          </w:tcPr>
          <w:p>
            <w:pPr>
              <w:spacing w:after="0"/>
              <w:rPr>
                <w:sz w:val="3"/>
                <w:szCs w:val="3"/>
                <w:color w:val="auto"/>
              </w:rPr>
            </w:pPr>
          </w:p>
        </w:tc>
        <w:tc>
          <w:tcPr>
            <w:tcW w:w="340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tcPr>
          <w:p>
            <w:pPr>
              <w:spacing w:after="0"/>
              <w:rPr>
                <w:sz w:val="3"/>
                <w:szCs w:val="3"/>
                <w:color w:val="auto"/>
              </w:rPr>
            </w:pPr>
          </w:p>
        </w:tc>
        <w:tc>
          <w:tcPr>
            <w:tcW w:w="2860" w:type="dxa"/>
            <w:vAlign w:val="bottom"/>
            <w:tcBorders>
              <w:bottom w:val="single" w:sz="8" w:color="2C2C2C"/>
            </w:tcBorders>
          </w:tcPr>
          <w:p>
            <w:pPr>
              <w:spacing w:after="0"/>
              <w:rPr>
                <w:sz w:val="3"/>
                <w:szCs w:val="3"/>
                <w:color w:val="auto"/>
              </w:rPr>
            </w:pPr>
          </w:p>
        </w:tc>
      </w:tr>
    </w:tbl>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254"/>
        </w:trPr>
        <w:tc>
          <w:tcPr>
            <w:tcW w:w="20" w:type="dxa"/>
            <w:vAlign w:val="bottom"/>
          </w:tcPr>
          <w:p>
            <w:pPr>
              <w:spacing w:after="0"/>
              <w:rPr>
                <w:sz w:val="22"/>
                <w:szCs w:val="22"/>
                <w:color w:val="auto"/>
              </w:rPr>
            </w:pPr>
          </w:p>
        </w:tc>
        <w:tc>
          <w:tcPr>
            <w:tcW w:w="4120" w:type="dxa"/>
            <w:vAlign w:val="bottom"/>
            <w:gridSpan w:val="3"/>
          </w:tcPr>
          <w:p>
            <w:pPr>
              <w:ind w:left="80"/>
              <w:spacing w:after="0"/>
              <w:rPr>
                <w:sz w:val="20"/>
                <w:szCs w:val="20"/>
                <w:color w:val="auto"/>
              </w:rPr>
            </w:pPr>
            <w:r>
              <w:rPr>
                <w:rFonts w:ascii="Times New Roman" w:cs="Times New Roman" w:eastAsia="Times New Roman" w:hAnsi="Times New Roman"/>
                <w:sz w:val="20"/>
                <w:szCs w:val="20"/>
                <w:color w:val="0000FF"/>
                <w:w w:val="97"/>
              </w:rPr>
              <w:t>Class A ordinary shares, par value $0.001 per share</w:t>
            </w:r>
          </w:p>
        </w:tc>
        <w:tc>
          <w:tcPr>
            <w:tcW w:w="820" w:type="dxa"/>
            <w:vAlign w:val="bottom"/>
          </w:tcPr>
          <w:p>
            <w:pPr>
              <w:spacing w:after="0"/>
              <w:rPr>
                <w:sz w:val="22"/>
                <w:szCs w:val="22"/>
                <w:color w:val="auto"/>
              </w:rPr>
            </w:pPr>
          </w:p>
        </w:tc>
        <w:tc>
          <w:tcPr>
            <w:tcW w:w="1760" w:type="dxa"/>
            <w:vAlign w:val="bottom"/>
          </w:tcPr>
          <w:p>
            <w:pPr>
              <w:ind w:left="680"/>
              <w:spacing w:after="0"/>
              <w:rPr>
                <w:sz w:val="20"/>
                <w:szCs w:val="20"/>
                <w:color w:val="auto"/>
              </w:rPr>
            </w:pPr>
            <w:r>
              <w:rPr>
                <w:rFonts w:ascii="Times New Roman" w:cs="Times New Roman" w:eastAsia="Times New Roman" w:hAnsi="Times New Roman"/>
                <w:sz w:val="20"/>
                <w:szCs w:val="20"/>
                <w:color w:val="0000FF"/>
              </w:rPr>
              <w:t>1,000</w:t>
            </w:r>
          </w:p>
        </w:tc>
        <w:tc>
          <w:tcPr>
            <w:tcW w:w="860" w:type="dxa"/>
            <w:vAlign w:val="bottom"/>
            <w:gridSpan w:val="2"/>
          </w:tcPr>
          <w:p>
            <w:pPr>
              <w:ind w:left="700"/>
              <w:spacing w:after="0"/>
              <w:rPr>
                <w:sz w:val="20"/>
                <w:szCs w:val="20"/>
                <w:color w:val="auto"/>
              </w:rPr>
            </w:pPr>
            <w:r>
              <w:rPr>
                <w:rFonts w:ascii="Times New Roman" w:cs="Times New Roman" w:eastAsia="Times New Roman" w:hAnsi="Times New Roman"/>
                <w:sz w:val="20"/>
                <w:szCs w:val="20"/>
                <w:color w:val="0000FF"/>
                <w:w w:val="96"/>
              </w:rPr>
              <w:t>D</w:t>
            </w:r>
          </w:p>
        </w:tc>
        <w:tc>
          <w:tcPr>
            <w:tcW w:w="9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7"/>
        </w:trPr>
        <w:tc>
          <w:tcPr>
            <w:tcW w:w="20" w:type="dxa"/>
            <w:vAlign w:val="bottom"/>
            <w:tcBorders>
              <w:bottom w:val="single" w:sz="8" w:color="2C2C2C"/>
            </w:tcBorders>
          </w:tcPr>
          <w:p>
            <w:pPr>
              <w:spacing w:after="0"/>
              <w:rPr>
                <w:sz w:val="9"/>
                <w:szCs w:val="9"/>
                <w:color w:val="auto"/>
              </w:rPr>
            </w:pPr>
          </w:p>
        </w:tc>
        <w:tc>
          <w:tcPr>
            <w:tcW w:w="2760" w:type="dxa"/>
            <w:vAlign w:val="bottom"/>
            <w:tcBorders>
              <w:bottom w:val="single" w:sz="8" w:color="2C2C2C"/>
            </w:tcBorders>
          </w:tcPr>
          <w:p>
            <w:pPr>
              <w:spacing w:after="0"/>
              <w:rPr>
                <w:sz w:val="9"/>
                <w:szCs w:val="9"/>
                <w:color w:val="auto"/>
              </w:rPr>
            </w:pPr>
          </w:p>
        </w:tc>
        <w:tc>
          <w:tcPr>
            <w:tcW w:w="320" w:type="dxa"/>
            <w:vAlign w:val="bottom"/>
            <w:tcBorders>
              <w:bottom w:val="single" w:sz="8" w:color="2C2C2C"/>
            </w:tcBorders>
          </w:tcPr>
          <w:p>
            <w:pPr>
              <w:spacing w:after="0"/>
              <w:rPr>
                <w:sz w:val="9"/>
                <w:szCs w:val="9"/>
                <w:color w:val="auto"/>
              </w:rPr>
            </w:pPr>
          </w:p>
        </w:tc>
        <w:tc>
          <w:tcPr>
            <w:tcW w:w="4440" w:type="dxa"/>
            <w:vAlign w:val="bottom"/>
            <w:tcBorders>
              <w:bottom w:val="single" w:sz="8" w:color="2C2C2C"/>
            </w:tcBorders>
            <w:gridSpan w:val="4"/>
          </w:tcPr>
          <w:p>
            <w:pPr>
              <w:spacing w:after="0"/>
              <w:rPr>
                <w:sz w:val="9"/>
                <w:szCs w:val="9"/>
                <w:color w:val="auto"/>
              </w:rPr>
            </w:pPr>
          </w:p>
        </w:tc>
        <w:tc>
          <w:tcPr>
            <w:tcW w:w="980" w:type="dxa"/>
            <w:vAlign w:val="bottom"/>
            <w:tcBorders>
              <w:bottom w:val="single" w:sz="8" w:color="2C2C2C"/>
            </w:tcBorders>
            <w:gridSpan w:val="2"/>
          </w:tcPr>
          <w:p>
            <w:pPr>
              <w:spacing w:after="0"/>
              <w:rPr>
                <w:sz w:val="9"/>
                <w:szCs w:val="9"/>
                <w:color w:val="auto"/>
              </w:rPr>
            </w:pPr>
          </w:p>
        </w:tc>
        <w:tc>
          <w:tcPr>
            <w:tcW w:w="940" w:type="dxa"/>
            <w:vAlign w:val="bottom"/>
            <w:tcBorders>
              <w:bottom w:val="single" w:sz="8" w:color="2C2C2C"/>
            </w:tcBorders>
          </w:tcPr>
          <w:p>
            <w:pPr>
              <w:spacing w:after="0"/>
              <w:rPr>
                <w:sz w:val="9"/>
                <w:szCs w:val="9"/>
                <w:color w:val="auto"/>
              </w:rPr>
            </w:pPr>
          </w:p>
        </w:tc>
        <w:tc>
          <w:tcPr>
            <w:tcW w:w="146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259"/>
        </w:trPr>
        <w:tc>
          <w:tcPr>
            <w:tcW w:w="20" w:type="dxa"/>
            <w:vAlign w:val="bottom"/>
            <w:tcBorders>
              <w:top w:val="single" w:sz="8" w:color="808080"/>
            </w:tcBorders>
          </w:tcPr>
          <w:p>
            <w:pPr>
              <w:spacing w:after="0"/>
              <w:rPr>
                <w:sz w:val="22"/>
                <w:szCs w:val="22"/>
                <w:color w:val="auto"/>
              </w:rPr>
            </w:pPr>
          </w:p>
        </w:tc>
        <w:tc>
          <w:tcPr>
            <w:tcW w:w="2760" w:type="dxa"/>
            <w:vAlign w:val="bottom"/>
            <w:tcBorders>
              <w:top w:val="single" w:sz="8" w:color="2C2C2C"/>
            </w:tcBorders>
          </w:tcPr>
          <w:p>
            <w:pPr>
              <w:spacing w:after="0"/>
              <w:rPr>
                <w:sz w:val="22"/>
                <w:szCs w:val="22"/>
                <w:color w:val="auto"/>
              </w:rPr>
            </w:pPr>
          </w:p>
        </w:tc>
        <w:tc>
          <w:tcPr>
            <w:tcW w:w="320" w:type="dxa"/>
            <w:vAlign w:val="bottom"/>
            <w:tcBorders>
              <w:top w:val="single" w:sz="8" w:color="2C2C2C"/>
            </w:tcBorders>
          </w:tcPr>
          <w:p>
            <w:pPr>
              <w:spacing w:after="0"/>
              <w:rPr>
                <w:sz w:val="22"/>
                <w:szCs w:val="22"/>
                <w:color w:val="auto"/>
              </w:rPr>
            </w:pPr>
          </w:p>
        </w:tc>
        <w:tc>
          <w:tcPr>
            <w:tcW w:w="5420" w:type="dxa"/>
            <w:vAlign w:val="bottom"/>
            <w:tcBorders>
              <w:top w:val="single" w:sz="8" w:color="2C2C2C"/>
            </w:tcBorders>
            <w:gridSpan w:val="6"/>
          </w:tcPr>
          <w:p>
            <w:pPr>
              <w:ind w:left="8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940" w:type="dxa"/>
            <w:vAlign w:val="bottom"/>
            <w:tcBorders>
              <w:top w:val="single" w:sz="8" w:color="2C2C2C"/>
            </w:tcBorders>
          </w:tcPr>
          <w:p>
            <w:pPr>
              <w:spacing w:after="0"/>
              <w:rPr>
                <w:sz w:val="22"/>
                <w:szCs w:val="22"/>
                <w:color w:val="auto"/>
              </w:rPr>
            </w:pPr>
          </w:p>
        </w:tc>
        <w:tc>
          <w:tcPr>
            <w:tcW w:w="146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2760" w:type="dxa"/>
            <w:vAlign w:val="bottom"/>
          </w:tcPr>
          <w:p>
            <w:pPr>
              <w:spacing w:after="0"/>
              <w:rPr>
                <w:sz w:val="23"/>
                <w:szCs w:val="23"/>
                <w:color w:val="auto"/>
              </w:rPr>
            </w:pPr>
          </w:p>
        </w:tc>
        <w:tc>
          <w:tcPr>
            <w:tcW w:w="5740" w:type="dxa"/>
            <w:vAlign w:val="bottom"/>
            <w:gridSpan w:val="7"/>
          </w:tcPr>
          <w:p>
            <w:pPr>
              <w:spacing w:after="0"/>
              <w:rPr>
                <w:sz w:val="20"/>
                <w:szCs w:val="20"/>
                <w:color w:val="auto"/>
              </w:rPr>
            </w:pPr>
            <w:r>
              <w:rPr>
                <w:rFonts w:ascii="Arial" w:cs="Arial" w:eastAsia="Arial" w:hAnsi="Arial"/>
                <w:sz w:val="20"/>
                <w:szCs w:val="20"/>
                <w:b w:val="1"/>
                <w:bCs w:val="1"/>
                <w:color w:val="auto"/>
              </w:rPr>
              <w:t>(e.g., puts, calls, warrants, options, convertible securities)</w:t>
            </w:r>
          </w:p>
        </w:tc>
        <w:tc>
          <w:tcPr>
            <w:tcW w:w="94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860" w:type="dxa"/>
            <w:vAlign w:val="bottom"/>
            <w:tcBorders>
              <w:bottom w:val="single" w:sz="8" w:color="2C2C2C"/>
            </w:tcBorders>
            <w:gridSpan w:val="2"/>
          </w:tcPr>
          <w:p>
            <w:pPr>
              <w:spacing w:after="0"/>
              <w:rPr>
                <w:sz w:val="3"/>
                <w:szCs w:val="3"/>
                <w:color w:val="auto"/>
              </w:rPr>
            </w:pPr>
          </w:p>
        </w:tc>
        <w:tc>
          <w:tcPr>
            <w:tcW w:w="258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320" w:type="dxa"/>
            <w:vAlign w:val="bottom"/>
          </w:tcPr>
          <w:p>
            <w:pPr>
              <w:spacing w:after="0"/>
              <w:rPr>
                <w:sz w:val="18"/>
                <w:szCs w:val="18"/>
                <w:color w:val="auto"/>
              </w:rPr>
            </w:pPr>
          </w:p>
        </w:tc>
        <w:tc>
          <w:tcPr>
            <w:tcW w:w="1860" w:type="dxa"/>
            <w:vAlign w:val="bottom"/>
            <w:gridSpan w:val="2"/>
          </w:tcPr>
          <w:p>
            <w:pPr>
              <w:ind w:left="60"/>
              <w:spacing w:after="0"/>
              <w:rPr>
                <w:sz w:val="20"/>
                <w:szCs w:val="20"/>
                <w:color w:val="auto"/>
              </w:rPr>
            </w:pPr>
            <w:r>
              <w:rPr>
                <w:rFonts w:ascii="Arial" w:cs="Arial" w:eastAsia="Arial" w:hAnsi="Arial"/>
                <w:sz w:val="15"/>
                <w:szCs w:val="15"/>
                <w:b w:val="1"/>
                <w:bCs w:val="1"/>
                <w:color w:val="auto"/>
              </w:rPr>
              <w:t>2. Date Exercisable and</w:t>
            </w:r>
          </w:p>
        </w:tc>
        <w:tc>
          <w:tcPr>
            <w:tcW w:w="2620" w:type="dxa"/>
            <w:vAlign w:val="bottom"/>
            <w:gridSpan w:val="3"/>
          </w:tcPr>
          <w:p>
            <w:pPr>
              <w:ind w:left="80"/>
              <w:spacing w:after="0"/>
              <w:rPr>
                <w:sz w:val="20"/>
                <w:szCs w:val="20"/>
                <w:color w:val="auto"/>
              </w:rPr>
            </w:pPr>
            <w:r>
              <w:rPr>
                <w:rFonts w:ascii="Arial" w:cs="Arial" w:eastAsia="Arial" w:hAnsi="Arial"/>
                <w:sz w:val="15"/>
                <w:szCs w:val="15"/>
                <w:b w:val="1"/>
                <w:bCs w:val="1"/>
                <w:color w:val="auto"/>
              </w:rPr>
              <w:t>3. Title and Amount of Securities</w:t>
            </w:r>
          </w:p>
        </w:tc>
        <w:tc>
          <w:tcPr>
            <w:tcW w:w="940" w:type="dxa"/>
            <w:vAlign w:val="bottom"/>
          </w:tcPr>
          <w:p>
            <w:pPr>
              <w:ind w:left="2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480" w:type="dxa"/>
            <w:vAlign w:val="bottom"/>
            <w:gridSpan w:val="2"/>
          </w:tcPr>
          <w:p>
            <w:pPr>
              <w:ind w:left="6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6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Expiration Date</w:t>
            </w:r>
          </w:p>
        </w:tc>
        <w:tc>
          <w:tcPr>
            <w:tcW w:w="2620" w:type="dxa"/>
            <w:vAlign w:val="bottom"/>
            <w:gridSpan w:val="3"/>
          </w:tcPr>
          <w:p>
            <w:pPr>
              <w:ind w:left="8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48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6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(Month/Day/Year)</w:t>
            </w:r>
          </w:p>
        </w:tc>
        <w:tc>
          <w:tcPr>
            <w:tcW w:w="176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(Instr. 4)</w:t>
            </w:r>
          </w:p>
        </w:tc>
        <w:tc>
          <w:tcPr>
            <w:tcW w:w="8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48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320" w:type="dxa"/>
            <w:vAlign w:val="bottom"/>
          </w:tcPr>
          <w:p>
            <w:pPr>
              <w:spacing w:after="0"/>
              <w:rPr>
                <w:sz w:val="7"/>
                <w:szCs w:val="7"/>
                <w:color w:val="auto"/>
              </w:rPr>
            </w:pPr>
          </w:p>
        </w:tc>
        <w:tc>
          <w:tcPr>
            <w:tcW w:w="1040" w:type="dxa"/>
            <w:vAlign w:val="bottom"/>
            <w:tcBorders>
              <w:bottom w:val="single" w:sz="8" w:color="2C2C2C"/>
            </w:tcBorders>
          </w:tcPr>
          <w:p>
            <w:pPr>
              <w:spacing w:after="0"/>
              <w:rPr>
                <w:sz w:val="7"/>
                <w:szCs w:val="7"/>
                <w:color w:val="auto"/>
              </w:rPr>
            </w:pPr>
          </w:p>
        </w:tc>
        <w:tc>
          <w:tcPr>
            <w:tcW w:w="820" w:type="dxa"/>
            <w:vAlign w:val="bottom"/>
            <w:tcBorders>
              <w:bottom w:val="single" w:sz="8" w:color="2C2C2C"/>
            </w:tcBorders>
          </w:tcPr>
          <w:p>
            <w:pPr>
              <w:spacing w:after="0"/>
              <w:rPr>
                <w:sz w:val="7"/>
                <w:szCs w:val="7"/>
                <w:color w:val="auto"/>
              </w:rPr>
            </w:pPr>
          </w:p>
        </w:tc>
        <w:tc>
          <w:tcPr>
            <w:tcW w:w="1760" w:type="dxa"/>
            <w:vAlign w:val="bottom"/>
            <w:tcBorders>
              <w:bottom w:val="single" w:sz="8" w:color="2C2C2C"/>
            </w:tcBorders>
          </w:tcPr>
          <w:p>
            <w:pPr>
              <w:spacing w:after="0"/>
              <w:rPr>
                <w:sz w:val="7"/>
                <w:szCs w:val="7"/>
                <w:color w:val="auto"/>
              </w:rPr>
            </w:pPr>
          </w:p>
        </w:tc>
        <w:tc>
          <w:tcPr>
            <w:tcW w:w="820" w:type="dxa"/>
            <w:vAlign w:val="bottom"/>
            <w:tcBorders>
              <w:bottom w:val="single" w:sz="8" w:color="2C2C2C"/>
            </w:tcBorders>
          </w:tcPr>
          <w:p>
            <w:pPr>
              <w:spacing w:after="0"/>
              <w:rPr>
                <w:sz w:val="7"/>
                <w:szCs w:val="7"/>
                <w:color w:val="auto"/>
              </w:rPr>
            </w:pPr>
          </w:p>
        </w:tc>
        <w:tc>
          <w:tcPr>
            <w:tcW w:w="40" w:type="dxa"/>
            <w:vAlign w:val="bottom"/>
          </w:tcPr>
          <w:p>
            <w:pPr>
              <w:spacing w:after="0"/>
              <w:rPr>
                <w:sz w:val="7"/>
                <w:szCs w:val="7"/>
                <w:color w:val="auto"/>
              </w:rPr>
            </w:pPr>
          </w:p>
        </w:tc>
        <w:tc>
          <w:tcPr>
            <w:tcW w:w="940" w:type="dxa"/>
            <w:vAlign w:val="bottom"/>
            <w:vMerge w:val="restart"/>
          </w:tcPr>
          <w:p>
            <w:pPr>
              <w:ind w:left="2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60" w:type="dxa"/>
            <w:vAlign w:val="bottom"/>
            <w:vMerge w:val="restart"/>
          </w:tcPr>
          <w:p>
            <w:pPr>
              <w:ind w:left="6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2760" w:type="dxa"/>
            <w:vAlign w:val="bottom"/>
          </w:tcPr>
          <w:p>
            <w:pPr>
              <w:spacing w:after="0"/>
              <w:rPr>
                <w:sz w:val="5"/>
                <w:szCs w:val="5"/>
                <w:color w:val="auto"/>
              </w:rPr>
            </w:pPr>
          </w:p>
        </w:tc>
        <w:tc>
          <w:tcPr>
            <w:tcW w:w="320" w:type="dxa"/>
            <w:vAlign w:val="bottom"/>
          </w:tcPr>
          <w:p>
            <w:pPr>
              <w:spacing w:after="0"/>
              <w:rPr>
                <w:sz w:val="5"/>
                <w:szCs w:val="5"/>
                <w:color w:val="auto"/>
              </w:rPr>
            </w:pPr>
          </w:p>
        </w:tc>
        <w:tc>
          <w:tcPr>
            <w:tcW w:w="10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760" w:type="dxa"/>
            <w:vAlign w:val="bottom"/>
          </w:tcPr>
          <w:p>
            <w:pPr>
              <w:spacing w:after="0"/>
              <w:rPr>
                <w:sz w:val="5"/>
                <w:szCs w:val="5"/>
                <w:color w:val="auto"/>
              </w:rPr>
            </w:pPr>
          </w:p>
        </w:tc>
        <w:tc>
          <w:tcPr>
            <w:tcW w:w="860" w:type="dxa"/>
            <w:vAlign w:val="bottom"/>
            <w:gridSpan w:val="2"/>
            <w:vMerge w:val="restart"/>
          </w:tcPr>
          <w:p>
            <w:pPr>
              <w:ind w:left="160"/>
              <w:spacing w:after="0"/>
              <w:rPr>
                <w:sz w:val="20"/>
                <w:szCs w:val="20"/>
                <w:color w:val="auto"/>
              </w:rPr>
            </w:pPr>
            <w:r>
              <w:rPr>
                <w:rFonts w:ascii="Arial" w:cs="Arial" w:eastAsia="Arial" w:hAnsi="Arial"/>
                <w:sz w:val="15"/>
                <w:szCs w:val="15"/>
                <w:b w:val="1"/>
                <w:bCs w:val="1"/>
                <w:color w:val="auto"/>
              </w:rPr>
              <w:t>Amount</w:t>
            </w:r>
          </w:p>
        </w:tc>
        <w:tc>
          <w:tcPr>
            <w:tcW w:w="94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146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860" w:type="dxa"/>
            <w:vAlign w:val="bottom"/>
            <w:gridSpan w:val="2"/>
            <w:vMerge w:val="continue"/>
          </w:tcPr>
          <w:p>
            <w:pPr>
              <w:spacing w:after="0"/>
              <w:rPr>
                <w:sz w:val="13"/>
                <w:szCs w:val="13"/>
                <w:color w:val="auto"/>
              </w:rPr>
            </w:pPr>
          </w:p>
        </w:tc>
        <w:tc>
          <w:tcPr>
            <w:tcW w:w="940" w:type="dxa"/>
            <w:vAlign w:val="bottom"/>
          </w:tcPr>
          <w:p>
            <w:pPr>
              <w:ind w:left="2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860" w:type="dxa"/>
            <w:vAlign w:val="bottom"/>
            <w:gridSpan w:val="2"/>
          </w:tcPr>
          <w:p>
            <w:pPr>
              <w:ind w:left="160"/>
              <w:spacing w:after="0" w:line="165" w:lineRule="exact"/>
              <w:rPr>
                <w:sz w:val="20"/>
                <w:szCs w:val="20"/>
                <w:color w:val="auto"/>
              </w:rPr>
            </w:pPr>
            <w:r>
              <w:rPr>
                <w:rFonts w:ascii="Arial" w:cs="Arial" w:eastAsia="Arial" w:hAnsi="Arial"/>
                <w:sz w:val="15"/>
                <w:szCs w:val="15"/>
                <w:b w:val="1"/>
                <w:bCs w:val="1"/>
                <w:color w:val="auto"/>
              </w:rPr>
              <w:t>or</w:t>
            </w:r>
          </w:p>
        </w:tc>
        <w:tc>
          <w:tcPr>
            <w:tcW w:w="9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860" w:type="dxa"/>
            <w:vAlign w:val="bottom"/>
            <w:gridSpan w:val="2"/>
          </w:tcPr>
          <w:p>
            <w:pPr>
              <w:ind w:left="160"/>
              <w:spacing w:after="0" w:line="165" w:lineRule="exact"/>
              <w:rPr>
                <w:sz w:val="20"/>
                <w:szCs w:val="20"/>
                <w:color w:val="auto"/>
              </w:rPr>
            </w:pPr>
            <w:r>
              <w:rPr>
                <w:rFonts w:ascii="Arial" w:cs="Arial" w:eastAsia="Arial" w:hAnsi="Arial"/>
                <w:sz w:val="15"/>
                <w:szCs w:val="15"/>
                <w:b w:val="1"/>
                <w:bCs w:val="1"/>
                <w:color w:val="auto"/>
              </w:rPr>
              <w:t>Number</w:t>
            </w:r>
          </w:p>
        </w:tc>
        <w:tc>
          <w:tcPr>
            <w:tcW w:w="9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Date</w:t>
            </w:r>
          </w:p>
        </w:tc>
        <w:tc>
          <w:tcPr>
            <w:tcW w:w="82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Expiration</w:t>
            </w:r>
          </w:p>
        </w:tc>
        <w:tc>
          <w:tcPr>
            <w:tcW w:w="1760" w:type="dxa"/>
            <w:vAlign w:val="bottom"/>
          </w:tcPr>
          <w:p>
            <w:pPr>
              <w:spacing w:after="0"/>
              <w:rPr>
                <w:sz w:val="14"/>
                <w:szCs w:val="14"/>
                <w:color w:val="auto"/>
              </w:rPr>
            </w:pPr>
          </w:p>
        </w:tc>
        <w:tc>
          <w:tcPr>
            <w:tcW w:w="860" w:type="dxa"/>
            <w:vAlign w:val="bottom"/>
            <w:gridSpan w:val="2"/>
          </w:tcPr>
          <w:p>
            <w:pPr>
              <w:ind w:left="160"/>
              <w:spacing w:after="0" w:line="165" w:lineRule="exact"/>
              <w:rPr>
                <w:sz w:val="20"/>
                <w:szCs w:val="20"/>
                <w:color w:val="auto"/>
              </w:rPr>
            </w:pPr>
            <w:r>
              <w:rPr>
                <w:rFonts w:ascii="Arial" w:cs="Arial" w:eastAsia="Arial" w:hAnsi="Arial"/>
                <w:sz w:val="15"/>
                <w:szCs w:val="15"/>
                <w:b w:val="1"/>
                <w:bCs w:val="1"/>
                <w:color w:val="auto"/>
              </w:rPr>
              <w:t>of</w:t>
            </w:r>
          </w:p>
        </w:tc>
        <w:tc>
          <w:tcPr>
            <w:tcW w:w="9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ind w:left="60"/>
              <w:spacing w:after="0"/>
              <w:rPr>
                <w:sz w:val="20"/>
                <w:szCs w:val="20"/>
                <w:color w:val="auto"/>
              </w:rPr>
            </w:pPr>
            <w:r>
              <w:rPr>
                <w:rFonts w:ascii="Arial" w:cs="Arial" w:eastAsia="Arial" w:hAnsi="Arial"/>
                <w:sz w:val="15"/>
                <w:szCs w:val="15"/>
                <w:b w:val="1"/>
                <w:bCs w:val="1"/>
                <w:color w:val="auto"/>
              </w:rPr>
              <w:t>Exercisable</w:t>
            </w:r>
          </w:p>
        </w:tc>
        <w:tc>
          <w:tcPr>
            <w:tcW w:w="820" w:type="dxa"/>
            <w:vAlign w:val="bottom"/>
          </w:tcPr>
          <w:p>
            <w:pPr>
              <w:ind w:left="20"/>
              <w:spacing w:after="0"/>
              <w:rPr>
                <w:sz w:val="20"/>
                <w:szCs w:val="20"/>
                <w:color w:val="auto"/>
              </w:rPr>
            </w:pPr>
            <w:r>
              <w:rPr>
                <w:rFonts w:ascii="Arial" w:cs="Arial" w:eastAsia="Arial" w:hAnsi="Arial"/>
                <w:sz w:val="15"/>
                <w:szCs w:val="15"/>
                <w:b w:val="1"/>
                <w:bCs w:val="1"/>
                <w:color w:val="auto"/>
              </w:rPr>
              <w:t>Date</w:t>
            </w:r>
          </w:p>
        </w:tc>
        <w:tc>
          <w:tcPr>
            <w:tcW w:w="1760" w:type="dxa"/>
            <w:vAlign w:val="bottom"/>
          </w:tcPr>
          <w:p>
            <w:pPr>
              <w:ind w:left="80"/>
              <w:spacing w:after="0"/>
              <w:rPr>
                <w:sz w:val="20"/>
                <w:szCs w:val="20"/>
                <w:color w:val="auto"/>
              </w:rPr>
            </w:pPr>
            <w:r>
              <w:rPr>
                <w:rFonts w:ascii="Arial" w:cs="Arial" w:eastAsia="Arial" w:hAnsi="Arial"/>
                <w:sz w:val="15"/>
                <w:szCs w:val="15"/>
                <w:b w:val="1"/>
                <w:bCs w:val="1"/>
                <w:color w:val="auto"/>
              </w:rPr>
              <w:t>Title</w:t>
            </w:r>
          </w:p>
        </w:tc>
        <w:tc>
          <w:tcPr>
            <w:tcW w:w="860" w:type="dxa"/>
            <w:vAlign w:val="bottom"/>
            <w:gridSpan w:val="2"/>
          </w:tcPr>
          <w:p>
            <w:pPr>
              <w:ind w:left="160"/>
              <w:spacing w:after="0"/>
              <w:rPr>
                <w:sz w:val="20"/>
                <w:szCs w:val="20"/>
                <w:color w:val="auto"/>
              </w:rPr>
            </w:pPr>
            <w:r>
              <w:rPr>
                <w:rFonts w:ascii="Arial" w:cs="Arial" w:eastAsia="Arial" w:hAnsi="Arial"/>
                <w:sz w:val="15"/>
                <w:szCs w:val="15"/>
                <w:b w:val="1"/>
                <w:bCs w:val="1"/>
                <w:color w:val="auto"/>
              </w:rPr>
              <w:t>Shares</w:t>
            </w:r>
          </w:p>
        </w:tc>
        <w:tc>
          <w:tcPr>
            <w:tcW w:w="9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7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760" w:type="dxa"/>
            <w:vAlign w:val="bottom"/>
          </w:tcPr>
          <w:p>
            <w:pPr>
              <w:ind w:left="260"/>
              <w:spacing w:after="0"/>
              <w:rPr>
                <w:sz w:val="20"/>
                <w:szCs w:val="20"/>
                <w:color w:val="auto"/>
              </w:rPr>
            </w:pPr>
            <w:r>
              <w:rPr>
                <w:rFonts w:ascii="Times New Roman" w:cs="Times New Roman" w:eastAsia="Times New Roman" w:hAnsi="Times New Roman"/>
                <w:sz w:val="20"/>
                <w:szCs w:val="20"/>
                <w:color w:val="0000FF"/>
              </w:rPr>
              <w:t>Class A ordinary</w:t>
            </w: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2760" w:type="dxa"/>
            <w:vAlign w:val="bottom"/>
          </w:tcPr>
          <w:p>
            <w:pPr>
              <w:ind w:left="80"/>
              <w:spacing w:after="0" w:line="240" w:lineRule="exact"/>
              <w:rPr>
                <w:sz w:val="20"/>
                <w:szCs w:val="20"/>
                <w:color w:val="auto"/>
              </w:rPr>
            </w:pPr>
            <w:r>
              <w:rPr>
                <w:rFonts w:ascii="Times New Roman" w:cs="Times New Roman" w:eastAsia="Times New Roman" w:hAnsi="Times New Roman"/>
                <w:sz w:val="20"/>
                <w:szCs w:val="20"/>
                <w:color w:val="0000FF"/>
              </w:rPr>
              <w:t>Restricted Stock Units</w:t>
            </w:r>
            <w:r>
              <w:rPr>
                <w:rFonts w:ascii="Times New Roman" w:cs="Times New Roman" w:eastAsia="Times New Roman" w:hAnsi="Times New Roman"/>
                <w:sz w:val="25"/>
                <w:szCs w:val="25"/>
                <w:color w:val="008000"/>
                <w:vertAlign w:val="superscript"/>
              </w:rPr>
              <w:t>(1)</w:t>
            </w:r>
          </w:p>
        </w:tc>
        <w:tc>
          <w:tcPr>
            <w:tcW w:w="1360" w:type="dxa"/>
            <w:vAlign w:val="bottom"/>
            <w:gridSpan w:val="2"/>
          </w:tcPr>
          <w:p>
            <w:pPr>
              <w:jc w:val="right"/>
              <w:ind w:right="141"/>
              <w:spacing w:after="0"/>
              <w:rPr>
                <w:sz w:val="20"/>
                <w:szCs w:val="20"/>
                <w:color w:val="auto"/>
              </w:rPr>
            </w:pPr>
            <w:r>
              <w:rPr>
                <w:rFonts w:ascii="Times New Roman" w:cs="Times New Roman" w:eastAsia="Times New Roman" w:hAnsi="Times New Roman"/>
                <w:sz w:val="15"/>
                <w:szCs w:val="15"/>
                <w:color w:val="0000FF"/>
              </w:rPr>
              <w:t>06/24/2026</w:t>
            </w:r>
          </w:p>
        </w:tc>
        <w:tc>
          <w:tcPr>
            <w:tcW w:w="820" w:type="dxa"/>
            <w:vAlign w:val="bottom"/>
          </w:tcPr>
          <w:p>
            <w:pPr>
              <w:jc w:val="right"/>
              <w:ind w:right="25"/>
              <w:spacing w:after="0"/>
              <w:rPr>
                <w:sz w:val="20"/>
                <w:szCs w:val="20"/>
                <w:color w:val="auto"/>
              </w:rPr>
            </w:pPr>
            <w:r>
              <w:rPr>
                <w:rFonts w:ascii="Times New Roman" w:cs="Times New Roman" w:eastAsia="Times New Roman" w:hAnsi="Times New Roman"/>
                <w:sz w:val="15"/>
                <w:szCs w:val="15"/>
                <w:color w:val="0000FF"/>
              </w:rPr>
              <w:t>06/24/2034</w:t>
            </w:r>
          </w:p>
        </w:tc>
        <w:tc>
          <w:tcPr>
            <w:tcW w:w="1760" w:type="dxa"/>
            <w:vAlign w:val="bottom"/>
          </w:tcPr>
          <w:p>
            <w:pPr>
              <w:ind w:left="280"/>
              <w:spacing w:after="0"/>
              <w:rPr>
                <w:sz w:val="20"/>
                <w:szCs w:val="20"/>
                <w:color w:val="auto"/>
              </w:rPr>
            </w:pPr>
            <w:r>
              <w:rPr>
                <w:rFonts w:ascii="Times New Roman" w:cs="Times New Roman" w:eastAsia="Times New Roman" w:hAnsi="Times New Roman"/>
                <w:sz w:val="20"/>
                <w:szCs w:val="20"/>
                <w:color w:val="0000FF"/>
              </w:rPr>
              <w:t>shares, par value</w:t>
            </w:r>
          </w:p>
        </w:tc>
        <w:tc>
          <w:tcPr>
            <w:tcW w:w="820" w:type="dxa"/>
            <w:vAlign w:val="bottom"/>
          </w:tcPr>
          <w:p>
            <w:pPr>
              <w:ind w:left="240"/>
              <w:spacing w:after="0"/>
              <w:rPr>
                <w:sz w:val="20"/>
                <w:szCs w:val="20"/>
                <w:color w:val="auto"/>
              </w:rPr>
            </w:pPr>
            <w:r>
              <w:rPr>
                <w:rFonts w:ascii="Times New Roman" w:cs="Times New Roman" w:eastAsia="Times New Roman" w:hAnsi="Times New Roman"/>
                <w:sz w:val="20"/>
                <w:szCs w:val="20"/>
                <w:color w:val="0000FF"/>
              </w:rPr>
              <w:t>3,000</w:t>
            </w:r>
          </w:p>
        </w:tc>
        <w:tc>
          <w:tcPr>
            <w:tcW w:w="40" w:type="dxa"/>
            <w:vAlign w:val="bottom"/>
          </w:tcPr>
          <w:p>
            <w:pPr>
              <w:spacing w:after="0"/>
              <w:rPr>
                <w:sz w:val="20"/>
                <w:szCs w:val="20"/>
                <w:color w:val="auto"/>
              </w:rPr>
            </w:pPr>
          </w:p>
        </w:tc>
        <w:tc>
          <w:tcPr>
            <w:tcW w:w="940" w:type="dxa"/>
            <w:vAlign w:val="bottom"/>
          </w:tcPr>
          <w:p>
            <w:pPr>
              <w:ind w:left="400"/>
              <w:spacing w:after="0"/>
              <w:rPr>
                <w:sz w:val="20"/>
                <w:szCs w:val="20"/>
                <w:color w:val="auto"/>
              </w:rPr>
            </w:pPr>
            <w:r>
              <w:rPr>
                <w:rFonts w:ascii="Times New Roman" w:cs="Times New Roman" w:eastAsia="Times New Roman" w:hAnsi="Times New Roman"/>
                <w:sz w:val="20"/>
                <w:szCs w:val="20"/>
                <w:color w:val="0000FF"/>
              </w:rPr>
              <w:t>0</w:t>
            </w:r>
          </w:p>
        </w:tc>
        <w:tc>
          <w:tcPr>
            <w:tcW w:w="940" w:type="dxa"/>
            <w:vAlign w:val="bottom"/>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4"/>
        </w:trPr>
        <w:tc>
          <w:tcPr>
            <w:tcW w:w="20" w:type="dxa"/>
            <w:vAlign w:val="bottom"/>
          </w:tcPr>
          <w:p>
            <w:pPr>
              <w:spacing w:after="0"/>
              <w:rPr>
                <w:sz w:val="22"/>
                <w:szCs w:val="22"/>
                <w:color w:val="auto"/>
              </w:rPr>
            </w:pPr>
          </w:p>
        </w:tc>
        <w:tc>
          <w:tcPr>
            <w:tcW w:w="27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760" w:type="dxa"/>
            <w:vAlign w:val="bottom"/>
          </w:tcPr>
          <w:p>
            <w:pPr>
              <w:ind w:left="280"/>
              <w:spacing w:after="0"/>
              <w:rPr>
                <w:sz w:val="20"/>
                <w:szCs w:val="20"/>
                <w:color w:val="auto"/>
              </w:rPr>
            </w:pPr>
            <w:r>
              <w:rPr>
                <w:rFonts w:ascii="Times New Roman" w:cs="Times New Roman" w:eastAsia="Times New Roman" w:hAnsi="Times New Roman"/>
                <w:sz w:val="20"/>
                <w:szCs w:val="20"/>
                <w:color w:val="0000FF"/>
              </w:rPr>
              <w:t>$0.001 per share</w:t>
            </w:r>
          </w:p>
        </w:tc>
        <w:tc>
          <w:tcPr>
            <w:tcW w:w="8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122"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3" w:lineRule="exact"/>
        <w:rPr>
          <w:sz w:val="24"/>
          <w:szCs w:val="24"/>
          <w:color w:val="auto"/>
        </w:rPr>
      </w:pPr>
    </w:p>
    <w:p>
      <w:pPr>
        <w:ind w:left="40" w:right="100" w:firstLine="5"/>
        <w:spacing w:after="0" w:line="259" w:lineRule="auto"/>
        <w:tabs>
          <w:tab w:leader="none" w:pos="19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 restricted stock units represent the right to receive an aggregate of 3,000 Class A ordinary shares, reflecting the unvested portion of the original grant, and vest in three equal annual installments of 1,000 Class A ordinary shares on June 24, 2026, June 24, 2027 and June 24, 2028 pursuant to the Issuer's Post-IPO Share Incentive Plan.</w:t>
      </w:r>
    </w:p>
    <w:p>
      <w:pPr>
        <w:spacing w:after="0" w:line="16"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5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5"/>
          <w:szCs w:val="15"/>
          <w:color w:val="008000"/>
        </w:rPr>
        <w:t>Exhibit 24 - Power of Attorney</w:t>
      </w:r>
    </w:p>
    <w:p>
      <w:pPr>
        <w:spacing w:after="0" w:line="62"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1860" w:type="dxa"/>
            <w:vAlign w:val="bottom"/>
          </w:tcPr>
          <w:p>
            <w:pPr>
              <w:spacing w:after="0"/>
              <w:rPr>
                <w:sz w:val="20"/>
                <w:szCs w:val="20"/>
                <w:color w:val="auto"/>
              </w:rPr>
            </w:pPr>
            <w:r>
              <w:rPr>
                <w:rFonts w:ascii="Times New Roman" w:cs="Times New Roman" w:eastAsia="Times New Roman" w:hAnsi="Times New Roman"/>
                <w:sz w:val="20"/>
                <w:szCs w:val="20"/>
                <w:color w:val="0000FF"/>
                <w:w w:val="94"/>
              </w:rPr>
              <w:t>/s/ Wing Wai Winson Ip</w:t>
            </w:r>
          </w:p>
        </w:tc>
        <w:tc>
          <w:tcPr>
            <w:tcW w:w="1220" w:type="dxa"/>
            <w:vAlign w:val="bottom"/>
            <w:gridSpan w:val="2"/>
          </w:tcPr>
          <w:p>
            <w:pPr>
              <w:ind w:left="320"/>
              <w:spacing w:after="0"/>
              <w:rPr>
                <w:sz w:val="20"/>
                <w:szCs w:val="20"/>
                <w:color w:val="auto"/>
              </w:rPr>
            </w:pPr>
            <w:r>
              <w:rPr>
                <w:rFonts w:ascii="Times New Roman" w:cs="Times New Roman" w:eastAsia="Times New Roman" w:hAnsi="Times New Roman"/>
                <w:sz w:val="20"/>
                <w:szCs w:val="20"/>
                <w:color w:val="0000FF"/>
                <w:w w:val="96"/>
              </w:rPr>
              <w:t>03/18/2026</w:t>
            </w:r>
          </w:p>
        </w:tc>
        <w:tc>
          <w:tcPr>
            <w:tcW w:w="0" w:type="dxa"/>
            <w:vAlign w:val="bottom"/>
          </w:tcPr>
          <w:p>
            <w:pPr>
              <w:spacing w:after="0"/>
              <w:rPr>
                <w:sz w:val="1"/>
                <w:szCs w:val="1"/>
                <w:color w:val="auto"/>
              </w:rPr>
            </w:pPr>
          </w:p>
        </w:tc>
      </w:tr>
      <w:tr>
        <w:trPr>
          <w:trHeight w:val="235"/>
        </w:trPr>
        <w:tc>
          <w:tcPr>
            <w:tcW w:w="6540" w:type="dxa"/>
            <w:vAlign w:val="bottom"/>
          </w:tcPr>
          <w:p>
            <w:pPr>
              <w:spacing w:after="0"/>
              <w:rPr>
                <w:sz w:val="20"/>
                <w:szCs w:val="20"/>
                <w:color w:val="auto"/>
              </w:rPr>
            </w:pPr>
          </w:p>
        </w:tc>
        <w:tc>
          <w:tcPr>
            <w:tcW w:w="1860" w:type="dxa"/>
            <w:vAlign w:val="bottom"/>
            <w:tcBorders>
              <w:top w:val="single" w:sz="8" w:color="auto"/>
            </w:tcBorders>
          </w:tcPr>
          <w:p>
            <w:pPr>
              <w:spacing w:after="0"/>
              <w:rPr>
                <w:sz w:val="20"/>
                <w:szCs w:val="20"/>
                <w:color w:val="auto"/>
              </w:rPr>
            </w:pPr>
            <w:r>
              <w:rPr>
                <w:rFonts w:ascii="Arial" w:cs="Arial" w:eastAsia="Arial" w:hAnsi="Arial"/>
                <w:sz w:val="15"/>
                <w:szCs w:val="15"/>
                <w:color w:val="auto"/>
              </w:rPr>
              <w:t>** Signature of Reporting</w:t>
            </w:r>
          </w:p>
        </w:tc>
        <w:tc>
          <w:tcPr>
            <w:tcW w:w="320" w:type="dxa"/>
            <w:vAlign w:val="bottom"/>
          </w:tcPr>
          <w:p>
            <w:pPr>
              <w:spacing w:after="0"/>
              <w:rPr>
                <w:sz w:val="20"/>
                <w:szCs w:val="20"/>
                <w:color w:val="auto"/>
              </w:rPr>
            </w:pPr>
          </w:p>
        </w:tc>
        <w:tc>
          <w:tcPr>
            <w:tcW w:w="900" w:type="dxa"/>
            <w:vAlign w:val="bottom"/>
            <w:tcBorders>
              <w:top w:val="single" w:sz="8" w:color="auto"/>
            </w:tcBorders>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1860" w:type="dxa"/>
            <w:vAlign w:val="bottom"/>
            <w:vMerge w:val="restart"/>
          </w:tcPr>
          <w:p>
            <w:pPr>
              <w:spacing w:after="0"/>
              <w:rPr>
                <w:sz w:val="20"/>
                <w:szCs w:val="20"/>
                <w:color w:val="auto"/>
              </w:rPr>
            </w:pPr>
            <w:r>
              <w:rPr>
                <w:rFonts w:ascii="Arial" w:cs="Arial" w:eastAsia="Arial" w:hAnsi="Arial"/>
                <w:sz w:val="15"/>
                <w:szCs w:val="15"/>
                <w:color w:val="auto"/>
              </w:rPr>
              <w:t>Person</w:t>
            </w:r>
          </w:p>
        </w:tc>
        <w:tc>
          <w:tcPr>
            <w:tcW w:w="320" w:type="dxa"/>
            <w:vAlign w:val="bottom"/>
          </w:tcPr>
          <w:p>
            <w:pPr>
              <w:spacing w:after="0"/>
              <w:rPr>
                <w:sz w:val="9"/>
                <w:szCs w:val="9"/>
                <w:color w:val="auto"/>
              </w:rPr>
            </w:pP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1860" w:type="dxa"/>
            <w:vAlign w:val="bottom"/>
            <w:vMerge w:val="continue"/>
          </w:tcPr>
          <w:p>
            <w:pPr>
              <w:spacing w:after="0"/>
              <w:rPr>
                <w:sz w:val="7"/>
                <w:szCs w:val="7"/>
                <w:color w:val="auto"/>
              </w:rPr>
            </w:pPr>
          </w:p>
        </w:tc>
        <w:tc>
          <w:tcPr>
            <w:tcW w:w="320" w:type="dxa"/>
            <w:vAlign w:val="bottom"/>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400" w:type="dxa"/>
            <w:vAlign w:val="bottom"/>
            <w:gridSpan w:val="2"/>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3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400" w:type="dxa"/>
            <w:vAlign w:val="bottom"/>
            <w:gridSpan w:val="2"/>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3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4"/>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1440" w:gutter="0" w:footer="0" w:header="0"/>
          <w:type w:val="continuous"/>
        </w:sectPr>
      </w:pPr>
    </w:p>
    <w:bookmarkStart w:id="1" w:name="page2"/>
    <w:bookmarkEnd w:id="1"/>
    <w:p>
      <w:pPr>
        <w:jc w:val="right"/>
        <w:spacing w:after="0"/>
        <w:rPr>
          <w:sz w:val="20"/>
          <w:szCs w:val="20"/>
          <w:color w:val="auto"/>
        </w:rPr>
      </w:pPr>
      <w:r>
        <w:rPr>
          <w:rFonts w:ascii="Times New Roman" w:cs="Times New Roman" w:eastAsia="Times New Roman" w:hAnsi="Times New Roman"/>
          <w:sz w:val="24"/>
          <w:szCs w:val="24"/>
          <w:b w:val="1"/>
          <w:bCs w:val="1"/>
          <w:color w:val="auto"/>
        </w:rPr>
        <w:t>Exhibit 24</w:t>
      </w: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POWER OF ATTORNEY</w:t>
      </w:r>
    </w:p>
    <w:p>
      <w:pPr>
        <w:spacing w:after="0" w:line="24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 xml:space="preserve">Know all by these presents that the undersigned, does hereby make, constitute and appoint each of </w:t>
      </w:r>
      <w:r>
        <w:rPr>
          <w:rFonts w:ascii="Times New Roman" w:cs="Times New Roman" w:eastAsia="Times New Roman" w:hAnsi="Times New Roman"/>
          <w:sz w:val="20"/>
          <w:szCs w:val="20"/>
          <w:b w:val="1"/>
          <w:bCs w:val="1"/>
          <w:color w:val="auto"/>
        </w:rPr>
        <w:t>Binlin Cai</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b w:val="1"/>
          <w:bCs w:val="1"/>
          <w:color w:val="auto"/>
        </w:rPr>
        <w:t>Hoi Ying Chau,</w:t>
      </w:r>
      <w:r>
        <w:rPr>
          <w:rFonts w:ascii="Times New Roman" w:cs="Times New Roman" w:eastAsia="Times New Roman" w:hAnsi="Times New Roman"/>
          <w:sz w:val="20"/>
          <w:szCs w:val="20"/>
          <w:color w:val="auto"/>
        </w:rPr>
        <w:t xml:space="preserve"> or any one of them, as a true and lawful attorney-in-fact of the undersigned with full powers of substitution and revocation, for and in the name, place and stead of the undersigned (in the undersigned’s individual capacity), to execute and deliver such forms that the undersigned may be required to file with the U.S. Securities and Exchange Commission as a result of the undersigned’s ownership of or transactions in securities of Amber International Holding Limited (the “Company”) (i) pursuant to Section 16(a) of the Securities Exchange Act of 1934, as amended, including without limitation, statements on Form 3, Form 4, Form 5 (including any amendments thereto), and (ii) pursuant to Rule 144 under the Securities Act of 1933, as amended, including without limitation notices on Form 144 (including any amendments thereto). The Power of Attorney shall remain in full force and effect until the undersigned is no longer required to file Forms 3, 4, 5 or 144 with regard to their ownership of or transactions in securities of the Company, unless earlier revoked in writing. The undersigned acknowledges that </w:t>
      </w:r>
      <w:r>
        <w:rPr>
          <w:rFonts w:ascii="Times New Roman" w:cs="Times New Roman" w:eastAsia="Times New Roman" w:hAnsi="Times New Roman"/>
          <w:sz w:val="20"/>
          <w:szCs w:val="20"/>
          <w:b w:val="1"/>
          <w:bCs w:val="1"/>
          <w:color w:val="auto"/>
        </w:rPr>
        <w:t>Binlin Cai</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b w:val="1"/>
          <w:bCs w:val="1"/>
          <w:color w:val="auto"/>
        </w:rPr>
        <w:t>Hoi Ying Chau,</w:t>
      </w:r>
      <w:r>
        <w:rPr>
          <w:rFonts w:ascii="Times New Roman" w:cs="Times New Roman" w:eastAsia="Times New Roman" w:hAnsi="Times New Roman"/>
          <w:sz w:val="20"/>
          <w:szCs w:val="20"/>
          <w:color w:val="auto"/>
        </w:rPr>
        <w:t xml:space="preserve"> are not assuming any of the undersigned’s responsibilities to comply with Section 16 of the Securities Exchange Act of 1934, as amended, or Rule 144 under the Securities Act of 1933, as amended.</w:t>
      </w:r>
    </w:p>
    <w:p>
      <w:pPr>
        <w:spacing w:after="0" w:line="216"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20"/>
          <w:szCs w:val="20"/>
          <w:color w:val="auto"/>
        </w:rPr>
        <w:t>By: /s/ Wing Wai Winson Ip</w:t>
      </w:r>
    </w:p>
    <w:p>
      <w:pPr>
        <w:spacing w:after="0" w:line="30"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20"/>
          <w:szCs w:val="20"/>
          <w:color w:val="auto"/>
        </w:rPr>
        <w:t>Name: Wing Wai Winson 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3688080</wp:posOffset>
            </wp:positionH>
            <wp:positionV relativeFrom="paragraph">
              <wp:posOffset>-145415</wp:posOffset>
            </wp:positionV>
            <wp:extent cx="3258820" cy="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3258820" cy="9525"/>
                    </a:xfrm>
                    <a:prstGeom prst="rect">
                      <a:avLst/>
                    </a:prstGeom>
                    <a:noFill/>
                  </pic:spPr>
                </pic:pic>
              </a:graphicData>
            </a:graphic>
          </wp:anchor>
        </w:drawing>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Date: 02/13/2026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352425</wp:posOffset>
            </wp:positionH>
            <wp:positionV relativeFrom="paragraph">
              <wp:posOffset>19050</wp:posOffset>
            </wp:positionV>
            <wp:extent cx="3058795" cy="9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3058795" cy="952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524510</wp:posOffset>
            </wp:positionV>
            <wp:extent cx="6946900" cy="95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6946900" cy="9525"/>
                    </a:xfrm>
                    <a:prstGeom prst="rect">
                      <a:avLst/>
                    </a:prstGeom>
                    <a:noFill/>
                  </pic:spPr>
                </pic:pic>
              </a:graphicData>
            </a:graphic>
          </wp:anchor>
        </w:drawing>
      </w:r>
    </w:p>
    <w:sectPr>
      <w:pgSz w:w="11900" w:h="16838" w:orient="portrait"/>
      <w:cols w:equalWidth="0" w:num="1">
        <w:col w:w="10940"/>
      </w:cols>
      <w:pgMar w:left="480" w:top="374"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4"/>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0" Type="http://schemas.openxmlformats.org/officeDocument/2006/relationships/hyperlink" Target="http://www.sec.gov/cgi-bin/browse-edgar?action=getcompany&amp;CIK=0002120178" TargetMode="External"/><Relationship Id="rId11" Type="http://schemas.openxmlformats.org/officeDocument/2006/relationships/hyperlink" Target="http://www.sec.gov/cgi-bin/browse-edgar?action=getcompany&amp;CIK=000169781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2026-03-18T16:44:03Z</dcterms:created>
  <dcterms:modified xsi:type="dcterms:W3CDTF">2026-03-18T16:44:03Z</dcterms:modified>
</cp:coreProperties>
</file>