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confidentially submitted to the Securities and Exchange Commission on May 18, 2017.</w:t>
      </w:r>
    </w:p>
    <w:p>
      <w:pPr>
        <w:spacing w:after="0" w:line="4" w:lineRule="exact"/>
        <w:rPr>
          <w:sz w:val="24"/>
          <w:szCs w:val="24"/>
          <w:color w:val="auto"/>
        </w:rPr>
      </w:pPr>
    </w:p>
    <w:p>
      <w:pPr>
        <w:ind w:left="8880"/>
        <w:spacing w:after="0"/>
        <w:rPr>
          <w:sz w:val="20"/>
          <w:szCs w:val="20"/>
          <w:color w:val="auto"/>
        </w:rPr>
      </w:pPr>
      <w:r>
        <w:rPr>
          <w:rFonts w:ascii="Arial" w:cs="Arial" w:eastAsia="Arial" w:hAnsi="Arial"/>
          <w:sz w:val="12"/>
          <w:szCs w:val="12"/>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F-1</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UNDER</w:t>
      </w:r>
    </w:p>
    <w:p>
      <w:pPr>
        <w:jc w:val="center"/>
        <w:ind w:right="-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p>
      <w:pPr>
        <w:spacing w:after="0" w:line="386" w:lineRule="exact"/>
        <w:rPr>
          <w:sz w:val="24"/>
          <w:szCs w:val="24"/>
          <w:color w:val="auto"/>
        </w:rPr>
      </w:pPr>
    </w:p>
    <w:p>
      <w:pPr>
        <w:ind w:left="138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2360"/>
        <w:spacing w:after="0"/>
        <w:rPr>
          <w:sz w:val="20"/>
          <w:szCs w:val="20"/>
          <w:color w:val="auto"/>
        </w:rPr>
      </w:pPr>
      <w:r>
        <w:rPr>
          <w:rFonts w:ascii="Arial" w:cs="Arial" w:eastAsia="Arial" w:hAnsi="Arial"/>
          <w:sz w:val="14"/>
          <w:szCs w:val="14"/>
          <w:b w:val="1"/>
          <w:bCs w:val="1"/>
          <w:color w:val="auto"/>
        </w:rPr>
        <w:t>7372</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Not Applicable</w:t>
      </w:r>
    </w:p>
    <w:p>
      <w:pPr>
        <w:spacing w:after="0" w:line="36" w:lineRule="exact"/>
        <w:rPr>
          <w:sz w:val="24"/>
          <w:szCs w:val="24"/>
          <w:color w:val="auto"/>
        </w:rPr>
      </w:pPr>
    </w:p>
    <w:p>
      <w:pPr>
        <w:sectPr>
          <w:pgSz w:w="11900" w:h="16838" w:orient="portrait"/>
          <w:cols w:equalWidth="0" w:num="3">
            <w:col w:w="4960" w:space="720"/>
            <w:col w:w="2680" w:space="720"/>
            <w:col w:w="2240"/>
          </w:cols>
          <w:pgMar w:left="240" w:top="230" w:right="339" w:bottom="1440" w:gutter="0" w:footer="0" w:header="0"/>
          <w:type w:val="continuous"/>
        </w:sectPr>
      </w:pPr>
    </w:p>
    <w:p>
      <w:pPr>
        <w:spacing w:after="0" w:line="12" w:lineRule="exact"/>
        <w:rPr>
          <w:sz w:val="24"/>
          <w:szCs w:val="24"/>
          <w:color w:val="auto"/>
        </w:rPr>
      </w:pPr>
    </w:p>
    <w:p>
      <w:pPr>
        <w:ind w:left="1020"/>
        <w:spacing w:after="0"/>
        <w:rPr>
          <w:sz w:val="20"/>
          <w:szCs w:val="20"/>
          <w:color w:val="auto"/>
        </w:rPr>
      </w:pPr>
      <w:r>
        <w:rPr>
          <w:rFonts w:ascii="Arial" w:cs="Arial" w:eastAsia="Arial" w:hAnsi="Arial"/>
          <w:sz w:val="13"/>
          <w:szCs w:val="13"/>
          <w:b w:val="1"/>
          <w:bCs w:val="1"/>
          <w:color w:val="auto"/>
        </w:rPr>
        <w:t>(State or Other Jurisdiction of</w:t>
      </w: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w:t>
      </w:r>
    </w:p>
    <w:p>
      <w:pPr>
        <w:ind w:left="4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5" w:lineRule="exact"/>
        <w:rPr>
          <w:sz w:val="24"/>
          <w:szCs w:val="24"/>
          <w:color w:val="auto"/>
        </w:rPr>
      </w:pPr>
    </w:p>
    <w:p>
      <w:pPr>
        <w:sectPr>
          <w:pgSz w:w="11900" w:h="16838" w:orient="portrait"/>
          <w:cols w:equalWidth="0" w:num="3">
            <w:col w:w="4200" w:space="720"/>
            <w:col w:w="3400" w:space="720"/>
            <w:col w:w="2280"/>
          </w:cols>
          <w:pgMar w:left="240" w:top="230" w:right="339" w:bottom="1440" w:gutter="0" w:footer="0" w:header="0"/>
          <w:type w:val="continuous"/>
        </w:sectPr>
      </w:pPr>
    </w:p>
    <w:p>
      <w:pPr>
        <w:ind w:left="5580"/>
        <w:spacing w:after="0"/>
        <w:rPr>
          <w:sz w:val="20"/>
          <w:szCs w:val="20"/>
          <w:color w:val="auto"/>
        </w:rPr>
      </w:pPr>
      <w:r>
        <w:rPr>
          <w:rFonts w:ascii="Arial" w:cs="Arial" w:eastAsia="Arial" w:hAnsi="Arial"/>
          <w:sz w:val="14"/>
          <w:szCs w:val="14"/>
          <w:b w:val="1"/>
          <w:bCs w:val="1"/>
          <w:color w:val="auto"/>
        </w:rPr>
        <w:t>15/F</w:t>
      </w:r>
    </w:p>
    <w:p>
      <w:pPr>
        <w:ind w:left="4900"/>
        <w:spacing w:after="0" w:line="226" w:lineRule="auto"/>
        <w:rPr>
          <w:sz w:val="20"/>
          <w:szCs w:val="20"/>
          <w:color w:val="auto"/>
        </w:rPr>
      </w:pPr>
      <w:r>
        <w:rPr>
          <w:rFonts w:ascii="Arial" w:cs="Arial" w:eastAsia="Arial" w:hAnsi="Arial"/>
          <w:sz w:val="14"/>
          <w:szCs w:val="14"/>
          <w:b w:val="1"/>
          <w:bCs w:val="1"/>
          <w:color w:val="auto"/>
        </w:rPr>
        <w:t>Prosperity Millennia Plaza</w:t>
      </w:r>
    </w:p>
    <w:p>
      <w:pPr>
        <w:ind w:left="4800"/>
        <w:spacing w:after="0" w:line="222" w:lineRule="auto"/>
        <w:rPr>
          <w:sz w:val="20"/>
          <w:szCs w:val="20"/>
          <w:color w:val="auto"/>
        </w:rPr>
      </w:pPr>
      <w:r>
        <w:rPr>
          <w:rFonts w:ascii="Arial" w:cs="Arial" w:eastAsia="Arial" w:hAnsi="Arial"/>
          <w:sz w:val="14"/>
          <w:szCs w:val="14"/>
          <w:b w:val="1"/>
          <w:bCs w:val="1"/>
          <w:color w:val="auto"/>
        </w:rPr>
        <w:t>663 King’s Road, Quarry Bay</w:t>
      </w:r>
    </w:p>
    <w:p>
      <w:pPr>
        <w:ind w:left="4280"/>
        <w:spacing w:after="0"/>
        <w:rPr>
          <w:sz w:val="20"/>
          <w:szCs w:val="20"/>
          <w:color w:val="auto"/>
        </w:rPr>
      </w:pPr>
      <w:r>
        <w:rPr>
          <w:rFonts w:ascii="Arial" w:cs="Arial" w:eastAsia="Arial" w:hAnsi="Arial"/>
          <w:sz w:val="13"/>
          <w:szCs w:val="13"/>
          <w:b w:val="1"/>
          <w:bCs w:val="1"/>
          <w:color w:val="auto"/>
        </w:rPr>
        <w:t>Hong Kong S.A.R., People’s Republic of China</w:t>
      </w:r>
    </w:p>
    <w:p>
      <w:pPr>
        <w:ind w:left="5100"/>
        <w:spacing w:after="0"/>
        <w:rPr>
          <w:sz w:val="20"/>
          <w:szCs w:val="20"/>
          <w:color w:val="auto"/>
        </w:rPr>
      </w:pPr>
      <w:r>
        <w:rPr>
          <w:rFonts w:ascii="Arial" w:cs="Arial" w:eastAsia="Arial" w:hAnsi="Arial"/>
          <w:sz w:val="14"/>
          <w:szCs w:val="14"/>
          <w:b w:val="1"/>
          <w:bCs w:val="1"/>
          <w:color w:val="auto"/>
        </w:rPr>
        <w:t>Tel: +852 3700 9000</w:t>
      </w:r>
    </w:p>
    <w:p>
      <w:pPr>
        <w:sectPr>
          <w:pgSz w:w="11900" w:h="16838" w:orient="portrait"/>
          <w:cols w:equalWidth="0" w:num="1">
            <w:col w:w="11320"/>
          </w:cols>
          <w:pgMar w:left="240" w:top="230" w:right="339" w:bottom="1440" w:gutter="0" w:footer="0" w:header="0"/>
          <w:type w:val="continuous"/>
        </w:sectPr>
      </w:pPr>
    </w:p>
    <w:p>
      <w:pPr>
        <w:jc w:val="center"/>
        <w:ind w:right="-99"/>
        <w:spacing w:after="0" w:line="235"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[Law Debenture Corporate Services, Inc.</w:t>
      </w:r>
    </w:p>
    <w:p>
      <w:pPr>
        <w:jc w:val="center"/>
        <w:ind w:right="-99"/>
        <w:spacing w:after="0" w:line="226" w:lineRule="auto"/>
        <w:rPr>
          <w:sz w:val="20"/>
          <w:szCs w:val="20"/>
          <w:color w:val="auto"/>
        </w:rPr>
      </w:pPr>
      <w:r>
        <w:rPr>
          <w:rFonts w:ascii="Arial" w:cs="Arial" w:eastAsia="Arial" w:hAnsi="Arial"/>
          <w:sz w:val="14"/>
          <w:szCs w:val="14"/>
          <w:b w:val="1"/>
          <w:bCs w:val="1"/>
          <w:color w:val="auto"/>
        </w:rPr>
        <w:t>4th Floor, 400 Madison Avenue</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New York 10017</w:t>
      </w:r>
    </w:p>
    <w:p>
      <w:pPr>
        <w:jc w:val="center"/>
        <w:ind w:right="-99"/>
        <w:spacing w:after="0" w:line="221" w:lineRule="auto"/>
        <w:rPr>
          <w:sz w:val="20"/>
          <w:szCs w:val="20"/>
          <w:color w:val="auto"/>
        </w:rPr>
      </w:pPr>
      <w:r>
        <w:rPr>
          <w:rFonts w:ascii="Arial" w:cs="Arial" w:eastAsia="Arial" w:hAnsi="Arial"/>
          <w:sz w:val="14"/>
          <w:szCs w:val="14"/>
          <w:b w:val="1"/>
          <w:bCs w:val="1"/>
          <w:color w:val="auto"/>
        </w:rPr>
        <w:t>(212) 750-6474]</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140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5020" w:type="dxa"/>
            <w:vAlign w:val="bottom"/>
          </w:tcPr>
          <w:p>
            <w:pPr>
              <w:ind w:left="540"/>
              <w:spacing w:after="0"/>
              <w:rPr>
                <w:sz w:val="20"/>
                <w:szCs w:val="20"/>
                <w:color w:val="auto"/>
              </w:rPr>
            </w:pPr>
            <w:r>
              <w:rPr>
                <w:rFonts w:ascii="Arial" w:cs="Arial" w:eastAsia="Arial" w:hAnsi="Arial"/>
                <w:sz w:val="14"/>
                <w:szCs w:val="14"/>
                <w:b w:val="1"/>
                <w:bCs w:val="1"/>
                <w:i w:val="1"/>
                <w:iCs w:val="1"/>
                <w:color w:val="auto"/>
              </w:rPr>
              <w:t>Copies to:</w:t>
            </w:r>
          </w:p>
        </w:tc>
      </w:tr>
      <w:tr>
        <w:trPr>
          <w:trHeight w:val="232"/>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2"/>
              </w:rPr>
              <w:t>Shuang Zhao, Esq.</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James C. Lin, Esq.</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9"/>
        </w:trPr>
        <w:tc>
          <w:tcPr>
            <w:tcW w:w="3480" w:type="dxa"/>
            <w:vAlign w:val="bottom"/>
          </w:tcPr>
          <w:p>
            <w:pPr>
              <w:jc w:val="center"/>
              <w:ind w:right="488"/>
              <w:spacing w:after="0" w:line="149" w:lineRule="exact"/>
              <w:rPr>
                <w:sz w:val="20"/>
                <w:szCs w:val="20"/>
                <w:color w:val="auto"/>
              </w:rPr>
            </w:pPr>
            <w:r>
              <w:rPr>
                <w:rFonts w:ascii="Arial" w:cs="Arial" w:eastAsia="Arial" w:hAnsi="Arial"/>
                <w:sz w:val="14"/>
                <w:szCs w:val="14"/>
                <w:b w:val="1"/>
                <w:bCs w:val="1"/>
                <w:color w:val="auto"/>
                <w:w w:val="90"/>
              </w:rPr>
              <w:t>c/o 37</w:t>
            </w:r>
            <w:r>
              <w:rPr>
                <w:rFonts w:ascii="Arial" w:cs="Arial" w:eastAsia="Arial" w:hAnsi="Arial"/>
                <w:sz w:val="12"/>
                <w:szCs w:val="12"/>
                <w:b w:val="1"/>
                <w:bCs w:val="1"/>
                <w:color w:val="auto"/>
                <w:w w:val="90"/>
              </w:rPr>
              <w:t>th</w:t>
            </w:r>
            <w:r>
              <w:rPr>
                <w:rFonts w:ascii="Arial" w:cs="Arial" w:eastAsia="Arial" w:hAnsi="Arial"/>
                <w:sz w:val="14"/>
                <w:szCs w:val="14"/>
                <w:b w:val="1"/>
                <w:bCs w:val="1"/>
                <w:color w:val="auto"/>
                <w:w w:val="90"/>
              </w:rPr>
              <w:t xml:space="preserve"> Floor, Hysan Place</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c/o 18/F, The Hong Kong Club Building</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1"/>
              </w:rPr>
              <w:t>500 Hennessy Road, Causeway Bay, Hong Kong</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3A Chater Road, Central, Hong Kong</w:t>
            </w:r>
          </w:p>
        </w:tc>
      </w:tr>
      <w:tr>
        <w:trPr>
          <w:trHeight w:val="186"/>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3"/>
              </w:rPr>
              <w:t>(852) 2521 4122</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(852) 2533 3368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left="36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this Registration Statement becomes effective.</w:t>
      </w:r>
    </w:p>
    <w:p>
      <w:pPr>
        <w:spacing w:after="0" w:line="86"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right="340" w:firstLine="342"/>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20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18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18" w:lineRule="exact"/>
        <w:rPr>
          <w:sz w:val="24"/>
          <w:szCs w:val="24"/>
          <w:color w:val="auto"/>
        </w:rPr>
      </w:pPr>
    </w:p>
    <w:p>
      <w:pPr>
        <w:ind w:firstLine="342"/>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 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320"/>
          </w:cols>
          <w:pgMar w:left="240" w:top="23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3021965</wp:posOffset>
            </wp:positionH>
            <wp:positionV relativeFrom="page">
              <wp:posOffset>234950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t>CALCULATION OF REGISTRATION FEE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58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r>
      <w:tr>
        <w:trPr>
          <w:trHeight w:val="88"/>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80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jc w:val="center"/>
              <w:ind w:left="5"/>
              <w:spacing w:after="0" w:line="89" w:lineRule="exact"/>
              <w:rPr>
                <w:sz w:val="20"/>
                <w:szCs w:val="20"/>
                <w:color w:val="auto"/>
              </w:rPr>
            </w:pPr>
            <w:r>
              <w:rPr>
                <w:rFonts w:ascii="Arial" w:cs="Arial" w:eastAsia="Arial" w:hAnsi="Arial"/>
                <w:sz w:val="10"/>
                <w:szCs w:val="10"/>
                <w:b w:val="1"/>
                <w:bCs w:val="1"/>
                <w:color w:val="auto"/>
                <w:w w:val="90"/>
              </w:rPr>
              <w:t>Proposed</w:t>
            </w: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122"/>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8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4"/>
              </w:rPr>
              <w:t>Maximum</w:t>
            </w:r>
          </w:p>
        </w:tc>
        <w:tc>
          <w:tcPr>
            <w:tcW w:w="32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800" w:type="dxa"/>
            <w:vAlign w:val="bottom"/>
            <w:tcBorders>
              <w:right w:val="single" w:sz="8" w:color="auto"/>
            </w:tcBorders>
          </w:tcPr>
          <w:p>
            <w:pPr>
              <w:jc w:val="center"/>
              <w:ind w:right="1963"/>
              <w:spacing w:after="0" w:line="122" w:lineRule="exact"/>
              <w:rPr>
                <w:sz w:val="20"/>
                <w:szCs w:val="20"/>
                <w:color w:val="auto"/>
              </w:rPr>
            </w:pPr>
            <w:r>
              <w:rPr>
                <w:rFonts w:ascii="Arial" w:cs="Arial" w:eastAsia="Arial" w:hAnsi="Arial"/>
                <w:sz w:val="11"/>
                <w:szCs w:val="11"/>
                <w:b w:val="1"/>
                <w:bCs w:val="1"/>
                <w:color w:val="auto"/>
                <w:w w:val="88"/>
              </w:rPr>
              <w:t>Title of Each Class of</w:t>
            </w:r>
          </w:p>
        </w:tc>
        <w:tc>
          <w:tcPr>
            <w:tcW w:w="1840" w:type="dxa"/>
            <w:vAlign w:val="bottom"/>
            <w:tcBorders>
              <w:right w:val="single" w:sz="8" w:color="auto"/>
            </w:tcBorders>
          </w:tcPr>
          <w:p>
            <w:pPr>
              <w:jc w:val="center"/>
              <w:ind w:left="5"/>
              <w:spacing w:after="0" w:line="122" w:lineRule="exact"/>
              <w:rPr>
                <w:sz w:val="20"/>
                <w:szCs w:val="20"/>
                <w:color w:val="auto"/>
              </w:rPr>
            </w:pPr>
            <w:r>
              <w:rPr>
                <w:rFonts w:ascii="Arial" w:cs="Arial" w:eastAsia="Arial" w:hAnsi="Arial"/>
                <w:sz w:val="11"/>
                <w:szCs w:val="11"/>
                <w:b w:val="1"/>
                <w:bCs w:val="1"/>
                <w:color w:val="auto"/>
                <w:w w:val="84"/>
              </w:rPr>
              <w:t>Aggregate</w:t>
            </w:r>
          </w:p>
        </w:tc>
        <w:tc>
          <w:tcPr>
            <w:tcW w:w="320" w:type="dxa"/>
            <w:vAlign w:val="bottom"/>
          </w:tcPr>
          <w:p>
            <w:pPr>
              <w:spacing w:after="0"/>
              <w:rPr>
                <w:sz w:val="10"/>
                <w:szCs w:val="10"/>
                <w:color w:val="auto"/>
              </w:rPr>
            </w:pPr>
          </w:p>
        </w:tc>
        <w:tc>
          <w:tcPr>
            <w:tcW w:w="1460" w:type="dxa"/>
            <w:vAlign w:val="bottom"/>
          </w:tcPr>
          <w:p>
            <w:pPr>
              <w:jc w:val="center"/>
              <w:ind w:right="181"/>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42"/>
        </w:trPr>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ind w:right="1963"/>
              <w:spacing w:after="0"/>
              <w:rPr>
                <w:sz w:val="20"/>
                <w:szCs w:val="20"/>
                <w:color w:val="auto"/>
              </w:rPr>
            </w:pPr>
            <w:r>
              <w:rPr>
                <w:rFonts w:ascii="Arial" w:cs="Arial" w:eastAsia="Arial" w:hAnsi="Arial"/>
                <w:sz w:val="11"/>
                <w:szCs w:val="11"/>
                <w:b w:val="1"/>
                <w:bCs w:val="1"/>
                <w:color w:val="auto"/>
                <w:w w:val="85"/>
              </w:rPr>
              <w:t>Securities to Be Registered</w:t>
            </w:r>
          </w:p>
        </w:tc>
        <w:tc>
          <w:tcPr>
            <w:tcW w:w="184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1"/>
                <w:szCs w:val="11"/>
                <w:b w:val="1"/>
                <w:bCs w:val="1"/>
                <w:color w:val="auto"/>
                <w:w w:val="92"/>
              </w:rPr>
              <w:t>Offering Price</w:t>
            </w:r>
            <w:r>
              <w:rPr>
                <w:rFonts w:ascii="Arial" w:cs="Arial" w:eastAsia="Arial" w:hAnsi="Arial"/>
                <w:sz w:val="9"/>
                <w:szCs w:val="9"/>
                <w:b w:val="1"/>
                <w:bCs w:val="1"/>
                <w:color w:val="auto"/>
                <w:w w:val="92"/>
              </w:rPr>
              <w:t>(2)(3)</w:t>
            </w:r>
          </w:p>
        </w:tc>
        <w:tc>
          <w:tcPr>
            <w:tcW w:w="3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201"/>
              <w:spacing w:after="0"/>
              <w:rPr>
                <w:sz w:val="20"/>
                <w:szCs w:val="20"/>
                <w:color w:val="auto"/>
              </w:rPr>
            </w:pPr>
            <w:r>
              <w:rPr>
                <w:rFonts w:ascii="Arial" w:cs="Arial" w:eastAsia="Arial" w:hAnsi="Arial"/>
                <w:sz w:val="11"/>
                <w:szCs w:val="11"/>
                <w:b w:val="1"/>
                <w:bCs w:val="1"/>
                <w:color w:val="auto"/>
                <w:w w:val="88"/>
              </w:rPr>
              <w:t>Registration Fee</w:t>
            </w:r>
          </w:p>
        </w:tc>
      </w:tr>
      <w:tr>
        <w:trPr>
          <w:trHeight w:val="135"/>
        </w:trPr>
        <w:tc>
          <w:tcPr>
            <w:tcW w:w="20" w:type="dxa"/>
            <w:vAlign w:val="bottom"/>
            <w:tcBorders>
              <w:bottom w:val="single" w:sz="8" w:color="auto"/>
            </w:tcBorders>
          </w:tcPr>
          <w:p>
            <w:pPr>
              <w:spacing w:after="0"/>
              <w:rPr>
                <w:sz w:val="11"/>
                <w:szCs w:val="11"/>
                <w:color w:val="auto"/>
              </w:rPr>
            </w:pPr>
          </w:p>
        </w:tc>
        <w:tc>
          <w:tcPr>
            <w:tcW w:w="7780" w:type="dxa"/>
            <w:vAlign w:val="bottom"/>
            <w:tcBorders>
              <w:bottom w:val="single" w:sz="8" w:color="auto"/>
              <w:right w:val="single" w:sz="8" w:color="auto"/>
            </w:tcBorders>
            <w:gridSpan w:val="3"/>
          </w:tcPr>
          <w:p>
            <w:pPr>
              <w:spacing w:after="0" w:line="135" w:lineRule="exact"/>
              <w:rPr>
                <w:sz w:val="20"/>
                <w:szCs w:val="20"/>
                <w:color w:val="auto"/>
              </w:rPr>
            </w:pPr>
            <w:r>
              <w:rPr>
                <w:rFonts w:ascii="Arial" w:cs="Arial" w:eastAsia="Arial" w:hAnsi="Arial"/>
                <w:sz w:val="13"/>
                <w:szCs w:val="13"/>
                <w:color w:val="auto"/>
              </w:rPr>
              <w:t>Ordinary shares, par value US$0.001 per share</w:t>
            </w:r>
            <w:r>
              <w:rPr>
                <w:rFonts w:ascii="Arial" w:cs="Arial" w:eastAsia="Arial" w:hAnsi="Arial"/>
                <w:sz w:val="10"/>
                <w:szCs w:val="10"/>
                <w:color w:val="auto"/>
              </w:rPr>
              <w:t>(1)</w:t>
            </w:r>
          </w:p>
        </w:tc>
        <w:tc>
          <w:tcPr>
            <w:tcW w:w="1840" w:type="dxa"/>
            <w:vAlign w:val="bottom"/>
            <w:tcBorders>
              <w:bottom w:val="single" w:sz="8" w:color="auto"/>
              <w:right w:val="single" w:sz="8" w:color="auto"/>
            </w:tcBorders>
          </w:tcPr>
          <w:p>
            <w:pPr>
              <w:ind w:left="660"/>
              <w:spacing w:after="0" w:line="135" w:lineRule="exact"/>
              <w:rPr>
                <w:sz w:val="20"/>
                <w:szCs w:val="20"/>
                <w:color w:val="auto"/>
              </w:rPr>
            </w:pPr>
            <w:r>
              <w:rPr>
                <w:rFonts w:ascii="Arial" w:cs="Arial" w:eastAsia="Arial" w:hAnsi="Arial"/>
                <w:sz w:val="13"/>
                <w:szCs w:val="13"/>
                <w:color w:val="auto"/>
              </w:rPr>
              <w:t>US$</w:t>
            </w:r>
          </w:p>
        </w:tc>
        <w:tc>
          <w:tcPr>
            <w:tcW w:w="3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ind w:left="300"/>
              <w:spacing w:after="0" w:line="135" w:lineRule="exact"/>
              <w:rPr>
                <w:sz w:val="20"/>
                <w:szCs w:val="20"/>
                <w:color w:val="auto"/>
              </w:rPr>
            </w:pPr>
            <w:r>
              <w:rPr>
                <w:rFonts w:ascii="Arial" w:cs="Arial" w:eastAsia="Arial" w:hAnsi="Arial"/>
                <w:sz w:val="13"/>
                <w:szCs w:val="13"/>
                <w:color w:val="auto"/>
              </w:rPr>
              <w:t>US$</w:t>
            </w:r>
          </w:p>
        </w:tc>
      </w:tr>
      <w:tr>
        <w:trPr>
          <w:trHeight w:val="20"/>
        </w:trPr>
        <w:tc>
          <w:tcPr>
            <w:tcW w:w="260" w:type="dxa"/>
            <w:vAlign w:val="bottom"/>
            <w:gridSpan w:val="2"/>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2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rPr>
              <w:t>(1)</w:t>
            </w:r>
          </w:p>
        </w:tc>
        <w:tc>
          <w:tcPr>
            <w:tcW w:w="9700" w:type="dxa"/>
            <w:vAlign w:val="bottom"/>
            <w:tcBorders>
              <w:top w:val="single" w:sz="8" w:color="auto"/>
            </w:tcBorders>
            <w:gridSpan w:val="4"/>
          </w:tcPr>
          <w:p>
            <w:pPr>
              <w:ind w:left="80"/>
              <w:spacing w:after="0" w:line="115" w:lineRule="exact"/>
              <w:rPr>
                <w:sz w:val="20"/>
                <w:szCs w:val="20"/>
                <w:color w:val="auto"/>
              </w:rPr>
            </w:pPr>
            <w:r>
              <w:rPr>
                <w:rFonts w:ascii="Arial" w:cs="Arial" w:eastAsia="Arial" w:hAnsi="Arial"/>
                <w:sz w:val="13"/>
                <w:szCs w:val="13"/>
                <w:color w:val="auto"/>
                <w:w w:val="88"/>
              </w:rPr>
              <w:t>American depositary shares issuable upon deposit of the ordinary shares registered hereby have been registered under a separate registration statement on Form F-6 (Registration No.333-</w:t>
            </w:r>
          </w:p>
        </w:tc>
        <w:tc>
          <w:tcPr>
            <w:tcW w:w="1460" w:type="dxa"/>
            <w:vAlign w:val="bottom"/>
            <w:tcBorders>
              <w:top w:val="single" w:sz="8" w:color="auto"/>
            </w:tcBorders>
          </w:tcPr>
          <w:p>
            <w:pPr>
              <w:ind w:left="280"/>
              <w:spacing w:after="0" w:line="115" w:lineRule="exact"/>
              <w:rPr>
                <w:sz w:val="20"/>
                <w:szCs w:val="20"/>
                <w:color w:val="auto"/>
              </w:rPr>
            </w:pPr>
            <w:r>
              <w:rPr>
                <w:rFonts w:ascii="Arial" w:cs="Arial" w:eastAsia="Arial" w:hAnsi="Arial"/>
                <w:sz w:val="13"/>
                <w:szCs w:val="13"/>
                <w:color w:val="auto"/>
              </w:rPr>
              <w:t>). Each American</w:t>
            </w:r>
          </w:p>
        </w:tc>
      </w:tr>
      <w:tr>
        <w:trPr>
          <w:trHeight w:val="145"/>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ind w:left="80"/>
              <w:spacing w:after="0" w:line="145" w:lineRule="exact"/>
              <w:rPr>
                <w:sz w:val="20"/>
                <w:szCs w:val="20"/>
                <w:color w:val="auto"/>
              </w:rPr>
            </w:pPr>
            <w:r>
              <w:rPr>
                <w:rFonts w:ascii="Arial" w:cs="Arial" w:eastAsia="Arial" w:hAnsi="Arial"/>
                <w:sz w:val="13"/>
                <w:szCs w:val="13"/>
                <w:color w:val="auto"/>
              </w:rPr>
              <w:t>depositary share represents</w:t>
            </w:r>
          </w:p>
        </w:tc>
        <w:tc>
          <w:tcPr>
            <w:tcW w:w="5800" w:type="dxa"/>
            <w:vAlign w:val="bottom"/>
          </w:tcPr>
          <w:p>
            <w:pPr>
              <w:ind w:left="280"/>
              <w:spacing w:after="0" w:line="145" w:lineRule="exact"/>
              <w:rPr>
                <w:sz w:val="20"/>
                <w:szCs w:val="20"/>
                <w:color w:val="auto"/>
              </w:rPr>
            </w:pPr>
            <w:r>
              <w:rPr>
                <w:rFonts w:ascii="Arial" w:cs="Arial" w:eastAsia="Arial" w:hAnsi="Arial"/>
                <w:sz w:val="13"/>
                <w:szCs w:val="13"/>
                <w:color w:val="auto"/>
              </w:rPr>
              <w:t>ordinary shares.</w:t>
            </w:r>
          </w:p>
        </w:tc>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r>
    </w:tbl>
    <w:p>
      <w:pPr>
        <w:ind w:left="340" w:right="2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(i) ordinary shares that may be purchased by the underwriters pursuant to an over-allotment option and (ii)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ordinary shares are not being registered for the purposes of sales outside of the United States.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457(o)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6" w:lineRule="exact"/>
        <w:rPr>
          <w:sz w:val="20"/>
          <w:szCs w:val="20"/>
          <w:color w:val="auto"/>
        </w:rPr>
      </w:pPr>
    </w:p>
    <w:p>
      <w:pPr>
        <w:ind w:right="4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tbl>
      <w:tblPr>
        <w:tblLayout w:type="fixed"/>
        <w:tblInd w:w="348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EB0029"/>
              </w:rPr>
              <w:t>SUBJECT TO COMPLETION, DATED</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EB0029"/>
              </w:rPr>
              <w:t>, 2017</w:t>
            </w:r>
          </w:p>
        </w:tc>
      </w:tr>
      <w:tr>
        <w:trPr>
          <w:trHeight w:val="234"/>
        </w:trPr>
        <w:tc>
          <w:tcPr>
            <w:tcW w:w="3760" w:type="dxa"/>
            <w:vAlign w:val="bottom"/>
          </w:tcPr>
          <w:p>
            <w:pPr>
              <w:ind w:left="960"/>
              <w:spacing w:after="0"/>
              <w:rPr>
                <w:sz w:val="20"/>
                <w:szCs w:val="20"/>
                <w:color w:val="auto"/>
              </w:rPr>
            </w:pPr>
            <w:r>
              <w:rPr>
                <w:rFonts w:ascii="Arial" w:cs="Arial" w:eastAsia="Arial" w:hAnsi="Arial"/>
                <w:sz w:val="18"/>
                <w:szCs w:val="18"/>
                <w:b w:val="1"/>
                <w:bCs w:val="1"/>
                <w:color w:val="EB0029"/>
              </w:rPr>
              <w:t>PRELIMINARY PROSPECTUS</w:t>
            </w:r>
          </w:p>
        </w:tc>
        <w:tc>
          <w:tcPr>
            <w:tcW w:w="7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200"/>
        <w:spacing w:after="0"/>
        <w:rPr>
          <w:sz w:val="20"/>
          <w:szCs w:val="20"/>
          <w:color w:val="auto"/>
        </w:rPr>
      </w:pPr>
      <w:r>
        <w:rPr>
          <w:rFonts w:ascii="Arial" w:cs="Arial" w:eastAsia="Arial" w:hAnsi="Arial"/>
          <w:sz w:val="32"/>
          <w:szCs w:val="32"/>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178435</wp:posOffset>
            </wp:positionV>
            <wp:extent cx="137223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5380" w:type="dxa"/>
            <w:vAlign w:val="bottom"/>
            <w:gridSpan w:val="2"/>
          </w:tcPr>
          <w:p>
            <w:pPr>
              <w:ind w:left="3660"/>
              <w:spacing w:after="0"/>
              <w:rPr>
                <w:sz w:val="20"/>
                <w:szCs w:val="20"/>
                <w:color w:val="auto"/>
              </w:rPr>
            </w:pPr>
            <w:r>
              <w:rPr>
                <w:rFonts w:ascii="Arial" w:cs="Arial" w:eastAsia="Arial" w:hAnsi="Arial"/>
                <w:sz w:val="25"/>
                <w:szCs w:val="25"/>
                <w:b w:val="1"/>
                <w:bCs w:val="1"/>
                <w:color w:val="auto"/>
              </w:rPr>
              <w:t>Representing</w:t>
            </w:r>
          </w:p>
        </w:tc>
        <w:tc>
          <w:tcPr>
            <w:tcW w:w="2520" w:type="dxa"/>
            <w:vAlign w:val="bottom"/>
            <w:gridSpan w:val="2"/>
          </w:tcPr>
          <w:p>
            <w:pPr>
              <w:ind w:left="580"/>
              <w:spacing w:after="0"/>
              <w:rPr>
                <w:sz w:val="20"/>
                <w:szCs w:val="20"/>
                <w:color w:val="auto"/>
              </w:rPr>
            </w:pPr>
            <w:r>
              <w:rPr>
                <w:rFonts w:ascii="Arial" w:cs="Arial" w:eastAsia="Arial" w:hAnsi="Arial"/>
                <w:sz w:val="25"/>
                <w:szCs w:val="25"/>
                <w:b w:val="1"/>
                <w:bCs w:val="1"/>
                <w:color w:val="auto"/>
                <w:w w:val="98"/>
              </w:rPr>
              <w:t>Ordinary Shares</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5"/>
        </w:trPr>
        <w:tc>
          <w:tcPr>
            <w:tcW w:w="4520" w:type="dxa"/>
            <w:vAlign w:val="bottom"/>
          </w:tcPr>
          <w:p>
            <w:pPr>
              <w:spacing w:after="0"/>
              <w:rPr>
                <w:sz w:val="24"/>
                <w:szCs w:val="24"/>
                <w:color w:val="auto"/>
              </w:rPr>
            </w:pPr>
          </w:p>
        </w:tc>
        <w:tc>
          <w:tcPr>
            <w:tcW w:w="2380" w:type="dxa"/>
            <w:vAlign w:val="bottom"/>
            <w:tcBorders>
              <w:bottom w:val="single" w:sz="8" w:color="auto"/>
            </w:tcBorders>
            <w:gridSpan w:val="2"/>
          </w:tcPr>
          <w:p>
            <w:pPr>
              <w:spacing w:after="0"/>
              <w:rPr>
                <w:sz w:val="24"/>
                <w:szCs w:val="24"/>
                <w:color w:val="auto"/>
              </w:rPr>
            </w:pPr>
          </w:p>
        </w:tc>
        <w:tc>
          <w:tcPr>
            <w:tcW w:w="1000" w:type="dxa"/>
            <w:vAlign w:val="bottom"/>
          </w:tcPr>
          <w:p>
            <w:pPr>
              <w:spacing w:after="0"/>
              <w:rPr>
                <w:sz w:val="24"/>
                <w:szCs w:val="24"/>
                <w:color w:val="auto"/>
              </w:rPr>
            </w:pPr>
          </w:p>
        </w:tc>
        <w:tc>
          <w:tcPr>
            <w:tcW w:w="248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r>
      <w:tr>
        <w:trPr>
          <w:trHeight w:val="411"/>
        </w:trPr>
        <w:tc>
          <w:tcPr>
            <w:tcW w:w="7900" w:type="dxa"/>
            <w:vAlign w:val="bottom"/>
            <w:gridSpan w:val="4"/>
          </w:tcPr>
          <w:p>
            <w:pPr>
              <w:ind w:left="460"/>
              <w:spacing w:after="0"/>
              <w:rPr>
                <w:sz w:val="20"/>
                <w:szCs w:val="20"/>
                <w:color w:val="auto"/>
              </w:rPr>
            </w:pPr>
            <w:r>
              <w:rPr>
                <w:rFonts w:ascii="Arial" w:cs="Arial" w:eastAsia="Arial" w:hAnsi="Arial"/>
                <w:sz w:val="18"/>
                <w:szCs w:val="18"/>
                <w:color w:val="auto"/>
              </w:rPr>
              <w:t>This is the initial public offering of our American Depositary Shares, or ADSs. We are selling</w:t>
            </w: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ADSs. Each ADS represents</w:t>
            </w:r>
          </w:p>
        </w:tc>
        <w:tc>
          <w:tcPr>
            <w:tcW w:w="980" w:type="dxa"/>
            <w:vAlign w:val="bottom"/>
          </w:tcPr>
          <w:p>
            <w:pPr>
              <w:ind w:left="520"/>
              <w:spacing w:after="0"/>
              <w:rPr>
                <w:sz w:val="20"/>
                <w:szCs w:val="20"/>
                <w:color w:val="auto"/>
              </w:rPr>
            </w:pPr>
            <w:r>
              <w:rPr>
                <w:rFonts w:ascii="Arial" w:cs="Arial" w:eastAsia="Arial" w:hAnsi="Arial"/>
                <w:sz w:val="18"/>
                <w:szCs w:val="18"/>
                <w:color w:val="auto"/>
                <w:w w:val="95"/>
              </w:rPr>
              <w:t>of our</w:t>
            </w:r>
          </w:p>
        </w:tc>
      </w:tr>
      <w:tr>
        <w:trPr>
          <w:trHeight w:val="230"/>
        </w:trPr>
        <w:tc>
          <w:tcPr>
            <w:tcW w:w="9020" w:type="dxa"/>
            <w:vAlign w:val="bottom"/>
            <w:gridSpan w:val="5"/>
          </w:tcPr>
          <w:p>
            <w:pPr>
              <w:spacing w:after="0"/>
              <w:rPr>
                <w:sz w:val="20"/>
                <w:szCs w:val="20"/>
                <w:color w:val="auto"/>
              </w:rPr>
            </w:pPr>
            <w:r>
              <w:rPr>
                <w:rFonts w:ascii="Arial" w:cs="Arial" w:eastAsia="Arial" w:hAnsi="Arial"/>
                <w:sz w:val="18"/>
                <w:szCs w:val="18"/>
                <w:color w:val="auto"/>
                <w:w w:val="95"/>
              </w:rPr>
              <w:t>ordinary shares, par value US$0.001 per share. We currently expect the initial public offering price to be between US$</w:t>
            </w:r>
          </w:p>
        </w:tc>
        <w:tc>
          <w:tcPr>
            <w:tcW w:w="1360" w:type="dxa"/>
            <w:vAlign w:val="bottom"/>
          </w:tcPr>
          <w:p>
            <w:pPr>
              <w:ind w:left="280"/>
              <w:spacing w:after="0"/>
              <w:rPr>
                <w:sz w:val="20"/>
                <w:szCs w:val="20"/>
                <w:color w:val="auto"/>
              </w:rPr>
            </w:pPr>
            <w:r>
              <w:rPr>
                <w:rFonts w:ascii="Arial" w:cs="Arial" w:eastAsia="Arial" w:hAnsi="Arial"/>
                <w:sz w:val="18"/>
                <w:szCs w:val="18"/>
                <w:color w:val="auto"/>
              </w:rPr>
              <w:t>and US$</w:t>
            </w:r>
          </w:p>
        </w:tc>
        <w:tc>
          <w:tcPr>
            <w:tcW w:w="980" w:type="dxa"/>
            <w:vAlign w:val="bottom"/>
          </w:tcPr>
          <w:p>
            <w:pPr>
              <w:ind w:left="300"/>
              <w:spacing w:after="0"/>
              <w:rPr>
                <w:sz w:val="20"/>
                <w:szCs w:val="20"/>
                <w:color w:val="auto"/>
              </w:rPr>
            </w:pPr>
            <w:r>
              <w:rPr>
                <w:rFonts w:ascii="Arial" w:cs="Arial" w:eastAsia="Arial" w:hAnsi="Arial"/>
                <w:sz w:val="18"/>
                <w:szCs w:val="18"/>
                <w:color w:val="auto"/>
                <w:w w:val="90"/>
              </w:rPr>
              <w:t>per ADS.</w:t>
            </w:r>
          </w:p>
        </w:tc>
      </w:tr>
      <w:tr>
        <w:trPr>
          <w:trHeight w:val="432"/>
        </w:trPr>
        <w:tc>
          <w:tcPr>
            <w:tcW w:w="5380" w:type="dxa"/>
            <w:vAlign w:val="bottom"/>
            <w:gridSpan w:val="2"/>
          </w:tcPr>
          <w:p>
            <w:pPr>
              <w:ind w:left="460"/>
              <w:spacing w:after="0"/>
              <w:rPr>
                <w:sz w:val="20"/>
                <w:szCs w:val="20"/>
                <w:color w:val="auto"/>
              </w:rPr>
            </w:pPr>
            <w:r>
              <w:rPr>
                <w:rFonts w:ascii="Arial" w:cs="Arial" w:eastAsia="Arial" w:hAnsi="Arial"/>
                <w:sz w:val="18"/>
                <w:szCs w:val="18"/>
                <w:color w:val="auto"/>
                <w:w w:val="99"/>
              </w:rPr>
              <w:t>We have granted the underwriters an option to purchase up to</w:t>
            </w:r>
          </w:p>
        </w:tc>
        <w:tc>
          <w:tcPr>
            <w:tcW w:w="3640" w:type="dxa"/>
            <w:vAlign w:val="bottom"/>
            <w:gridSpan w:val="3"/>
          </w:tcPr>
          <w:p>
            <w:pPr>
              <w:ind w:left="320"/>
              <w:spacing w:after="0"/>
              <w:rPr>
                <w:sz w:val="20"/>
                <w:szCs w:val="20"/>
                <w:color w:val="auto"/>
              </w:rPr>
            </w:pPr>
            <w:r>
              <w:rPr>
                <w:rFonts w:ascii="Arial" w:cs="Arial" w:eastAsia="Arial" w:hAnsi="Arial"/>
                <w:sz w:val="18"/>
                <w:szCs w:val="18"/>
                <w:color w:val="auto"/>
                <w:w w:val="99"/>
              </w:rPr>
              <w:t>additional ADSs to cover over-allotments.</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ADSs or our ordinary shares. We will apply to have the ADSs listed on the [NASDAQ Global Market/New York Stock Exchange] under the symbol “ICLK”</w:t>
      </w:r>
    </w:p>
    <w:p>
      <w:pPr>
        <w:spacing w:after="0" w:line="170"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We are an “emerging growth company” under applicable U.S. Federal securities laws and are eligible for reduced public company reporting requirements.</w:t>
      </w:r>
    </w:p>
    <w:p>
      <w:pPr>
        <w:spacing w:after="0" w:line="157"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ADSs involves risks. See “</w:t>
      </w:r>
      <w:hyperlink w:anchor="page2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16.</w:t>
      </w:r>
    </w:p>
    <w:p>
      <w:pPr>
        <w:spacing w:after="0" w:line="215"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Public</w:t>
            </w:r>
          </w:p>
        </w:tc>
        <w:tc>
          <w:tcPr>
            <w:tcW w:w="10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99"/>
              </w:rPr>
              <w:t>Underwriting</w:t>
            </w:r>
          </w:p>
        </w:tc>
        <w:tc>
          <w:tcPr>
            <w:tcW w:w="9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Proceeds</w:t>
            </w:r>
          </w:p>
        </w:tc>
      </w:tr>
      <w:tr>
        <w:trPr>
          <w:trHeight w:val="149"/>
        </w:trPr>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Offering</w:t>
            </w:r>
          </w:p>
        </w:tc>
        <w:tc>
          <w:tcPr>
            <w:tcW w:w="1880" w:type="dxa"/>
            <w:vAlign w:val="bottom"/>
            <w:gridSpan w:val="2"/>
          </w:tcPr>
          <w:p>
            <w:pPr>
              <w:ind w:left="1000"/>
              <w:spacing w:after="0" w:line="149" w:lineRule="exact"/>
              <w:rPr>
                <w:sz w:val="20"/>
                <w:szCs w:val="20"/>
                <w:color w:val="auto"/>
              </w:rPr>
            </w:pPr>
            <w:r>
              <w:rPr>
                <w:rFonts w:ascii="Arial" w:cs="Arial" w:eastAsia="Arial" w:hAnsi="Arial"/>
                <w:sz w:val="14"/>
                <w:szCs w:val="14"/>
                <w:b w:val="1"/>
                <w:bCs w:val="1"/>
                <w:color w:val="auto"/>
                <w:w w:val="89"/>
              </w:rPr>
              <w:t>Discounts and</w:t>
            </w:r>
          </w:p>
        </w:tc>
        <w:tc>
          <w:tcPr>
            <w:tcW w:w="9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before</w:t>
            </w:r>
          </w:p>
        </w:tc>
      </w:tr>
      <w:tr>
        <w:trPr>
          <w:trHeight w:val="171"/>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w w:val="91"/>
              </w:rPr>
              <w:t>Commissions</w:t>
            </w:r>
          </w:p>
        </w:tc>
        <w:tc>
          <w:tcPr>
            <w:tcW w:w="9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expenses</w:t>
            </w:r>
          </w:p>
        </w:tc>
      </w:tr>
      <w:tr>
        <w:trPr>
          <w:trHeight w:val="210"/>
        </w:trPr>
        <w:tc>
          <w:tcPr>
            <w:tcW w:w="920" w:type="dxa"/>
            <w:vAlign w:val="bottom"/>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17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8"/>
                <w:szCs w:val="18"/>
                <w:color w:val="auto"/>
                <w:w w:val="85"/>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ind w:left="1700"/>
              <w:spacing w:after="0"/>
              <w:rPr>
                <w:sz w:val="20"/>
                <w:szCs w:val="20"/>
                <w:color w:val="auto"/>
              </w:rPr>
            </w:pPr>
            <w:r>
              <w:rPr>
                <w:rFonts w:ascii="Arial" w:cs="Arial" w:eastAsia="Arial" w:hAnsi="Arial"/>
                <w:sz w:val="18"/>
                <w:szCs w:val="18"/>
                <w:color w:val="auto"/>
              </w:rPr>
              <w:t>US$</w:t>
            </w:r>
          </w:p>
        </w:tc>
        <w:tc>
          <w:tcPr>
            <w:tcW w:w="1880" w:type="dxa"/>
            <w:vAlign w:val="bottom"/>
            <w:gridSpan w:val="2"/>
          </w:tcPr>
          <w:p>
            <w:pPr>
              <w:ind w:left="980"/>
              <w:spacing w:after="0"/>
              <w:rPr>
                <w:sz w:val="20"/>
                <w:szCs w:val="20"/>
                <w:color w:val="auto"/>
              </w:rPr>
            </w:pPr>
            <w:r>
              <w:rPr>
                <w:rFonts w:ascii="Arial" w:cs="Arial" w:eastAsia="Arial" w:hAnsi="Arial"/>
                <w:sz w:val="18"/>
                <w:szCs w:val="18"/>
                <w:color w:val="auto"/>
              </w:rPr>
              <w:t>US$</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US$</w:t>
            </w:r>
          </w:p>
        </w:tc>
      </w:tr>
      <w:tr>
        <w:trPr>
          <w:trHeight w:val="418"/>
        </w:trPr>
        <w:tc>
          <w:tcPr>
            <w:tcW w:w="5820" w:type="dxa"/>
            <w:vAlign w:val="bottom"/>
            <w:gridSpan w:val="4"/>
          </w:tcPr>
          <w:p>
            <w:pPr>
              <w:spacing w:after="0"/>
              <w:rPr>
                <w:sz w:val="20"/>
                <w:szCs w:val="20"/>
                <w:color w:val="auto"/>
              </w:rPr>
            </w:pPr>
            <w:r>
              <w:rPr>
                <w:rFonts w:ascii="Arial" w:cs="Arial" w:eastAsia="Arial" w:hAnsi="Arial"/>
                <w:sz w:val="18"/>
                <w:szCs w:val="18"/>
                <w:color w:val="auto"/>
              </w:rPr>
              <w:t>The underwriters expect to deliver the ADSs to purchasers on or about</w:t>
            </w:r>
          </w:p>
        </w:tc>
        <w:tc>
          <w:tcPr>
            <w:tcW w:w="1000" w:type="dxa"/>
            <w:vAlign w:val="bottom"/>
          </w:tcPr>
          <w:p>
            <w:pPr>
              <w:jc w:val="right"/>
              <w:ind w:right="396"/>
              <w:spacing w:after="0"/>
              <w:rPr>
                <w:sz w:val="20"/>
                <w:szCs w:val="20"/>
                <w:color w:val="auto"/>
              </w:rPr>
            </w:pPr>
            <w:r>
              <w:rPr>
                <w:rFonts w:ascii="Arial" w:cs="Arial" w:eastAsia="Arial" w:hAnsi="Arial"/>
                <w:sz w:val="18"/>
                <w:szCs w:val="18"/>
                <w:color w:val="auto"/>
                <w:w w:val="90"/>
              </w:rPr>
              <w:t>, 2017.</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1260475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tabs>
          <w:tab w:leader="none" w:pos="1012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5"/>
          <w:szCs w:val="25"/>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254635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2017</w:t>
      </w:r>
    </w:p>
    <w:p>
      <w:pPr>
        <w:sectPr>
          <w:pgSz w:w="11900" w:h="16838" w:orient="portrait"/>
          <w:cols w:equalWidth="0" w:num="1">
            <w:col w:w="11380"/>
          </w:cols>
          <w:pgMar w:left="240" w:top="459" w:right="2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Page intentionally left blank for graphics</w:t>
      </w:r>
      <w:r>
        <w:rPr>
          <w:rFonts w:ascii="Arial" w:cs="Arial" w:eastAsia="Arial" w:hAnsi="Arial"/>
          <w:sz w:val="18"/>
          <w:szCs w:val="18"/>
          <w:b w:val="1"/>
          <w:bCs w:val="1"/>
          <w:color w:val="auto"/>
        </w:rPr>
        <w:t>]</w:t>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520" w:type="dxa"/>
            <w:vAlign w:val="bottom"/>
            <w:gridSpan w:val="6"/>
            <w:vMerge w:val="restart"/>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Prospectus Summary</w:t>
              </w:r>
            </w:hyperlink>
          </w:p>
        </w:tc>
        <w:tc>
          <w:tcPr>
            <w:tcW w:w="3560" w:type="dxa"/>
            <w:vAlign w:val="bottom"/>
            <w:gridSpan w:val="8"/>
            <w:vMerge w:val="restart"/>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Page</w:t>
            </w:r>
          </w:p>
        </w:tc>
        <w:tc>
          <w:tcPr>
            <w:tcW w:w="640" w:type="dxa"/>
            <w:vAlign w:val="bottom"/>
            <w:gridSpan w:val="3"/>
            <w:vMerge w:val="restart"/>
          </w:tcPr>
          <w:p>
            <w:pPr>
              <w:spacing w:after="0"/>
              <w:rPr>
                <w:rFonts w:ascii="Arial" w:cs="Arial" w:eastAsia="Arial" w:hAnsi="Arial"/>
                <w:sz w:val="18"/>
                <w:szCs w:val="18"/>
                <w:color w:val="0000EE"/>
                <w:w w:val="84"/>
              </w:rPr>
            </w:pPr>
            <w:hyperlink w:anchor="page111">
              <w:r>
                <w:rPr>
                  <w:rFonts w:ascii="Arial" w:cs="Arial" w:eastAsia="Arial" w:hAnsi="Arial"/>
                  <w:sz w:val="18"/>
                  <w:szCs w:val="18"/>
                  <w:color w:val="0000EE"/>
                  <w:w w:val="84"/>
                </w:rPr>
                <w:t>Business</w:t>
              </w:r>
            </w:hyperlink>
          </w:p>
        </w:tc>
        <w:tc>
          <w:tcPr>
            <w:tcW w:w="4440" w:type="dxa"/>
            <w:vAlign w:val="bottom"/>
            <w:gridSpan w:val="11"/>
            <w:vMerge w:val="restart"/>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6"/>
            <w:vMerge w:val="continue"/>
          </w:tcPr>
          <w:p>
            <w:pPr>
              <w:spacing w:after="0"/>
              <w:rPr>
                <w:sz w:val="14"/>
                <w:szCs w:val="14"/>
                <w:color w:val="auto"/>
              </w:rPr>
            </w:pPr>
          </w:p>
        </w:tc>
        <w:tc>
          <w:tcPr>
            <w:tcW w:w="3560" w:type="dxa"/>
            <w:vAlign w:val="bottom"/>
            <w:gridSpan w:val="8"/>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640" w:type="dxa"/>
            <w:vAlign w:val="bottom"/>
            <w:tcBorders>
              <w:bottom w:val="single" w:sz="8" w:color="0000EE"/>
            </w:tcBorders>
            <w:gridSpan w:val="3"/>
            <w:vMerge w:val="continue"/>
          </w:tcPr>
          <w:p>
            <w:pPr>
              <w:spacing w:after="0"/>
              <w:rPr>
                <w:sz w:val="14"/>
                <w:szCs w:val="14"/>
                <w:color w:val="auto"/>
              </w:rPr>
            </w:pPr>
          </w:p>
        </w:tc>
        <w:tc>
          <w:tcPr>
            <w:tcW w:w="4440" w:type="dxa"/>
            <w:vAlign w:val="bottom"/>
            <w:gridSpan w:val="11"/>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4180" w:type="dxa"/>
            <w:vAlign w:val="bottom"/>
            <w:gridSpan w:val="11"/>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16</w:t>
            </w:r>
          </w:p>
        </w:tc>
        <w:tc>
          <w:tcPr>
            <w:tcW w:w="5080" w:type="dxa"/>
            <w:vAlign w:val="bottom"/>
            <w:gridSpan w:val="14"/>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Regulation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Special Note Regarding Forward-Looking Statements and</w:t>
              </w:r>
            </w:hyperlink>
          </w:p>
        </w:tc>
        <w:tc>
          <w:tcPr>
            <w:tcW w:w="9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38">
              <w:r>
                <w:rPr>
                  <w:rFonts w:ascii="Arial" w:cs="Arial" w:eastAsia="Arial" w:hAnsi="Arial"/>
                  <w:sz w:val="18"/>
                  <w:szCs w:val="18"/>
                  <w:color w:val="0000EE"/>
                  <w:w w:val="87"/>
                </w:rPr>
                <w:t>Management</w:t>
              </w:r>
            </w:hyperlink>
          </w:p>
        </w:tc>
        <w:tc>
          <w:tcPr>
            <w:tcW w:w="41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gridSpan w:val="4"/>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Industry Data</w:t>
              </w:r>
            </w:hyperlink>
          </w:p>
        </w:tc>
        <w:tc>
          <w:tcPr>
            <w:tcW w:w="3920" w:type="dxa"/>
            <w:vAlign w:val="bottom"/>
            <w:gridSpan w:val="9"/>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58</w:t>
            </w:r>
          </w:p>
        </w:tc>
        <w:tc>
          <w:tcPr>
            <w:tcW w:w="5080" w:type="dxa"/>
            <w:vAlign w:val="bottom"/>
            <w:gridSpan w:val="14"/>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Principal Shareholders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Use of Proceeds</w:t>
              </w:r>
            </w:hyperlink>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59</w:t>
            </w:r>
          </w:p>
        </w:tc>
        <w:tc>
          <w:tcPr>
            <w:tcW w:w="5080" w:type="dxa"/>
            <w:vAlign w:val="bottom"/>
            <w:gridSpan w:val="14"/>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60</w:t>
            </w:r>
          </w:p>
        </w:tc>
        <w:tc>
          <w:tcPr>
            <w:tcW w:w="5080" w:type="dxa"/>
            <w:vAlign w:val="bottom"/>
            <w:gridSpan w:val="14"/>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Description of Share Capital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Capitalization</w:t>
              </w:r>
            </w:hyperlink>
          </w:p>
        </w:tc>
        <w:tc>
          <w:tcPr>
            <w:tcW w:w="3920" w:type="dxa"/>
            <w:vAlign w:val="bottom"/>
            <w:gridSpan w:val="9"/>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61</w:t>
            </w:r>
          </w:p>
        </w:tc>
        <w:tc>
          <w:tcPr>
            <w:tcW w:w="5080" w:type="dxa"/>
            <w:vAlign w:val="bottom"/>
            <w:gridSpan w:val="14"/>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Description of American Depositary Shares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Dilution</w:t>
              </w:r>
            </w:hyperlink>
          </w:p>
        </w:tc>
        <w:tc>
          <w:tcPr>
            <w:tcW w:w="400" w:type="dxa"/>
            <w:vAlign w:val="bottom"/>
            <w:tcBorders>
              <w:top w:val="single" w:sz="8" w:color="0000EE"/>
            </w:tcBorders>
            <w:gridSpan w:val="2"/>
          </w:tcPr>
          <w:p>
            <w:pPr>
              <w:spacing w:after="0"/>
              <w:rPr>
                <w:sz w:val="17"/>
                <w:szCs w:val="17"/>
                <w:color w:val="auto"/>
              </w:rPr>
            </w:pPr>
          </w:p>
        </w:tc>
        <w:tc>
          <w:tcPr>
            <w:tcW w:w="4080" w:type="dxa"/>
            <w:vAlign w:val="bottom"/>
            <w:gridSpan w:val="10"/>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63</w:t>
            </w:r>
          </w:p>
        </w:tc>
        <w:tc>
          <w:tcPr>
            <w:tcW w:w="2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73">
              <w:r>
                <w:rPr>
                  <w:rFonts w:ascii="Arial" w:cs="Arial" w:eastAsia="Arial" w:hAnsi="Arial"/>
                  <w:sz w:val="18"/>
                  <w:szCs w:val="18"/>
                  <w:color w:val="0000EE"/>
                  <w:w w:val="90"/>
                </w:rPr>
                <w:t>Shares Eligible for Future Sale</w:t>
              </w:r>
            </w:hyperlink>
          </w:p>
        </w:tc>
        <w:tc>
          <w:tcPr>
            <w:tcW w:w="920" w:type="dxa"/>
            <w:vAlign w:val="bottom"/>
            <w:tcBorders>
              <w:top w:val="single" w:sz="8" w:color="0000EE"/>
            </w:tcBorders>
            <w:gridSpan w:val="2"/>
          </w:tcPr>
          <w:p>
            <w:pPr>
              <w:spacing w:after="0"/>
              <w:rPr>
                <w:sz w:val="17"/>
                <w:szCs w:val="17"/>
                <w:color w:val="auto"/>
              </w:rPr>
            </w:pPr>
          </w:p>
        </w:tc>
        <w:tc>
          <w:tcPr>
            <w:tcW w:w="19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Exchange Rate Information</w:t>
              </w:r>
            </w:hyperlink>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65</w:t>
            </w:r>
          </w:p>
        </w:tc>
        <w:tc>
          <w:tcPr>
            <w:tcW w:w="5080" w:type="dxa"/>
            <w:vAlign w:val="bottom"/>
            <w:gridSpan w:val="14"/>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Taxation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20"/>
        </w:trPr>
        <w:tc>
          <w:tcPr>
            <w:tcW w:w="198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0"/>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Enforceability of Civil Liabilities</w:t>
              </w:r>
            </w:hyperlink>
          </w:p>
        </w:tc>
        <w:tc>
          <w:tcPr>
            <w:tcW w:w="2680" w:type="dxa"/>
            <w:vAlign w:val="bottom"/>
            <w:gridSpan w:val="4"/>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66</w:t>
            </w:r>
          </w:p>
        </w:tc>
        <w:tc>
          <w:tcPr>
            <w:tcW w:w="5080" w:type="dxa"/>
            <w:vAlign w:val="bottom"/>
            <w:gridSpan w:val="14"/>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0"/>
          </w:tcPr>
          <w:p>
            <w:pPr>
              <w:spacing w:after="0" w:line="196"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Corporate History and Structure</w:t>
              </w:r>
            </w:hyperlink>
          </w:p>
        </w:tc>
        <w:tc>
          <w:tcPr>
            <w:tcW w:w="2680" w:type="dxa"/>
            <w:vAlign w:val="bottom"/>
            <w:gridSpan w:val="4"/>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68</w:t>
            </w:r>
          </w:p>
        </w:tc>
        <w:tc>
          <w:tcPr>
            <w:tcW w:w="5080" w:type="dxa"/>
            <w:vAlign w:val="bottom"/>
            <w:gridSpan w:val="14"/>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Expenses Relating to This Offering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186</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Selected Consolidated Financial and Other Data</w:t>
              </w:r>
            </w:hyperlink>
          </w:p>
        </w:tc>
        <w:tc>
          <w:tcPr>
            <w:tcW w:w="1620" w:type="dxa"/>
            <w:vAlign w:val="bottom"/>
            <w:gridSpan w:val="3"/>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73</w:t>
            </w:r>
          </w:p>
        </w:tc>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92">
              <w:r>
                <w:rPr>
                  <w:rFonts w:ascii="Arial" w:cs="Arial" w:eastAsia="Arial" w:hAnsi="Arial"/>
                  <w:sz w:val="18"/>
                  <w:szCs w:val="18"/>
                  <w:color w:val="0000EE"/>
                  <w:w w:val="89"/>
                </w:rPr>
                <w:t>Legal Matters</w:t>
              </w:r>
            </w:hyperlink>
          </w:p>
        </w:tc>
        <w:tc>
          <w:tcPr>
            <w:tcW w:w="408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w:t>
              </w:r>
            </w:hyperlink>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4"/>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Experts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and Results of Operations</w:t>
              </w:r>
            </w:hyperlink>
          </w:p>
        </w:tc>
        <w:tc>
          <w:tcPr>
            <w:tcW w:w="250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75</w:t>
            </w:r>
          </w:p>
        </w:tc>
        <w:tc>
          <w:tcPr>
            <w:tcW w:w="32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94">
              <w:r>
                <w:rPr>
                  <w:rFonts w:ascii="Arial" w:cs="Arial" w:eastAsia="Arial" w:hAnsi="Arial"/>
                  <w:sz w:val="18"/>
                  <w:szCs w:val="18"/>
                  <w:color w:val="0000EE"/>
                  <w:w w:val="92"/>
                </w:rPr>
                <w:t>Where You Can Find Additional Information</w:t>
              </w:r>
            </w:hyperlink>
          </w:p>
        </w:tc>
        <w:tc>
          <w:tcPr>
            <w:tcW w:w="18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Industry</w:t>
              </w:r>
            </w:hyperlink>
          </w:p>
        </w:tc>
        <w:tc>
          <w:tcPr>
            <w:tcW w:w="4480" w:type="dxa"/>
            <w:vAlign w:val="bottom"/>
            <w:gridSpan w:val="12"/>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w w:val="99"/>
              </w:rPr>
              <w:t>102</w:t>
            </w:r>
          </w:p>
        </w:tc>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95">
              <w:r>
                <w:rPr>
                  <w:rFonts w:ascii="Arial" w:cs="Arial" w:eastAsia="Arial" w:hAnsi="Arial"/>
                  <w:sz w:val="18"/>
                  <w:szCs w:val="18"/>
                  <w:color w:val="0000EE"/>
                  <w:w w:val="89"/>
                </w:rPr>
                <w:t>Index to Consolidated Financial Statements</w:t>
              </w:r>
            </w:hyperlink>
          </w:p>
        </w:tc>
        <w:tc>
          <w:tcPr>
            <w:tcW w:w="19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of the United States.</w:t>
      </w:r>
    </w:p>
    <w:p>
      <w:pPr>
        <w:spacing w:after="0" w:line="16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Until , 2017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 This prospectus contains information from a report commissioned by us and prepared by Frost &amp; Sullivan, an independent market research firm, to provide information on the online marketing market in China.</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w:t>
      </w:r>
    </w:p>
    <w:p>
      <w:pPr>
        <w:spacing w:after="0" w:line="187" w:lineRule="exact"/>
        <w:rPr>
          <w:sz w:val="20"/>
          <w:szCs w:val="20"/>
          <w:color w:val="auto"/>
        </w:rPr>
      </w:pPr>
    </w:p>
    <w:p>
      <w:pPr>
        <w:ind w:left="200" w:right="60" w:firstLine="443"/>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continous basis, typically include information on a user’s attributes, such as his or her demographics, geographic location, device preference, spending history, personal interest and other online or offline behavioral pattern. In the 30 days leading up to April 15, 2017, we analyzed approximately 651.6 million active profiled users with 23 attributes on average for each such profile. Leveraging our sophisticated automation and deep learning technologies, we continually refine our big data analytics and update our user profiles to address the evolving needs of our customers,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left="200" w:right="200" w:firstLine="443"/>
        <w:spacing w:after="0" w:line="284" w:lineRule="auto"/>
        <w:rPr>
          <w:sz w:val="20"/>
          <w:szCs w:val="20"/>
          <w:color w:val="auto"/>
        </w:rPr>
      </w:pPr>
      <w:r>
        <w:rPr>
          <w:rFonts w:ascii="Arial" w:cs="Arial" w:eastAsia="Arial" w:hAnsi="Arial"/>
          <w:sz w:val="16"/>
          <w:szCs w:val="16"/>
          <w:color w:val="auto"/>
        </w:rPr>
        <w:t>Our platform appeals to marketers by offering omni-channel reach to the Chinese audience. We provide our customers one-stop access to a wide variety of cross-channel content distribution opportunities, including those from leading online publishers in China. We offer both mobile audience solutions and other solutions based on channels desired by our customers. Our mobile audience solutions are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displays, PC video advertisements and search engine marketing. In the 30 days leading up to April 15, 2017, we covered approximately 72,000 mobile apps and</w:t>
      </w:r>
    </w:p>
    <w:p>
      <w:pPr>
        <w:spacing w:after="0" w:line="5" w:lineRule="exact"/>
        <w:rPr>
          <w:sz w:val="20"/>
          <w:szCs w:val="20"/>
          <w:color w:val="auto"/>
        </w:rPr>
      </w:pPr>
    </w:p>
    <w:p>
      <w:pPr>
        <w:ind w:left="200" w:right="360"/>
        <w:spacing w:after="0" w:line="290" w:lineRule="auto"/>
        <w:rPr>
          <w:sz w:val="20"/>
          <w:szCs w:val="20"/>
          <w:color w:val="auto"/>
        </w:rPr>
      </w:pPr>
      <w:r>
        <w:rPr>
          <w:rFonts w:ascii="Arial" w:cs="Arial" w:eastAsia="Arial" w:hAnsi="Arial"/>
          <w:sz w:val="17"/>
          <w:szCs w:val="17"/>
          <w:color w:val="auto"/>
        </w:rPr>
        <w:t>2.3 million websites. We work closely with our content distribution partners to facilitate innovative and effective audience engagement. In 2016, our gross billing from mobile audience solutions and other solutions amounted to US$112.4 million and US$123.8 million,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firstLine="443"/>
        <w:spacing w:after="0" w:line="279" w:lineRule="auto"/>
        <w:rPr>
          <w:sz w:val="20"/>
          <w:szCs w:val="20"/>
          <w:color w:val="auto"/>
        </w:rPr>
      </w:pPr>
      <w:r>
        <w:rPr>
          <w:rFonts w:ascii="Arial" w:cs="Arial" w:eastAsia="Arial" w:hAnsi="Arial"/>
          <w:sz w:val="17"/>
          <w:szCs w:val="17"/>
          <w:color w:val="auto"/>
        </w:rPr>
        <w:t>We take a flexible approach to the delivery model of our solutions in order to cater to the preferences, levels of internal resources and sophistication of customers. Customers may choose to access our solutions through (i) a self-service model, under which they have the flexibility to utilize our solutions “a la carte” to complement their existing marketing resources, and (ii) a managed service model, where our account management team provides in-depth services that suit customers’ specified marketing objectives and budgets utilizing our solutions.</w:t>
      </w:r>
    </w:p>
    <w:p>
      <w:pPr>
        <w:spacing w:after="0" w:line="171" w:lineRule="exact"/>
        <w:rPr>
          <w:sz w:val="20"/>
          <w:szCs w:val="20"/>
          <w:color w:val="auto"/>
        </w:rPr>
      </w:pPr>
    </w:p>
    <w:p>
      <w:pPr>
        <w:ind w:left="200" w:right="140" w:firstLine="443"/>
        <w:spacing w:after="0" w:line="302" w:lineRule="auto"/>
        <w:rPr>
          <w:sz w:val="20"/>
          <w:szCs w:val="20"/>
          <w:color w:val="auto"/>
        </w:rPr>
      </w:pPr>
      <w:r>
        <w:rPr>
          <w:rFonts w:ascii="Arial" w:cs="Arial" w:eastAsia="Arial" w:hAnsi="Arial"/>
          <w:sz w:val="16"/>
          <w:szCs w:val="16"/>
          <w:color w:val="auto"/>
        </w:rPr>
        <w:t>The success of our solutions is evidenced by our strong, diverse and loyal customer base from a broad range of industry verticals, including banking and finance, entertainment and media, and E-commerce. Our customers include direct marketer customers and marketing agencies, and feature companies of different sizes, including more than 150 multinationals companies in 2016, as well as small and medium-sized enterprises, and from different geographic regions in and outside China. We derived over 70% of our gross billing from direct marketer customers in 2015 and 2016.</w:t>
      </w:r>
    </w:p>
    <w:p>
      <w:pPr>
        <w:spacing w:after="0" w:line="154" w:lineRule="exact"/>
        <w:rPr>
          <w:sz w:val="20"/>
          <w:szCs w:val="20"/>
          <w:color w:val="auto"/>
        </w:rPr>
      </w:pPr>
    </w:p>
    <w:p>
      <w:pPr>
        <w:ind w:left="200" w:right="280" w:firstLine="443"/>
        <w:spacing w:after="0" w:line="259" w:lineRule="auto"/>
        <w:rPr>
          <w:sz w:val="20"/>
          <w:szCs w:val="20"/>
          <w:color w:val="auto"/>
        </w:rPr>
      </w:pPr>
      <w:r>
        <w:rPr>
          <w:rFonts w:ascii="Arial" w:cs="Arial" w:eastAsia="Arial" w:hAnsi="Arial"/>
          <w:sz w:val="18"/>
          <w:szCs w:val="18"/>
          <w:color w:val="auto"/>
        </w:rPr>
        <w:t>We generate revenues primarily from customers’ marketing spend through our platform as they utilize our solutions, and to a lesser extent from rebates from certain publishers. We have achieved rapid growth in recent years. Our gross billing grew by 32.5% from US$178.2 million in 2015 to US$236.3 million in 2016 and our net revenues grew by 46.2% from US$65.2 million in 2015 to US$95.4 million in 2016. Our net loss was US$39.7 million and US$27.3 million in 2015 and 2016, respectively.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With an estimated growth of per capita disposable income of urban households at a compound annual growth rate, or CAGR, of 7.6% between 2016 and 2021, China represents one of the most important geographies for many marketers, and online marketing has become one of the most attractive options to those marketers in light of the increasing mobile and internet penetration in China, according to Frost &amp; Sullivan. Total online marketing spend in China grew from RMB152.6 billion in 2012 to RMB343.4 billion in 2016, representing a CAGR, of 22.5%, and is expected to reach RMB767.1 billion in 2021, representing a CAGR of 17.4% from 2016 to 2021. In 2016, online marketing spend accounted for approximately 37.2% of total marketing spend in China, surging from 21.9% in 2012. This percentage is expected to continue to increase in the coming years, reaching approximately 52.3% in 2020, when online marketing surpasses offline marketing as the primary segment in China’s marketing industry.</w:t>
      </w:r>
    </w:p>
    <w:p>
      <w:pPr>
        <w:spacing w:after="0" w:line="167"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Technologies enable marketers to optimize marketing resources and to create and deliver tailored marketing content to a wide range of audience effectively and efficiently, and provide instrumental data insights and feedbacks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 China’s online marketing technology market is expected to grow faster than the market in the United States. Compared to more mature online marketing technology markets, marketers in China typically have smaller marketing departments, thereby creating opportunities for independent online marketing technology companies like us to provide value added service.</w:t>
      </w:r>
    </w:p>
    <w:p>
      <w:pPr>
        <w:spacing w:after="0" w:line="189" w:lineRule="exact"/>
        <w:rPr>
          <w:sz w:val="20"/>
          <w:szCs w:val="20"/>
          <w:color w:val="auto"/>
        </w:rPr>
      </w:pPr>
    </w:p>
    <w:p>
      <w:pPr>
        <w:ind w:left="200" w:right="240" w:firstLine="443"/>
        <w:spacing w:after="0" w:line="297" w:lineRule="auto"/>
        <w:rPr>
          <w:sz w:val="20"/>
          <w:szCs w:val="20"/>
          <w:color w:val="auto"/>
        </w:rPr>
      </w:pPr>
      <w:r>
        <w:rPr>
          <w:rFonts w:ascii="Arial" w:cs="Arial" w:eastAsia="Arial" w:hAnsi="Arial"/>
          <w:sz w:val="16"/>
          <w:szCs w:val="16"/>
          <w:color w:val="auto"/>
        </w:rPr>
        <w:t>Independent online marketing technology companies, which are online marketing technology companies that do not own, or are not part of any group which owns, any online publishing resources, generally have access to more diverse sources of data and wider range of content distribution opportunities and are perceived to have the ability to provide more neutral and unbiased value proposition to marketers. 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We believe that the following competitive strengths have contributed to our success, differentiated us from our competitors and will continue to support our growth:</w:t>
      </w:r>
    </w:p>
    <w:p>
      <w:pPr>
        <w:spacing w:after="0" w:line="76" w:lineRule="exact"/>
        <w:rPr>
          <w:sz w:val="20"/>
          <w:szCs w:val="20"/>
          <w:color w:val="auto"/>
        </w:rPr>
      </w:pPr>
    </w:p>
    <w:p>
      <w:pPr>
        <w:ind w:left="1060" w:right="160" w:hanging="323"/>
        <w:spacing w:after="0" w:line="25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independent online marketing technology platform in China with a highly scalable and flexible business model. </w:t>
      </w:r>
      <w:r>
        <w:rPr>
          <w:rFonts w:ascii="Arial" w:cs="Arial" w:eastAsia="Arial" w:hAnsi="Arial"/>
          <w:sz w:val="18"/>
          <w:szCs w:val="18"/>
          <w:color w:val="auto"/>
        </w:rPr>
        <w:t>We were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largest independent online marketing technology platform in China in terms of gross billing in 2016, according to Frost &amp; Sullivan. As one of the first independent online marketing technology platforms in China to apply a data-driven approach to address marketers’ needs, our business has grown rapidly. In 2016, our gross billing reached US$236.3 million, up by 32.5% from 2015, leading to net revenue of US$95.4 million, up by 46.2% from 2015.</w:t>
      </w:r>
    </w:p>
    <w:p>
      <w:pPr>
        <w:spacing w:after="0" w:line="93" w:lineRule="exact"/>
        <w:rPr>
          <w:rFonts w:ascii="Arial" w:cs="Arial" w:eastAsia="Arial" w:hAnsi="Arial"/>
          <w:sz w:val="18"/>
          <w:szCs w:val="18"/>
          <w:color w:val="auto"/>
        </w:rPr>
      </w:pPr>
    </w:p>
    <w:p>
      <w:pPr>
        <w:jc w:val="both"/>
        <w:ind w:left="1060" w:right="180" w:hanging="323"/>
        <w:spacing w:after="0" w:line="30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Largest independent Chinese consumer data set with omni-channel, targeted audience reach. </w:t>
      </w:r>
      <w:r>
        <w:rPr>
          <w:rFonts w:ascii="Arial" w:cs="Arial" w:eastAsia="Arial" w:hAnsi="Arial"/>
          <w:sz w:val="16"/>
          <w:szCs w:val="16"/>
          <w:color w:val="auto"/>
        </w:rPr>
        <w:t>We had the largest Chinese consumer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 in terms of number of active profiled users in 2016 among independent online marketing technology companies in China, according to Frost &amp; Sullivan. In the 30 days leading up to April 15, 2017, we analyzed data of approximately 651.6 million active profiled users. The average daily volume of the data we collected reached 1.2 terabytes in the 30 days leading up to April 15, 2017.</w:t>
      </w:r>
    </w:p>
    <w:p>
      <w:pPr>
        <w:spacing w:after="0" w:line="59" w:lineRule="exact"/>
        <w:rPr>
          <w:rFonts w:ascii="Arial" w:cs="Arial" w:eastAsia="Arial" w:hAnsi="Arial"/>
          <w:sz w:val="16"/>
          <w:szCs w:val="16"/>
          <w:color w:val="auto"/>
        </w:rPr>
      </w:pPr>
    </w:p>
    <w:p>
      <w:pPr>
        <w:ind w:left="1060" w:hanging="323"/>
        <w:spacing w:after="0" w:line="297"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sophisticated and automated platform powered by proprietary, cutting-edge technologies. </w:t>
      </w:r>
      <w:r>
        <w:rPr>
          <w:rFonts w:ascii="Arial" w:cs="Arial" w:eastAsia="Arial" w:hAnsi="Arial"/>
          <w:sz w:val="16"/>
          <w:szCs w:val="16"/>
          <w:color w:val="auto"/>
        </w:rPr>
        <w:t>Our automated online marketing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powered by cutting-edge and proprietary technologies. Our refined big data analytics enable us to offer more effective marketing solutions, and increase our operational efficiency while ensuring the stability of our data and platform. Our marketing platform is built on highly scalable and reliable cloud-based infrastructure. This allows us to harness large quantities of real-time data and ensures high speed performance at a larger scale to accommodate more customers and increased complexity of their online marketing campaigns.</w:t>
      </w:r>
    </w:p>
    <w:p>
      <w:pPr>
        <w:spacing w:after="0" w:line="63" w:lineRule="exact"/>
        <w:rPr>
          <w:rFonts w:ascii="Arial" w:cs="Arial" w:eastAsia="Arial" w:hAnsi="Arial"/>
          <w:sz w:val="16"/>
          <w:szCs w:val="16"/>
          <w:color w:val="auto"/>
        </w:rPr>
      </w:pPr>
    </w:p>
    <w:p>
      <w:pPr>
        <w:ind w:left="1060" w:right="20" w:hanging="323"/>
        <w:spacing w:after="0" w:line="297"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diverse and loyal customer base. </w:t>
      </w:r>
      <w:r>
        <w:rPr>
          <w:rFonts w:ascii="Arial" w:cs="Arial" w:eastAsia="Arial" w:hAnsi="Arial"/>
          <w:sz w:val="16"/>
          <w:szCs w:val="16"/>
          <w:color w:val="auto"/>
        </w:rPr>
        <w:t>We have a strong and diverse customer base from a broad range of industry verticals,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banking and finance, entertainment and media, and E-commerce. Our customers include over 150 multinational companies in 2016, making us the No.1 independent online marketing technology platform bridging the largest number of multinational companies to the Chinese market, according to Frost &amp; Sullivan. Our diverse customer base also includes small and medium-sized enterprises. We provide tailored and user-friendly solutions to cater to customers and marketers of different levels of sophistication and from different industry verticals.</w:t>
      </w:r>
    </w:p>
    <w:p>
      <w:pPr>
        <w:spacing w:after="0" w:line="63" w:lineRule="exact"/>
        <w:rPr>
          <w:rFonts w:ascii="Arial" w:cs="Arial" w:eastAsia="Arial" w:hAnsi="Arial"/>
          <w:sz w:val="16"/>
          <w:szCs w:val="16"/>
          <w:color w:val="auto"/>
        </w:rPr>
      </w:pPr>
    </w:p>
    <w:p>
      <w:pPr>
        <w:ind w:left="1060" w:right="80" w:hanging="323"/>
        <w:spacing w:after="0" w:line="25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knowledge and familiarity with China’s online marketing industry. </w:t>
      </w:r>
      <w:r>
        <w:rPr>
          <w:rFonts w:ascii="Arial" w:cs="Arial" w:eastAsia="Arial" w:hAnsi="Arial"/>
          <w:sz w:val="18"/>
          <w:szCs w:val="18"/>
          <w:color w:val="auto"/>
        </w:rPr>
        <w:t>We provide marketers with one-stop access to a wide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cross-channel audience engagement opportunities in China. We are one of the first independent online marketing technology platforms in China to apply a data-driven approach to address marketers’ needs in China, and we have fostered in-depth knowledge of, and cooperation with leading online channels covering approximately 72,000 mobile apps and 2.3 million websites in the 30 days leading up to April 15, 2017, to help marketers, especially multinational marketers, navigate through the fragmented landscapes to identify and reach their potential customers.</w:t>
      </w:r>
    </w:p>
    <w:p>
      <w:pPr>
        <w:spacing w:after="0" w:line="98" w:lineRule="exact"/>
        <w:rPr>
          <w:rFonts w:ascii="Arial" w:cs="Arial" w:eastAsia="Arial" w:hAnsi="Arial"/>
          <w:sz w:val="18"/>
          <w:szCs w:val="18"/>
          <w:color w:val="auto"/>
        </w:rPr>
      </w:pPr>
    </w:p>
    <w:p>
      <w:pPr>
        <w:ind w:left="1060" w:hanging="323"/>
        <w:spacing w:after="0" w:line="25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leadership with proven track record of organic growth and acquisition execution. </w:t>
      </w:r>
      <w:r>
        <w:rPr>
          <w:rFonts w:ascii="Arial" w:cs="Arial" w:eastAsia="Arial" w:hAnsi="Arial"/>
          <w:sz w:val="18"/>
          <w:szCs w:val="18"/>
          <w:color w:val="auto"/>
        </w:rPr>
        <w:t>Our success is attributable to the deep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and proven execution track record of our senior management team, with global perspectives and insightful knowledge in both technology and the online marketing industry. Our management team’s experience in multinational companies and roots in China enables us to expand our network and reach in the fragmented and complex Chinese online marketing market as well as develop in-depth understanding of the needs of multinational companies.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131" w:lineRule="exact"/>
        <w:rPr>
          <w:sz w:val="20"/>
          <w:szCs w:val="20"/>
          <w:color w:val="auto"/>
        </w:rPr>
      </w:pPr>
    </w:p>
    <w:p>
      <w:pPr>
        <w:ind w:left="1060" w:right="120" w:hanging="323"/>
        <w:spacing w:after="0" w:line="28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Optimize and diversify our customer base. </w:t>
      </w:r>
      <w:r>
        <w:rPr>
          <w:rFonts w:ascii="Arial" w:cs="Arial" w:eastAsia="Arial" w:hAnsi="Arial"/>
          <w:sz w:val="17"/>
          <w:szCs w:val="17"/>
          <w:color w:val="auto"/>
        </w:rPr>
        <w:t>We plan to continue to optimize and diversify our customer base, including attracting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our self-service model, and customers from additional industry verticals and geographic markets, through developing and offering more tailored and user-friendly solutions and services, and enhancing our sales and marketing efforts.</w:t>
      </w:r>
    </w:p>
    <w:p>
      <w:pPr>
        <w:spacing w:after="0" w:line="70" w:lineRule="exact"/>
        <w:rPr>
          <w:rFonts w:ascii="Arial" w:cs="Arial" w:eastAsia="Arial" w:hAnsi="Arial"/>
          <w:sz w:val="17"/>
          <w:szCs w:val="17"/>
          <w:color w:val="auto"/>
        </w:rPr>
      </w:pPr>
    </w:p>
    <w:p>
      <w:pPr>
        <w:ind w:left="1060" w:right="140" w:hanging="323"/>
        <w:spacing w:after="0" w:line="25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customer marketing spend on our platform. </w:t>
      </w:r>
      <w:r>
        <w:rPr>
          <w:rFonts w:ascii="Arial" w:cs="Arial" w:eastAsia="Arial" w:hAnsi="Arial"/>
          <w:sz w:val="18"/>
          <w:szCs w:val="18"/>
          <w:color w:val="auto"/>
        </w:rPr>
        <w:t>We intend to offer new features and enhanced functionalities on our platform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more effective and comprehensive solutions, especially mobile audience solutions. In addition, we are working on new partnership initiatives, which would make third-party applications available to our customers through our platform directly, further enhancing customer experience and hence increasing the stickiness of our platform. We also intend to explore innovative audience engagement formats across multiple channels, in particular on mobile apps.</w:t>
      </w:r>
    </w:p>
    <w:p>
      <w:pPr>
        <w:spacing w:after="0" w:line="93" w:lineRule="exact"/>
        <w:rPr>
          <w:rFonts w:ascii="Arial" w:cs="Arial" w:eastAsia="Arial" w:hAnsi="Arial"/>
          <w:sz w:val="18"/>
          <w:szCs w:val="18"/>
          <w:color w:val="auto"/>
        </w:rPr>
      </w:pPr>
    </w:p>
    <w:p>
      <w:pPr>
        <w:ind w:left="1060" w:right="20" w:hanging="323"/>
        <w:spacing w:after="0" w:line="27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enlarge audience data set, strengthen data analytics capabilities and innovate technologies. </w:t>
      </w:r>
      <w:r>
        <w:rPr>
          <w:rFonts w:ascii="Arial" w:cs="Arial" w:eastAsia="Arial" w:hAnsi="Arial"/>
          <w:sz w:val="17"/>
          <w:szCs w:val="17"/>
          <w:color w:val="auto"/>
        </w:rPr>
        <w:t>We will continue to collaborate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customers, publishers and other third-party partners to increase the dimensions and varieties of our data assets. We also plan to continue investing in data science technologies, including refreshing and upgrading data modeling and segmentation technologies to meet customer demands in different market segments and industry verticals. In addition, we plan to upgrade our technical infrastructure to support our growing data set and data analytics capabilities as we continue to expand.</w:t>
      </w:r>
    </w:p>
    <w:p>
      <w:pPr>
        <w:spacing w:after="0" w:line="77" w:lineRule="exact"/>
        <w:rPr>
          <w:rFonts w:ascii="Arial" w:cs="Arial" w:eastAsia="Arial" w:hAnsi="Arial"/>
          <w:sz w:val="17"/>
          <w:szCs w:val="17"/>
          <w:color w:val="auto"/>
        </w:rPr>
      </w:pPr>
    </w:p>
    <w:p>
      <w:pPr>
        <w:ind w:left="1060" w:hanging="323"/>
        <w:spacing w:after="0" w:line="279"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Extend data application across more aspects in online marketing and beyond. </w:t>
      </w:r>
      <w:r>
        <w:rPr>
          <w:rFonts w:ascii="Arial" w:cs="Arial" w:eastAsia="Arial" w:hAnsi="Arial"/>
          <w:sz w:val="17"/>
          <w:szCs w:val="17"/>
          <w:color w:val="auto"/>
        </w:rPr>
        <w:t>We intend to broaden our solution offerings across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aspects in online marketing, including content creation and customer relationship management. We also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76" w:lineRule="exact"/>
        <w:rPr>
          <w:rFonts w:ascii="Arial" w:cs="Arial" w:eastAsia="Arial" w:hAnsi="Arial"/>
          <w:sz w:val="17"/>
          <w:szCs w:val="17"/>
          <w:color w:val="auto"/>
        </w:rPr>
      </w:pPr>
    </w:p>
    <w:p>
      <w:pPr>
        <w:ind w:left="1060" w:right="40" w:hanging="323"/>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alliance and acquisition opportunities. </w:t>
      </w:r>
      <w:r>
        <w:rPr>
          <w:rFonts w:ascii="Arial" w:cs="Arial" w:eastAsia="Arial" w:hAnsi="Arial"/>
          <w:sz w:val="18"/>
          <w:szCs w:val="18"/>
          <w:color w:val="auto"/>
        </w:rPr>
        <w:t>We plan to continue to explore investment, acquisition and business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and will consider opportunities that complement or enhance our existing operations and are strategically beneficial to our long-term goals.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execute our strategies is subject to risks and uncertainties, including those relating to our ability to:</w:t>
      </w:r>
    </w:p>
    <w:p>
      <w:pPr>
        <w:spacing w:after="0" w:line="131"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 existing customers;</w:t>
      </w:r>
    </w:p>
    <w:p>
      <w:pPr>
        <w:spacing w:after="0" w:line="130" w:lineRule="exact"/>
        <w:rPr>
          <w:rFonts w:ascii="Arial" w:cs="Arial" w:eastAsia="Arial" w:hAnsi="Arial"/>
          <w:sz w:val="18"/>
          <w:szCs w:val="18"/>
          <w:color w:val="auto"/>
        </w:rPr>
      </w:pPr>
    </w:p>
    <w:p>
      <w:pPr>
        <w:ind w:left="1060" w:right="52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new customers and further diversify our customer base, including more customers to use our solutions on a self-serve basis and marketers from new industries and geographic regions;</w:t>
      </w:r>
    </w:p>
    <w:p>
      <w:pPr>
        <w:spacing w:after="0" w:line="75" w:lineRule="exact"/>
        <w:rPr>
          <w:rFonts w:ascii="Arial" w:cs="Arial" w:eastAsia="Arial" w:hAnsi="Arial"/>
          <w:sz w:val="18"/>
          <w:szCs w:val="18"/>
          <w:color w:val="auto"/>
        </w:rPr>
      </w:pPr>
    </w:p>
    <w:p>
      <w:pPr>
        <w:ind w:left="1060" w:right="160" w:hanging="323"/>
        <w:spacing w:after="0" w:line="308"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51" w:lineRule="exact"/>
        <w:rPr>
          <w:rFonts w:ascii="Arial" w:cs="Arial" w:eastAsia="Arial" w:hAnsi="Arial"/>
          <w:sz w:val="17"/>
          <w:szCs w:val="17"/>
          <w:color w:val="auto"/>
        </w:rPr>
      </w:pPr>
    </w:p>
    <w:p>
      <w:pPr>
        <w:ind w:left="1060" w:right="54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we scale up;</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face risks and uncertainties related to our corporate structure and regulatory environment in China, including:</w:t>
      </w:r>
    </w:p>
    <w:p>
      <w:pPr>
        <w:spacing w:after="0" w:line="131" w:lineRule="exact"/>
        <w:rPr>
          <w:sz w:val="20"/>
          <w:szCs w:val="20"/>
          <w:color w:val="auto"/>
        </w:rPr>
      </w:pPr>
    </w:p>
    <w:p>
      <w:pPr>
        <w:ind w:left="1060" w:right="140" w:hanging="323"/>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transfer all the customer contracts of our variable interest entity, or VIE, to our wholly owned PRC subsidiary in a timely manner or at all, in which case we will continue to rely on the contractual arrangements that establish the structure for certain of our operations in China;</w:t>
      </w:r>
    </w:p>
    <w:p>
      <w:pPr>
        <w:spacing w:after="0" w:line="86" w:lineRule="exact"/>
        <w:rPr>
          <w:rFonts w:ascii="Arial" w:cs="Arial" w:eastAsia="Arial" w:hAnsi="Arial"/>
          <w:sz w:val="18"/>
          <w:szCs w:val="18"/>
          <w:color w:val="auto"/>
        </w:rPr>
      </w:pPr>
    </w:p>
    <w:p>
      <w:pPr>
        <w:ind w:left="1060" w:right="2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contractual arrangements with our variable interest entity and its shareholders for a significant portion of our business operations, which may not be as effective as direct ownership in providing operational control;</w:t>
      </w:r>
    </w:p>
    <w:p>
      <w:pPr>
        <w:spacing w:after="0" w:line="75" w:lineRule="exact"/>
        <w:rPr>
          <w:rFonts w:ascii="Arial" w:cs="Arial" w:eastAsia="Arial" w:hAnsi="Arial"/>
          <w:sz w:val="18"/>
          <w:szCs w:val="18"/>
          <w:color w:val="auto"/>
        </w:rPr>
      </w:pPr>
    </w:p>
    <w:p>
      <w:pPr>
        <w:ind w:left="1060" w:right="4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failure by our variable interest entity or its shareholders to perform their obligations under our contractual arrangements with them would have a material adverse effect on our business;</w:t>
      </w:r>
    </w:p>
    <w:p>
      <w:pPr>
        <w:spacing w:after="0" w:line="75" w:lineRule="exact"/>
        <w:rPr>
          <w:rFonts w:ascii="Arial" w:cs="Arial" w:eastAsia="Arial" w:hAnsi="Arial"/>
          <w:sz w:val="18"/>
          <w:szCs w:val="18"/>
          <w:color w:val="auto"/>
        </w:rPr>
      </w:pPr>
    </w:p>
    <w:p>
      <w:pPr>
        <w:ind w:left="1060" w:right="2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required and fail to obtain or maintain a license for our collection of data in China, our business and results of operations may be materially and adversely affected;</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Uncertainties in the interpretation and enforcement of PRC laws and regulations could limit the legal protections available to us; and</w:t>
      </w:r>
    </w:p>
    <w:p>
      <w:pPr>
        <w:spacing w:after="0" w:line="142" w:lineRule="exact"/>
        <w:rPr>
          <w:rFonts w:ascii="Arial" w:cs="Arial" w:eastAsia="Arial" w:hAnsi="Arial"/>
          <w:sz w:val="17"/>
          <w:szCs w:val="17"/>
          <w:color w:val="auto"/>
        </w:rPr>
      </w:pPr>
    </w:p>
    <w:p>
      <w:pPr>
        <w:ind w:left="1060" w:right="6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China’s economic, political or social conditions or government policies could have a material adverse effect on our business and results of operations.</w:t>
      </w:r>
    </w:p>
    <w:p>
      <w:pPr>
        <w:spacing w:after="0" w:line="170" w:lineRule="exact"/>
        <w:rPr>
          <w:sz w:val="20"/>
          <w:szCs w:val="20"/>
          <w:color w:val="auto"/>
        </w:rPr>
      </w:pPr>
    </w:p>
    <w:p>
      <w:pPr>
        <w:ind w:left="200" w:right="540" w:firstLine="443"/>
        <w:spacing w:after="0" w:line="277" w:lineRule="auto"/>
        <w:rPr>
          <w:sz w:val="20"/>
          <w:szCs w:val="20"/>
          <w:color w:val="auto"/>
        </w:rPr>
      </w:pPr>
      <w:r>
        <w:rPr>
          <w:rFonts w:ascii="Arial" w:cs="Arial" w:eastAsia="Arial" w:hAnsi="Arial"/>
          <w:sz w:val="18"/>
          <w:szCs w:val="18"/>
          <w:color w:val="auto"/>
        </w:rPr>
        <w:t>Please see “Risk Factors” and other information included in this prospectus for a detailed discussion of these challenges and other risks and uncertainties that we face.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Corporate Structure</w:t>
      </w:r>
    </w:p>
    <w:p>
      <w:pPr>
        <w:spacing w:after="0" w:line="121"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7"/>
          <w:szCs w:val="17"/>
          <w:color w:val="auto"/>
        </w:rPr>
        <w:t>We commenced our online marketing business in 2009. In February 2010, we restructured our holding structure by incorporating Optimix Media Asia Limited in the Cayman Islands as the holding company of Optimix Media Asia Limited, or Optimix HK, to facilitate financing and offshore listing. In March 2017, we changed our name from Optimix Media Asia Limited to iClick Interactive Asia Group Limited.</w:t>
      </w:r>
    </w:p>
    <w:p>
      <w:pPr>
        <w:spacing w:after="0" w:line="16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In July 2015, we substantially expanded our online marketing business into mobile channels by acquiring all shares in OptAim Ltd., or OptAim, which operates in China through OptAim (Beijing) Information Technology Co., Ltd., or OptAim Beijing, its wholly owned subsidiary. OptAim Beijing has entered into a set of contractual arrangements with OptAim Network, OptAim Network’s nominee shareholders and Zhiyunzhong, the wholly owned Chinese subsidiary of OptAim Network.</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78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70789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principal subsidiaries, our VIE, and the VIE’s subsidiary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hanging="423"/>
        <w:spacing w:after="0" w:line="25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 We are in the process of registering the equity pledge with the relevant office of the Administration for Industry and Commerce in accordance with the PRC Property Rights Law and expect to complete the above registration by June 2017. Our PRC counsel Jingtian &amp; Gongcheng believes that there is no legal obstacle for us to complete the registration.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47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247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the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 For a description of these contractual arrangements, see “Our History and Corporate Structure.”</w:t>
      </w:r>
    </w:p>
    <w:p>
      <w:pPr>
        <w:spacing w:after="0" w:line="187" w:lineRule="exact"/>
        <w:rPr>
          <w:sz w:val="20"/>
          <w:szCs w:val="20"/>
          <w:color w:val="auto"/>
        </w:rPr>
      </w:pPr>
    </w:p>
    <w:p>
      <w:pPr>
        <w:ind w:left="200" w:right="80" w:firstLine="443"/>
        <w:spacing w:after="0" w:line="257" w:lineRule="auto"/>
        <w:rPr>
          <w:sz w:val="20"/>
          <w:szCs w:val="20"/>
          <w:color w:val="auto"/>
        </w:rPr>
      </w:pPr>
      <w:r>
        <w:rPr>
          <w:rFonts w:ascii="Arial" w:cs="Arial" w:eastAsia="Arial" w:hAnsi="Arial"/>
          <w:sz w:val="18"/>
          <w:szCs w:val="18"/>
          <w:color w:val="auto"/>
        </w:rPr>
        <w:t>The laws and regulations that imposed restrictions on foreign ownership in advertising companies, including the Administrative Provisions on Foreign-Invested Advertising Enterprises were abolished in June 2015. To the extent any current or future business of OptAim Network can be directly operated by our wholly owned subsidiaries under the PRC law, we are in the process of transferring such business to our wholly owned subsidiaries. We expect that by the end of 2018, OptAim Beijing will replace OptAim Network as contracting party for all our mobile audience solution business that are operated by OptAim.</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were formed as a Cayman Islands exempted limited liability company on February 3, 2010 under the name “Optimix Media Asia Limited.” On March 13, 2017, Optimix Media Asia Limited changed its name to iClick Interactive Asia Group Limited. Our principal executive office is at: 15/F, Prosperity Millennia Plaza, 663 King’s Road, Quarry Bay, Hong Kong S.A.R. Our telephone number at this address is (852) 3700 9000. Our registered office in the Cayman Islands is located at: ATC Trustees (Cayman) Limited, Landmark Square, 3rd Floor, 64 Earth Close, Grand Cayman KY1-1203, Cayman Islands. Our agent for service of process in the United States, [Law Debenture Corporate Services, Inc.], is located at: [4th Floor, 400 Madison Avenue, New York, New York 10017].</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Investor should contact us for any inquiries through the address and telephone number of our principal executive offices. Our website 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www.i-click.com</w:t>
      </w:r>
      <w:r>
        <w:rPr>
          <w:rFonts w:ascii="Arial" w:cs="Arial" w:eastAsia="Arial" w:hAnsi="Arial"/>
          <w:sz w:val="18"/>
          <w:szCs w:val="18"/>
          <w:color w:val="auto"/>
        </w:rPr>
        <w:t>. The information contained on our website is not part of this prospectus.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For as long as we remain an emerging growth company, we intend to take advantage of the exemptions discussed in this paragraph.</w:t>
      </w:r>
    </w:p>
    <w:p>
      <w:pPr>
        <w:spacing w:after="0" w:line="193" w:lineRule="exact"/>
        <w:rPr>
          <w:sz w:val="20"/>
          <w:szCs w:val="20"/>
          <w:color w:val="auto"/>
        </w:rPr>
      </w:pPr>
    </w:p>
    <w:p>
      <w:pPr>
        <w:ind w:left="200" w:right="240" w:firstLine="443"/>
        <w:spacing w:after="0" w:line="277" w:lineRule="auto"/>
        <w:rPr>
          <w:sz w:val="20"/>
          <w:szCs w:val="20"/>
          <w:color w:val="auto"/>
        </w:rPr>
      </w:pPr>
      <w:r>
        <w:rPr>
          <w:rFonts w:ascii="Arial" w:cs="Arial" w:eastAsia="Arial" w:hAnsi="Arial"/>
          <w:sz w:val="18"/>
          <w:szCs w:val="18"/>
          <w:color w:val="auto"/>
        </w:rPr>
        <w:t>The JOBS Act also provides that an emerging growth company does not need to comply with any new or revised financial accounting standards until such date that a private company is otherwise required to comply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58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05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81" w:lineRule="exact"/>
        <w:rPr>
          <w:sz w:val="20"/>
          <w:szCs w:val="20"/>
          <w:color w:val="auto"/>
        </w:rPr>
      </w:pPr>
    </w:p>
    <w:p>
      <w:pPr>
        <w:ind w:left="200" w:right="120" w:firstLine="443"/>
        <w:spacing w:after="0" w:line="293" w:lineRule="auto"/>
        <w:rPr>
          <w:sz w:val="20"/>
          <w:szCs w:val="20"/>
          <w:color w:val="auto"/>
        </w:rPr>
      </w:pPr>
      <w:r>
        <w:rPr>
          <w:rFonts w:ascii="Arial" w:cs="Arial" w:eastAsia="Arial" w:hAnsi="Arial"/>
          <w:sz w:val="16"/>
          <w:szCs w:val="16"/>
          <w:color w:val="auto"/>
        </w:rPr>
        <w:t>We will remain an emerging growth company until the earliest of (a) the last day of our fiscal year during which we have total annual gross revenues of at least US$1.07 billion; (b) 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or the context otherwise requires, in this prospectus:</w:t>
      </w:r>
    </w:p>
    <w:p>
      <w:pPr>
        <w:spacing w:after="0" w:line="131" w:lineRule="exact"/>
        <w:rPr>
          <w:sz w:val="20"/>
          <w:szCs w:val="20"/>
          <w:color w:val="auto"/>
        </w:rPr>
      </w:pPr>
    </w:p>
    <w:p>
      <w:pPr>
        <w:ind w:left="1060" w:right="3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7" w:lineRule="exact"/>
        <w:rPr>
          <w:sz w:val="20"/>
          <w:szCs w:val="20"/>
          <w:color w:val="auto"/>
        </w:rPr>
      </w:pPr>
    </w:p>
    <w:p>
      <w:pPr>
        <w:ind w:left="740"/>
        <w:spacing w:after="0"/>
        <w:tabs>
          <w:tab w:leader="none" w:pos="1040" w:val="left"/>
          <w:tab w:leader="none" w:pos="6740" w:val="left"/>
        </w:tabs>
        <w:rPr>
          <w:sz w:val="20"/>
          <w:szCs w:val="20"/>
          <w:color w:val="auto"/>
        </w:rPr>
      </w:pPr>
      <w:r>
        <w:rPr>
          <w:rFonts w:ascii="Arial" w:cs="Arial" w:eastAsia="Arial" w:hAnsi="Arial"/>
          <w:sz w:val="18"/>
          <w:szCs w:val="18"/>
          <w:color w:val="auto"/>
        </w:rPr>
        <w:t>•</w:t>
        <w:tab/>
        <w:t>“ADSs” refers to our American depositary shares, each of which represents</w:t>
      </w:r>
      <w:r>
        <w:rPr>
          <w:sz w:val="20"/>
          <w:szCs w:val="20"/>
          <w:color w:val="auto"/>
        </w:rPr>
        <w:tab/>
      </w:r>
      <w:r>
        <w:rPr>
          <w:rFonts w:ascii="Arial" w:cs="Arial" w:eastAsia="Arial" w:hAnsi="Arial"/>
          <w:sz w:val="16"/>
          <w:szCs w:val="16"/>
          <w:color w:val="auto"/>
        </w:rPr>
        <w:t>ordinary shares;</w:t>
      </w:r>
    </w:p>
    <w:p>
      <w:pPr>
        <w:spacing w:after="0" w:line="131" w:lineRule="exact"/>
        <w:rPr>
          <w:sz w:val="20"/>
          <w:szCs w:val="20"/>
          <w:color w:val="auto"/>
        </w:rPr>
      </w:pPr>
    </w:p>
    <w:p>
      <w:pPr>
        <w:ind w:left="1060" w:right="40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prospectus only, Hong Kong, Macau and Taiwan;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marketer customers” refers to marketers that have direct contractual relationship with us;</w:t>
      </w:r>
    </w:p>
    <w:p>
      <w:pPr>
        <w:spacing w:after="0" w:line="130" w:lineRule="exact"/>
        <w:rPr>
          <w:rFonts w:ascii="Arial" w:cs="Arial" w:eastAsia="Arial" w:hAnsi="Arial"/>
          <w:sz w:val="18"/>
          <w:szCs w:val="18"/>
          <w:color w:val="auto"/>
        </w:rPr>
      </w:pPr>
    </w:p>
    <w:p>
      <w:pPr>
        <w:ind w:left="1060" w:right="8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“end marketers” refers to marketers that are represented by our marketing agency customers and have no direct contractual relationship with us;</w:t>
      </w:r>
    </w:p>
    <w:p>
      <w:pPr>
        <w:spacing w:after="0" w:line="75" w:lineRule="exact"/>
        <w:rPr>
          <w:rFonts w:ascii="Arial" w:cs="Arial" w:eastAsia="Arial" w:hAnsi="Arial"/>
          <w:sz w:val="18"/>
          <w:szCs w:val="18"/>
          <w:color w:val="auto"/>
        </w:rPr>
      </w:pPr>
    </w:p>
    <w:p>
      <w:pPr>
        <w:ind w:left="1060" w:right="68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which do not own any online publishing resources, and are not part of any group which owns any online publishing resources;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142" w:lineRule="exact"/>
        <w:rPr>
          <w:rFonts w:ascii="Arial" w:cs="Arial" w:eastAsia="Arial" w:hAnsi="Arial"/>
          <w:sz w:val="17"/>
          <w:szCs w:val="17"/>
          <w:color w:val="auto"/>
        </w:rPr>
      </w:pPr>
    </w:p>
    <w:p>
      <w:pPr>
        <w:ind w:left="106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“multinational companies” refer to companies that own or control production of goods or provision of services in one or more countries other than their home countries;</w:t>
      </w:r>
    </w:p>
    <w:p>
      <w:pPr>
        <w:spacing w:after="0" w:line="75"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marketers” refers to both direct marketer customers, and end marketers;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customers” refers to entities from which we derive revenue under our marketing campaign contracts;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585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25857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Discrepancies in any table between the amounts identified as total amounts and the sum of the amounts listed therein are due to rounding.</w:t>
      </w:r>
    </w:p>
    <w:p>
      <w:pPr>
        <w:spacing w:after="0" w:line="237" w:lineRule="exact"/>
        <w:rPr>
          <w:sz w:val="20"/>
          <w:szCs w:val="20"/>
          <w:color w:val="auto"/>
        </w:rPr>
      </w:pPr>
    </w:p>
    <w:p>
      <w:pPr>
        <w:ind w:left="200" w:right="120" w:firstLine="443"/>
        <w:spacing w:after="0" w:line="312" w:lineRule="auto"/>
        <w:rPr>
          <w:sz w:val="20"/>
          <w:szCs w:val="20"/>
          <w:color w:val="auto"/>
        </w:rPr>
      </w:pPr>
      <w:r>
        <w:rPr>
          <w:rFonts w:ascii="Arial" w:cs="Arial" w:eastAsia="Arial" w:hAnsi="Arial"/>
          <w:sz w:val="16"/>
          <w:szCs w:val="16"/>
          <w:color w:val="auto"/>
        </w:rPr>
        <w:t>This prospectus contains statistical data that we obtained from various government and private publications. We have not independently verified the data in these reports. Statistical data in these publications also include projections based on a number of assumptions. If any one or more of the assumptions underlying the statistical data turns out to be incorrect, actual results may differ from the projections based on these assumptions.</w:t>
      </w:r>
    </w:p>
    <w:p>
      <w:pPr>
        <w:spacing w:after="0" w:line="147"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Our reporting and functional currency is the U.S. dollar. The functional currency of our subsidiaries and VIE and VIE’s subsidiary in China is Renminbi. The functional currencies of our non-PRC subsidiaries are the respective currencies of the country in which they are domiciled, including Hong Kong dollar, Singapore dollars or New Taiwan dollars. This prospectus contains translations of certain foreign currency amounts into U.S. dollars for the convenience of the reader. Unless otherwise stated, all translations of Renminbi into U.S. dollars in this prospectus were made at the rate of RMB6.9430 to U.S$1.00, being the noon buying rates on December 30, 2016 as set forth in the H.10 statistical release of the U.S. Federal Reserve Board. We make no representation that the Renminbi referred to in this prospectus could have been or could be converted into U.S. dollar at any particular rate or at all. On May 12, 2017, the noon buying rate for Renminbi was RMB6.8972 to US$1.00, as set forth in the H.10 statistical release of the U.S. Federal Reserve Board.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58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058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gridSpan w:val="2"/>
          </w:tcPr>
          <w:p>
            <w:pPr>
              <w:ind w:left="380"/>
              <w:spacing w:after="0"/>
              <w:rPr>
                <w:sz w:val="20"/>
                <w:szCs w:val="20"/>
                <w:color w:val="auto"/>
              </w:rPr>
            </w:pPr>
            <w:r>
              <w:rPr>
                <w:rFonts w:ascii="Arial" w:cs="Arial" w:eastAsia="Arial" w:hAnsi="Arial"/>
                <w:sz w:val="18"/>
                <w:szCs w:val="18"/>
                <w:b w:val="1"/>
                <w:bCs w:val="1"/>
                <w:color w:val="auto"/>
              </w:rPr>
              <w:t>The Offering</w:t>
            </w:r>
          </w:p>
        </w:tc>
        <w:tc>
          <w:tcPr>
            <w:tcW w:w="12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rPr>
              <w:t>The Offering</w:t>
            </w:r>
          </w:p>
        </w:tc>
        <w:tc>
          <w:tcPr>
            <w:tcW w:w="6520" w:type="dxa"/>
            <w:vAlign w:val="bottom"/>
            <w:gridSpan w:val="5"/>
          </w:tcPr>
          <w:p>
            <w:pPr>
              <w:ind w:left="280"/>
              <w:spacing w:after="0"/>
              <w:rPr>
                <w:sz w:val="20"/>
                <w:szCs w:val="20"/>
                <w:color w:val="auto"/>
              </w:rPr>
            </w:pPr>
            <w:r>
              <w:rPr>
                <w:rFonts w:ascii="Arial" w:cs="Arial" w:eastAsia="Arial" w:hAnsi="Arial"/>
                <w:sz w:val="18"/>
                <w:szCs w:val="18"/>
                <w:color w:val="auto"/>
              </w:rPr>
              <w:t>We currently estimate that the initial public offering price will be between US$</w:t>
            </w:r>
          </w:p>
        </w:tc>
        <w:tc>
          <w:tcPr>
            <w:tcW w:w="620" w:type="dxa"/>
            <w:vAlign w:val="bottom"/>
          </w:tcPr>
          <w:p>
            <w:pPr>
              <w:ind w:left="40"/>
              <w:spacing w:after="0"/>
              <w:rPr>
                <w:sz w:val="20"/>
                <w:szCs w:val="20"/>
                <w:color w:val="auto"/>
              </w:rPr>
            </w:pPr>
            <w:r>
              <w:rPr>
                <w:rFonts w:ascii="Arial" w:cs="Arial" w:eastAsia="Arial" w:hAnsi="Arial"/>
                <w:sz w:val="18"/>
                <w:szCs w:val="18"/>
                <w:color w:val="auto"/>
              </w:rPr>
              <w:t>and</w:t>
            </w:r>
          </w:p>
        </w:tc>
      </w:tr>
      <w:tr>
        <w:trPr>
          <w:trHeight w:val="230"/>
        </w:trPr>
        <w:tc>
          <w:tcPr>
            <w:tcW w:w="3920" w:type="dxa"/>
            <w:vAlign w:val="bottom"/>
          </w:tcPr>
          <w:p>
            <w:pPr>
              <w:spacing w:after="0"/>
              <w:rPr>
                <w:sz w:val="20"/>
                <w:szCs w:val="20"/>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US$</w:t>
            </w:r>
          </w:p>
        </w:tc>
        <w:tc>
          <w:tcPr>
            <w:tcW w:w="1240" w:type="dxa"/>
            <w:vAlign w:val="bottom"/>
          </w:tcPr>
          <w:p>
            <w:pPr>
              <w:ind w:left="500"/>
              <w:spacing w:after="0"/>
              <w:rPr>
                <w:sz w:val="20"/>
                <w:szCs w:val="20"/>
                <w:color w:val="auto"/>
              </w:rPr>
            </w:pPr>
            <w:r>
              <w:rPr>
                <w:rFonts w:ascii="Arial" w:cs="Arial" w:eastAsia="Arial" w:hAnsi="Arial"/>
                <w:sz w:val="18"/>
                <w:szCs w:val="18"/>
                <w:color w:val="auto"/>
                <w:w w:val="98"/>
              </w:rPr>
              <w:t>per ADS.</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ADSs offered by us</w:t>
            </w:r>
          </w:p>
        </w:tc>
        <w:tc>
          <w:tcPr>
            <w:tcW w:w="720" w:type="dxa"/>
            <w:vAlign w:val="bottom"/>
          </w:tcPr>
          <w:p>
            <w:pPr>
              <w:spacing w:after="0"/>
              <w:rPr>
                <w:sz w:val="24"/>
                <w:szCs w:val="24"/>
                <w:color w:val="auto"/>
              </w:rPr>
            </w:pPr>
          </w:p>
        </w:tc>
        <w:tc>
          <w:tcPr>
            <w:tcW w:w="1240" w:type="dxa"/>
            <w:vAlign w:val="bottom"/>
          </w:tcPr>
          <w:p>
            <w:pPr>
              <w:ind w:left="140"/>
              <w:spacing w:after="0"/>
              <w:rPr>
                <w:sz w:val="20"/>
                <w:szCs w:val="20"/>
                <w:color w:val="auto"/>
              </w:rPr>
            </w:pPr>
            <w:r>
              <w:rPr>
                <w:rFonts w:ascii="Arial" w:cs="Arial" w:eastAsia="Arial" w:hAnsi="Arial"/>
                <w:sz w:val="18"/>
                <w:szCs w:val="18"/>
                <w:color w:val="auto"/>
              </w:rPr>
              <w:t>ADSs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8"/>
        </w:trPr>
        <w:tc>
          <w:tcPr>
            <w:tcW w:w="3920" w:type="dxa"/>
            <w:vAlign w:val="bottom"/>
          </w:tcPr>
          <w:p>
            <w:pPr>
              <w:spacing w:after="0"/>
              <w:rPr>
                <w:sz w:val="20"/>
                <w:szCs w:val="20"/>
                <w:color w:val="auto"/>
              </w:rPr>
            </w:pPr>
            <w:r>
              <w:rPr>
                <w:rFonts w:ascii="Arial" w:cs="Arial" w:eastAsia="Arial" w:hAnsi="Arial"/>
                <w:sz w:val="18"/>
                <w:szCs w:val="18"/>
                <w:color w:val="auto"/>
              </w:rPr>
              <w:t>ADSs outstanding immediately after this offering</w:t>
            </w:r>
          </w:p>
        </w:tc>
        <w:tc>
          <w:tcPr>
            <w:tcW w:w="720" w:type="dxa"/>
            <w:vAlign w:val="bottom"/>
          </w:tcPr>
          <w:p>
            <w:pPr>
              <w:spacing w:after="0"/>
              <w:rPr>
                <w:sz w:val="24"/>
                <w:szCs w:val="24"/>
                <w:color w:val="auto"/>
              </w:rPr>
            </w:pPr>
          </w:p>
        </w:tc>
        <w:tc>
          <w:tcPr>
            <w:tcW w:w="1240" w:type="dxa"/>
            <w:vAlign w:val="bottom"/>
          </w:tcPr>
          <w:p>
            <w:pPr>
              <w:ind w:left="140"/>
              <w:spacing w:after="0"/>
              <w:rPr>
                <w:sz w:val="20"/>
                <w:szCs w:val="20"/>
                <w:color w:val="auto"/>
              </w:rPr>
            </w:pPr>
            <w:r>
              <w:rPr>
                <w:rFonts w:ascii="Arial" w:cs="Arial" w:eastAsia="Arial" w:hAnsi="Arial"/>
                <w:sz w:val="18"/>
                <w:szCs w:val="18"/>
                <w:color w:val="auto"/>
              </w:rPr>
              <w:t>ADSs (or</w:t>
            </w:r>
          </w:p>
        </w:tc>
        <w:tc>
          <w:tcPr>
            <w:tcW w:w="5180" w:type="dxa"/>
            <w:vAlign w:val="bottom"/>
            <w:gridSpan w:val="4"/>
          </w:tcPr>
          <w:p>
            <w:pPr>
              <w:ind w:left="220"/>
              <w:spacing w:after="0"/>
              <w:rPr>
                <w:sz w:val="20"/>
                <w:szCs w:val="20"/>
                <w:color w:val="auto"/>
              </w:rPr>
            </w:pPr>
            <w:r>
              <w:rPr>
                <w:rFonts w:ascii="Arial" w:cs="Arial" w:eastAsia="Arial" w:hAnsi="Arial"/>
                <w:sz w:val="18"/>
                <w:szCs w:val="18"/>
                <w:color w:val="auto"/>
                <w:w w:val="91"/>
              </w:rPr>
              <w:t>ADSs if the underwriters exercise their option to purchase additional</w:t>
            </w:r>
          </w:p>
        </w:tc>
      </w:tr>
      <w:tr>
        <w:trPr>
          <w:trHeight w:val="230"/>
        </w:trPr>
        <w:tc>
          <w:tcPr>
            <w:tcW w:w="3920" w:type="dxa"/>
            <w:vAlign w:val="bottom"/>
          </w:tcPr>
          <w:p>
            <w:pPr>
              <w:spacing w:after="0"/>
              <w:rPr>
                <w:sz w:val="20"/>
                <w:szCs w:val="20"/>
                <w:color w:val="auto"/>
              </w:rPr>
            </w:pP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ADSs in full)</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w w:val="97"/>
              </w:rPr>
              <w:t>Ordinary shares outstanding immediately after this</w:t>
            </w:r>
          </w:p>
        </w:tc>
        <w:tc>
          <w:tcPr>
            <w:tcW w:w="72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ordinary shares (or</w:t>
            </w:r>
          </w:p>
        </w:tc>
        <w:tc>
          <w:tcPr>
            <w:tcW w:w="4740" w:type="dxa"/>
            <w:vAlign w:val="bottom"/>
            <w:gridSpan w:val="3"/>
          </w:tcPr>
          <w:p>
            <w:pPr>
              <w:ind w:left="460"/>
              <w:spacing w:after="0"/>
              <w:rPr>
                <w:sz w:val="20"/>
                <w:szCs w:val="20"/>
                <w:color w:val="auto"/>
              </w:rPr>
            </w:pPr>
            <w:r>
              <w:rPr>
                <w:rFonts w:ascii="Arial" w:cs="Arial" w:eastAsia="Arial" w:hAnsi="Arial"/>
                <w:sz w:val="18"/>
                <w:szCs w:val="18"/>
                <w:color w:val="auto"/>
                <w:w w:val="92"/>
              </w:rPr>
              <w:t>ordinary shares if the underwriters exercise their option to</w:t>
            </w:r>
          </w:p>
        </w:tc>
      </w:tr>
      <w:tr>
        <w:trPr>
          <w:trHeight w:val="230"/>
        </w:trPr>
        <w:tc>
          <w:tcPr>
            <w:tcW w:w="3920" w:type="dxa"/>
            <w:vAlign w:val="bottom"/>
          </w:tcPr>
          <w:p>
            <w:pPr>
              <w:ind w:left="80"/>
              <w:spacing w:after="0"/>
              <w:rPr>
                <w:sz w:val="20"/>
                <w:szCs w:val="20"/>
                <w:color w:val="auto"/>
              </w:rPr>
            </w:pPr>
            <w:r>
              <w:rPr>
                <w:rFonts w:ascii="Arial" w:cs="Arial" w:eastAsia="Arial" w:hAnsi="Arial"/>
                <w:sz w:val="18"/>
                <w:szCs w:val="18"/>
                <w:color w:val="auto"/>
              </w:rPr>
              <w:t>offering</w:t>
            </w:r>
          </w:p>
        </w:tc>
        <w:tc>
          <w:tcPr>
            <w:tcW w:w="6520" w:type="dxa"/>
            <w:vAlign w:val="bottom"/>
            <w:gridSpan w:val="5"/>
          </w:tcPr>
          <w:p>
            <w:pPr>
              <w:ind w:left="280"/>
              <w:spacing w:after="0"/>
              <w:rPr>
                <w:sz w:val="20"/>
                <w:szCs w:val="20"/>
                <w:color w:val="auto"/>
              </w:rPr>
            </w:pPr>
            <w:r>
              <w:rPr>
                <w:rFonts w:ascii="Arial" w:cs="Arial" w:eastAsia="Arial" w:hAnsi="Arial"/>
                <w:sz w:val="18"/>
                <w:szCs w:val="18"/>
                <w:color w:val="auto"/>
              </w:rPr>
              <w:t>purchase additional ADSs representing ordinary shares in full)</w:t>
            </w:r>
          </w:p>
        </w:tc>
        <w:tc>
          <w:tcPr>
            <w:tcW w:w="620" w:type="dxa"/>
            <w:vAlign w:val="bottom"/>
          </w:tcPr>
          <w:p>
            <w:pPr>
              <w:spacing w:after="0"/>
              <w:rPr>
                <w:sz w:val="20"/>
                <w:szCs w:val="20"/>
                <w:color w:val="auto"/>
              </w:rPr>
            </w:pPr>
          </w:p>
        </w:tc>
      </w:tr>
      <w:tr>
        <w:trPr>
          <w:trHeight w:val="458"/>
        </w:trPr>
        <w:tc>
          <w:tcPr>
            <w:tcW w:w="3920" w:type="dxa"/>
            <w:vAlign w:val="bottom"/>
          </w:tcPr>
          <w:p>
            <w:pPr>
              <w:spacing w:after="0"/>
              <w:rPr>
                <w:sz w:val="20"/>
                <w:szCs w:val="20"/>
                <w:color w:val="auto"/>
              </w:rPr>
            </w:pPr>
            <w:r>
              <w:rPr>
                <w:rFonts w:ascii="Arial" w:cs="Arial" w:eastAsia="Arial" w:hAnsi="Arial"/>
                <w:sz w:val="18"/>
                <w:szCs w:val="18"/>
                <w:color w:val="auto"/>
              </w:rPr>
              <w:t>Option to purchase additional ADSs</w:t>
            </w:r>
          </w:p>
        </w:tc>
        <w:tc>
          <w:tcPr>
            <w:tcW w:w="7140" w:type="dxa"/>
            <w:vAlign w:val="bottom"/>
            <w:gridSpan w:val="6"/>
          </w:tcPr>
          <w:p>
            <w:pPr>
              <w:ind w:left="280"/>
              <w:spacing w:after="0"/>
              <w:rPr>
                <w:sz w:val="20"/>
                <w:szCs w:val="20"/>
                <w:color w:val="auto"/>
              </w:rPr>
            </w:pPr>
            <w:r>
              <w:rPr>
                <w:rFonts w:ascii="Arial" w:cs="Arial" w:eastAsia="Arial" w:hAnsi="Arial"/>
                <w:sz w:val="18"/>
                <w:szCs w:val="18"/>
                <w:color w:val="auto"/>
                <w:w w:val="93"/>
              </w:rPr>
              <w:t>We have granted to the underwriters an option, exercisable for 30 days from the date of this</w:t>
            </w:r>
          </w:p>
        </w:tc>
      </w:tr>
      <w:tr>
        <w:trPr>
          <w:trHeight w:val="230"/>
        </w:trPr>
        <w:tc>
          <w:tcPr>
            <w:tcW w:w="3920" w:type="dxa"/>
            <w:vAlign w:val="bottom"/>
          </w:tcPr>
          <w:p>
            <w:pPr>
              <w:spacing w:after="0"/>
              <w:rPr>
                <w:sz w:val="20"/>
                <w:szCs w:val="20"/>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w w:val="97"/>
              </w:rPr>
              <w:t>prospectus, to purchase up to an additional</w:t>
            </w:r>
          </w:p>
        </w:tc>
        <w:tc>
          <w:tcPr>
            <w:tcW w:w="2860" w:type="dxa"/>
            <w:vAlign w:val="bottom"/>
          </w:tcPr>
          <w:p>
            <w:pPr>
              <w:ind w:left="320"/>
              <w:spacing w:after="0"/>
              <w:rPr>
                <w:sz w:val="20"/>
                <w:szCs w:val="20"/>
                <w:color w:val="auto"/>
              </w:rPr>
            </w:pPr>
            <w:r>
              <w:rPr>
                <w:rFonts w:ascii="Arial" w:cs="Arial" w:eastAsia="Arial" w:hAnsi="Arial"/>
                <w:sz w:val="18"/>
                <w:szCs w:val="18"/>
                <w:color w:val="auto"/>
              </w:rPr>
              <w:t>ADSs from us.</w:t>
            </w:r>
          </w:p>
        </w:tc>
        <w:tc>
          <w:tcPr>
            <w:tcW w:w="62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The ADSs</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w w:val="95"/>
              </w:rPr>
              <w:t>Each ADS represents</w:t>
            </w:r>
          </w:p>
        </w:tc>
        <w:tc>
          <w:tcPr>
            <w:tcW w:w="44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ordinary shares, par value US$0.001 per share.</w:t>
            </w:r>
          </w:p>
        </w:tc>
        <w:tc>
          <w:tcPr>
            <w:tcW w:w="620" w:type="dxa"/>
            <w:vAlign w:val="bottom"/>
          </w:tcPr>
          <w:p>
            <w:pPr>
              <w:spacing w:after="0"/>
              <w:rPr>
                <w:sz w:val="24"/>
                <w:szCs w:val="24"/>
                <w:color w:val="auto"/>
              </w:rPr>
            </w:pPr>
          </w:p>
        </w:tc>
      </w:tr>
      <w:tr>
        <w:trPr>
          <w:trHeight w:val="431"/>
        </w:trPr>
        <w:tc>
          <w:tcPr>
            <w:tcW w:w="3920" w:type="dxa"/>
            <w:vAlign w:val="bottom"/>
          </w:tcPr>
          <w:p>
            <w:pPr>
              <w:spacing w:after="0"/>
              <w:rPr>
                <w:sz w:val="24"/>
                <w:szCs w:val="24"/>
                <w:color w:val="auto"/>
              </w:rPr>
            </w:pPr>
          </w:p>
        </w:tc>
        <w:tc>
          <w:tcPr>
            <w:tcW w:w="7140" w:type="dxa"/>
            <w:vAlign w:val="bottom"/>
            <w:gridSpan w:val="6"/>
          </w:tcPr>
          <w:p>
            <w:pPr>
              <w:ind w:left="280"/>
              <w:spacing w:after="0"/>
              <w:rPr>
                <w:sz w:val="20"/>
                <w:szCs w:val="20"/>
                <w:color w:val="auto"/>
              </w:rPr>
            </w:pPr>
            <w:r>
              <w:rPr>
                <w:rFonts w:ascii="Arial" w:cs="Arial" w:eastAsia="Arial" w:hAnsi="Arial"/>
                <w:sz w:val="18"/>
                <w:szCs w:val="18"/>
                <w:color w:val="auto"/>
                <w:w w:val="96"/>
              </w:rPr>
              <w:t>The depositary will be the holder of the ordinary shares underlying the ADSs and you will</w:t>
            </w:r>
          </w:p>
        </w:tc>
      </w:tr>
      <w:tr>
        <w:trPr>
          <w:trHeight w:val="216"/>
        </w:trPr>
        <w:tc>
          <w:tcPr>
            <w:tcW w:w="3920" w:type="dxa"/>
            <w:vAlign w:val="bottom"/>
          </w:tcPr>
          <w:p>
            <w:pPr>
              <w:spacing w:after="0"/>
              <w:rPr>
                <w:sz w:val="18"/>
                <w:szCs w:val="18"/>
                <w:color w:val="auto"/>
              </w:rPr>
            </w:pPr>
          </w:p>
        </w:tc>
        <w:tc>
          <w:tcPr>
            <w:tcW w:w="6520" w:type="dxa"/>
            <w:vAlign w:val="bottom"/>
            <w:gridSpan w:val="5"/>
          </w:tcPr>
          <w:p>
            <w:pPr>
              <w:ind w:left="280"/>
              <w:spacing w:after="0"/>
              <w:rPr>
                <w:sz w:val="20"/>
                <w:szCs w:val="20"/>
                <w:color w:val="auto"/>
              </w:rPr>
            </w:pPr>
            <w:r>
              <w:rPr>
                <w:rFonts w:ascii="Arial" w:cs="Arial" w:eastAsia="Arial" w:hAnsi="Arial"/>
                <w:sz w:val="18"/>
                <w:szCs w:val="18"/>
                <w:color w:val="auto"/>
                <w:w w:val="91"/>
              </w:rPr>
              <w:t>have the rights of an ADS holder as provided in the deposit agreement among us, the</w:t>
            </w:r>
          </w:p>
        </w:tc>
        <w:tc>
          <w:tcPr>
            <w:tcW w:w="62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6520" w:type="dxa"/>
            <w:vAlign w:val="bottom"/>
            <w:gridSpan w:val="5"/>
          </w:tcPr>
          <w:p>
            <w:pPr>
              <w:ind w:left="280"/>
              <w:spacing w:after="0"/>
              <w:rPr>
                <w:sz w:val="20"/>
                <w:szCs w:val="20"/>
                <w:color w:val="auto"/>
              </w:rPr>
            </w:pPr>
            <w:r>
              <w:rPr>
                <w:rFonts w:ascii="Arial" w:cs="Arial" w:eastAsia="Arial" w:hAnsi="Arial"/>
                <w:sz w:val="18"/>
                <w:szCs w:val="18"/>
                <w:color w:val="auto"/>
              </w:rPr>
              <w:t>depositary and holders and beneficial owners of ADSs from time to time.</w:t>
            </w:r>
          </w:p>
        </w:tc>
        <w:tc>
          <w:tcPr>
            <w:tcW w:w="620" w:type="dxa"/>
            <w:vAlign w:val="bottom"/>
          </w:tcPr>
          <w:p>
            <w:pPr>
              <w:spacing w:after="0"/>
              <w:rPr>
                <w:sz w:val="20"/>
                <w:szCs w:val="20"/>
                <w:color w:val="auto"/>
              </w:rPr>
            </w:pPr>
          </w:p>
        </w:tc>
      </w:tr>
      <w:tr>
        <w:trPr>
          <w:trHeight w:val="445"/>
        </w:trPr>
        <w:tc>
          <w:tcPr>
            <w:tcW w:w="3920" w:type="dxa"/>
            <w:vAlign w:val="bottom"/>
          </w:tcPr>
          <w:p>
            <w:pPr>
              <w:spacing w:after="0"/>
              <w:rPr>
                <w:sz w:val="24"/>
                <w:szCs w:val="24"/>
                <w:color w:val="auto"/>
              </w:rPr>
            </w:pPr>
          </w:p>
        </w:tc>
        <w:tc>
          <w:tcPr>
            <w:tcW w:w="7140" w:type="dxa"/>
            <w:vAlign w:val="bottom"/>
            <w:gridSpan w:val="6"/>
          </w:tcPr>
          <w:p>
            <w:pPr>
              <w:ind w:left="280"/>
              <w:spacing w:after="0"/>
              <w:rPr>
                <w:sz w:val="20"/>
                <w:szCs w:val="20"/>
                <w:color w:val="auto"/>
              </w:rPr>
            </w:pPr>
            <w:r>
              <w:rPr>
                <w:rFonts w:ascii="Arial" w:cs="Arial" w:eastAsia="Arial" w:hAnsi="Arial"/>
                <w:sz w:val="18"/>
                <w:szCs w:val="18"/>
                <w:color w:val="auto"/>
                <w:w w:val="94"/>
              </w:rPr>
              <w:t>You may surrender your ADSs to the depositary to withdraw the ordinary shares underlying</w:t>
            </w:r>
          </w:p>
        </w:tc>
      </w:tr>
      <w:tr>
        <w:trPr>
          <w:trHeight w:val="230"/>
        </w:trPr>
        <w:tc>
          <w:tcPr>
            <w:tcW w:w="3920" w:type="dxa"/>
            <w:vAlign w:val="bottom"/>
          </w:tcPr>
          <w:p>
            <w:pPr>
              <w:spacing w:after="0"/>
              <w:rPr>
                <w:sz w:val="20"/>
                <w:szCs w:val="20"/>
                <w:color w:val="auto"/>
              </w:rPr>
            </w:pPr>
          </w:p>
        </w:tc>
        <w:tc>
          <w:tcPr>
            <w:tcW w:w="6520" w:type="dxa"/>
            <w:vAlign w:val="bottom"/>
            <w:gridSpan w:val="5"/>
          </w:tcPr>
          <w:p>
            <w:pPr>
              <w:ind w:left="280"/>
              <w:spacing w:after="0"/>
              <w:rPr>
                <w:sz w:val="20"/>
                <w:szCs w:val="20"/>
                <w:color w:val="auto"/>
              </w:rPr>
            </w:pPr>
            <w:r>
              <w:rPr>
                <w:rFonts w:ascii="Arial" w:cs="Arial" w:eastAsia="Arial" w:hAnsi="Arial"/>
                <w:sz w:val="18"/>
                <w:szCs w:val="18"/>
                <w:color w:val="auto"/>
              </w:rPr>
              <w:t>your ADSs. The depositary will charge you a fee for such an exchange.</w:t>
            </w:r>
          </w:p>
        </w:tc>
        <w:tc>
          <w:tcPr>
            <w:tcW w:w="620" w:type="dxa"/>
            <w:vAlign w:val="bottom"/>
          </w:tcPr>
          <w:p>
            <w:pPr>
              <w:spacing w:after="0"/>
              <w:rPr>
                <w:sz w:val="20"/>
                <w:szCs w:val="20"/>
                <w:color w:val="auto"/>
              </w:rPr>
            </w:pPr>
          </w:p>
        </w:tc>
      </w:tr>
      <w:tr>
        <w:trPr>
          <w:trHeight w:val="445"/>
        </w:trPr>
        <w:tc>
          <w:tcPr>
            <w:tcW w:w="3920" w:type="dxa"/>
            <w:vAlign w:val="bottom"/>
          </w:tcPr>
          <w:p>
            <w:pPr>
              <w:spacing w:after="0"/>
              <w:rPr>
                <w:sz w:val="24"/>
                <w:szCs w:val="24"/>
                <w:color w:val="auto"/>
              </w:rPr>
            </w:pPr>
          </w:p>
        </w:tc>
        <w:tc>
          <w:tcPr>
            <w:tcW w:w="7140" w:type="dxa"/>
            <w:vAlign w:val="bottom"/>
            <w:gridSpan w:val="6"/>
          </w:tcPr>
          <w:p>
            <w:pPr>
              <w:ind w:left="280"/>
              <w:spacing w:after="0"/>
              <w:rPr>
                <w:sz w:val="20"/>
                <w:szCs w:val="20"/>
                <w:color w:val="auto"/>
              </w:rPr>
            </w:pPr>
            <w:r>
              <w:rPr>
                <w:rFonts w:ascii="Arial" w:cs="Arial" w:eastAsia="Arial" w:hAnsi="Arial"/>
                <w:sz w:val="18"/>
                <w:szCs w:val="18"/>
                <w:color w:val="auto"/>
                <w:w w:val="92"/>
              </w:rPr>
              <w:t>We may amend or terminate the deposit agreement for any reason without your consent. Any</w:t>
            </w:r>
          </w:p>
        </w:tc>
      </w:tr>
      <w:tr>
        <w:trPr>
          <w:trHeight w:val="216"/>
        </w:trPr>
        <w:tc>
          <w:tcPr>
            <w:tcW w:w="3920" w:type="dxa"/>
            <w:vAlign w:val="bottom"/>
          </w:tcPr>
          <w:p>
            <w:pPr>
              <w:spacing w:after="0"/>
              <w:rPr>
                <w:sz w:val="18"/>
                <w:szCs w:val="18"/>
                <w:color w:val="auto"/>
              </w:rPr>
            </w:pPr>
          </w:p>
        </w:tc>
        <w:tc>
          <w:tcPr>
            <w:tcW w:w="7140" w:type="dxa"/>
            <w:vAlign w:val="bottom"/>
            <w:gridSpan w:val="6"/>
          </w:tcPr>
          <w:p>
            <w:pPr>
              <w:ind w:left="280"/>
              <w:spacing w:after="0"/>
              <w:rPr>
                <w:sz w:val="20"/>
                <w:szCs w:val="20"/>
                <w:color w:val="auto"/>
              </w:rPr>
            </w:pPr>
            <w:r>
              <w:rPr>
                <w:rFonts w:ascii="Arial" w:cs="Arial" w:eastAsia="Arial" w:hAnsi="Arial"/>
                <w:sz w:val="18"/>
                <w:szCs w:val="18"/>
                <w:color w:val="auto"/>
                <w:w w:val="93"/>
              </w:rPr>
              <w:t>amendment that imposes or increases fees or certain charges or which materially prejudices</w:t>
            </w:r>
          </w:p>
        </w:tc>
      </w:tr>
      <w:tr>
        <w:trPr>
          <w:trHeight w:val="216"/>
        </w:trPr>
        <w:tc>
          <w:tcPr>
            <w:tcW w:w="3920" w:type="dxa"/>
            <w:vAlign w:val="bottom"/>
          </w:tcPr>
          <w:p>
            <w:pPr>
              <w:spacing w:after="0"/>
              <w:rPr>
                <w:sz w:val="18"/>
                <w:szCs w:val="18"/>
                <w:color w:val="auto"/>
              </w:rPr>
            </w:pPr>
          </w:p>
        </w:tc>
        <w:tc>
          <w:tcPr>
            <w:tcW w:w="7140" w:type="dxa"/>
            <w:vAlign w:val="bottom"/>
            <w:gridSpan w:val="6"/>
          </w:tcPr>
          <w:p>
            <w:pPr>
              <w:ind w:left="280"/>
              <w:spacing w:after="0"/>
              <w:rPr>
                <w:sz w:val="20"/>
                <w:szCs w:val="20"/>
                <w:color w:val="auto"/>
              </w:rPr>
            </w:pPr>
            <w:r>
              <w:rPr>
                <w:rFonts w:ascii="Arial" w:cs="Arial" w:eastAsia="Arial" w:hAnsi="Arial"/>
                <w:sz w:val="18"/>
                <w:szCs w:val="18"/>
                <w:color w:val="auto"/>
                <w:w w:val="98"/>
              </w:rPr>
              <w:t>any substantial existing right you have as an ADS holder will not become effective as to</w:t>
            </w:r>
          </w:p>
        </w:tc>
      </w:tr>
      <w:tr>
        <w:trPr>
          <w:trHeight w:val="216"/>
        </w:trPr>
        <w:tc>
          <w:tcPr>
            <w:tcW w:w="3920" w:type="dxa"/>
            <w:vAlign w:val="bottom"/>
          </w:tcPr>
          <w:p>
            <w:pPr>
              <w:spacing w:after="0"/>
              <w:rPr>
                <w:sz w:val="18"/>
                <w:szCs w:val="18"/>
                <w:color w:val="auto"/>
              </w:rPr>
            </w:pPr>
          </w:p>
        </w:tc>
        <w:tc>
          <w:tcPr>
            <w:tcW w:w="7140" w:type="dxa"/>
            <w:vAlign w:val="bottom"/>
            <w:gridSpan w:val="6"/>
          </w:tcPr>
          <w:p>
            <w:pPr>
              <w:ind w:left="280"/>
              <w:spacing w:after="0"/>
              <w:rPr>
                <w:sz w:val="20"/>
                <w:szCs w:val="20"/>
                <w:color w:val="auto"/>
              </w:rPr>
            </w:pPr>
            <w:r>
              <w:rPr>
                <w:rFonts w:ascii="Arial" w:cs="Arial" w:eastAsia="Arial" w:hAnsi="Arial"/>
                <w:sz w:val="18"/>
                <w:szCs w:val="18"/>
                <w:color w:val="auto"/>
                <w:w w:val="93"/>
              </w:rPr>
              <w:t>outstanding ADSs until 30 days after notice of the amendment is given to ADS holders. If an</w:t>
            </w:r>
          </w:p>
        </w:tc>
      </w:tr>
      <w:tr>
        <w:trPr>
          <w:trHeight w:val="216"/>
        </w:trPr>
        <w:tc>
          <w:tcPr>
            <w:tcW w:w="3920" w:type="dxa"/>
            <w:vAlign w:val="bottom"/>
          </w:tcPr>
          <w:p>
            <w:pPr>
              <w:spacing w:after="0"/>
              <w:rPr>
                <w:sz w:val="18"/>
                <w:szCs w:val="18"/>
                <w:color w:val="auto"/>
              </w:rPr>
            </w:pPr>
          </w:p>
        </w:tc>
        <w:tc>
          <w:tcPr>
            <w:tcW w:w="7140" w:type="dxa"/>
            <w:vAlign w:val="bottom"/>
            <w:gridSpan w:val="6"/>
          </w:tcPr>
          <w:p>
            <w:pPr>
              <w:ind w:left="280"/>
              <w:spacing w:after="0"/>
              <w:rPr>
                <w:sz w:val="20"/>
                <w:szCs w:val="20"/>
                <w:color w:val="auto"/>
              </w:rPr>
            </w:pPr>
            <w:r>
              <w:rPr>
                <w:rFonts w:ascii="Arial" w:cs="Arial" w:eastAsia="Arial" w:hAnsi="Arial"/>
                <w:sz w:val="18"/>
                <w:szCs w:val="18"/>
                <w:color w:val="auto"/>
                <w:w w:val="90"/>
              </w:rPr>
              <w:t>amendment becomes effective, you will be bound by the deposit agreement as amended if you</w:t>
            </w:r>
          </w:p>
        </w:tc>
      </w:tr>
      <w:tr>
        <w:trPr>
          <w:trHeight w:val="230"/>
        </w:trPr>
        <w:tc>
          <w:tcPr>
            <w:tcW w:w="3920" w:type="dxa"/>
            <w:vAlign w:val="bottom"/>
          </w:tcPr>
          <w:p>
            <w:pPr>
              <w:spacing w:after="0"/>
              <w:rPr>
                <w:sz w:val="20"/>
                <w:szCs w:val="20"/>
                <w:color w:val="auto"/>
              </w:rPr>
            </w:pPr>
          </w:p>
        </w:tc>
        <w:tc>
          <w:tcPr>
            <w:tcW w:w="2400" w:type="dxa"/>
            <w:vAlign w:val="bottom"/>
            <w:gridSpan w:val="3"/>
          </w:tcPr>
          <w:p>
            <w:pPr>
              <w:ind w:left="280"/>
              <w:spacing w:after="0"/>
              <w:rPr>
                <w:sz w:val="20"/>
                <w:szCs w:val="20"/>
                <w:color w:val="auto"/>
              </w:rPr>
            </w:pPr>
            <w:r>
              <w:rPr>
                <w:rFonts w:ascii="Arial" w:cs="Arial" w:eastAsia="Arial" w:hAnsi="Arial"/>
                <w:sz w:val="18"/>
                <w:szCs w:val="18"/>
                <w:color w:val="auto"/>
                <w:w w:val="94"/>
              </w:rPr>
              <w:t>continue to hold your ADSs.</w:t>
            </w:r>
          </w:p>
        </w:tc>
        <w:tc>
          <w:tcPr>
            <w:tcW w:w="12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8"/>
        </w:trPr>
        <w:tc>
          <w:tcPr>
            <w:tcW w:w="3920" w:type="dxa"/>
            <w:vAlign w:val="bottom"/>
          </w:tcPr>
          <w:p>
            <w:pPr>
              <w:spacing w:after="0"/>
              <w:rPr>
                <w:sz w:val="24"/>
                <w:szCs w:val="24"/>
                <w:color w:val="auto"/>
              </w:rPr>
            </w:pPr>
          </w:p>
        </w:tc>
        <w:tc>
          <w:tcPr>
            <w:tcW w:w="7140" w:type="dxa"/>
            <w:vAlign w:val="bottom"/>
            <w:gridSpan w:val="6"/>
          </w:tcPr>
          <w:p>
            <w:pPr>
              <w:ind w:left="280"/>
              <w:spacing w:after="0"/>
              <w:rPr>
                <w:sz w:val="20"/>
                <w:szCs w:val="20"/>
                <w:color w:val="auto"/>
              </w:rPr>
            </w:pPr>
            <w:r>
              <w:rPr>
                <w:rFonts w:ascii="Arial" w:cs="Arial" w:eastAsia="Arial" w:hAnsi="Arial"/>
                <w:sz w:val="18"/>
                <w:szCs w:val="18"/>
                <w:color w:val="auto"/>
                <w:w w:val="97"/>
              </w:rPr>
              <w:t>To better understand the terms of the ADSs, you should carefully read the section in this</w:t>
            </w:r>
          </w:p>
        </w:tc>
      </w:tr>
      <w:tr>
        <w:trPr>
          <w:trHeight w:val="216"/>
        </w:trPr>
        <w:tc>
          <w:tcPr>
            <w:tcW w:w="3920" w:type="dxa"/>
            <w:vAlign w:val="bottom"/>
          </w:tcPr>
          <w:p>
            <w:pPr>
              <w:spacing w:after="0"/>
              <w:rPr>
                <w:sz w:val="18"/>
                <w:szCs w:val="18"/>
                <w:color w:val="auto"/>
              </w:rPr>
            </w:pPr>
          </w:p>
        </w:tc>
        <w:tc>
          <w:tcPr>
            <w:tcW w:w="7140" w:type="dxa"/>
            <w:vAlign w:val="bottom"/>
            <w:gridSpan w:val="6"/>
          </w:tcPr>
          <w:p>
            <w:pPr>
              <w:ind w:left="280"/>
              <w:spacing w:after="0"/>
              <w:rPr>
                <w:sz w:val="20"/>
                <w:szCs w:val="20"/>
                <w:color w:val="auto"/>
              </w:rPr>
            </w:pPr>
            <w:r>
              <w:rPr>
                <w:rFonts w:ascii="Arial" w:cs="Arial" w:eastAsia="Arial" w:hAnsi="Arial"/>
                <w:sz w:val="18"/>
                <w:szCs w:val="18"/>
                <w:color w:val="auto"/>
                <w:w w:val="94"/>
              </w:rPr>
              <w:t>prospectus entitled “Description of American Depositary Shares.” You should also read the</w:t>
            </w:r>
          </w:p>
        </w:tc>
      </w:tr>
      <w:tr>
        <w:trPr>
          <w:trHeight w:val="216"/>
        </w:trPr>
        <w:tc>
          <w:tcPr>
            <w:tcW w:w="3920" w:type="dxa"/>
            <w:vAlign w:val="bottom"/>
          </w:tcPr>
          <w:p>
            <w:pPr>
              <w:spacing w:after="0"/>
              <w:rPr>
                <w:sz w:val="18"/>
                <w:szCs w:val="18"/>
                <w:color w:val="auto"/>
              </w:rPr>
            </w:pPr>
          </w:p>
        </w:tc>
        <w:tc>
          <w:tcPr>
            <w:tcW w:w="6520" w:type="dxa"/>
            <w:vAlign w:val="bottom"/>
            <w:gridSpan w:val="5"/>
          </w:tcPr>
          <w:p>
            <w:pPr>
              <w:ind w:left="280"/>
              <w:spacing w:after="0"/>
              <w:rPr>
                <w:sz w:val="20"/>
                <w:szCs w:val="20"/>
                <w:color w:val="auto"/>
              </w:rPr>
            </w:pPr>
            <w:r>
              <w:rPr>
                <w:rFonts w:ascii="Arial" w:cs="Arial" w:eastAsia="Arial" w:hAnsi="Arial"/>
                <w:sz w:val="18"/>
                <w:szCs w:val="18"/>
                <w:color w:val="auto"/>
                <w:w w:val="92"/>
              </w:rPr>
              <w:t>deposit agreement, which is an exhibit to the registration statement that includes this</w:t>
            </w:r>
          </w:p>
        </w:tc>
        <w:tc>
          <w:tcPr>
            <w:tcW w:w="62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prospectus.</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rPr>
              <w:t>[Reserved ADSs</w:t>
            </w:r>
          </w:p>
        </w:tc>
        <w:tc>
          <w:tcPr>
            <w:tcW w:w="7140" w:type="dxa"/>
            <w:vAlign w:val="bottom"/>
            <w:gridSpan w:val="6"/>
          </w:tcPr>
          <w:p>
            <w:pPr>
              <w:ind w:left="280"/>
              <w:spacing w:after="0"/>
              <w:rPr>
                <w:sz w:val="20"/>
                <w:szCs w:val="20"/>
                <w:color w:val="auto"/>
              </w:rPr>
            </w:pPr>
            <w:r>
              <w:rPr>
                <w:rFonts w:ascii="Arial" w:cs="Arial" w:eastAsia="Arial" w:hAnsi="Arial"/>
                <w:sz w:val="18"/>
                <w:szCs w:val="18"/>
                <w:color w:val="auto"/>
                <w:w w:val="91"/>
              </w:rPr>
              <w:t>At our request, the underwriters have reserved for sale, at the initial public offering price, up to</w:t>
            </w:r>
          </w:p>
        </w:tc>
      </w:tr>
      <w:tr>
        <w:trPr>
          <w:trHeight w:val="216"/>
        </w:trPr>
        <w:tc>
          <w:tcPr>
            <w:tcW w:w="392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an aggregate of</w:t>
            </w:r>
          </w:p>
        </w:tc>
        <w:tc>
          <w:tcPr>
            <w:tcW w:w="5180" w:type="dxa"/>
            <w:vAlign w:val="bottom"/>
            <w:gridSpan w:val="4"/>
          </w:tcPr>
          <w:p>
            <w:pPr>
              <w:ind w:left="60"/>
              <w:spacing w:after="0"/>
              <w:rPr>
                <w:sz w:val="20"/>
                <w:szCs w:val="20"/>
                <w:color w:val="auto"/>
              </w:rPr>
            </w:pPr>
            <w:r>
              <w:rPr>
                <w:rFonts w:ascii="Arial" w:cs="Arial" w:eastAsia="Arial" w:hAnsi="Arial"/>
                <w:sz w:val="18"/>
                <w:szCs w:val="18"/>
                <w:color w:val="auto"/>
              </w:rPr>
              <w:t>ADSs offered in this offering to some of our directors, officers,</w:t>
            </w:r>
          </w:p>
        </w:tc>
      </w:tr>
      <w:tr>
        <w:trPr>
          <w:trHeight w:val="230"/>
        </w:trPr>
        <w:tc>
          <w:tcPr>
            <w:tcW w:w="3920" w:type="dxa"/>
            <w:vAlign w:val="bottom"/>
          </w:tcPr>
          <w:p>
            <w:pPr>
              <w:spacing w:after="0"/>
              <w:rPr>
                <w:sz w:val="20"/>
                <w:szCs w:val="20"/>
                <w:color w:val="auto"/>
              </w:rPr>
            </w:pPr>
          </w:p>
        </w:tc>
        <w:tc>
          <w:tcPr>
            <w:tcW w:w="6520" w:type="dxa"/>
            <w:vAlign w:val="bottom"/>
            <w:gridSpan w:val="5"/>
          </w:tcPr>
          <w:p>
            <w:pPr>
              <w:ind w:left="280"/>
              <w:spacing w:after="0"/>
              <w:rPr>
                <w:sz w:val="20"/>
                <w:szCs w:val="20"/>
                <w:color w:val="auto"/>
              </w:rPr>
            </w:pPr>
            <w:r>
              <w:rPr>
                <w:rFonts w:ascii="Arial" w:cs="Arial" w:eastAsia="Arial" w:hAnsi="Arial"/>
                <w:sz w:val="18"/>
                <w:szCs w:val="18"/>
                <w:color w:val="auto"/>
                <w:w w:val="88"/>
              </w:rPr>
              <w:t>employees, business associates and related persons through a directed share program.]</w:t>
            </w:r>
          </w:p>
        </w:tc>
        <w:tc>
          <w:tcPr>
            <w:tcW w:w="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66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48666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6620" w:type="dxa"/>
            <w:vAlign w:val="bottom"/>
            <w:gridSpan w:val="4"/>
          </w:tcPr>
          <w:p>
            <w:pPr>
              <w:ind w:left="1520"/>
              <w:spacing w:after="0"/>
              <w:rPr>
                <w:sz w:val="20"/>
                <w:szCs w:val="20"/>
                <w:color w:val="auto"/>
              </w:rPr>
            </w:pPr>
            <w:r>
              <w:rPr>
                <w:rFonts w:ascii="Arial" w:cs="Arial" w:eastAsia="Arial" w:hAnsi="Arial"/>
                <w:sz w:val="18"/>
                <w:szCs w:val="18"/>
                <w:color w:val="auto"/>
                <w:w w:val="96"/>
              </w:rPr>
              <w:t>We expect that we will receive net proceeds of approximately US$</w:t>
            </w:r>
          </w:p>
        </w:tc>
        <w:tc>
          <w:tcPr>
            <w:tcW w:w="1680" w:type="dxa"/>
            <w:vAlign w:val="bottom"/>
          </w:tcPr>
          <w:p>
            <w:pPr>
              <w:ind w:left="280"/>
              <w:spacing w:after="0"/>
              <w:rPr>
                <w:sz w:val="20"/>
                <w:szCs w:val="20"/>
                <w:color w:val="auto"/>
              </w:rPr>
            </w:pPr>
            <w:r>
              <w:rPr>
                <w:rFonts w:ascii="Arial" w:cs="Arial" w:eastAsia="Arial" w:hAnsi="Arial"/>
                <w:sz w:val="18"/>
                <w:szCs w:val="18"/>
                <w:color w:val="auto"/>
              </w:rPr>
              <w:t>million from this</w:t>
            </w:r>
          </w:p>
        </w:tc>
      </w:tr>
      <w:tr>
        <w:trPr>
          <w:trHeight w:val="216"/>
        </w:trPr>
        <w:tc>
          <w:tcPr>
            <w:tcW w:w="2680" w:type="dxa"/>
            <w:vAlign w:val="bottom"/>
          </w:tcPr>
          <w:p>
            <w:pPr>
              <w:spacing w:after="0"/>
              <w:rPr>
                <w:sz w:val="18"/>
                <w:szCs w:val="18"/>
                <w:color w:val="auto"/>
              </w:rPr>
            </w:pPr>
          </w:p>
        </w:tc>
        <w:tc>
          <w:tcPr>
            <w:tcW w:w="5920" w:type="dxa"/>
            <w:vAlign w:val="bottom"/>
            <w:gridSpan w:val="3"/>
          </w:tcPr>
          <w:p>
            <w:pPr>
              <w:ind w:left="1520"/>
              <w:spacing w:after="0"/>
              <w:rPr>
                <w:sz w:val="20"/>
                <w:szCs w:val="20"/>
                <w:color w:val="auto"/>
              </w:rPr>
            </w:pPr>
            <w:r>
              <w:rPr>
                <w:rFonts w:ascii="Arial" w:cs="Arial" w:eastAsia="Arial" w:hAnsi="Arial"/>
                <w:sz w:val="18"/>
                <w:szCs w:val="18"/>
                <w:color w:val="auto"/>
                <w:w w:val="99"/>
              </w:rPr>
              <w:t>offering, assuming an initial public offering price of US$</w:t>
            </w:r>
          </w:p>
        </w:tc>
        <w:tc>
          <w:tcPr>
            <w:tcW w:w="2380" w:type="dxa"/>
            <w:vAlign w:val="bottom"/>
            <w:gridSpan w:val="2"/>
          </w:tcPr>
          <w:p>
            <w:pPr>
              <w:ind w:left="280"/>
              <w:spacing w:after="0"/>
              <w:rPr>
                <w:sz w:val="20"/>
                <w:szCs w:val="20"/>
                <w:color w:val="auto"/>
              </w:rPr>
            </w:pPr>
            <w:r>
              <w:rPr>
                <w:rFonts w:ascii="Arial" w:cs="Arial" w:eastAsia="Arial" w:hAnsi="Arial"/>
                <w:sz w:val="18"/>
                <w:szCs w:val="18"/>
                <w:color w:val="auto"/>
              </w:rPr>
              <w:t>per ADS, which is the</w:t>
            </w:r>
          </w:p>
        </w:tc>
      </w:tr>
      <w:tr>
        <w:trPr>
          <w:trHeight w:val="216"/>
        </w:trPr>
        <w:tc>
          <w:tcPr>
            <w:tcW w:w="2680" w:type="dxa"/>
            <w:vAlign w:val="bottom"/>
          </w:tcPr>
          <w:p>
            <w:pPr>
              <w:spacing w:after="0"/>
              <w:rPr>
                <w:sz w:val="18"/>
                <w:szCs w:val="18"/>
                <w:color w:val="auto"/>
              </w:rPr>
            </w:pPr>
          </w:p>
        </w:tc>
        <w:tc>
          <w:tcPr>
            <w:tcW w:w="8300" w:type="dxa"/>
            <w:vAlign w:val="bottom"/>
            <w:gridSpan w:val="5"/>
          </w:tcPr>
          <w:p>
            <w:pPr>
              <w:ind w:left="1520"/>
              <w:spacing w:after="0"/>
              <w:rPr>
                <w:sz w:val="20"/>
                <w:szCs w:val="20"/>
                <w:color w:val="auto"/>
              </w:rPr>
            </w:pPr>
            <w:r>
              <w:rPr>
                <w:rFonts w:ascii="Arial" w:cs="Arial" w:eastAsia="Arial" w:hAnsi="Arial"/>
                <w:sz w:val="18"/>
                <w:szCs w:val="18"/>
                <w:color w:val="auto"/>
              </w:rPr>
              <w:t>midpoint of the estimated range of the initial public offering price, after deducting</w:t>
            </w:r>
          </w:p>
        </w:tc>
      </w:tr>
      <w:tr>
        <w:trPr>
          <w:trHeight w:val="230"/>
        </w:trPr>
        <w:tc>
          <w:tcPr>
            <w:tcW w:w="2680" w:type="dxa"/>
            <w:vAlign w:val="bottom"/>
          </w:tcPr>
          <w:p>
            <w:pPr>
              <w:spacing w:after="0"/>
              <w:rPr>
                <w:sz w:val="20"/>
                <w:szCs w:val="20"/>
                <w:color w:val="auto"/>
              </w:rPr>
            </w:pPr>
          </w:p>
        </w:tc>
        <w:tc>
          <w:tcPr>
            <w:tcW w:w="8300" w:type="dxa"/>
            <w:vAlign w:val="bottom"/>
            <w:gridSpan w:val="5"/>
          </w:tcPr>
          <w:p>
            <w:pPr>
              <w:ind w:left="1520"/>
              <w:spacing w:after="0"/>
              <w:rPr>
                <w:sz w:val="20"/>
                <w:szCs w:val="20"/>
                <w:color w:val="auto"/>
              </w:rPr>
            </w:pPr>
            <w:r>
              <w:rPr>
                <w:rFonts w:ascii="Arial" w:cs="Arial" w:eastAsia="Arial" w:hAnsi="Arial"/>
                <w:sz w:val="18"/>
                <w:szCs w:val="18"/>
                <w:color w:val="auto"/>
                <w:w w:val="95"/>
              </w:rPr>
              <w:t>underwriting discounts and commissions and estimated offering expenses payable by us.</w:t>
            </w:r>
          </w:p>
        </w:tc>
      </w:tr>
      <w:tr>
        <w:trPr>
          <w:trHeight w:val="445"/>
        </w:trPr>
        <w:tc>
          <w:tcPr>
            <w:tcW w:w="2680" w:type="dxa"/>
            <w:vAlign w:val="bottom"/>
          </w:tcPr>
          <w:p>
            <w:pPr>
              <w:spacing w:after="0"/>
              <w:rPr>
                <w:sz w:val="24"/>
                <w:szCs w:val="24"/>
                <w:color w:val="auto"/>
              </w:rPr>
            </w:pPr>
          </w:p>
        </w:tc>
        <w:tc>
          <w:tcPr>
            <w:tcW w:w="8300" w:type="dxa"/>
            <w:vAlign w:val="bottom"/>
            <w:gridSpan w:val="5"/>
          </w:tcPr>
          <w:p>
            <w:pPr>
              <w:ind w:left="1520"/>
              <w:spacing w:after="0"/>
              <w:rPr>
                <w:sz w:val="20"/>
                <w:szCs w:val="20"/>
                <w:color w:val="auto"/>
              </w:rPr>
            </w:pPr>
            <w:r>
              <w:rPr>
                <w:rFonts w:ascii="Arial" w:cs="Arial" w:eastAsia="Arial" w:hAnsi="Arial"/>
                <w:sz w:val="18"/>
                <w:szCs w:val="18"/>
                <w:color w:val="auto"/>
                <w:w w:val="98"/>
              </w:rPr>
              <w:t>We plan to use the net proceeds from this offering primarily for the following purposes:</w:t>
            </w:r>
          </w:p>
        </w:tc>
      </w:tr>
      <w:tr>
        <w:trPr>
          <w:trHeight w:val="216"/>
        </w:trPr>
        <w:tc>
          <w:tcPr>
            <w:tcW w:w="2680" w:type="dxa"/>
            <w:vAlign w:val="bottom"/>
          </w:tcPr>
          <w:p>
            <w:pPr>
              <w:spacing w:after="0"/>
              <w:rPr>
                <w:sz w:val="18"/>
                <w:szCs w:val="18"/>
                <w:color w:val="auto"/>
              </w:rPr>
            </w:pPr>
          </w:p>
        </w:tc>
        <w:tc>
          <w:tcPr>
            <w:tcW w:w="2120" w:type="dxa"/>
            <w:vAlign w:val="bottom"/>
          </w:tcPr>
          <w:p>
            <w:pPr>
              <w:ind w:left="1520"/>
              <w:spacing w:after="0"/>
              <w:rPr>
                <w:sz w:val="20"/>
                <w:szCs w:val="20"/>
                <w:color w:val="auto"/>
              </w:rPr>
            </w:pPr>
            <w:r>
              <w:rPr>
                <w:rFonts w:ascii="Arial" w:cs="Arial" w:eastAsia="Arial" w:hAnsi="Arial"/>
                <w:sz w:val="18"/>
                <w:szCs w:val="18"/>
                <w:color w:val="auto"/>
              </w:rPr>
              <w:t>US$</w:t>
            </w:r>
          </w:p>
        </w:tc>
        <w:tc>
          <w:tcPr>
            <w:tcW w:w="6180" w:type="dxa"/>
            <w:vAlign w:val="bottom"/>
            <w:gridSpan w:val="4"/>
          </w:tcPr>
          <w:p>
            <w:pPr>
              <w:ind w:left="300"/>
              <w:spacing w:after="0"/>
              <w:rPr>
                <w:sz w:val="20"/>
                <w:szCs w:val="20"/>
                <w:color w:val="auto"/>
              </w:rPr>
            </w:pPr>
            <w:r>
              <w:rPr>
                <w:rFonts w:ascii="Arial" w:cs="Arial" w:eastAsia="Arial" w:hAnsi="Arial"/>
                <w:sz w:val="18"/>
                <w:szCs w:val="18"/>
                <w:color w:val="auto"/>
              </w:rPr>
              <w:t>in research and development and big data deep learning capabilities and</w:t>
            </w:r>
          </w:p>
        </w:tc>
      </w:tr>
      <w:tr>
        <w:trPr>
          <w:trHeight w:val="216"/>
        </w:trPr>
        <w:tc>
          <w:tcPr>
            <w:tcW w:w="2680" w:type="dxa"/>
            <w:vAlign w:val="bottom"/>
          </w:tcPr>
          <w:p>
            <w:pPr>
              <w:spacing w:after="0"/>
              <w:rPr>
                <w:sz w:val="18"/>
                <w:szCs w:val="18"/>
                <w:color w:val="auto"/>
              </w:rPr>
            </w:pPr>
          </w:p>
        </w:tc>
        <w:tc>
          <w:tcPr>
            <w:tcW w:w="3060" w:type="dxa"/>
            <w:vAlign w:val="bottom"/>
            <w:gridSpan w:val="2"/>
          </w:tcPr>
          <w:p>
            <w:pPr>
              <w:ind w:left="1520"/>
              <w:spacing w:after="0"/>
              <w:rPr>
                <w:sz w:val="20"/>
                <w:szCs w:val="20"/>
                <w:color w:val="auto"/>
              </w:rPr>
            </w:pPr>
            <w:r>
              <w:rPr>
                <w:rFonts w:ascii="Arial" w:cs="Arial" w:eastAsia="Arial" w:hAnsi="Arial"/>
                <w:sz w:val="18"/>
                <w:szCs w:val="18"/>
                <w:color w:val="auto"/>
              </w:rPr>
              <w:t>capacities; US$</w:t>
            </w: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w w:val="90"/>
              </w:rPr>
              <w:t>in the development and expansion of our suite of solutions and service</w:t>
            </w:r>
          </w:p>
        </w:tc>
      </w:tr>
      <w:tr>
        <w:trPr>
          <w:trHeight w:val="216"/>
        </w:trPr>
        <w:tc>
          <w:tcPr>
            <w:tcW w:w="2680" w:type="dxa"/>
            <w:vAlign w:val="bottom"/>
          </w:tcPr>
          <w:p>
            <w:pPr>
              <w:spacing w:after="0"/>
              <w:rPr>
                <w:sz w:val="18"/>
                <w:szCs w:val="18"/>
                <w:color w:val="auto"/>
              </w:rPr>
            </w:pPr>
          </w:p>
        </w:tc>
        <w:tc>
          <w:tcPr>
            <w:tcW w:w="3060" w:type="dxa"/>
            <w:vAlign w:val="bottom"/>
            <w:gridSpan w:val="2"/>
          </w:tcPr>
          <w:p>
            <w:pPr>
              <w:ind w:left="1520"/>
              <w:spacing w:after="0"/>
              <w:rPr>
                <w:sz w:val="20"/>
                <w:szCs w:val="20"/>
                <w:color w:val="auto"/>
              </w:rPr>
            </w:pPr>
            <w:r>
              <w:rPr>
                <w:rFonts w:ascii="Arial" w:cs="Arial" w:eastAsia="Arial" w:hAnsi="Arial"/>
                <w:sz w:val="18"/>
                <w:szCs w:val="18"/>
                <w:color w:val="auto"/>
              </w:rPr>
              <w:t>offerings; and US$</w:t>
            </w:r>
          </w:p>
        </w:tc>
        <w:tc>
          <w:tcPr>
            <w:tcW w:w="5240" w:type="dxa"/>
            <w:vAlign w:val="bottom"/>
            <w:gridSpan w:val="3"/>
          </w:tcPr>
          <w:p>
            <w:pPr>
              <w:ind w:left="400"/>
              <w:spacing w:after="0"/>
              <w:rPr>
                <w:sz w:val="20"/>
                <w:szCs w:val="20"/>
                <w:color w:val="auto"/>
              </w:rPr>
            </w:pPr>
            <w:r>
              <w:rPr>
                <w:rFonts w:ascii="Arial" w:cs="Arial" w:eastAsia="Arial" w:hAnsi="Arial"/>
                <w:sz w:val="18"/>
                <w:szCs w:val="18"/>
                <w:color w:val="auto"/>
                <w:w w:val="99"/>
              </w:rPr>
              <w:t>in sales and marketing activities to attract, in particular, more</w:t>
            </w:r>
          </w:p>
        </w:tc>
      </w:tr>
      <w:tr>
        <w:trPr>
          <w:trHeight w:val="216"/>
        </w:trPr>
        <w:tc>
          <w:tcPr>
            <w:tcW w:w="2680" w:type="dxa"/>
            <w:vAlign w:val="bottom"/>
          </w:tcPr>
          <w:p>
            <w:pPr>
              <w:spacing w:after="0"/>
              <w:rPr>
                <w:sz w:val="18"/>
                <w:szCs w:val="18"/>
                <w:color w:val="auto"/>
              </w:rPr>
            </w:pPr>
          </w:p>
        </w:tc>
        <w:tc>
          <w:tcPr>
            <w:tcW w:w="8300" w:type="dxa"/>
            <w:vAlign w:val="bottom"/>
            <w:gridSpan w:val="5"/>
          </w:tcPr>
          <w:p>
            <w:pPr>
              <w:ind w:left="1520"/>
              <w:spacing w:after="0"/>
              <w:rPr>
                <w:sz w:val="20"/>
                <w:szCs w:val="20"/>
                <w:color w:val="auto"/>
              </w:rPr>
            </w:pPr>
            <w:r>
              <w:rPr>
                <w:rFonts w:ascii="Arial" w:cs="Arial" w:eastAsia="Arial" w:hAnsi="Arial"/>
                <w:sz w:val="18"/>
                <w:szCs w:val="18"/>
                <w:color w:val="auto"/>
                <w:w w:val="92"/>
              </w:rPr>
              <w:t>customers to use our solutions on a self-serve basis, and customers from additional industry</w:t>
            </w:r>
          </w:p>
        </w:tc>
      </w:tr>
      <w:tr>
        <w:trPr>
          <w:trHeight w:val="216"/>
        </w:trPr>
        <w:tc>
          <w:tcPr>
            <w:tcW w:w="2680" w:type="dxa"/>
            <w:vAlign w:val="bottom"/>
          </w:tcPr>
          <w:p>
            <w:pPr>
              <w:spacing w:after="0"/>
              <w:rPr>
                <w:sz w:val="18"/>
                <w:szCs w:val="18"/>
                <w:color w:val="auto"/>
              </w:rPr>
            </w:pPr>
          </w:p>
        </w:tc>
        <w:tc>
          <w:tcPr>
            <w:tcW w:w="8300" w:type="dxa"/>
            <w:vAlign w:val="bottom"/>
            <w:gridSpan w:val="5"/>
          </w:tcPr>
          <w:p>
            <w:pPr>
              <w:ind w:left="1520"/>
              <w:spacing w:after="0"/>
              <w:rPr>
                <w:sz w:val="20"/>
                <w:szCs w:val="20"/>
                <w:color w:val="auto"/>
              </w:rPr>
            </w:pPr>
            <w:r>
              <w:rPr>
                <w:rFonts w:ascii="Arial" w:cs="Arial" w:eastAsia="Arial" w:hAnsi="Arial"/>
                <w:sz w:val="18"/>
                <w:szCs w:val="18"/>
                <w:color w:val="auto"/>
                <w:w w:val="98"/>
              </w:rPr>
              <w:t>verticals and geographic markets. We also plan to use the remaining portion of the net</w:t>
            </w:r>
          </w:p>
        </w:tc>
      </w:tr>
      <w:tr>
        <w:trPr>
          <w:trHeight w:val="230"/>
        </w:trPr>
        <w:tc>
          <w:tcPr>
            <w:tcW w:w="2680" w:type="dxa"/>
            <w:vAlign w:val="bottom"/>
          </w:tcPr>
          <w:p>
            <w:pPr>
              <w:spacing w:after="0"/>
              <w:rPr>
                <w:sz w:val="20"/>
                <w:szCs w:val="20"/>
                <w:color w:val="auto"/>
              </w:rPr>
            </w:pPr>
          </w:p>
        </w:tc>
        <w:tc>
          <w:tcPr>
            <w:tcW w:w="8300" w:type="dxa"/>
            <w:vAlign w:val="bottom"/>
            <w:gridSpan w:val="5"/>
          </w:tcPr>
          <w:p>
            <w:pPr>
              <w:ind w:left="1520"/>
              <w:spacing w:after="0"/>
              <w:rPr>
                <w:sz w:val="20"/>
                <w:szCs w:val="20"/>
                <w:color w:val="auto"/>
              </w:rPr>
            </w:pPr>
            <w:r>
              <w:rPr>
                <w:rFonts w:ascii="Arial" w:cs="Arial" w:eastAsia="Arial" w:hAnsi="Arial"/>
                <w:sz w:val="18"/>
                <w:szCs w:val="18"/>
                <w:color w:val="auto"/>
                <w:w w:val="95"/>
              </w:rPr>
              <w:t>proceeds we receive from this offering for general corporate purposes and in investment,</w:t>
            </w:r>
          </w:p>
        </w:tc>
      </w:tr>
    </w:tbl>
    <w:p>
      <w:pPr>
        <w:ind w:left="4400"/>
        <w:spacing w:after="0" w:line="254" w:lineRule="auto"/>
        <w:rPr>
          <w:sz w:val="20"/>
          <w:szCs w:val="20"/>
          <w:color w:val="auto"/>
        </w:rPr>
      </w:pPr>
      <w:r>
        <w:rPr>
          <w:rFonts w:ascii="Arial" w:cs="Arial" w:eastAsia="Arial" w:hAnsi="Arial"/>
          <w:sz w:val="18"/>
          <w:szCs w:val="18"/>
          <w:color w:val="auto"/>
        </w:rPr>
        <w:t>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2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See “Use of Proceeds” for more information.</w:t>
      </w:r>
    </w:p>
    <w:p>
      <w:pPr>
        <w:sectPr>
          <w:pgSz w:w="11900" w:h="16838" w:orient="portrait"/>
          <w:cols w:equalWidth="0" w:num="1">
            <w:col w:w="11200"/>
          </w:cols>
          <w:pgMar w:left="240" w:top="459" w:right="45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“Risk Factors” and other information included in this prospectus for a discussion of risks you should carefully consider before investing in the ADSs.</w:t>
      </w:r>
    </w:p>
    <w:p>
      <w:pPr>
        <w:spacing w:after="0" w:line="197"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7"/>
          <w:szCs w:val="17"/>
          <w:color w:val="auto"/>
        </w:rPr>
        <w:t>We intend to apply to have the ADSs listed on the [NASDAQ Global Market/New York Stock Exchange, or NYSE] under the symbol “ICLK.” Our ADSs and shares will not be listed on any other stock exchange or traded on any automated quotation system.</w:t>
      </w:r>
    </w:p>
    <w:p>
      <w:pPr>
        <w:spacing w:after="0" w:line="193"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Lock-up</w:t>
      </w:r>
    </w:p>
    <w:p>
      <w:pPr>
        <w:spacing w:after="0" w:line="20" w:lineRule="exact"/>
        <w:rPr>
          <w:sz w:val="20"/>
          <w:szCs w:val="20"/>
          <w:color w:val="auto"/>
        </w:rPr>
      </w:pPr>
      <w:r>
        <w:rPr>
          <w:sz w:val="20"/>
          <w:szCs w:val="20"/>
          <w:color w:val="auto"/>
        </w:rPr>
        <w:br w:type="column"/>
      </w:r>
    </w:p>
    <w:p>
      <w:pPr>
        <w:ind w:right="220"/>
        <w:spacing w:after="0" w:line="302" w:lineRule="auto"/>
        <w:rPr>
          <w:sz w:val="20"/>
          <w:szCs w:val="20"/>
          <w:color w:val="auto"/>
        </w:rPr>
      </w:pPr>
      <w:r>
        <w:rPr>
          <w:rFonts w:ascii="Arial" w:cs="Arial" w:eastAsia="Arial" w:hAnsi="Arial"/>
          <w:sz w:val="16"/>
          <w:szCs w:val="16"/>
          <w:color w:val="auto"/>
        </w:rPr>
        <w:t>We, our directors and executive officers, and [all of our existing shareholders] have agreed with the underwriters, subject to certain exceptions, not to offer, sell, transfer or otherwise dispose of any ADSs, ordinary shares or similar securities for a period of 180 days after the date of this prospectus. See “Shares Eligible for Future Sale” and “Underwriting.”</w:t>
      </w:r>
    </w:p>
    <w:p>
      <w:pPr>
        <w:spacing w:after="0" w:line="154"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Depositary</w:t>
      </w:r>
    </w:p>
    <w:p>
      <w:pPr>
        <w:sectPr>
          <w:pgSz w:w="11900" w:h="16838" w:orient="portrait"/>
          <w:cols w:equalWidth="0" w:num="1">
            <w:col w:w="1120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24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200" w:right="360" w:firstLine="443"/>
        <w:spacing w:after="0" w:line="277" w:lineRule="auto"/>
        <w:rPr>
          <w:sz w:val="20"/>
          <w:szCs w:val="20"/>
          <w:color w:val="auto"/>
        </w:rPr>
      </w:pPr>
      <w:r>
        <w:rPr>
          <w:rFonts w:ascii="Arial" w:cs="Arial" w:eastAsia="Arial" w:hAnsi="Arial"/>
          <w:sz w:val="18"/>
          <w:szCs w:val="18"/>
          <w:color w:val="auto"/>
        </w:rPr>
        <w:t>The following summary consolidated financial data for the years ended December 31, 2015 and 2016, and as of December 31, 2015 and 2016, have been derived from our audited consolidated financial statements included elsewhere in this prospectus.</w:t>
      </w:r>
    </w:p>
    <w:p>
      <w:pPr>
        <w:spacing w:after="0" w:line="170"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Our consolidated financial statements are prepared and presented in accordance with U.S. GAAP. Our historical results are not necessarily indicative of results expected for future periods. You should read this Summary Consolidated Financial and Other Data section together with our consolidated financial statements and the related notes and “Management’s Discussion and Analysis of Financial Condition and Results of Operations” included elsewhere in this prospectus.</w:t>
      </w:r>
    </w:p>
    <w:p>
      <w:pPr>
        <w:spacing w:after="0" w:line="18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On July 24, 2015, we acquired OptAim from all its shareholders in consideration of shares and cash payment. Pursuant to the terms of the agreement, we issued 2,535,091 ordinary shares to certain selling shareholders and paid cash consideration for the other shareholder. Since the date of the acquisition, OptAim has been our wholly owned subsidiary and has been consolidated into our results of operations. See note 4(b) of our consolidated financial statements included elsewhere in this prospectus.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our summary consolidated statement of comprehensive income for the years ended December 31, 2015 and 2016.</w:t>
      </w: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80" w:type="dxa"/>
            <w:vAlign w:val="bottom"/>
          </w:tcPr>
          <w:p>
            <w:pPr>
              <w:spacing w:after="0"/>
              <w:rPr>
                <w:sz w:val="14"/>
                <w:szCs w:val="14"/>
                <w:color w:val="auto"/>
              </w:rPr>
            </w:pPr>
          </w:p>
        </w:tc>
        <w:tc>
          <w:tcPr>
            <w:tcW w:w="2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8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880" w:type="dxa"/>
            <w:vAlign w:val="bottom"/>
          </w:tcPr>
          <w:p>
            <w:pPr>
              <w:spacing w:after="0"/>
              <w:rPr>
                <w:sz w:val="10"/>
                <w:szCs w:val="10"/>
                <w:color w:val="auto"/>
              </w:rPr>
            </w:pPr>
          </w:p>
        </w:tc>
        <w:tc>
          <w:tcPr>
            <w:tcW w:w="20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(US$ in thousands, except for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80" w:type="dxa"/>
            <w:vAlign w:val="bottom"/>
          </w:tcPr>
          <w:p>
            <w:pPr>
              <w:spacing w:after="0"/>
              <w:rPr>
                <w:sz w:val="14"/>
                <w:szCs w:val="14"/>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per share and share data)</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Statements of Comprehensive Loss: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Net revenues</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65,242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95,357</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(34,531)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Gross profit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6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(8,106)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 expenses</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(31,385)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(12,745)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(52,236)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(63,617)</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Operating loss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(21,525)</w:t>
            </w:r>
          </w:p>
        </w:tc>
        <w:tc>
          <w:tcPr>
            <w:tcW w:w="6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791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(19,390)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(40,231)</w:t>
            </w:r>
          </w:p>
        </w:tc>
        <w:tc>
          <w:tcPr>
            <w:tcW w:w="6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benefit/(expenses)</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Share of losses from an equity investee</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(39,714)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(2,692)</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Net loss attributable to iClick Interactive Asia Group Limited’s ordinary shareholders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(44,388)</w:t>
            </w:r>
          </w:p>
        </w:tc>
        <w:tc>
          <w:tcPr>
            <w:tcW w:w="6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200" w:type="dxa"/>
            <w:vAlign w:val="bottom"/>
            <w:tcBorders>
              <w:top w:val="single" w:sz="8" w:color="auto"/>
              <w:left w:val="single" w:sz="8" w:color="auto"/>
            </w:tcBorders>
          </w:tcPr>
          <w:p>
            <w:pPr>
              <w:spacing w:after="0"/>
              <w:rPr>
                <w:sz w:val="24"/>
                <w:szCs w:val="24"/>
                <w:color w:val="auto"/>
              </w:rPr>
            </w:pPr>
          </w:p>
        </w:tc>
        <w:tc>
          <w:tcPr>
            <w:tcW w:w="86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86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0" w:type="dxa"/>
            <w:vAlign w:val="bottom"/>
            <w:tcBorders>
              <w:left w:val="single" w:sz="8" w:color="auto"/>
            </w:tcBorders>
          </w:tcPr>
          <w:p>
            <w:pPr>
              <w:spacing w:after="0"/>
              <w:rPr>
                <w:sz w:val="10"/>
                <w:szCs w:val="10"/>
                <w:color w:val="auto"/>
              </w:rPr>
            </w:pPr>
          </w:p>
        </w:tc>
        <w:tc>
          <w:tcPr>
            <w:tcW w:w="8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(US$ in thousands, except for</w:t>
            </w:r>
          </w:p>
        </w:tc>
        <w:tc>
          <w:tcPr>
            <w:tcW w:w="1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 w:type="dxa"/>
            <w:vAlign w:val="bottom"/>
            <w:tcBorders>
              <w:left w:val="single" w:sz="8" w:color="auto"/>
            </w:tcBorders>
          </w:tcPr>
          <w:p>
            <w:pPr>
              <w:spacing w:after="0"/>
              <w:rPr>
                <w:sz w:val="14"/>
                <w:szCs w:val="14"/>
                <w:color w:val="auto"/>
              </w:rPr>
            </w:pPr>
          </w:p>
        </w:tc>
        <w:tc>
          <w:tcPr>
            <w:tcW w:w="8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per share and share data)</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 net of US$nil tax</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(129)</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(139)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8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(39,843)</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(27,469)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8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(3.81)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Basic</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11,661,049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13,151,063</w:t>
            </w:r>
          </w:p>
        </w:tc>
        <w:tc>
          <w:tcPr>
            <w:tcW w:w="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11,661,049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13,151,063</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8620" w:type="dxa"/>
            <w:vAlign w:val="bottom"/>
            <w:vMerge w:val="restart"/>
          </w:tcPr>
          <w:p>
            <w:pPr>
              <w:ind w:left="440"/>
              <w:spacing w:after="0"/>
              <w:rPr>
                <w:sz w:val="20"/>
                <w:szCs w:val="20"/>
                <w:color w:val="auto"/>
              </w:rPr>
            </w:pPr>
            <w:r>
              <w:rPr>
                <w:rFonts w:ascii="Arial" w:cs="Arial" w:eastAsia="Arial" w:hAnsi="Arial"/>
                <w:sz w:val="18"/>
                <w:szCs w:val="18"/>
                <w:color w:val="auto"/>
                <w:w w:val="91"/>
              </w:rPr>
              <w:t>The following table presents our summary consolidated balance sheet data as of December 31, 2015 and 2016.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0" w:type="dxa"/>
            <w:vAlign w:val="bottom"/>
            <w:tcBorders>
              <w:left w:val="single" w:sz="8" w:color="auto"/>
            </w:tcBorders>
          </w:tcPr>
          <w:p>
            <w:pPr>
              <w:spacing w:after="0"/>
              <w:rPr>
                <w:sz w:val="24"/>
                <w:szCs w:val="24"/>
                <w:color w:val="auto"/>
              </w:rPr>
            </w:pPr>
          </w:p>
        </w:tc>
        <w:tc>
          <w:tcPr>
            <w:tcW w:w="8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 w:type="dxa"/>
            <w:vAlign w:val="bottom"/>
            <w:tcBorders>
              <w:left w:val="single" w:sz="8" w:color="auto"/>
            </w:tcBorders>
          </w:tcPr>
          <w:p>
            <w:pPr>
              <w:spacing w:after="0"/>
              <w:rPr>
                <w:sz w:val="24"/>
                <w:szCs w:val="24"/>
                <w:color w:val="auto"/>
              </w:rPr>
            </w:pPr>
          </w:p>
        </w:tc>
        <w:tc>
          <w:tcPr>
            <w:tcW w:w="8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8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8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1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38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27,280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Borders>
              <w:left w:val="single" w:sz="8" w:color="auto"/>
            </w:tcBorders>
          </w:tcPr>
          <w:p>
            <w:pPr>
              <w:spacing w:after="0"/>
              <w:rPr>
                <w:sz w:val="17"/>
                <w:szCs w:val="17"/>
                <w:color w:val="auto"/>
              </w:rPr>
            </w:pPr>
          </w:p>
        </w:tc>
        <w:tc>
          <w:tcPr>
            <w:tcW w:w="8620" w:type="dxa"/>
            <w:vAlign w:val="bottom"/>
          </w:tcPr>
          <w:p>
            <w:pPr>
              <w:ind w:left="360"/>
              <w:spacing w:after="0" w:line="201" w:lineRule="exact"/>
              <w:rPr>
                <w:sz w:val="20"/>
                <w:szCs w:val="20"/>
                <w:color w:val="auto"/>
              </w:rPr>
            </w:pPr>
            <w:r>
              <w:rPr>
                <w:rFonts w:ascii="Arial" w:cs="Arial" w:eastAsia="Arial" w:hAnsi="Arial"/>
                <w:sz w:val="18"/>
                <w:szCs w:val="18"/>
                <w:color w:val="auto"/>
              </w:rPr>
              <w:t>Accounts receivable, net of allowance for doubtful receivables of US$1,733 and US$1,693 as of</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8620" w:type="dxa"/>
            <w:vAlign w:val="bottom"/>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28,423</w:t>
            </w:r>
          </w:p>
        </w:tc>
        <w:tc>
          <w:tcPr>
            <w:tcW w:w="38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30,694</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Rebates receivable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38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Prepaid media cost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24,793</w:t>
            </w:r>
          </w:p>
        </w:tc>
        <w:tc>
          <w:tcPr>
            <w:tcW w:w="38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34,409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19,095</w:t>
            </w:r>
          </w:p>
        </w:tc>
        <w:tc>
          <w:tcPr>
            <w:tcW w:w="38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14,804</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38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48,496</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146,110</w:t>
            </w:r>
          </w:p>
        </w:tc>
        <w:tc>
          <w:tcPr>
            <w:tcW w:w="38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169,640</w:t>
            </w: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115,124</w:t>
            </w:r>
          </w:p>
        </w:tc>
        <w:tc>
          <w:tcPr>
            <w:tcW w:w="38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126,572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38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118,829</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1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83,210</w:t>
            </w:r>
          </w:p>
        </w:tc>
        <w:tc>
          <w:tcPr>
            <w:tcW w:w="38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104,383</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(55,929)</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(64,312)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8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146,110</w:t>
            </w:r>
          </w:p>
        </w:tc>
        <w:tc>
          <w:tcPr>
            <w:tcW w:w="38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169,640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0" w:type="dxa"/>
            <w:vAlign w:val="bottom"/>
            <w:tcBorders>
              <w:left w:val="single" w:sz="8" w:color="auto"/>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5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35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left="200" w:right="220" w:firstLine="443"/>
        <w:spacing w:after="0" w:line="277" w:lineRule="auto"/>
        <w:rPr>
          <w:sz w:val="20"/>
          <w:szCs w:val="20"/>
          <w:color w:val="auto"/>
        </w:rPr>
      </w:pPr>
      <w:r>
        <w:rPr>
          <w:rFonts w:ascii="Arial" w:cs="Arial" w:eastAsia="Arial" w:hAnsi="Arial"/>
          <w:sz w:val="18"/>
          <w:szCs w:val="18"/>
          <w:color w:val="auto"/>
        </w:rPr>
        <w:t>We regularly review a number of metrics to evaluate our business, measure our performance, identify trends, formulate financial projections and make strategic decisions. The main metrics we consider are set forth in the table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13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95"/>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19"/>
        </w:trPr>
        <w:tc>
          <w:tcPr>
            <w:tcW w:w="6040" w:type="dxa"/>
            <w:vAlign w:val="bottom"/>
          </w:tcPr>
          <w:p>
            <w:pPr>
              <w:spacing w:after="0"/>
              <w:rPr>
                <w:sz w:val="10"/>
                <w:szCs w:val="10"/>
                <w:color w:val="auto"/>
              </w:rPr>
            </w:pPr>
          </w:p>
        </w:tc>
        <w:tc>
          <w:tcPr>
            <w:tcW w:w="1300" w:type="dxa"/>
            <w:vAlign w:val="bottom"/>
          </w:tcPr>
          <w:p>
            <w:pPr>
              <w:jc w:val="right"/>
              <w:ind w:right="635"/>
              <w:spacing w:after="0" w:line="119" w:lineRule="exact"/>
              <w:rPr>
                <w:sz w:val="20"/>
                <w:szCs w:val="20"/>
                <w:color w:val="auto"/>
              </w:rPr>
            </w:pPr>
            <w:r>
              <w:rPr>
                <w:rFonts w:ascii="Arial" w:cs="Arial" w:eastAsia="Arial" w:hAnsi="Arial"/>
                <w:sz w:val="13"/>
                <w:szCs w:val="13"/>
                <w:b w:val="1"/>
                <w:bCs w:val="1"/>
                <w:color w:val="auto"/>
              </w:rPr>
              <w:t>(US$ in</w:t>
            </w: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720" w:type="dxa"/>
            <w:vAlign w:val="bottom"/>
          </w:tcPr>
          <w:p>
            <w:pPr>
              <w:spacing w:after="0"/>
              <w:rPr>
                <w:sz w:val="10"/>
                <w:szCs w:val="10"/>
                <w:color w:val="auto"/>
              </w:rPr>
            </w:pPr>
          </w:p>
        </w:tc>
        <w:tc>
          <w:tcPr>
            <w:tcW w:w="82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(US$ in</w:t>
            </w:r>
          </w:p>
        </w:tc>
        <w:tc>
          <w:tcPr>
            <w:tcW w:w="12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120" w:type="dxa"/>
            <w:vAlign w:val="bottom"/>
          </w:tcPr>
          <w:p>
            <w:pPr>
              <w:spacing w:after="0"/>
              <w:rPr>
                <w:sz w:val="10"/>
                <w:szCs w:val="10"/>
                <w:color w:val="auto"/>
              </w:rPr>
            </w:pPr>
          </w:p>
        </w:tc>
      </w:tr>
      <w:tr>
        <w:trPr>
          <w:trHeight w:val="171"/>
        </w:trPr>
        <w:tc>
          <w:tcPr>
            <w:tcW w:w="6040" w:type="dxa"/>
            <w:vAlign w:val="bottom"/>
          </w:tcPr>
          <w:p>
            <w:pPr>
              <w:spacing w:after="0"/>
              <w:rPr>
                <w:sz w:val="14"/>
                <w:szCs w:val="14"/>
                <w:color w:val="auto"/>
              </w:rPr>
            </w:pPr>
          </w:p>
        </w:tc>
        <w:tc>
          <w:tcPr>
            <w:tcW w:w="1300" w:type="dxa"/>
            <w:vAlign w:val="bottom"/>
          </w:tcPr>
          <w:p>
            <w:pPr>
              <w:jc w:val="right"/>
              <w:ind w:right="535"/>
              <w:spacing w:after="0"/>
              <w:rPr>
                <w:sz w:val="20"/>
                <w:szCs w:val="20"/>
                <w:color w:val="auto"/>
              </w:rPr>
            </w:pPr>
            <w:r>
              <w:rPr>
                <w:rFonts w:ascii="Arial" w:cs="Arial" w:eastAsia="Arial" w:hAnsi="Arial"/>
                <w:sz w:val="14"/>
                <w:szCs w:val="14"/>
                <w:b w:val="1"/>
                <w:bCs w:val="1"/>
                <w:color w:val="auto"/>
                <w:w w:val="87"/>
              </w:rPr>
              <w:t>thousands)</w:t>
            </w:r>
          </w:p>
        </w:tc>
        <w:tc>
          <w:tcPr>
            <w:tcW w:w="15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billing)</w:t>
            </w:r>
          </w:p>
        </w:tc>
        <w:tc>
          <w:tcPr>
            <w:tcW w:w="820" w:type="dxa"/>
            <w:vAlign w:val="bottom"/>
          </w:tcPr>
          <w:p>
            <w:pPr>
              <w:jc w:val="right"/>
              <w:ind w:right="54"/>
              <w:spacing w:after="0"/>
              <w:rPr>
                <w:sz w:val="20"/>
                <w:szCs w:val="20"/>
                <w:color w:val="auto"/>
              </w:rPr>
            </w:pPr>
            <w:r>
              <w:rPr>
                <w:rFonts w:ascii="Arial" w:cs="Arial" w:eastAsia="Arial" w:hAnsi="Arial"/>
                <w:sz w:val="14"/>
                <w:szCs w:val="14"/>
                <w:b w:val="1"/>
                <w:bCs w:val="1"/>
                <w:color w:val="auto"/>
                <w:w w:val="87"/>
              </w:rPr>
              <w:t>thousands)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billing)</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Gross billing</w:t>
            </w:r>
          </w:p>
        </w:tc>
        <w:tc>
          <w:tcPr>
            <w:tcW w:w="1300" w:type="dxa"/>
            <w:vAlign w:val="bottom"/>
          </w:tcPr>
          <w:p>
            <w:pPr>
              <w:jc w:val="right"/>
              <w:ind w:right="535"/>
              <w:spacing w:after="0"/>
              <w:rPr>
                <w:sz w:val="20"/>
                <w:szCs w:val="20"/>
                <w:color w:val="auto"/>
              </w:rPr>
            </w:pPr>
            <w:r>
              <w:rPr>
                <w:rFonts w:ascii="Arial" w:cs="Arial" w:eastAsia="Arial" w:hAnsi="Arial"/>
                <w:sz w:val="18"/>
                <w:szCs w:val="18"/>
                <w:color w:val="auto"/>
              </w:rPr>
              <w:t>178,239</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236,253</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billing from mobile audience solutions</w:t>
            </w:r>
          </w:p>
        </w:tc>
        <w:tc>
          <w:tcPr>
            <w:tcW w:w="130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41,323</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23.2</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112,403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Gross billing from other solutions</w:t>
            </w:r>
          </w:p>
        </w:tc>
        <w:tc>
          <w:tcPr>
            <w:tcW w:w="1300" w:type="dxa"/>
            <w:vAlign w:val="bottom"/>
          </w:tcPr>
          <w:p>
            <w:pPr>
              <w:jc w:val="right"/>
              <w:ind w:right="535"/>
              <w:spacing w:after="0"/>
              <w:rPr>
                <w:sz w:val="20"/>
                <w:szCs w:val="20"/>
                <w:color w:val="auto"/>
              </w:rPr>
            </w:pPr>
            <w:r>
              <w:rPr>
                <w:rFonts w:ascii="Arial" w:cs="Arial" w:eastAsia="Arial" w:hAnsi="Arial"/>
                <w:sz w:val="18"/>
                <w:szCs w:val="18"/>
                <w:color w:val="auto"/>
              </w:rPr>
              <w:t>136,916</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76.8</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123,850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r>
      <w:tr>
        <w:trPr>
          <w:trHeight w:val="202"/>
        </w:trPr>
        <w:tc>
          <w:tcPr>
            <w:tcW w:w="6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revenues</w:t>
            </w:r>
          </w:p>
        </w:tc>
        <w:tc>
          <w:tcPr>
            <w:tcW w:w="1300" w:type="dxa"/>
            <w:vAlign w:val="bottom"/>
          </w:tcPr>
          <w:p>
            <w:pPr>
              <w:jc w:val="right"/>
              <w:ind w:right="535"/>
              <w:spacing w:after="0"/>
              <w:rPr>
                <w:sz w:val="20"/>
                <w:szCs w:val="20"/>
                <w:color w:val="auto"/>
              </w:rPr>
            </w:pPr>
            <w:r>
              <w:rPr>
                <w:rFonts w:ascii="Arial" w:cs="Arial" w:eastAsia="Arial" w:hAnsi="Arial"/>
                <w:sz w:val="18"/>
                <w:szCs w:val="18"/>
                <w:color w:val="auto"/>
              </w:rPr>
              <w:t>65,242</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36.6</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95,357</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revenues from mobile audience solutions</w:t>
            </w:r>
          </w:p>
        </w:tc>
        <w:tc>
          <w:tcPr>
            <w:tcW w:w="130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11,908</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6.7</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57,761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Net revenues from other solutions</w:t>
            </w:r>
          </w:p>
        </w:tc>
        <w:tc>
          <w:tcPr>
            <w:tcW w:w="1300" w:type="dxa"/>
            <w:vAlign w:val="bottom"/>
          </w:tcPr>
          <w:p>
            <w:pPr>
              <w:jc w:val="right"/>
              <w:ind w:right="535"/>
              <w:spacing w:after="0"/>
              <w:rPr>
                <w:sz w:val="20"/>
                <w:szCs w:val="20"/>
                <w:color w:val="auto"/>
              </w:rPr>
            </w:pPr>
            <w:r>
              <w:rPr>
                <w:rFonts w:ascii="Arial" w:cs="Arial" w:eastAsia="Arial" w:hAnsi="Arial"/>
                <w:sz w:val="18"/>
                <w:szCs w:val="18"/>
                <w:color w:val="auto"/>
              </w:rPr>
              <w:t>53,334</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29.9</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37,596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0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(8,850)</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Adjusted net loss</w:t>
            </w:r>
          </w:p>
        </w:tc>
        <w:tc>
          <w:tcPr>
            <w:tcW w:w="1300" w:type="dxa"/>
            <w:vAlign w:val="bottom"/>
          </w:tcPr>
          <w:p>
            <w:pPr>
              <w:jc w:val="right"/>
              <w:ind w:right="475"/>
              <w:spacing w:after="0"/>
              <w:rPr>
                <w:sz w:val="20"/>
                <w:szCs w:val="20"/>
                <w:color w:val="auto"/>
              </w:rPr>
            </w:pPr>
            <w:r>
              <w:rPr>
                <w:rFonts w:ascii="Arial" w:cs="Arial" w:eastAsia="Arial" w:hAnsi="Arial"/>
                <w:sz w:val="18"/>
                <w:szCs w:val="18"/>
                <w:color w:val="auto"/>
              </w:rPr>
              <w:t>(11,583)</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(6.5)</w:t>
            </w:r>
          </w:p>
        </w:tc>
        <w:tc>
          <w:tcPr>
            <w:tcW w:w="820" w:type="dxa"/>
            <w:vAlign w:val="bottom"/>
          </w:tcPr>
          <w:p>
            <w:pPr>
              <w:jc w:val="right"/>
              <w:spacing w:after="0"/>
              <w:rPr>
                <w:sz w:val="20"/>
                <w:szCs w:val="20"/>
                <w:color w:val="auto"/>
              </w:rPr>
            </w:pPr>
            <w:r>
              <w:rPr>
                <w:rFonts w:ascii="Arial" w:cs="Arial" w:eastAsia="Arial" w:hAnsi="Arial"/>
                <w:sz w:val="18"/>
                <w:szCs w:val="18"/>
                <w:color w:val="auto"/>
              </w:rPr>
              <w:t>(8,999)</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customers pay us, after deducting rebates paid and discounts given to customers.</w:t>
      </w:r>
    </w:p>
    <w:p>
      <w:pPr>
        <w:spacing w:after="0" w:line="170"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200" w:right="400" w:firstLine="443"/>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7"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045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3"/>
        <w:spacing w:after="0" w:line="276" w:lineRule="auto"/>
        <w:rPr>
          <w:sz w:val="20"/>
          <w:szCs w:val="20"/>
          <w:color w:val="auto"/>
        </w:rPr>
      </w:pPr>
      <w:r>
        <w:rPr>
          <w:rFonts w:ascii="Arial" w:cs="Arial" w:eastAsia="Arial" w:hAnsi="Arial"/>
          <w:sz w:val="17"/>
          <w:szCs w:val="17"/>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 Please see “Management’s Discussion and Analysis of Financial Condition and Results of Operations — Non-GAAP Financial Measures — Adjusted EBITDA” for information regarding the limitations of using adjusted EBITDA as a financial measure and for a reconciliation of our net loss to adjusted EBITDA.</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0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9040" w:type="dxa"/>
            <w:vAlign w:val="bottom"/>
          </w:tcPr>
          <w:p>
            <w:pPr>
              <w:spacing w:after="0"/>
              <w:rPr>
                <w:sz w:val="12"/>
                <w:szCs w:val="12"/>
                <w:color w:val="auto"/>
              </w:rPr>
            </w:pPr>
          </w:p>
        </w:tc>
        <w:tc>
          <w:tcPr>
            <w:tcW w:w="1900" w:type="dxa"/>
            <w:vAlign w:val="bottom"/>
            <w:gridSpan w:val="3"/>
          </w:tcPr>
          <w:p>
            <w:pPr>
              <w:jc w:val="right"/>
              <w:ind w:right="271"/>
              <w:spacing w:after="0" w:line="142" w:lineRule="exact"/>
              <w:rPr>
                <w:sz w:val="20"/>
                <w:szCs w:val="20"/>
                <w:color w:val="auto"/>
              </w:rPr>
            </w:pPr>
            <w:r>
              <w:rPr>
                <w:rFonts w:ascii="Arial" w:cs="Arial" w:eastAsia="Arial" w:hAnsi="Arial"/>
                <w:sz w:val="14"/>
                <w:szCs w:val="14"/>
                <w:b w:val="1"/>
                <w:bCs w:val="1"/>
                <w:color w:val="auto"/>
              </w:rPr>
              <w:t>(US$ in thousands)</w:t>
            </w:r>
          </w:p>
        </w:tc>
        <w:tc>
          <w:tcPr>
            <w:tcW w:w="120" w:type="dxa"/>
            <w:vAlign w:val="bottom"/>
          </w:tcPr>
          <w:p>
            <w:pPr>
              <w:spacing w:after="0"/>
              <w:rPr>
                <w:sz w:val="12"/>
                <w:szCs w:val="12"/>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(39,714)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(27,330)</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Add / (less):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3,181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5,824</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107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23"/>
        </w:trPr>
        <w:tc>
          <w:tcPr>
            <w:tcW w:w="9040" w:type="dxa"/>
            <w:vAlign w:val="bottom"/>
          </w:tcPr>
          <w:p>
            <w:pPr>
              <w:ind w:left="360"/>
              <w:spacing w:after="0"/>
              <w:rPr>
                <w:sz w:val="20"/>
                <w:szCs w:val="20"/>
                <w:color w:val="auto"/>
              </w:rPr>
            </w:pPr>
            <w:r>
              <w:rPr>
                <w:rFonts w:ascii="Arial" w:cs="Arial" w:eastAsia="Arial" w:hAnsi="Arial"/>
                <w:sz w:val="18"/>
                <w:szCs w:val="18"/>
                <w:color w:val="auto"/>
              </w:rPr>
              <w:t>EBITDA</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(36,981)</w:t>
            </w: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120" w:type="dxa"/>
            <w:vAlign w:val="bottom"/>
          </w:tcPr>
          <w:p>
            <w:pPr>
              <w:spacing w:after="0"/>
              <w:rPr>
                <w:sz w:val="19"/>
                <w:szCs w:val="19"/>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6,494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21,244</w:t>
            </w: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19,390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(791)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7"/>
        </w:trPr>
        <w:tc>
          <w:tcPr>
            <w:tcW w:w="90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(8,850)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w:t>
            </w:r>
          </w:p>
        </w:tc>
      </w:tr>
      <w:tr>
        <w:trPr>
          <w:trHeight w:val="20"/>
        </w:trPr>
        <w:tc>
          <w:tcPr>
            <w:tcW w:w="9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3"/>
        <w:spacing w:after="0" w:line="279" w:lineRule="auto"/>
        <w:rPr>
          <w:sz w:val="20"/>
          <w:szCs w:val="20"/>
          <w:color w:val="auto"/>
        </w:rPr>
      </w:pPr>
      <w:r>
        <w:rPr>
          <w:rFonts w:ascii="Arial" w:cs="Arial" w:eastAsia="Arial" w:hAnsi="Arial"/>
          <w:sz w:val="17"/>
          <w:szCs w:val="17"/>
          <w:color w:val="auto"/>
        </w:rPr>
        <w:t>Adjusted net loss represents net loss before (i) share-based compensation, (ii) fair value loss/(gain) on derivative liabilities, (iii) share of loss from an equity investee, (iv) compensation in relation to the acquisition of OptAim, and (v) other (gains)/losses, net. Please see “Management’s Discussion and Analysis of Financial Condition and Results of Operations — Non-GAAP Financial Measures — Adjusted Net Loss” for information regarding the limitations of using adjusted net loss as a financial measure and for a reconciliation of our net loss to adjusted net loss.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0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9040" w:type="dxa"/>
            <w:vAlign w:val="bottom"/>
          </w:tcPr>
          <w:p>
            <w:pPr>
              <w:spacing w:after="0"/>
              <w:rPr>
                <w:sz w:val="12"/>
                <w:szCs w:val="12"/>
                <w:color w:val="auto"/>
              </w:rPr>
            </w:pPr>
          </w:p>
        </w:tc>
        <w:tc>
          <w:tcPr>
            <w:tcW w:w="1900" w:type="dxa"/>
            <w:vAlign w:val="bottom"/>
            <w:gridSpan w:val="3"/>
          </w:tcPr>
          <w:p>
            <w:pPr>
              <w:jc w:val="right"/>
              <w:ind w:right="272"/>
              <w:spacing w:after="0" w:line="142" w:lineRule="exact"/>
              <w:rPr>
                <w:sz w:val="20"/>
                <w:szCs w:val="20"/>
                <w:color w:val="auto"/>
              </w:rPr>
            </w:pPr>
            <w:r>
              <w:rPr>
                <w:rFonts w:ascii="Arial" w:cs="Arial" w:eastAsia="Arial" w:hAnsi="Arial"/>
                <w:sz w:val="14"/>
                <w:szCs w:val="14"/>
                <w:b w:val="1"/>
                <w:bCs w:val="1"/>
                <w:color w:val="auto"/>
              </w:rPr>
              <w:t>(US$ in thousands)</w:t>
            </w:r>
          </w:p>
        </w:tc>
        <w:tc>
          <w:tcPr>
            <w:tcW w:w="120" w:type="dxa"/>
            <w:vAlign w:val="bottom"/>
          </w:tcPr>
          <w:p>
            <w:pPr>
              <w:spacing w:after="0"/>
              <w:rPr>
                <w:sz w:val="12"/>
                <w:szCs w:val="12"/>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(39,714)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(27,330)</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Add:</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6,494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21,244</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19,390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(3,995)</w:t>
            </w: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3,000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r>
      <w:tr>
        <w:trPr>
          <w:trHeight w:val="223"/>
        </w:trPr>
        <w:tc>
          <w:tcPr>
            <w:tcW w:w="904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(11,583)</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such growth rates may not be indicative of our future growth.</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gross billing and net revenues have increased substantially since our inception, especially since our acquisition of OptAim in July 2015, which significantly contributed to our recent growth. We may not be able to sustain growth consistent with our recent history, or at all. You should not consider our gross billing and net revenues growth in recent periods as indicative of our future performance. In future periods, our gross billing and net revenues could decline or grow more slowly than we expect. We believe our growth depends on a number of factors, some of which are described in more details in this section, including our ability to:</w:t>
      </w:r>
    </w:p>
    <w:p>
      <w:pPr>
        <w:spacing w:after="0" w:line="9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 existing customers;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new customer and further diversify our customer base, including more customers to use our solutions on a self-serve basis and marketers from new industries and geographic regions;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our business continues to grow;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we will be able to successfully accomplish any of these objectives.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implementing our mobile strategies, which could materially and adversely affect our results of operations.</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recent growth was in part driven by our expansion since 2014 into mobile channels to identify, engage and convert mobile audience. Our limited operating history in mobile channels may make it difficult to evaluate our current business and future prospects, which will be adversely affected if we fail to successfully maintain and enhance our mobile capabilities. To deliver, maintain and enhance our mobile capabilities, it is important that we further integrate with a wider range of mobile technologies, systems, networks and standards that we do not control. We may not be successful in developing solutions that operate effectively with these technologies, systems, networks or standards. Any of these could have a material adverse effect on our business, prospects and results of operations.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While marketing via non-mobile online channels has been established for several years, marketing via mobile channels, in particular via mobile apps, is a relatively new phenomenon. We have experienced and expect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to continue to face more significant competition for our mobile audience solutions. In addition,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audience solutions. While net revenues from our mobile audience solutions increased significantly by 385.1% from US$11.9 million in 2015 to US$57.8 million in 2016, which contributed to the increase in our overall gross billing, gross margins for our mobile audience solutions remained relatively low in 2015 and 2016, compared to those of our other solutions during the same period, which contributed to the decrease in our overall gross profit margin from 47.1% in 2015 to 36.0% in 2016. As we continue to prioritize the execution of our mobile strategy and face increasing competition and pricing pressure for our mobile audience solutions, our profit margin could be materially and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and may not achieve profitability in the future.</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generated net losses of US$39.7 million in 2015 and US$27.3 million in 2016. As of December 31, 2016, we had an accumulated deficit of US$124.4 million. We will need to generate increased revenue levels in future periods to become profitable, and, even if we do, we may not be able to improve our profitability as we intend to continue to expend significant funds to grow our marketing and sales operations, develop and enhance our data analytic capabilities, scale our data center infrastructure and services capabilities and expand into new market segments. Our efforts to grow our business may be more costly than we expect, and we may not be able to increase our revenue enough to offset our operating expenses. We may incur significant losses in the future for a number of reasons, including the other risks described in this prospectus, and unforeseen expenses, difficulties, complications and delays and other unknown events. If we are unable to achieve or sustain profitability, the market price of our ADSs may significantly decrease.</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net revenues, gross margin and the comparability of our financial results may be affected by the relative percentage of net revenues recognized under the gross and net models.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derive revenue under two models. Our revenue for cost-plus advertisement campaigns and rebates earned from certain website publishers is reported under the net model. Our revenue from performing specified actions (i.e., a cost-per-mille, or CPM, cost-per-click, or CPC, cost-per-action, or CPA, cost-per-sale, or CPS, cost-per-lead, or CPL, and return-on-investment, or ROI, basis) is reported under the gross model. Please see “Management’s Discussion and Analysis of Financial Condition and Results of Operations — Key Operating and Financial Metrics — Net Revenues” for more details. The gross profit margin under our net model is higher than the gross model as cost of revenues under the net model does not include media cost. Consequently, an increase in the percentage of revenue from our gross model will have a positive impact on our net revenues and a negative impact on gross profit margin. As the relative percentage of revenue for cost-plus advertisement campaigns and rebates earned from certain website publishers and the revenue from performing specified actions changes from time to time, the relative percentage of revenue recognized under the two models also fluctuates, which would consequently impact our net revenues and gross margin. Our mobile audience solutions on one hand, and other solutions, on the other hand, each represents a mixture of revenue recognized on gross basis and on net basis and the proportion of each fluctuates from period to period. Therefore our net revenues, gross margin and the comparability of our financial results in one period to another may be affected by the relative percentage of net revenues recognized under the gross model and net model.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existing customers or attract new ones could adversely impact our business and results of operations.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do not have long-term customer contracts, and a majority of our customer contracts are for a term of one year or shorter. Our customers, which refer to entities from which we recognize revenue under our marketing campaign contracts with them and which include direct marketer customers and marketing agencies, are not obligated to use our platform on an exclusive basis and they generally use multiple providers to manage their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marketing spend. Accordingly, we must convince our customers to use our platform, increase their usage and spend a larger share of their online marketing budgets with us, and do so on an on-going basis.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ability to achieve customer contract renewals and new customer sales depends on many factors, some of which are out of our control, including:</w:t>
      </w:r>
    </w:p>
    <w:p>
      <w:pPr>
        <w:spacing w:after="0" w:line="15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satisfaction with our solutions, including any new solutions that we may develop,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pricing competitiveness,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satisfaction with our account managing services,</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tailor our solution offerings and delivery and pricing models in accordance with the evolving needs of our customers and end marketers,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expand our data base and solutions to serve marketers in a wider range of industries and geographic regions,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mergers, acquisitions or other consolidation among our customers and end marketers,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global economic conditions on spending levels of our customers and end marketers generally.</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Therefore, we cannot assure you that customers that have generated marketing spend on our platform in the past will continue to spend at similar levels or that they will continue to use our platform at all. We may not be able to replace customers who decrease or cease their usage of our platform with new customers that spend similarly on our platform. If our existing customers do not continue to use or increase their use of our platform, or if we are unable to attract sufficient marketing spend on our platform from new customers, our business and results of operations could be materially and adversely affected.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marketing agency customer may materially and adversely affect our business and results of operations.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engage third-party marketing agencies to help source and serve some of our marketers. In 2016, we had over 2,000 customers, including over 1,800 direct marketer customers and over 500 marketing agency customers, which represented over 1,100 end marketers and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customers could materially and adversely affect our business and results of operations.</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Furthermore, our contractual arrangements with marketing agency customers do not provide us with control or oversight over their day-to-day business activities. If any of our marketing agency customers engage in activities that violate laws and regulations, our reputation could be harmed and our business and results of operations could be materially and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content distribution channel may materially and adversely affect our business and results of operations.</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Our consistent access to attractive content distribution opportunities is crucial to our business. Our content distribution channels are concentrated and primarily include online and mobile publishers, major search engines and ad exchanges, including those owned or operated by Tencent, Baidu, Google and Alibaba. The loss of access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content distribution opportunities from one of those companies would negatively impact our ability to help marketers reach their audience. We currently do not own or control any content distribution channels in China. Our contracts with content distribution channels generally do not impose long-term obligations requiring them to make their content distribution opportunities available to us, and under some of these contracts, content distribution channels may terminate the contracts during their terms if we do not meet the minimum market spending requirements in the contracts. Our ability to source content distribution opportunities from them depends in part on our ability to continuously generate sufficient market spending from our customers on these channels. We cannot assure you that we will successfully retain our content channel partners on terms favorable or acceptable to us.</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generally enter into annual framework agreements with content distribution channel partners. These agreements generally provide for certain rebates that we are entitled to should the market spending during the terms exceed the specified thresholds. See “Management’s Discussion and Analysis of Financial Condition and Results of Operations — Key Operating and Financial Metrics — Net Revenue,” “— Critical Accounting Policies — Revenue recognition — Cost-Plus and Agreed Rebates to be Earned from Certain Website Publishers ” and “— Key Components of Results of Operations — Cost of Revenues; Gross Profit Margin” for a description of the accounting treatment of rebates that we receive from content distribution channels. If any content distribution channel were to change their incentive programs or to cease doing business with us for any reason, our financial results would be materially adversely affected.</w:t>
      </w:r>
    </w:p>
    <w:p>
      <w:pPr>
        <w:spacing w:after="0" w:line="18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Furthermore, our platform is connected with some of our content distribution channels’ platforms through application programming interfaces, or API, such as the Baidu API and Google API. We are subject to standard API terms of use of such content distribution channels, which govern the use and distribution of data from them. Our business significantly depends on access to these APIs, particularly the Baidu API and Google API on commercially reasonable terms. Our business would be harmed if any of these content distribution channels discontinue, limit or place any additional restrictions on our access to their platforms, modify their terms of use or other policies, or charge API license fees for API access. In particular, content distribution channels update their API terms of use from time to time and new versions of these terms could impose additional restrictions on us and require us to modify our software to accommodate these changes. Any of these outcomes could cause demand for our solutions to decrease, our research and development costs to increase, and as a result, our business and results of operations could suffer.</w:t>
      </w:r>
    </w:p>
    <w:p>
      <w:pPr>
        <w:spacing w:after="0" w:line="287" w:lineRule="exact"/>
        <w:rPr>
          <w:sz w:val="20"/>
          <w:szCs w:val="20"/>
          <w:color w:val="auto"/>
        </w:rPr>
      </w:pPr>
    </w:p>
    <w:p>
      <w:pPr>
        <w:ind w:right="660"/>
        <w:spacing w:after="0" w:line="375" w:lineRule="auto"/>
        <w:rPr>
          <w:sz w:val="20"/>
          <w:szCs w:val="20"/>
          <w:color w:val="auto"/>
        </w:rPr>
      </w:pPr>
      <w:r>
        <w:rPr>
          <w:rFonts w:ascii="Arial" w:cs="Arial" w:eastAsia="Arial" w:hAnsi="Arial"/>
          <w:sz w:val="15"/>
          <w:szCs w:val="15"/>
          <w:b w:val="1"/>
          <w:bCs w:val="1"/>
          <w:i w:val="1"/>
          <w:iCs w:val="1"/>
          <w:color w:val="auto"/>
        </w:rPr>
        <w:t>The independent online marketing technology market is highly fragmented and intensely competitive. In addition, independent online marketing technology platforms face competitive pressure from well-established internet companies, marketing agencies and traditional media.</w:t>
      </w:r>
    </w:p>
    <w:p>
      <w:pPr>
        <w:spacing w:after="0" w:line="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7"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deliver return on marketing expenditure at scale;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trust;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breadth and depth of cooperation with publishers, ad exchanges, ad networks and other participants in the online marketing ecosystem;</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comprehensiveness of solutions and service offerings;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structure and competitiveness;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cross-channel capabilities;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accessibility and user-friendliness of solutions;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22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In addition, independent online marketing technology platforms face competitive pressure from large and well-established internet companies, such as Alibaba, Baidu and Tencent, which have established stronger and broader presence across the online marketing ecosystem and have significantly more financial, technical, marketing and other resources, more extensive customer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Further, some of these companies are, or may also become, our content distribution channels and may enter into other types of strategic arrangements with us. Competitive pressure may incentivize them to cease their partnership with us.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8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online marketing technology solutions do not achieve widespread market acceptance, our business, growth prospects and results of operations would be materially and adversely affected.</w:t>
      </w:r>
    </w:p>
    <w:p>
      <w:pPr>
        <w:spacing w:after="0" w:line="62"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market for online marketing technology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model may be slower among marketers with heightened data security concerns or general demand for highly customizable application software. The acceptance of our solutions delivered as SaaS offerings will depend to a substantial extent on the education of our customers on the SaaS offerings and the widespread adoption of SaaS solutions in general, and we cannot be certain that the trend of adoption of such solutions will continue in the future. Therefore, it is difficult to predict customer demand for our platform or the future growth rate and size of the market for online marketing technology solutions.</w:t>
      </w:r>
    </w:p>
    <w:p>
      <w:pPr>
        <w:spacing w:after="0" w:line="17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2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our algorithms and data engines for assessing and predicting potential audience interaction with marketing content are flawed or ineffective, or if our platform fails to otherwise function properly, our reputation and market share would be materially and adversely affected.</w:t>
      </w:r>
    </w:p>
    <w:p>
      <w:pPr>
        <w:spacing w:after="0" w:line="1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ability to attract marketers to, and build trust in, our platform is significantly dependent on our ability to effectively assess and predict audience interest in, and therefore interaction with, relevant marketing content.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customers.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8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addition, we expect to experience significant growth in the amount of data we process as we continue to develop new solutions and features to meet evolving and growing customer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collect and use data from various sources could be restricted.</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8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choices, including the blocking or deletion of cookies or modifications to privacy settings;</w:t>
      </w:r>
    </w:p>
    <w:p>
      <w:pPr>
        <w:spacing w:after="0" w:line="130" w:lineRule="exact"/>
        <w:rPr>
          <w:rFonts w:ascii="Arial" w:cs="Arial" w:eastAsia="Arial" w:hAnsi="Arial"/>
          <w:sz w:val="18"/>
          <w:szCs w:val="18"/>
          <w:color w:val="auto"/>
        </w:rPr>
      </w:pPr>
    </w:p>
    <w:p>
      <w:pPr>
        <w:ind w:left="900" w:right="28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29" w:lineRule="exact"/>
        <w:rPr>
          <w:rFonts w:ascii="Arial" w:cs="Arial" w:eastAsia="Arial" w:hAnsi="Arial"/>
          <w:sz w:val="16"/>
          <w:szCs w:val="16"/>
          <w:color w:val="auto"/>
        </w:rPr>
      </w:pPr>
    </w:p>
    <w:p>
      <w:pPr>
        <w:ind w:left="900" w:right="6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browser or device functionality and settings, and other new technologies, which could make it easier for users to prevent the placement of cookies or other tracking technologies;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our network or software systems, or the network or software systems of marketers;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grow customer base in new industries and geographic markets in order to obtain the critical mass of data necessary for our algorithms and data engines to perform optimally in these new industries and geographies;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failures or defects in our data collection, mining, analysis and storage systems.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8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customer departure and reputation damages, and materially and adversely affect our business and results of operations.</w:t>
      </w:r>
    </w:p>
    <w:p>
      <w:pPr>
        <w:spacing w:after="0" w:line="266"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enforcement actions for compliance failures, or restrict portions of our business or cause us to change our technology platform or business model.</w:t>
      </w:r>
    </w:p>
    <w:p>
      <w:pPr>
        <w:spacing w:after="0" w:line="39"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Governments around the world, including the PRC and Hong Kong governments, have enacted or are considering legislation related to online businesses. There may be an increase in legislation and regulation related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primarily target Chinese language internet users in China for our marketers from all over the world. As a result, we may be directly or indirectly subject to the laws and regulations on online marketing, including data and privacy laws, of multiple jurisdictions. In recent years, the PRC government has enacted legislation on internet use to protect personal information from any unauthorized disclosure. For example, the Several Provisions on Regulating the Market Order of Internet Information Services, promulgated by the Chinese Ministry of Industry and Information Technology, or MIIT, stipulate that internet information service providers must not, without a user’s consent, collect the user’s personal information that can reveal the identity of the user whether by itself or when used in combination with other information, and must not provide any such information to third parties without prior consent from the user. In addition, internet information service providers shall inform their users about their service scope and shall not use users’ information beyond such scope or collect any other information that is irrelevant to the services they provide. 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 The European Union has adopted the EU e-Privacy Directive and is considering reforms to its existing data protection legal framework. In addition, the EU Directive 2009/136/EC, commonly referred to as the “Cookie Directive,” directs EU member states to ensure that accessing information on an internet user’s computer, such as through a cookie, is allowed only if the internet user has given his or her consent. The U.S. government has announced that it is reviewing the need for greater regulation of the collection of consumer information, including regulation aimed at restricting some targeted advertising practices.</w:t>
      </w:r>
    </w:p>
    <w:p>
      <w:pPr>
        <w:spacing w:after="0" w:line="17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privacy laws or to provide adequate notice and/or obtain consent from end users. In addition, some of our content distribution channels require us to indemnify and hold them harmless from the costs or consequences of litigation resulting from using their networks. Any proceeding or perception of concerns relating to our collection, use, disclosure, and retention of data, including our security measures applicable to the data we collect, whether or not valid, could harm our reputation, force us to spend significant amounts on defense of these proceedings, distract our management, increase our costs of doing business and inhibit the use of our solutions, which could materially and adversely affect our business, results of operations and prospects.</w:t>
      </w:r>
    </w:p>
    <w:p>
      <w:pPr>
        <w:spacing w:after="0" w:line="29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3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customers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customers is authentic or complete, or that we are able to identify and rectify all non-compliances in a timely manner.</w:t>
      </w:r>
    </w:p>
    <w:p>
      <w:pPr>
        <w:spacing w:after="0" w:line="16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contracts with customers contain a back-to-back representation and warranty as to the truthfulness of the advertising content or an indemnity provision where the customers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grow efficiently to meet our customers’ increasing needs, our operating results could be harmed.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customer departure, which could harm our reputation and adversely affect our business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account services, our business and reputation may suffer.</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success in marketing and sale of our solutions and retention and expansion of customer base depends on our ability to maintain a consistently high level of customer services, customer education and technical support, which requires that our account servicing personnel have specific marketing domain knowledge and expertise. If we are unable to hire and train a sufficient number of support staff to provide effective and timely support to our customers, our customers’ appreciation of, or satisfaction with, our solutions may be adversely affected, resulting in reduced customer spending or departure and adversely affect our reputation and materially and adversely affect our business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information or other intellectual property, our business could be adversely affected.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9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may be subject to an injunction and/or required to pay significant damages or spend significant time and resources to rebrand any relevant products or services.</w:t>
      </w:r>
    </w:p>
    <w:p>
      <w:pPr>
        <w:spacing w:after="0" w:line="17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96" w:lineRule="exact"/>
        <w:rPr>
          <w:sz w:val="20"/>
          <w:szCs w:val="20"/>
          <w:color w:val="auto"/>
        </w:rPr>
      </w:pPr>
    </w:p>
    <w:p>
      <w:pPr>
        <w:ind w:right="720"/>
        <w:spacing w:after="0" w:line="375" w:lineRule="auto"/>
        <w:rPr>
          <w:sz w:val="20"/>
          <w:szCs w:val="20"/>
          <w:color w:val="auto"/>
        </w:rPr>
      </w:pPr>
      <w:r>
        <w:rPr>
          <w:rFonts w:ascii="Arial" w:cs="Arial" w:eastAsia="Arial" w:hAnsi="Arial"/>
          <w:sz w:val="15"/>
          <w:szCs w:val="15"/>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 There can be no assurance that we will be successful in fully integrating, utilizing and leveraging OptAim’s business and technologies to further expand our mobile business and cross-channel capabilities, which may adversely affect our ability to achieve growth and business objectives, and have a material adverse effect upon our business and results of operations.</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recent acquisitions of OptAim, involve numerous risks, any of which could harm our business, including:</w:t>
      </w:r>
    </w:p>
    <w:p>
      <w:pPr>
        <w:spacing w:after="0" w:line="98" w:lineRule="exact"/>
        <w:rPr>
          <w:sz w:val="20"/>
          <w:szCs w:val="20"/>
          <w:color w:val="auto"/>
        </w:rPr>
      </w:pPr>
    </w:p>
    <w:p>
      <w:pPr>
        <w:ind w:left="900" w:right="5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services and personnel of acquired businesses, especially if those businesses operate outside of our core competency;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reputation and perception risks associated with the acquired product or technology by the general public;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maintain the key business relationships and the reputations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litigation for activities of the acquired company, including claims from terminated employees, clients, former shareholders or other third parties;</w:t>
      </w:r>
    </w:p>
    <w:p>
      <w:pPr>
        <w:spacing w:after="0" w:line="153" w:lineRule="exact"/>
        <w:rPr>
          <w:rFonts w:ascii="Arial" w:cs="Arial" w:eastAsia="Arial" w:hAnsi="Arial"/>
          <w:sz w:val="16"/>
          <w:szCs w:val="16"/>
          <w:color w:val="auto"/>
        </w:rPr>
      </w:pPr>
    </w:p>
    <w:p>
      <w:pPr>
        <w:jc w:val="both"/>
        <w:ind w:left="900" w:right="16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technology in order to recoup our investment;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fixed costs.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we are unable to successfully fully integrate any future business, product or technology we acquire, our business, financial conditions and results of operations may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significant impairment charges as a result of our acquisition of OptAim.</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of December 31, 2016, we had US$48.5 million of goodwill, which represented approximately 28.6% of our total assets, the majority of which was related to OptAim and its subsidiaries, VIE and VIE’s subsidiary.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to successfully integrate its operations with our other operations. Impairment charges could negatively affect our reported earnings and financial ratios in the periods of such charges and limit our ability to obtain financing in the future. See “Management’s Discussion and Analysis of Financial Condition and Results of Operations – the Effect of Our Acquisition of OptAim” and “— Critical Accounting Policies — Impairment of Goodwill” for more information.</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meet our reporting obligations or prevent fraud.</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Prior to this offering, we were a private company with limited accounting personnel and other resources with which to address our internal controls and procedures. Our management has not completed an assessment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effectiveness of our internal control over financial reporting and our independent registered public accounting firm has not conducted an audit of our internal control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in accordance with the standards established by the Public Company Accounting Oversight Board of the United States, or the PCAOB.</w:t>
      </w:r>
    </w:p>
    <w:p>
      <w:pPr>
        <w:spacing w:after="0" w:line="154"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 The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and plan to continue to take measures to remediate these weaknesses. For details, see “Management’s Discussion and Analysis of Financial Condition and Results of Operations — Internal Control Over Financial Reporting.” However, the implementation of these measures may not fully address the material weaknesses and other control deficiencies in our internal control over financial reporting, and we cannot conclude that they have been fully remedied. Our failure to correct the material weaknesses and other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w:t>
      </w:r>
    </w:p>
    <w:p>
      <w:pPr>
        <w:spacing w:after="0" w:line="18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Neither we nor our independent registered public accounting firm has undertaken a comprehensive assessment of our internal control for purposes of identifying and reporting material weaknesses, significant deficiencies and other control deficiencies in our internal control over financial reporting as we and they will be required to do once we become a public company. In light of the number of material weaknesses and other control deficiencies that were identified as a result of the limited procedures performed, we believe it is possible that,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Upon completion of this offering, we will become a public company in the United States subject to the Sarbanes-Oxley Act of 2002. Section 404 of the Sarbanes-Oxley Act of 2002, or Section 404, will require that we include a report of management on our internal control over financial reporting in our annual report on Form 20-F beginning with our annual report for the fiscal year ending December 31, 2018.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30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Failures or disruption in any systems, software or hardware infrastructure supporting our platform and solutions could significantly disrupt our operation and cause us to lose customers.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 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8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customers.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6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the future, we could be required to seek licenses from third parties in order to continue offering our solution, in which case licenses may not be available on terms that are acceptable to us, or at all. Alternatively,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 impressions, we may lose business and incur damages to our brand and reputation. In addition, we may be exposed to liabilities or the need to provide credits or refunds to our customers, and our business and results of operations may be harmed.</w:t>
      </w:r>
    </w:p>
    <w:p>
      <w:pPr>
        <w:spacing w:after="0" w:line="2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6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customer confidence in, and the use of, our solutions. Harm to our reputation and customer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promote or maintain our brand in a cost-efficient manner, our business and results of operations may be harmed.</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that developing and maintaining awareness of our brand in a cost-effective manner is critical to achieving widespread acceptance of our solutions, and is an important element in attracting new customers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customers or retain our existing customers and our business and results of operations can be materially and adversely affected.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errors and failure to function by our employees could harm our business and reputation.</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customers, inability to attract future customers, reputational damage, regulatory intervention and financial harm, which could negatively impact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beyond those generated by this offering, to respond to business challenges, including the need to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retain our senior management team, including our founders, and key employees, or attract additional technology and sales talents, we may not be able to sustain our growth or achieve our business objectives.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future success is substantially dependent on the continued service of our senior management team, including our founders, Sammy Hsieh, Ricky Ng and Jian Tang.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Increases in labor costs in the PRC may adversely affect our business and results of operations. Most of our employees are based in China. Chinese economy has experienced increases in inflation and labor costs in recent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on our platform. Our business could also be adversely affected by the effects of Ebola virus disease, Zika virus disease, H1N1 flu, H7N9 flu, avian flu, Severe Acute Respiratory Syndrome, or SARS, or other epidemics. Our business operations could be disrupted if any of our employees is suspected of having Ebola virus disease, Zika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192"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Most of our system hardware and back-up systems are hosted in leased facilities in Hong Kong, Shanghai, Beijing, Guangzhou and Zhejiang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business insurance coverage.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may not be able to transfer all the customer contracts of our VIE entity to our wholly owned PRC subsidiary in a timely manner or at all, in which case we will continue to rely on the contractual arrangements that establish the structure for certain of our operations in China.</w:t>
      </w:r>
    </w:p>
    <w:p>
      <w:pPr>
        <w:spacing w:after="0" w:line="16"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Provisions on Foreign-Invested Advertising Enterprises, OptAim Beijing entered into a set of contractual arrangements with OptAim Network and its shareholders. For a detailed description of these contractual arrangements, see “Corporate History and Structure.” As a result of these contractual arrangements, we exert control over OptAim Network and its wholly owned subsidiary, Zhiyunzhong, and consolidate their operating results in our financial statements under U.S. GAAP.</w:t>
      </w:r>
    </w:p>
    <w:p>
      <w:pPr>
        <w:spacing w:after="0" w:line="18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To the extent any current or future business of OptAim Network can be directly operated by our wholly owned subsidiaries under the PRC law, we are in the process of transferring such business to our wholly owned subsidiaries. We expect that by the end of 2018, OptAim Beijing will replace OptAim Network as contracting party for all our mobile audience solution business that are operated by OptAim. However, we cannot assure you that such transition will be completed in a timely manner or at all as some of our customers may not be willing to enter into contracts with a new signing entity or OptAim Beijing may not have the necessary infrastructure to support the transition of all our mobile audience solution business operated by OptAim. Therefore, OptAim may continue to conduct part of its business in China through the contractual arrangements between OptAim Beijing, OptAim Network and its shareholders. In 2016, OptAim contributed 44.8% to our gross billing and 53.6% of our net revenues.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except that the registration of the Amended and Restated Equity Pledge Agreement with relevant office of the Administration for Industry and Commerce has not been completed.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 In addition, we are in the process of registering the equity pledge and expect to complete the registration by June 2017. Although our PRC counsel Jingtian &amp; Gongcheng believes that there is no legal obstacle for us to complete the registration, given the equity pledge is not effective prior to the completion of the registration, we may not have sufficient control over OptAim Network before we complete the registration.</w:t>
      </w:r>
    </w:p>
    <w:p>
      <w:pPr>
        <w:spacing w:after="0" w:line="17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It is uncertain whether any new PRC laws, rules or regulations relating to variable interest entity structures will be adopted or if adopted, what they would provide. In particular, in January 2015, the Ministry of Commerce, or the MOC, published a discussion draft of the proposed Foreign Investment Law for public review and comments. Among other things, the draft Foreign Investment Law expands the definition of foreign investment and introduces the principle of “actual control” in determining whether a company is considered a foreign-invested enterprise, or an FIE. Under the draft Foreign Investment Law, variable interest entities would also be deemed as FIEs, if they are ultimately “controlled” by foreign investors, and be subject to restrictions on foreign investments. However, the draft law has not taken a position on what actions will be taken with respect to the existing companies with the “variable interest entity” structure, whether or not these companies are controlled by Chinese parties. It is uncertain when the draft would be signed into law and whether the final version would have any substantial changes from the draft. See “Regulation — Regulations on Foreign Investment” and “— Substantial uncertainties exist with respect to the enactment timetable, interpretation and implementation of draft PRC Foreign Investment Law and how it may impact the viability of our current corporate structure, corporate governance and business operations.”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online platform, discontinuing or placing restrictions or onerous conditions on our operations, requiring us to undergo a costly and disruptive restructuring, restricting or prohibiting our use of proceeds from this offering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a significant portion of our business operations, which may not be as effective as direct ownership in providing operational control.</w:t>
      </w:r>
    </w:p>
    <w:p>
      <w:pPr>
        <w:spacing w:after="0" w:line="6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subject to the completion of the transfers of all the customer contracts of our VIE entity to our wholly owned PRC subsidiary. For a description of these contractual arrangements, see “Corporate History and Structure.” These contractual arrangements may not be as effective as direct ownership in providing us with control over our consolidated variable interest entity and its subsidiary. For example, we are in the process of registering the equity pledge and expect to complete the registration by June 2017. However, prior to completion of the registration, we cannot avoid shareholders of OptAim Network from transferring or otherwise disposing their equity of OptAim Network. In addition, OptAim Network and the shareholders of OptAim Network could breach their contractual arrangements with us by, among other things, failing to conduct its operations, including maintaining our website and using the domain names and trademarks, in an acceptable manner or taking other actions that are detrimental to our interests.</w:t>
      </w:r>
    </w:p>
    <w:p>
      <w:pPr>
        <w:spacing w:after="0" w:line="18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If we had direct ownership of OptAim Network and Zhiyunzhong, we would be able to exercise our rights as a shareholder to effect changes in the board of directors of OptAim Network and Zhiyunzhong,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subsidiary.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3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6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shareholders’ equity interests in OptAim Network, our ability to exercise shareholders’ rights or foreclose the share pledge according to the contractual arrangements may be impaired.</w:t>
      </w:r>
    </w:p>
    <w:p>
      <w:pPr>
        <w:spacing w:after="0" w:line="17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equity interests of OptAim Network are held by Mr. Jian Tang, who is our co-founder, director, chief operating officer and chief technology officer, and Ms. Jie Jiao, who is our chief financial officer.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Currently, we do not have any arrangements to address potential conflicts of interest between these shareholders and our company, except that we could exercise our purchase option under the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96"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tax consequences if the PRC tax authorities determine that the contractual arrangements between our wholly 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 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7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38"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The MOC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MOC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9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Among other things, the draft Foreign Investment Law expands the definition of foreign investment and introduces the principle of “actual control” in determining whether a company is considered an FIE. The draft Foreign Investment Law specifically provides that entities established in China but “controlled” by foreign investors will be treated as FIEs, whereas an entity set up in a foreign jurisdiction would nonetheless be, upon market entry clearance by the MOC, treated as a PRC domestic investor provided that the entity is “controlled” by PRC entities and/or citizens. According to the draft Foreign Investment Law, once an entity is determined to be an FIE, it will be subject to the foreign investment restrictions or prohibitions set forth in a “catalogue of special administrative measures,” which is classified into the “catalogue of prohibitions” and “the catalogue of restrictions”, to be separately issued by the State Council later. Foreign investors are not allowed to invest in any sector set forth in the catalogue of prohibitions. Please see “Regulation — Regulations on Foreign Investment” for more details.</w:t>
      </w:r>
    </w:p>
    <w:p>
      <w:pPr>
        <w:spacing w:after="0" w:line="17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draft Foreign Investment Law does not indicate what actions shall be taken with respect to companies with an existing VIE structure, whether or not these companies are controlled by Chinese parties. Moreover, it is uncertain whether the “catalogue of special administrative measures” to be issued will differ from the Catalogue for the Guidance of Foreign Investment Industries (Revised in 2015), or the 2015 Catalogue, and re-impose foreign investment restrictions or prohibitions on online marketing industry or advertising industry. If the enacted version of the Foreign Investment Law and the final “catalogue of special administrative measures” mandate further actions, such as the MOC market entry clearance, to be completed by companies with an existing VIE structure like us, and if online marketing industry or advertising industry becomes once again subject to the foreign investment restrictions or prohibitions, we will face uncertainties as to whether such clearance can be timely obtained, or at all. If we are not able to obtain such clearance when required, our VIE structure may be regarded as invalid and illegal. As a result, we would not be able to (i) continue our business in China through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contractual arrangements with OptAim Network and Zhiyunzhong, (ii) exert control over OptAim Network, (iii) receive the economic benefits of OptAim Network under such contractual arrangements, or (iv) consolidate the financial results of OptAim Network and Zhiyunzhong. Were this to occur, our results of operations and financial condition would be materially and adversely affected.</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draft Foreign Investment Law, if enacted as proposed, may also materially impact our corporate governance practice and increase our compliance costs. For instance, the draft Foreign Investment Law imposes stringent ad hoc and periodic information reporting requirements on foreign investors and the applicable FIEs. Aside from an investment information report required at each investment, and investment amendment reports, which shall be submitted upon alteration of investment specifics,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2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6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required and fail to obtain or maintain a license for our collection of data in China, our business and results of operations may be materially and adversely affected.</w:t>
      </w:r>
    </w:p>
    <w:p>
      <w:pPr>
        <w:spacing w:after="0" w:line="6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Foreign-related surveys include surveys commissioned by any overseas organization or individual or agency in China on behalf of any overseas organization; surveys conducted in cooperation with any overseas organization or individual or agency in China on behalf of any overseas organization; and surveys the underlying materials or results of which are to be provided to any overseas organization or individual or agency in China on behalf of any overseas organization.</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collect data of multiple kinds and from multiple sources in China in our business operations, which concerns the intent, interest, online transaction, social behavior, offline purchase behavior, and demographic information of Chinese consumers as well as information on performance of marketing campaigns in China. The data is used by our PRC subsidiaries or Hong Kong subsidiaries to improve the cost-effectiveness of marketing campaigns for our customers and marketers in and outside China. It is unclear whether our collection and use of data falls within the scope of “foreign-related surveys” under the Foreign-related Surveys Measures. According to anonymous inquiries with the National Bureau of Statistics in China and its local counterparts in Beijing, Shanghai and Guangdong province by our PRC Counsel, Jingtian &amp; Gongcheng, these governing bodies currently do not explicitly require a company with a business model similar to ours to obtain the license for foreign-related surveys under the current laws and regulations.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However, considerable uncertainties exist on the interpretation and implementation of existing and future laws and regulations on foreign-related surveys. We cannot assure you that we are not required to obtain a license for foreign-related surveys in China or otherwise not be found in violation of any laws or regulations. If we are required and fail to obtain or maintain the license for foreign-related surveys, we may be subject to various penalties, such as confiscation of the revenues that were generated through the unlicensed foreign-related survey activities or imposition of fines and criminal liability, which will materially and adversely affect our business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us.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3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6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primary operations are based in, and a substantial percentage of our revenue is generated from,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81" w:lineRule="exact"/>
        <w:rPr>
          <w:sz w:val="20"/>
          <w:szCs w:val="20"/>
          <w:color w:val="auto"/>
        </w:rPr>
      </w:pPr>
    </w:p>
    <w:p>
      <w:pPr>
        <w:ind w:right="300" w:firstLine="456"/>
        <w:spacing w:after="0" w:line="272" w:lineRule="auto"/>
        <w:rPr>
          <w:sz w:val="20"/>
          <w:szCs w:val="20"/>
          <w:color w:val="auto"/>
        </w:rPr>
      </w:pPr>
      <w:r>
        <w:rPr>
          <w:rFonts w:ascii="Arial" w:cs="Arial" w:eastAsia="Arial" w:hAnsi="Arial"/>
          <w:sz w:val="17"/>
          <w:szCs w:val="17"/>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7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 Furthermore, the government of the United Kingdom held an in-or-out referendum on its membership in the European Union on June 23, 2016. The referendum resulted in a vote in favor of the exit of the United Kingdom from the European Union (“Brexit”). The uncertainty caused by Brexit could negatively impact all of the economies and market conditions of the European Union and/or worldwide, and could continue to contribute to instability in the global financial markets. There is considerable uncertainty over the long-term effects of the expansionary monetary and fiscal policies adopted by the central banks and financial authorities of some of the world’s leading economies, including the United States and China. There have also been concerns over unrest in Ukraine, the Middle East and Africa, which have resulted in volatility in financial and other markets. There have also been concerns about the economic effect of the tensions in the relationship between China and surrounding Asian countries.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96"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Cayman Islands exempted limited liability company, used as a holding company, and we rely principally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82"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5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5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each of our PRC subsidiaries may not procure loans which exceed the difference between its registered capital and its total investment amount as recorded in FICMIS. Any medium or long term loan to be provided by us to our variable interest entity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this offering and to capitalize our PRC operations may be negatively affected, which could adversely affect our liquidity and our ability to fund and expand our business.</w:t>
      </w:r>
    </w:p>
    <w:p>
      <w:pPr>
        <w:spacing w:after="0" w:line="1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conditions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value of the Renminbi against the U.S. dollar and other currencies may fluctuate and is affected by, among other things, changes in political and economic conditions in China and by China’s foreign exchange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w:t>
      </w:r>
    </w:p>
    <w:p>
      <w:pPr>
        <w:spacing w:after="0" w:line="251" w:lineRule="auto"/>
        <w:rPr>
          <w:sz w:val="20"/>
          <w:szCs w:val="20"/>
          <w:color w:val="auto"/>
        </w:rPr>
      </w:pPr>
      <w:r>
        <w:rPr>
          <w:rFonts w:ascii="Arial" w:cs="Arial" w:eastAsia="Arial" w:hAnsi="Arial"/>
          <w:sz w:val="18"/>
          <w:szCs w:val="18"/>
          <w:color w:val="auto"/>
        </w:rPr>
        <w:t>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9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7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your investment.</w:t>
      </w:r>
    </w:p>
    <w:p>
      <w:pPr>
        <w:spacing w:after="0" w:line="1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in certain cases, the remittance of currency out of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cross-border financing contracts according to the Circular of the People’s Bank of China on Matters relating to the Macro-prudential Management of Full-covered Cross-border Financing for the Issuance of Foreign Debts by Enterprise, or Circular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Management of Cross-border Financing, effective on January 10,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7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7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Certain beneficiary owners of our shares who are PRC residents, including Jiping Liu, have not completed their registration with the SAFE for their beneficial ownership of our shares. 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Ministry of Commerce of the People’s Republic of China, or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 Moreover, the Anti-Monopoly Law promulgated by the Standing Committee of the National People’s Congress of the PRC, which became effective in 2008 requires that transactions which are deemed concentrations and involve parties with specified turnover thresholds must be cleared by the MOFCOM before they can be completed. In addition, the Notice of the General Office of the State Council on Establishing the Security Review System for Mergers and Acquisitions of Domestic Enterprises by Foreign Investors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2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the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 listed company upon the completion of this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 — Regulations on Foreign Exchange — Equity Incentive Plans.”</w:t>
      </w:r>
    </w:p>
    <w:p>
      <w:pPr>
        <w:spacing w:after="0" w:line="16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State Administration of Taxation, or SAT, has issued certain circulars concerning employee share options and restricted shares. Under these circulars, our employees working in China who exercise share options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“Regulation — Regulations on Foreign Exchange — Equity Incentive Plans.”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1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believe none of our entities outside of China is a PRC resident enterprise for PRC tax purposes. See “Taxation —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ordinary shares.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2"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2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tax, or VAT, is imposed to replace the business tax, which could result in unfavorable tax consequences to us.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Ministry of Finance and the SAT promulgated the Circular on the Inclusion of the Railway Transportation Industry and Postal Service Industry in the Pilot Collection of Value-added Tax to Replace Business Tax, or Circular 106. Pursuant to Circular 106, starting from January 1, 2014, a VAT rate of 6% applies to revenue derived from the provision of express delivery services, and a VAT rate of 11% applies to revenue derived from provision of transportation services, which is higher than the previously applicable 5% and 3% business tax rate. In 2016, the Ministry of Finance and the SAT promulgated the Circular on Comprehensively Promoting the Pilot Program of the Collection of Value-added Tax to Replace Business Tax, or Circular 36. Circular 36 took effect as of May 1, 2016 and superseded Circular 106 on the same date. Circular 36 expanded the application of VAT in replacement business tax to enterprises engaging in the building industry, the real estate industry, the financial industry and the life service industry on a nationwide basis. According to Circular 36, the VAT rates applicable to revenue derived from the provision of express delivery services and revenue derived from provision of transportation services remain the same (6% and 11% respectively) as those under Circular 106. Although a taxpayer is allowed to offset the qualified input VAT paid on taxable purchases against the output VAT chargeable on the revenue from services provided, our effective tax rate could be higher. The replacement of the business tax with a VAT on our services could result in unfavorable tax consequences to us. See “Regulation — Regulations on Tax — Value Added Tax.”</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State Administration of Taxation,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“Taxation — 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uncertainties with respect to indirect transfers of equity interests in PRC resident enterprises by their non-PRC holding companies.</w:t>
      </w:r>
    </w:p>
    <w:p>
      <w:pPr>
        <w:spacing w:after="0" w:line="12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or deferring PRC tax. As a result, gains derived from such Indirect Transfer may be subject to PRC enterprise income tax, and will the applicable taxes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has been issued by auditors whose work, in part, is outside the scope of inspection by the PCAOB and, as such, you may be deprived of the benefits of such inspection with respect to such work.</w:t>
      </w:r>
    </w:p>
    <w:p>
      <w:pPr>
        <w:spacing w:after="0" w:line="62"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Our independent registered public accounting firm that issues the audit reports included in this prospectus,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China Securities Regulatory Commission, or the CSRC, and the Ministry of Finance, which establishes a cooperative framework between the parties for the production and exchange of audit documents relevant to investigations undertaken by PCAOB, the CSRC, or the Ministry of Finance in the United States and the PRC, respectively. PCAOB continues to be in discussions with the CSRC and the Ministry of Finance to permit joint inspections in the PRC of audit firms that are registered with PCAOB and audit US listed Chinese companies.</w:t>
      </w:r>
    </w:p>
    <w:p>
      <w:pPr>
        <w:spacing w:after="0" w:line="182"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Inspections of audit firms that the PCAOB has conducted outside mainland China have identified deficiencies in those firms’ audit procedures and quality control procedures, which may be addressed as part of the inspection process to improve future audit quality. The PCAOB’s current inability to conduct inspections in mainland China prevents the PCAOB from regularly evaluating our auditor’s audit procedures and quality control procedures as they relate to our operations in mainland China, where our revenues are derived. As a result, investors may be deprived of the benefits of such regular PCAOB inspections and may lose confidence in our reported financial information and the quality of our financial statements.</w:t>
      </w:r>
    </w:p>
    <w:p>
      <w:pPr>
        <w:spacing w:after="0" w:line="2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American Depositary Shares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ordinary shares or our ADSs may not develop and the trading price for our ADSs may fluctuate significantly, you may not be able to resell the ADSs at or above the public offering price.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expect to list our ADSs on the [NASDAQ Global Market/NYSE]. We have no current intention to seek a listing for our ordinary shares on any stock exchange.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factors, the price and trading volume of our ADSs may be highly volatile due to multiple other factors, including the following:</w:t>
      </w:r>
    </w:p>
    <w:p>
      <w:pPr>
        <w:spacing w:after="0" w:line="15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developments affecting us, our customers and end marketers,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in the online marketing industry;</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solutions and service offerings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providers of online marketing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in or revisions to our expected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of exchange rates between Renminbi and the U.S.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62"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We plan to use the net proceeds from this offering primarily for the following purposes: US$ in research and development and big data deep learning capabilities and capacities; US$ in the development and expansion of our suite of solutions and service offerings; and US$ in sales and</w:t>
      </w:r>
    </w:p>
    <w:p>
      <w:pPr>
        <w:spacing w:after="0"/>
        <w:rPr>
          <w:sz w:val="20"/>
          <w:szCs w:val="20"/>
          <w:color w:val="auto"/>
        </w:rPr>
      </w:pPr>
      <w:r>
        <w:rPr>
          <w:rFonts w:ascii="Arial" w:cs="Arial" w:eastAsia="Arial" w:hAnsi="Arial"/>
          <w:sz w:val="16"/>
          <w:szCs w:val="16"/>
          <w:color w:val="auto"/>
        </w:rPr>
        <w:t>marketing activities to attract, in particular, more customers to use our solutions on a self-serve basis, and customers from additional industry verticals and</w:t>
      </w:r>
    </w:p>
    <w:p>
      <w:pPr>
        <w:spacing w:after="0" w:line="3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geographic markets. We also plan to use US$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 We will use the remaining portion of the net proceeds we receive from this offering for general corporate purposes. See “Use of Proceeds.” However, 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28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Certain existing shareholders have substantial influence over our company and their interests may not be aligned with the interests of our other shareholders.</w:t>
      </w:r>
    </w:p>
    <w:p>
      <w:pPr>
        <w:spacing w:after="0" w:line="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directors and officers will collectively own an aggregate of % of the total voting power of our outstanding ordinary shares immediately upon completion of this offering, assuming the underwriters do not exercise their over-allotment option. As a result, they have substantial influence over our business, including significant corporate actions such as mergers, consolidations, sales of all or substantially all of our assets, election of directors and other significant corporate actions.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including those who purchase ADSs in this offering. In addition, the significant concentration of share ownership may adversely affect the trading price of the ADSs due to investors’ perception that conflicts of interest may exist or arise. For more information regarding our principal shareholders and their affiliated entities, see “Principal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granted, and may continue to grant, share incentives, which may result in increased share based compensation expenses.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adopted our stock option plan in 2010 for the purpose of granting share based compensation awards to employees, directors and advisors to incentivize their performance and align their interests with ours. We account for compensation costs for all share options using a fair-value based method and recognize expenses in our consolidated statements of comprehensive income in accordance with U.S. GAAP. Under our stock option plan, the maximum aggregate number of ordinary shares which may be issued pursuant to all awards under the plan is 2,398,137. As of the date of this prospectus, options to purchase 1,857,625 ordinary shares have been granted and outstanding.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w:t>
      </w:r>
    </w:p>
    <w:p>
      <w:pPr>
        <w:spacing w:after="0" w:line="2" w:lineRule="exact"/>
        <w:rPr>
          <w:sz w:val="20"/>
          <w:szCs w:val="20"/>
          <w:color w:val="auto"/>
        </w:rPr>
      </w:pPr>
    </w:p>
    <w:p>
      <w:pPr>
        <w:ind w:right="1900"/>
        <w:spacing w:after="0" w:line="261" w:lineRule="auto"/>
        <w:rPr>
          <w:sz w:val="20"/>
          <w:szCs w:val="20"/>
          <w:color w:val="auto"/>
        </w:rPr>
      </w:pPr>
      <w:r>
        <w:rPr>
          <w:rFonts w:ascii="Arial" w:cs="Arial" w:eastAsia="Arial" w:hAnsi="Arial"/>
          <w:sz w:val="18"/>
          <w:szCs w:val="18"/>
          <w:color w:val="auto"/>
        </w:rPr>
        <w:t>There will be ADSs (representing ordinary shares) outstanding immediately after this offering, or ADSs (representing ordinary shares) if the underwriters exercise their over-allotment option in full.</w:t>
      </w:r>
    </w:p>
    <w:p>
      <w:pPr>
        <w:spacing w:after="0" w:line="18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connection with this offering, we, our directors and officers and our existing shareholders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3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dividends in the foreseeable future. Therefore, you should not rely on an investment in our ADSs as a source for any future dividend income.</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M&amp;A rules requires an overseas special purpose vehicle formed for listing purposes through acquisitions of PRC domestic companies and controlled by PRC companies or individuals to obtain the approval of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7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PRC counsel, Jingtian &amp; Gongcheng, has advised us based on their understanding of the current PRC law, rules and regulations that the CSRC’s approval is not required for the listing and trading of our ADSs on the [NASDAQ Global Market/NYSE] in the context of this offering, given that:</w:t>
      </w:r>
    </w:p>
    <w:p>
      <w:pPr>
        <w:spacing w:after="0" w:line="29" w:lineRule="exact"/>
        <w:rPr>
          <w:sz w:val="20"/>
          <w:szCs w:val="20"/>
          <w:color w:val="auto"/>
        </w:rPr>
      </w:pPr>
    </w:p>
    <w:p>
      <w:pPr>
        <w:ind w:left="900" w:right="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CSRC currently has not issued any definitive rule or interpretation concerning whether offerings like ours under this prospectus are subject to this regulation;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provision in this regulation clearly classifies contractual arrangements as a type of transaction subject to its regulation.</w:t>
      </w:r>
    </w:p>
    <w:p>
      <w:pPr>
        <w:spacing w:after="0" w:line="2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governmental agencies, including the CSRC, would reach the same conclusion as we do. If it is determined that CSRC approval is required for this offering, we may face sanctions by the CSRC or other PRC regulatory agencies for failure to seek CSRC approval for this offering. These sanctions may include fines and penalties on our operations in the PRC, limitations on our operating privileges in the PRC, delays in or restrictions on the repatriation of the proceeds from this offering into the PRC, restrictions on or prohibition of the payments or remittance of dividends by our PRC subsidiaries, or other actions that could have a material and adverse effect on our business, financial condition, results of operations, reputation and prospects, as well as the trading price of our ADSs. The CSRC or other PRC regulatory agencies may also take actions requiring us, or making it advisable for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 In addition, if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7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The post-offering amended and restated memorandum and articles of association that we expect to adopt and to become effective immediately prior to the completion of this offering will contain anti-takeover provisions that could discourage a third party from acquiring us and adversely affect the rights of holders of our ordinary shares and ADSs.</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expect to adopt, subject to the approval by our shareholders, an amended and restated memorandum and articles of association that will become effective immediately prior to the completion of this offering. The post-offering amended and restated memorandum and articles of association will contain certain provisions that could limit the ability of others to acquire control of our company,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As a company incorporated in the Cayman Islands, we are permitted to adopt certain home country practices in relation to corporate governance matters that differ significantly from the [NASDAQ corporate governance requirements/NYSE corporate governance listing standards]; these practices may afford less protection to shareholders than they would enjoy if we complied fully with the [NASDAQ corporate governance requirements/NYSE corporate governance listing standards].</w:t>
      </w:r>
    </w:p>
    <w:p>
      <w:pPr>
        <w:spacing w:after="0" w:line="7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As a Cayman Islands company listed on the [NASDAQ Global Market/NYSE], we are subject to the [NASDAQ corporate governance requirements/NYSE corporate governance listing standards]. However, [NASDAQ Global Market/ NYSE] rules permit a foreign private issuer like us to follow the corporate governance practices of its home country. Certain corporate governance practices in the Cayman Islands, which is our home country, may differ significantly from the [NASDAQ corporate governance requirements/NYSE corporate governance listing standards]. Currently, we do not plan to rely on home country practice with respect to our corporate governance after we complete this offering. However, if we choose to follow home country practice in the future, our shareholders may be afforded less protection than they otherwise would enjoy under the [NASDAQ corporate governance requirements/NYSE corporate governance listing standards] applicable to U.S. domestic issuers.</w:t>
      </w:r>
    </w:p>
    <w:p>
      <w:pPr>
        <w:spacing w:after="0" w:line="28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an exempted limited liability company incorporated under the laws of the Cayman Islands. Our corporate affairs are governed by our memorandum and articles of association, the Companies Law (2016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to inspect corporate records or to obtain copies of lists of shareholders of these companies. Our directors will have discretion under the post-offering amended and restated memorandum and articles of association we expect to adopt,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5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(2016 Revision) of the Cayman Islands and the laws applicable to companies incorporated in the United States and their shareholders, see “Description of Share Capital — Differences in Corporate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our directors or officers by our shareholders may not be enforceable.</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For more information regarding the relevant laws of the Cayman Islands and China, see “Enforceability of Civil Liabilities.”</w:t>
      </w:r>
    </w:p>
    <w:p>
      <w:pPr>
        <w:spacing w:after="0" w:line="28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ordinary shares.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a holder of our ADSs, you will only be able to exercise the voting rights with respect to the underlying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Except in limited circumstances, the depositary for our ADSs will give us a discretionary proxy to vote our ordinary shares underlying your ADSs if you do not vote at shareholders’ meetings, which could adversely affect your interests.</w:t>
      </w:r>
    </w:p>
    <w:p>
      <w:pPr>
        <w:spacing w:after="0" w:line="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Under the deposit agreement for our ADSs, the depositary will give us (or our nominee) a discretionary proxy to vote our ordinary shares underlying your ADSs at shareholders’ meetings if you do not give voting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instructions to the depositary as to how to vote the ordinary shares underlying your ADSs at any particular shareholders’ meeting, unless:</w:t>
      </w:r>
    </w:p>
    <w:p>
      <w:pPr>
        <w:spacing w:after="0" w:line="13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our notice of meeting and related voting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voting at the meeting is made on a show of hands.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as to how to vote the ordinary shares underlying your ADSs at any particular shareholders’ meeting, you cannot prevent our ordinary shares underlying your ADSs from being voted at that meeting, absent the situations described above, and it may make it more difficult for shareholders to influence our management. Holders of our ordinary shares are not subject to this discretionary proxy.</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6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depositary of our ADSs has agreed to pay to you the cash dividends or other distributions it or the custodian receives on ordinary shares or other deposited securities underlying our ADSs, after deducting its fees and expenses. You will receive these distributions in proportion to the number of ordinary shares your ADSs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2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ordinary share, you will experience immediate and substantial dilution.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purchase ADSs in this offering, you will pay more for your ADSs than the amount paid by our existing shareholders for their ordinary shares on</w:t>
      </w:r>
    </w:p>
    <w:p>
      <w:pPr>
        <w:spacing w:after="0" w:line="46"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a per ADS basis. As a result, you will experience immediate and substantial dilution of US$ per ADS, representing the difference between the assumed initial public offering price of US$ per ADS, the midpoint of the estimated range of the initial public offering price, and our net tangible book value per ADS of US$ as of December 31, 2016, after giving effect to the net proceeds to us from this offering. In addition, you may</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experience further dilution to the extent that our ordinary shares are issued upon the exercise of any share options. See “Dilution” for a more complete description of how the value of your investment in our ADSs will be diluted upon completion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42" w:lineRule="exact"/>
        <w:rPr>
          <w:rFonts w:ascii="Arial" w:cs="Arial" w:eastAsia="Arial" w:hAnsi="Arial"/>
          <w:sz w:val="17"/>
          <w:szCs w:val="17"/>
          <w:color w:val="auto"/>
        </w:rPr>
      </w:pPr>
    </w:p>
    <w:p>
      <w:pPr>
        <w:ind w:left="900" w:right="3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be required to file an annual report on Form 20-F within four months of the end of each fiscal year. In addition, we intend to publish our results on a quarterly basis as press releases, distributed pursuant to the rules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regulations of the [NASDAQ Global Market/NYSE].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However, such reduced reporting requirements may make our ADSs less attractive to investors.</w:t>
      </w:r>
    </w:p>
    <w:p>
      <w:pPr>
        <w:spacing w:after="0" w:line="10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as a result of being a public company, particularly after we cease to qualify as an emerging growth company.</w:t>
      </w:r>
    </w:p>
    <w:p>
      <w:pPr>
        <w:spacing w:after="0" w:line="129"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color w:val="auto"/>
        </w:rPr>
        <w:t>We will incur additional legal, accounting and other expenses as a public reporting company, particularly after we cease to qualify as an emerging growth company, which occurs on the earliest of (a) the last day of the fiscal year during which we have total annual gross revenues of at least</w:t>
      </w:r>
    </w:p>
    <w:p>
      <w:pPr>
        <w:ind w:right="40"/>
        <w:spacing w:after="0" w:line="268" w:lineRule="auto"/>
        <w:rPr>
          <w:sz w:val="20"/>
          <w:szCs w:val="20"/>
          <w:color w:val="auto"/>
        </w:rPr>
      </w:pPr>
      <w:r>
        <w:rPr>
          <w:rFonts w:ascii="Arial" w:cs="Arial" w:eastAsia="Arial" w:hAnsi="Arial"/>
          <w:sz w:val="17"/>
          <w:szCs w:val="17"/>
          <w:color w:val="auto"/>
        </w:rPr>
        <w:t>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Market/NYSE],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80"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262"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[There can be no assurance that we will not be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non-U.S corporation will be a “passive foreign investment company,” or “PFIC,” if, in any particular taxable year, either (a) 75% or more of our gross income for such year consists of certain types of “passive” income or (b) 50% or more of the average quarterly value of our assets (as determined on the basis of fair market value) during such year produce or are held for the production of passive income (the “asset test”). Although the law in this regard is unclear, we intend to treat our consolidated variable interest entity as being owned by us for United States federal income tax purposes, not only because we exercise effective control over the operation of such entities but also because we are entitled to substantially all of their economic benefits, and, as a result, we consolidate their results of operations in our consolidated financial statements. Assuming that we are the owner of our consolidated variable interest entity for United States federal income tax purposes, and based upon our current and expected income and assets, including goodwill, (taking into account the expected proceeds from this offering) and projections as to the value of our ADSs and ordinary shares following the offering, we do not presently expect to be a PFIC for the current taxable year or the foreseeable future.</w:t>
      </w:r>
    </w:p>
    <w:p>
      <w:pPr>
        <w:spacing w:after="0" w:line="18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While we do not expect to become a PFIC, because the value of our assets for purposes of the asset test may be determined by reference to the market price of our ADSs or ordinary shares, fluctuations in the market price of our ADSs or ordinary shares may cause us to become a PFIC for the current or subsequent taxable years. The determination of whether we will be or become a PFIC will also depend, in part, on the composition of our income and assets, which may be affected by how, and how quickly, we use our liquid assets and the cash raised in this offering. If we determine not to deploy significant amounts of cash for active purposes or if it were determined that we do not own the stock of our consolidated variable interest entity for United States federal income tax purposes, our risk of being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or any future taxable year.</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are a PFIC in any taxable year, a U.S. holder (as defined in “Taxation — 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we generally will continue to be treated as a PFIC for all succeeding years during which such U.S. holder holds our ADSs or ordinary shares. For more information see “Taxation — United States Federal Income Tax Considerations — Passive Foreign Investment Company Rules.”]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regarding our customers and end marketers;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certain data and information that we obtained from various government and private publications including industry data and information from Frost &amp; Sullivan. Data and information in these publications also include projections based on a number of assumptions. China’s online marketing industry, including online marketing technology industry and independent online marketing technology industry, may not grow at the rate projected by market data, or at all. Failure of these industries to grow at the projected rate may have a material and adverse effect on our business and the market price of our ADSs. In addition, the new and rapidly changing nature of China’s online marketing industry, including online marketing technology industry, and independent online marketing technology industry may result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estimate that we will receive net proceeds from this offering of approximately US$ million, or approximately US$ million if the underwriters exercise their option to purchase additional ADSs in full, after deducting underwriting discounts and commissions and the estimated offering expenses</w:t>
      </w:r>
    </w:p>
    <w:p>
      <w:pPr>
        <w:ind w:right="80"/>
        <w:spacing w:after="0" w:line="271" w:lineRule="auto"/>
        <w:rPr>
          <w:sz w:val="20"/>
          <w:szCs w:val="20"/>
          <w:color w:val="auto"/>
        </w:rPr>
      </w:pPr>
      <w:r>
        <w:rPr>
          <w:rFonts w:ascii="Arial" w:cs="Arial" w:eastAsia="Arial" w:hAnsi="Arial"/>
          <w:sz w:val="17"/>
          <w:szCs w:val="17"/>
          <w:color w:val="auto"/>
        </w:rPr>
        <w:t>payable by us. These estimates are based upon an assumed initial offering price of US$ per ADS, the midpoint of the range shown on the front cover page of this prospectus. A US$1.00 change in the assumed initial public offering price of US$ per ADS would, in the case of an increase, increase and, in the case of a decrease, decrease the net proceeds of this offering by US$ million, or approximately US$ million if the underwriters exercise their option to purchase additional ADSs in full, assuming the sale of ADSs at US$ per ADS, the midpoint of the range shown on the front cover page of this prospectus and after deducting underwriting discounts and commissions and the estimated offering expenses payable by us.</w:t>
      </w:r>
    </w:p>
    <w:p>
      <w:pPr>
        <w:spacing w:after="0" w:line="17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primary purposes of this offering are to increase our capitalization and financial flexibility, create a public market for our ADSs, retain talented employees by providing them with equity incentives and enable access to the public equity markets for us and our shareholders. We plan to use the net proceeds of this offering for the following purposes:</w:t>
      </w:r>
    </w:p>
    <w:p>
      <w:pPr>
        <w:spacing w:after="0" w:line="8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w:t>
      </w:r>
      <w:r>
        <w:rPr>
          <w:rFonts w:ascii="Arial" w:cs="Arial" w:eastAsia="Arial" w:hAnsi="Arial"/>
          <w:sz w:val="16"/>
          <w:szCs w:val="16"/>
          <w:color w:val="auto"/>
        </w:rPr>
        <w:t>in research and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w:t>
      </w:r>
      <w:r>
        <w:rPr>
          <w:rFonts w:ascii="Arial" w:cs="Arial" w:eastAsia="Arial" w:hAnsi="Arial"/>
          <w:sz w:val="16"/>
          <w:szCs w:val="16"/>
          <w:color w:val="auto"/>
        </w:rPr>
        <w:t>in the development and expansion of our suite of solutions and service offerings;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w:t>
      </w:r>
      <w:r>
        <w:rPr>
          <w:rFonts w:ascii="Arial" w:cs="Arial" w:eastAsia="Arial" w:hAnsi="Arial"/>
          <w:sz w:val="16"/>
          <w:szCs w:val="16"/>
          <w:color w:val="auto"/>
        </w:rPr>
        <w:t>in sales and marketing.</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plan to use the remaining portion of the net proceeds for general corporate purposes and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 Risks Related to This Offering and Our American Depositary Shares — You must rely on the judgment of our management as to the use of the net proceeds from this offering, and such use may not produce income or increase our ADS price.”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subsidiaries or make additional capital contributions to our PRC subsidiaries to fund its capital expenditures or working capital. We cannot assure you that we will be able to obtain these government registrations or approvals on a timely basis, if at all. See “Risk Factors — Risks Related to Doing Business in China — 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 However, we may consider a dividend payout in the future with a payout ratio consistent with the online marketing sector.</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December 31, 2016:</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basis to reflect the automatic conversion of all our preferred shares into 9,525,757 ordinary shares on a one-for-one basis upon the completion of the offering; and</w:t>
      </w:r>
    </w:p>
    <w:p>
      <w:pPr>
        <w:spacing w:after="0" w:line="75" w:lineRule="exact"/>
        <w:rPr>
          <w:rFonts w:ascii="Arial" w:cs="Arial" w:eastAsia="Arial" w:hAnsi="Arial"/>
          <w:sz w:val="18"/>
          <w:szCs w:val="18"/>
          <w:color w:val="auto"/>
        </w:rPr>
      </w:pPr>
    </w:p>
    <w:p>
      <w:pPr>
        <w:ind w:left="900" w:right="20" w:hanging="325"/>
        <w:spacing w:after="0" w:line="276"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a pro forma as adjusted basis to reflect (1) the automatic conversion of all of our outstanding preferred shares into 9,525,757 ordinary shares on a one-for-one basis immediately upon the completion of this offering; and (2) the sale of ordinary shares in the form of ADSs by us in this offering at an assumed initial public offering price of US$ per ADS, the mid-point of the estimated range of the initial public offering price shown on the front cover of this prospectus, after deducting the underwriting discounts and commissions and estimated offering expenses payable by us assuming no exercise of the underwriters’ option to purchase additional ADSs.</w:t>
      </w:r>
    </w:p>
    <w:p>
      <w:pPr>
        <w:spacing w:after="0" w:line="17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December 31, 2016</w:t>
            </w: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80" w:type="dxa"/>
            <w:vAlign w:val="bottom"/>
          </w:tcPr>
          <w:p>
            <w:pPr>
              <w:spacing w:after="0"/>
              <w:rPr>
                <w:sz w:val="10"/>
                <w:szCs w:val="10"/>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Actual</w:t>
            </w:r>
          </w:p>
        </w:tc>
        <w:tc>
          <w:tcPr>
            <w:tcW w:w="150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Pro Forma</w:t>
            </w:r>
          </w:p>
        </w:tc>
        <w:tc>
          <w:tcPr>
            <w:tcW w:w="960" w:type="dxa"/>
            <w:vAlign w:val="bottom"/>
          </w:tcPr>
          <w:p>
            <w:pPr>
              <w:jc w:val="center"/>
              <w:ind w:left="31"/>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(US$ in thousands)</w:t>
            </w:r>
          </w:p>
        </w:tc>
        <w:tc>
          <w:tcPr>
            <w:tcW w:w="9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80" w:type="dxa"/>
            <w:vAlign w:val="bottom"/>
          </w:tcPr>
          <w:p>
            <w:pPr>
              <w:ind w:left="360"/>
              <w:spacing w:after="0" w:line="201" w:lineRule="exact"/>
              <w:rPr>
                <w:sz w:val="20"/>
                <w:szCs w:val="20"/>
                <w:color w:val="auto"/>
              </w:rPr>
            </w:pPr>
            <w:r>
              <w:rPr>
                <w:rFonts w:ascii="Arial" w:cs="Arial" w:eastAsia="Arial" w:hAnsi="Arial"/>
                <w:sz w:val="18"/>
                <w:szCs w:val="18"/>
                <w:color w:val="auto"/>
              </w:rPr>
              <w:t>Series A convertible redeemable preferred shares (US$0.001 par value; 2,500,000 shares</w:t>
            </w: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540"/>
              <w:spacing w:after="0"/>
              <w:rPr>
                <w:sz w:val="20"/>
                <w:szCs w:val="20"/>
                <w:color w:val="auto"/>
              </w:rPr>
            </w:pPr>
            <w:r>
              <w:rPr>
                <w:rFonts w:ascii="Arial" w:cs="Arial" w:eastAsia="Arial" w:hAnsi="Arial"/>
                <w:sz w:val="18"/>
                <w:szCs w:val="18"/>
                <w:color w:val="auto"/>
              </w:rPr>
              <w:t>authorized as of December 31, 2015 and 2016, respectively; 2,476,190 shares issued and</w:t>
            </w: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540"/>
              <w:spacing w:after="0"/>
              <w:rPr>
                <w:sz w:val="20"/>
                <w:szCs w:val="20"/>
                <w:color w:val="auto"/>
              </w:rPr>
            </w:pPr>
            <w:r>
              <w:rPr>
                <w:rFonts w:ascii="Arial" w:cs="Arial" w:eastAsia="Arial" w:hAnsi="Arial"/>
                <w:sz w:val="18"/>
                <w:szCs w:val="18"/>
                <w:color w:val="auto"/>
              </w:rPr>
              <w:t>outstanding as of December 31, 2015 and 2016, respectively)</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5,597</w:t>
            </w: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Series B convertible redeemable preferred shares (US$0.001 par value; 3,000,000 shares authorized</w:t>
            </w:r>
          </w:p>
        </w:tc>
        <w:tc>
          <w:tcPr>
            <w:tcW w:w="8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as of December 31, 2015 and 2016, respectively; 1,889,249 shares issued and outstanding as of</w:t>
            </w:r>
          </w:p>
        </w:tc>
        <w:tc>
          <w:tcPr>
            <w:tcW w:w="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9,807</w:t>
            </w:r>
          </w:p>
        </w:tc>
        <w:tc>
          <w:tcPr>
            <w:tcW w:w="15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80" w:type="dxa"/>
            <w:vAlign w:val="bottom"/>
          </w:tcPr>
          <w:p>
            <w:pPr>
              <w:ind w:left="360"/>
              <w:spacing w:after="0" w:line="201" w:lineRule="exact"/>
              <w:rPr>
                <w:sz w:val="20"/>
                <w:szCs w:val="20"/>
                <w:color w:val="auto"/>
              </w:rPr>
            </w:pPr>
            <w:r>
              <w:rPr>
                <w:rFonts w:ascii="Arial" w:cs="Arial" w:eastAsia="Arial" w:hAnsi="Arial"/>
                <w:sz w:val="18"/>
                <w:szCs w:val="18"/>
                <w:color w:val="auto"/>
                <w:w w:val="95"/>
              </w:rPr>
              <w:t>Series C convertible redeemable preferred shares (US$0.001 par value; 1,650,000 shares authorized</w:t>
            </w: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540"/>
              <w:spacing w:after="0"/>
              <w:rPr>
                <w:sz w:val="20"/>
                <w:szCs w:val="20"/>
                <w:color w:val="auto"/>
              </w:rPr>
            </w:pPr>
            <w:r>
              <w:rPr>
                <w:rFonts w:ascii="Arial" w:cs="Arial" w:eastAsia="Arial" w:hAnsi="Arial"/>
                <w:sz w:val="18"/>
                <w:szCs w:val="18"/>
                <w:color w:val="auto"/>
                <w:w w:val="97"/>
              </w:rPr>
              <w:t>as of December 31, 2015 and 2016, respectively; 1,599,186 shares issued and outstanding as of</w:t>
            </w: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w w:val="98"/>
              </w:rPr>
              <w:t>10,733</w:t>
            </w: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D convertible redeemable preferred shares (US$0.001 par value; 4,500,000 shares</w:t>
            </w:r>
          </w:p>
        </w:tc>
        <w:tc>
          <w:tcPr>
            <w:tcW w:w="8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 as of December 31, 2015 and 2016, respectively; 2,493,018 shares issued and</w:t>
            </w:r>
          </w:p>
        </w:tc>
        <w:tc>
          <w:tcPr>
            <w:tcW w:w="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w:t>
            </w: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8"/>
              </w:rPr>
              <w:t>43,956</w:t>
            </w:r>
          </w:p>
        </w:tc>
        <w:tc>
          <w:tcPr>
            <w:tcW w:w="15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80" w:type="dxa"/>
            <w:vAlign w:val="bottom"/>
          </w:tcPr>
          <w:p>
            <w:pPr>
              <w:ind w:left="360"/>
              <w:spacing w:after="0" w:line="201" w:lineRule="exact"/>
              <w:rPr>
                <w:sz w:val="20"/>
                <w:szCs w:val="20"/>
                <w:color w:val="auto"/>
              </w:rPr>
            </w:pPr>
            <w:r>
              <w:rPr>
                <w:rFonts w:ascii="Arial" w:cs="Arial" w:eastAsia="Arial" w:hAnsi="Arial"/>
                <w:sz w:val="18"/>
                <w:szCs w:val="18"/>
                <w:color w:val="auto"/>
                <w:w w:val="95"/>
              </w:rPr>
              <w:t>Series E convertible redeemable preferred shares (US$0.001 par value; 1,200,000 shares authorized</w:t>
            </w: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540"/>
              <w:spacing w:after="0"/>
              <w:rPr>
                <w:sz w:val="20"/>
                <w:szCs w:val="20"/>
                <w:color w:val="auto"/>
              </w:rPr>
            </w:pPr>
            <w:r>
              <w:rPr>
                <w:rFonts w:ascii="Arial" w:cs="Arial" w:eastAsia="Arial" w:hAnsi="Arial"/>
                <w:sz w:val="18"/>
                <w:szCs w:val="18"/>
                <w:color w:val="auto"/>
                <w:w w:val="99"/>
              </w:rPr>
              <w:t>as of December 31, 2016; 1,068,114 shares issued and outstanding as of December 31, 2016)</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w w:val="98"/>
              </w:rPr>
              <w:t>18,845</w:t>
            </w: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Redeemable ordinary shares (US$0.001 par value; 742,320 shares issued and outstanding as of</w:t>
            </w:r>
          </w:p>
        </w:tc>
        <w:tc>
          <w:tcPr>
            <w:tcW w:w="8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8"/>
              </w:rPr>
              <w:t>15,445</w:t>
            </w:r>
          </w:p>
        </w:tc>
        <w:tc>
          <w:tcPr>
            <w:tcW w:w="15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Shareholders’ deficit:</w:t>
            </w: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Ordinary shares (US$0.001 par value; 38,350,000 and 37,150,000 shares authorized as of</w:t>
            </w:r>
          </w:p>
        </w:tc>
        <w:tc>
          <w:tcPr>
            <w:tcW w:w="8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 and 2016, respectively; 14,465,124 and 14,970,029 shares issued and</w:t>
            </w:r>
          </w:p>
        </w:tc>
        <w:tc>
          <w:tcPr>
            <w:tcW w:w="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w:t>
            </w: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15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24</w:t>
            </w: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w w:val="98"/>
              </w:rPr>
              <w:t>Treasury shares (1,293,364 and 788,459 shares as of December 31, 2015 and 2016, respectively)</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(2,468)</w:t>
            </w:r>
          </w:p>
        </w:tc>
        <w:tc>
          <w:tcPr>
            <w:tcW w:w="1500" w:type="dxa"/>
            <w:vAlign w:val="bottom"/>
          </w:tcPr>
          <w:p>
            <w:pPr>
              <w:jc w:val="right"/>
              <w:ind w:right="395"/>
              <w:spacing w:after="0"/>
              <w:rPr>
                <w:sz w:val="20"/>
                <w:szCs w:val="20"/>
                <w:color w:val="auto"/>
              </w:rPr>
            </w:pPr>
            <w:r>
              <w:rPr>
                <w:rFonts w:ascii="Arial" w:cs="Arial" w:eastAsia="Arial" w:hAnsi="Arial"/>
                <w:sz w:val="18"/>
                <w:szCs w:val="18"/>
                <w:color w:val="auto"/>
              </w:rPr>
              <w:t>(2,468)</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080" w:type="dxa"/>
            <w:vAlign w:val="bottom"/>
          </w:tcPr>
          <w:p>
            <w:pPr>
              <w:ind w:left="5620"/>
              <w:spacing w:after="0"/>
              <w:rPr>
                <w:sz w:val="20"/>
                <w:szCs w:val="20"/>
                <w:color w:val="auto"/>
              </w:rPr>
            </w:pPr>
            <w:r>
              <w:rPr>
                <w:rFonts w:ascii="Arial" w:cs="Arial" w:eastAsia="Arial" w:hAnsi="Arial"/>
                <w:sz w:val="18"/>
                <w:szCs w:val="18"/>
                <w:color w:val="auto"/>
              </w:rPr>
              <w:t>61</w:t>
            </w: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December 31, 2016</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40" w:type="dxa"/>
            <w:vAlign w:val="bottom"/>
          </w:tcPr>
          <w:p>
            <w:pPr>
              <w:spacing w:after="0"/>
              <w:rPr>
                <w:sz w:val="10"/>
                <w:szCs w:val="10"/>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0"/>
                <w:szCs w:val="10"/>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Pro Forma</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(US$ in thousands)</w:t>
            </w: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65,687</w:t>
            </w:r>
          </w:p>
        </w:tc>
        <w:tc>
          <w:tcPr>
            <w:tcW w:w="2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230,944</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Statutory reserves</w:t>
            </w: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700" w:type="dxa"/>
            <w:vAlign w:val="bottom"/>
            <w:gridSpan w:val="3"/>
          </w:tcPr>
          <w:p>
            <w:pPr>
              <w:jc w:val="right"/>
              <w:ind w:right="640"/>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(3,241)</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(124,385)</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(124,385)</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(deficit)/equity</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(64,312)</w:t>
            </w:r>
          </w:p>
        </w:tc>
        <w:tc>
          <w:tcPr>
            <w:tcW w:w="17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100,955</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Total mezzanine equity and shareholders’ (deficit)/equity</w:t>
            </w:r>
          </w:p>
        </w:tc>
        <w:tc>
          <w:tcPr>
            <w:tcW w:w="700" w:type="dxa"/>
            <w:vAlign w:val="bottom"/>
          </w:tcPr>
          <w:p>
            <w:pPr>
              <w:jc w:val="right"/>
              <w:spacing w:after="0"/>
              <w:rPr>
                <w:sz w:val="20"/>
                <w:szCs w:val="20"/>
                <w:color w:val="auto"/>
              </w:rPr>
            </w:pPr>
            <w:r>
              <w:rPr>
                <w:rFonts w:ascii="Arial" w:cs="Arial" w:eastAsia="Arial" w:hAnsi="Arial"/>
                <w:sz w:val="18"/>
                <w:szCs w:val="18"/>
                <w:color w:val="auto"/>
              </w:rPr>
              <w:t>40,071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100,955</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right="240" w:hanging="452"/>
        <w:spacing w:after="0" w:line="25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 adjusted information discussed above is illustrative only. Our additional paid-in capital, total shareholders’ deficit and total mezzanine equity and shareholders’ deficit following the completion of this offering are subject to adjustment based on the actual initial public offering price and other terms of this offering determined at pricing.</w:t>
      </w: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Assuming the number of ADSs offered by us as set forth on the cover page of this prospectus remains the same, and after deduction of underwriting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discounts and commissions and the estimated offering expenses payable by us, a US$1.00 change in the assumed initial public offering price of</w:t>
      </w:r>
    </w:p>
    <w:p>
      <w:pPr>
        <w:spacing w:after="0" w:line="397" w:lineRule="exact"/>
        <w:rPr>
          <w:sz w:val="20"/>
          <w:szCs w:val="20"/>
          <w:color w:val="auto"/>
        </w:rPr>
      </w:pPr>
    </w:p>
    <w:p>
      <w:pPr>
        <w:ind w:left="460" w:right="740"/>
        <w:spacing w:after="0" w:line="277" w:lineRule="auto"/>
        <w:rPr>
          <w:sz w:val="20"/>
          <w:szCs w:val="20"/>
          <w:color w:val="auto"/>
        </w:rPr>
      </w:pPr>
      <w:r>
        <w:rPr>
          <w:rFonts w:ascii="Arial" w:cs="Arial" w:eastAsia="Arial" w:hAnsi="Arial"/>
          <w:sz w:val="18"/>
          <w:szCs w:val="18"/>
          <w:color w:val="auto"/>
        </w:rPr>
        <w:t>US$ per ADS would, in the case of an increase, increase and, in the case of a decrease, decrease each of additional paid-in capital, total shareholders’ deficit and total mezzanine equity and shareholders’ deficit by US$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 and holders of our convertible preferred shares which will automatically convert into our ordinary shares concurrently with the completion of this offering.</w:t>
      </w:r>
    </w:p>
    <w:p>
      <w:pPr>
        <w:spacing w:after="0" w:line="17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net tangible book value as of December 31, 2016 was approximately US$25.3 million, or US$1.9 per ordinary share as of that date, and US$ per ADS. Net tangible book value represents the amount of our total consolidated assets, less the amount of our intangible assets and total consolidated liabilities. Pro forma net tangible book value per ordinary share is calculated after giving effect to the automatic conversion of all of our issued and outstanding convertible preferred shares. Pro forma as adjusted net tangible book value per ordinary share is calculated after giving effect to the automatic conversion of all our issued and outstanding convertible preferred shares and the issuance of ordinary shares in the form of ADS by us in this offering. Dilution is determined by subtracting pro forma as adjusted net tangible book value per ordinary share from the public offering price per ordinary share.</w:t>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Without taking into account any other changes in net tangible book value after December 31, 2016, other than to give effect to (i) the automatic</w:t>
      </w: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conversion of all of our issued and outstanding convertible preferred shares into 9,525,757 ordinary shares concurrently with the completion of this offering</w:t>
      </w:r>
    </w:p>
    <w:p>
      <w:pPr>
        <w:spacing w:after="0" w:line="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and (ii) the issuance and sale by us of ordinary shares in the form of ADSs in this offering at an assumed initial public offering price of US$ per ADS (the mid-point of the estimated initial public offering price range shown on the cover page of this prospectus) after deduction of the estimated underwriting discounts and commissions and estimated offering expenses payable by us and assuming the over-allotment option is not exercised, our pro forma as adjusted</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net tangible book value as of December 31, 2016 would have been US$ million, or US$ per outstanding ordinary share and US$ per ADS. This represents an immediate increase in pro forma net tangible book value of US$ per ordinary share and US$ per ADS to the existing shareholders and an immediate dilution in net tangible book value of US$ per ordinary share and US$ per ADS to investors purchasing ADSs in this offering. The following table illustrates such dilution: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2240" w:type="dxa"/>
            <w:vAlign w:val="bottom"/>
            <w:gridSpan w:val="3"/>
          </w:tcPr>
          <w:p>
            <w:pPr>
              <w:jc w:val="right"/>
              <w:ind w:right="1440"/>
              <w:spacing w:after="0"/>
              <w:rPr>
                <w:sz w:val="20"/>
                <w:szCs w:val="20"/>
                <w:color w:val="auto"/>
              </w:rPr>
            </w:pPr>
            <w:r>
              <w:rPr>
                <w:rFonts w:ascii="Arial" w:cs="Arial" w:eastAsia="Arial" w:hAnsi="Arial"/>
                <w:sz w:val="14"/>
                <w:szCs w:val="14"/>
                <w:b w:val="1"/>
                <w:bCs w:val="1"/>
                <w:color w:val="auto"/>
                <w:w w:val="94"/>
              </w:rPr>
              <w:t>Per ordinary</w:t>
            </w:r>
          </w:p>
        </w:tc>
      </w:tr>
      <w:tr>
        <w:trPr>
          <w:trHeight w:val="171"/>
        </w:trPr>
        <w:tc>
          <w:tcPr>
            <w:tcW w:w="9180" w:type="dxa"/>
            <w:vAlign w:val="bottom"/>
          </w:tcPr>
          <w:p>
            <w:pPr>
              <w:spacing w:after="0"/>
              <w:rPr>
                <w:sz w:val="14"/>
                <w:szCs w:val="14"/>
                <w:color w:val="auto"/>
              </w:rPr>
            </w:pPr>
          </w:p>
        </w:tc>
        <w:tc>
          <w:tcPr>
            <w:tcW w:w="560" w:type="dxa"/>
            <w:vAlign w:val="bottom"/>
          </w:tcPr>
          <w:p>
            <w:pPr>
              <w:ind w:left="240"/>
              <w:spacing w:after="0"/>
              <w:rPr>
                <w:sz w:val="20"/>
                <w:szCs w:val="20"/>
                <w:color w:val="auto"/>
              </w:rPr>
            </w:pPr>
            <w:r>
              <w:rPr>
                <w:rFonts w:ascii="Arial" w:cs="Arial" w:eastAsia="Arial" w:hAnsi="Arial"/>
                <w:sz w:val="14"/>
                <w:szCs w:val="14"/>
                <w:b w:val="1"/>
                <w:bCs w:val="1"/>
                <w:color w:val="auto"/>
                <w:w w:val="80"/>
              </w:rPr>
              <w:t>share</w:t>
            </w:r>
          </w:p>
        </w:tc>
        <w:tc>
          <w:tcPr>
            <w:tcW w:w="1680" w:type="dxa"/>
            <w:vAlign w:val="bottom"/>
            <w:gridSpan w:val="2"/>
          </w:tcPr>
          <w:p>
            <w:pPr>
              <w:ind w:left="1100"/>
              <w:spacing w:after="0"/>
              <w:rPr>
                <w:sz w:val="20"/>
                <w:szCs w:val="20"/>
                <w:color w:val="auto"/>
              </w:rPr>
            </w:pPr>
            <w:r>
              <w:rPr>
                <w:rFonts w:ascii="Arial" w:cs="Arial" w:eastAsia="Arial" w:hAnsi="Arial"/>
                <w:sz w:val="14"/>
                <w:szCs w:val="14"/>
                <w:b w:val="1"/>
                <w:bCs w:val="1"/>
                <w:color w:val="auto"/>
                <w:w w:val="99"/>
              </w:rPr>
              <w:t>Per ADS</w:t>
            </w:r>
          </w:p>
        </w:tc>
      </w:tr>
      <w:tr>
        <w:trPr>
          <w:trHeight w:val="142"/>
        </w:trPr>
        <w:tc>
          <w:tcPr>
            <w:tcW w:w="9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ind w:right="902"/>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Actual net tangible book value per ordinary share as of December 31, 2016</w:t>
            </w:r>
          </w:p>
        </w:tc>
        <w:tc>
          <w:tcPr>
            <w:tcW w:w="1640" w:type="dxa"/>
            <w:vAlign w:val="bottom"/>
          </w:tcPr>
          <w:p>
            <w:pPr>
              <w:jc w:val="right"/>
              <w:ind w:right="1322"/>
              <w:spacing w:after="0"/>
              <w:rPr>
                <w:sz w:val="20"/>
                <w:szCs w:val="20"/>
                <w:color w:val="auto"/>
              </w:rPr>
            </w:pPr>
            <w:r>
              <w:rPr>
                <w:rFonts w:ascii="Arial" w:cs="Arial" w:eastAsia="Arial" w:hAnsi="Arial"/>
                <w:sz w:val="18"/>
                <w:szCs w:val="18"/>
                <w:color w:val="auto"/>
                <w:w w:val="87"/>
              </w:rPr>
              <w:t>1.9</w:t>
            </w:r>
          </w:p>
        </w:tc>
        <w:tc>
          <w:tcPr>
            <w:tcW w:w="40" w:type="dxa"/>
            <w:vAlign w:val="bottom"/>
          </w:tcPr>
          <w:p>
            <w:pPr>
              <w:spacing w:after="0"/>
              <w:rPr>
                <w:sz w:val="18"/>
                <w:szCs w:val="18"/>
                <w:color w:val="auto"/>
              </w:rPr>
            </w:pPr>
          </w:p>
        </w:tc>
      </w:tr>
      <w:tr>
        <w:trPr>
          <w:trHeight w:val="202"/>
        </w:trPr>
        <w:tc>
          <w:tcPr>
            <w:tcW w:w="9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 forma net tangible book value per ordinary share after giving effect to the automatic conversion of all of our</w:t>
            </w: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9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and outstanding convertible preferred shares into ordinary shares</w:t>
            </w:r>
          </w:p>
        </w:tc>
        <w:tc>
          <w:tcPr>
            <w:tcW w:w="1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2"/>
        </w:trPr>
        <w:tc>
          <w:tcPr>
            <w:tcW w:w="9740" w:type="dxa"/>
            <w:vAlign w:val="bottom"/>
            <w:gridSpan w:val="2"/>
          </w:tcPr>
          <w:p>
            <w:pPr>
              <w:spacing w:after="0" w:line="201" w:lineRule="exact"/>
              <w:rPr>
                <w:sz w:val="20"/>
                <w:szCs w:val="20"/>
                <w:color w:val="auto"/>
              </w:rPr>
            </w:pPr>
            <w:r>
              <w:rPr>
                <w:rFonts w:ascii="Arial" w:cs="Arial" w:eastAsia="Arial" w:hAnsi="Arial"/>
                <w:sz w:val="18"/>
                <w:szCs w:val="18"/>
                <w:color w:val="auto"/>
              </w:rPr>
              <w:t>Pro forma as adjusted net tangible book value per ordinary share after giving effect to (i) the automatic conversion</w:t>
            </w: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740" w:type="dxa"/>
            <w:vAlign w:val="bottom"/>
            <w:gridSpan w:val="2"/>
          </w:tcPr>
          <w:p>
            <w:pPr>
              <w:ind w:left="180"/>
              <w:spacing w:after="0"/>
              <w:rPr>
                <w:sz w:val="20"/>
                <w:szCs w:val="20"/>
                <w:color w:val="auto"/>
              </w:rPr>
            </w:pPr>
            <w:r>
              <w:rPr>
                <w:rFonts w:ascii="Arial" w:cs="Arial" w:eastAsia="Arial" w:hAnsi="Arial"/>
                <w:sz w:val="18"/>
                <w:szCs w:val="18"/>
                <w:color w:val="auto"/>
              </w:rPr>
              <w:t>of all of our issued and outstanding convertible preferred shares into ordinary shares and (ii) the issuance</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740" w:type="dxa"/>
            <w:vAlign w:val="bottom"/>
            <w:gridSpan w:val="2"/>
          </w:tcPr>
          <w:p>
            <w:pPr>
              <w:ind w:left="180"/>
              <w:spacing w:after="0"/>
              <w:rPr>
                <w:sz w:val="20"/>
                <w:szCs w:val="20"/>
                <w:color w:val="auto"/>
              </w:rPr>
            </w:pPr>
            <w:r>
              <w:rPr>
                <w:rFonts w:ascii="Arial" w:cs="Arial" w:eastAsia="Arial" w:hAnsi="Arial"/>
                <w:sz w:val="18"/>
                <w:szCs w:val="18"/>
                <w:color w:val="auto"/>
              </w:rPr>
              <w:t>of  ordinary shares in the form of ADSs in this offering</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in net tangible book value per ordinary share to new investors in the offering</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 US$1.00 increase (decrease) in the assumed initial public offering price of US$ per ADS (the mid-point of the estimated initial public offering price range shown on the cover page of this prospectus) would increase (decrease) our pro forma net tangible book value after giving effect to the offering by US$ million, the pro forma net tangible book value per ordinary share and per ADS after giving effect to the automatic conversion of our convertible preferred shares and this offering by US$ per ordinary share and US$ per ADS and the dilution in pro forma net tangible book value per ordinary share and per ADS to new investors in this offering by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US$ per ordinary share and US$ per ADS, assuming no change to the number of ADSs offered by us as set forth on the cover page of this prospectus, and after deducting the estimated underwriting discounts and commissions and estimated offering expenses payable by us.</w:t>
      </w:r>
    </w:p>
    <w:p>
      <w:pPr>
        <w:spacing w:after="0" w:line="17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following table summarizes, on a pro forma basis as adjusted basis as of December 31, 2016, the differences between existing shareholders, including holders of our convertible preferred shares, and new investors with respect to the number of ordinary shares (in the form of ADSs or ordinary shares) purchased from us, the total consideration paid and the average price per ordinary share/ADS paid before deducting the estimated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900" w:type="dxa"/>
            <w:vAlign w:val="bottom"/>
            <w:gridSpan w:val="4"/>
          </w:tcPr>
          <w:p>
            <w:pPr>
              <w:jc w:val="center"/>
              <w:ind w:right="448"/>
              <w:spacing w:after="0"/>
              <w:rPr>
                <w:sz w:val="20"/>
                <w:szCs w:val="20"/>
                <w:color w:val="auto"/>
              </w:rPr>
            </w:pPr>
            <w:r>
              <w:rPr>
                <w:rFonts w:ascii="Arial" w:cs="Arial" w:eastAsia="Arial" w:hAnsi="Arial"/>
                <w:sz w:val="14"/>
                <w:szCs w:val="14"/>
                <w:b w:val="1"/>
                <w:bCs w:val="1"/>
                <w:color w:val="auto"/>
                <w:w w:val="93"/>
              </w:rPr>
              <w:t>Ordinary Shares</w:t>
            </w:r>
          </w:p>
        </w:tc>
        <w:tc>
          <w:tcPr>
            <w:tcW w:w="14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 Consideration</w:t>
            </w:r>
          </w:p>
        </w:tc>
        <w:tc>
          <w:tcPr>
            <w:tcW w:w="540" w:type="dxa"/>
            <w:vAlign w:val="bottom"/>
            <w:vMerge w:val="restart"/>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Average Price per</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520" w:type="dxa"/>
            <w:vAlign w:val="bottom"/>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Ordinary Share</w:t>
            </w:r>
          </w:p>
        </w:tc>
        <w:tc>
          <w:tcPr>
            <w:tcW w:w="3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 ADS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70"/>
              </w:rPr>
              <w:t>thousands</w:t>
            </w: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w w:val="70"/>
              </w:rPr>
              <w:t>, except</w:t>
            </w:r>
          </w:p>
        </w:tc>
        <w:tc>
          <w:tcPr>
            <w:tcW w:w="5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Percent</w:t>
            </w:r>
          </w:p>
        </w:tc>
        <w:tc>
          <w:tcPr>
            <w:tcW w:w="20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of shares and percentages)</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jc w:val="center"/>
              <w:ind w:left="159"/>
              <w:spacing w:after="0" w:line="129" w:lineRule="exact"/>
              <w:rPr>
                <w:sz w:val="20"/>
                <w:szCs w:val="20"/>
                <w:color w:val="auto"/>
              </w:rPr>
            </w:pPr>
            <w:r>
              <w:rPr>
                <w:rFonts w:ascii="Arial" w:cs="Arial" w:eastAsia="Arial" w:hAnsi="Arial"/>
                <w:sz w:val="14"/>
                <w:szCs w:val="14"/>
                <w:b w:val="1"/>
                <w:bCs w:val="1"/>
                <w:color w:val="auto"/>
                <w:w w:val="93"/>
              </w:rPr>
              <w:t>(in</w:t>
            </w:r>
          </w:p>
        </w:tc>
        <w:tc>
          <w:tcPr>
            <w:tcW w:w="520" w:type="dxa"/>
            <w:vAlign w:val="bottom"/>
            <w:vMerge w:val="continue"/>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4"/>
                <w:szCs w:val="14"/>
                <w:b w:val="1"/>
                <w:bCs w:val="1"/>
                <w:color w:val="auto"/>
                <w:w w:val="90"/>
              </w:rPr>
              <w:t>of US$</w:t>
            </w:r>
          </w:p>
        </w:tc>
        <w:tc>
          <w:tcPr>
            <w:tcW w:w="360" w:type="dxa"/>
            <w:vAlign w:val="bottom"/>
            <w:vMerge w:val="continue"/>
          </w:tcPr>
          <w:p>
            <w:pPr>
              <w:spacing w:after="0"/>
              <w:rPr>
                <w:sz w:val="11"/>
                <w:szCs w:val="11"/>
                <w:color w:val="auto"/>
              </w:rPr>
            </w:pPr>
          </w:p>
        </w:tc>
        <w:tc>
          <w:tcPr>
            <w:tcW w:w="540" w:type="dxa"/>
            <w:vAlign w:val="bottom"/>
          </w:tcPr>
          <w:p>
            <w:pPr>
              <w:ind w:left="120"/>
              <w:spacing w:after="0" w:line="129" w:lineRule="exact"/>
              <w:rPr>
                <w:sz w:val="20"/>
                <w:szCs w:val="20"/>
                <w:color w:val="auto"/>
              </w:rPr>
            </w:pPr>
            <w:r>
              <w:rPr>
                <w:rFonts w:ascii="Arial" w:cs="Arial" w:eastAsia="Arial" w:hAnsi="Arial"/>
                <w:sz w:val="14"/>
                <w:szCs w:val="14"/>
                <w:b w:val="1"/>
                <w:bCs w:val="1"/>
                <w:color w:val="auto"/>
                <w:w w:val="77"/>
              </w:rPr>
              <w:t>number</w:t>
            </w:r>
          </w:p>
        </w:tc>
        <w:tc>
          <w:tcPr>
            <w:tcW w:w="20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New investors</w:t>
            </w:r>
          </w:p>
        </w:tc>
        <w:tc>
          <w:tcPr>
            <w:tcW w:w="5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8"/>
              </w:rPr>
              <w:t>100.0%</w:t>
            </w: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100.0%</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20" w:type="dxa"/>
            <w:vAlign w:val="bottom"/>
            <w:gridSpan w:val="3"/>
          </w:tcPr>
          <w:p>
            <w:pPr>
              <w:ind w:left="460"/>
              <w:spacing w:after="0"/>
              <w:rPr>
                <w:sz w:val="20"/>
                <w:szCs w:val="20"/>
                <w:color w:val="auto"/>
              </w:rPr>
            </w:pPr>
            <w:r>
              <w:rPr>
                <w:rFonts w:ascii="Arial" w:cs="Arial" w:eastAsia="Arial" w:hAnsi="Arial"/>
                <w:sz w:val="18"/>
                <w:szCs w:val="18"/>
                <w:color w:val="auto"/>
                <w:w w:val="92"/>
              </w:rPr>
              <w:t>A US$1.00 increase (decrease) in the assumed public offering price of US$</w:t>
            </w:r>
          </w:p>
        </w:tc>
        <w:tc>
          <w:tcPr>
            <w:tcW w:w="5400" w:type="dxa"/>
            <w:vAlign w:val="bottom"/>
            <w:gridSpan w:val="10"/>
          </w:tcPr>
          <w:p>
            <w:pPr>
              <w:ind w:left="100"/>
              <w:spacing w:after="0"/>
              <w:rPr>
                <w:sz w:val="20"/>
                <w:szCs w:val="20"/>
                <w:color w:val="auto"/>
              </w:rPr>
            </w:pPr>
            <w:r>
              <w:rPr>
                <w:rFonts w:ascii="Arial" w:cs="Arial" w:eastAsia="Arial" w:hAnsi="Arial"/>
                <w:sz w:val="18"/>
                <w:szCs w:val="18"/>
                <w:color w:val="auto"/>
              </w:rPr>
              <w:t>per ADS (the mid-point of the estimated initial public offering price</w:t>
            </w:r>
          </w:p>
        </w:tc>
        <w:tc>
          <w:tcPr>
            <w:tcW w:w="0" w:type="dxa"/>
            <w:vAlign w:val="bottom"/>
          </w:tcPr>
          <w:p>
            <w:pPr>
              <w:spacing w:after="0"/>
              <w:rPr>
                <w:sz w:val="1"/>
                <w:szCs w:val="1"/>
                <w:color w:val="auto"/>
              </w:rPr>
            </w:pPr>
          </w:p>
        </w:tc>
      </w:tr>
    </w:tbl>
    <w:p>
      <w:pPr>
        <w:ind w:right="240"/>
        <w:spacing w:after="0" w:line="261" w:lineRule="auto"/>
        <w:rPr>
          <w:sz w:val="20"/>
          <w:szCs w:val="20"/>
          <w:color w:val="auto"/>
        </w:rPr>
      </w:pPr>
      <w:r>
        <w:rPr>
          <w:rFonts w:ascii="Arial" w:cs="Arial" w:eastAsia="Arial" w:hAnsi="Arial"/>
          <w:sz w:val="18"/>
          <w:szCs w:val="18"/>
          <w:color w:val="auto"/>
        </w:rPr>
        <w:t>range shown on the cover page of this prospectus) would increase (decrease) total consideration paid by new investors by US$ million, assuming that the number of shares offered by us, as set forth on the cover page of this prospectus, remains the same.</w:t>
      </w:r>
    </w:p>
    <w:p>
      <w:pPr>
        <w:spacing w:after="0" w:line="18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pro forma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As of the date of this prospectus, there are 1,857,625 ordinary shares issuable upon the exercise of outstanding options to purchase ordinary shares and an additional 283,214 ordinary shares reserved for future issuance under the share option incentive scheme we adopted in 2010, or the 2010 Plan. To the extent that any of the unvested options later vest are exercised to purchase ordinary shares, there will be further dilution to new investors.</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the 2010 Plan, the maximum number of ordinary shares that may be issued to the beneficiaries is 2,398,137, which have been issued to Arda Holdings Limited, or Arda, as trustee to the beneficiaries of the 2010 Plan. As of the date of this prospectus, options to purchase 2,114,923 ordinary shares were granted under the 2010 Plan, 872,538 of which are not vested, 985,087 are fully vested but not exercised, and 257,298 have been exercised.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business is primarily conducted in China, and the financial records of our subsidiaries and VIE and VIE’s subsidiary in China are maintained in Renminbi, their functional currency. The financial records of our non-PRC subsidiaries are denominated in their respective currencies, including Hong Kong dollar, Singapore dollars or New Taiwan dollars. However, we use the U.S. dollar as our reporting and functional currency; therefore, periodic reports made to shareholders will include current period amounts translated into U.S. dollars using the then-current exchange rates, for the convenience of the readers. The financial information of our subsidiaries in China is first prepared in Renminbi and then translated into the U.S. dollars, and the financial information of our non-PRC subsidiaries is first prepared in their respective currencies, including Hong Kong dollar, Singapore dollars or New Taiwan dollars, and then translated into the U.S. dollars, both at period-end exchange rates as to assets and liabilities and average exchange rates as to revenue and expenses. Capital accounts are translated at their historical exchange rates when the capital transactions occurred. The effects of foreign currency translation adjustments are included as a component of accumulated other comprehensive income in shareholders’ equity.</w:t>
      </w:r>
    </w:p>
    <w:p>
      <w:pPr>
        <w:spacing w:after="0" w:line="182"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make no representation that any Renminbi or U.S. dollar amounts could have been, or could be, converted into U.S. dollars or Renminbi, as the case may be, at any particular rate, or at all. The PRC government imposes control over its foreign currency reserves in part through direct regulation of the conversion of Renminbi into foreign exchange and through restrictions on foreign trade. We do not currently engage in currency hedging transactions.</w:t>
      </w:r>
    </w:p>
    <w:p>
      <w:pPr>
        <w:spacing w:after="0" w:line="14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following table sets forth, for the periods indicated, information concerning exchange rates between the Renminbi and the U.S. dollar based on the exchange rates set forth in the H.10 statistical release of the Federal Reserve Board. These rates are provided solely for your reference and convenience. Unless otherwise stated, all translations of Renminbi into U.S. dollars in this prospectus were made at the rate of RMB6.9430 to US$1.00, being the noon buying rates on December 30, 2016 as set forth in the H.10 statistical release of the U.S. Federal Reserve Board. We make no representation that the Renminbi referred to in this prospectus could have been or could be converted into U.S. dollars at any particular rate or at all. On May 12, 2017, the noon buying rate for Renminbi was RMB6.8972 to US$1.00 as set forth in the H.10 statistical release of the U.S. Federal Reserve Board.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Certified Exchange Rate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gridSpan w:val="2"/>
            <w:vMerge w:val="continue"/>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Period-End</w:t>
            </w:r>
          </w:p>
        </w:tc>
        <w:tc>
          <w:tcPr>
            <w:tcW w:w="1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High</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2012</w:t>
            </w:r>
          </w:p>
        </w:tc>
        <w:tc>
          <w:tcPr>
            <w:tcW w:w="7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2013</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6.0537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6.1478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6.0537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6.2438</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2014</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6.1620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6.0402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2015</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6.4778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6.2827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6.1870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6.4896</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2016</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6.6400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6.9580</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November</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6.8837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6.8401</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6.7534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6.9195</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6.9198</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6.8771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6.9580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2017</w:t>
            </w:r>
          </w:p>
        </w:tc>
        <w:tc>
          <w:tcPr>
            <w:tcW w:w="7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January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6.8768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6.8907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6.8360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6.9575</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February</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6.8665</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6.8694</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6.8517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6.8821</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6.8832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6.8940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6.8687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6.9132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April</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6.8900</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6.8876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6.8778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6.8988</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 (through May 12, 2017)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6.8972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6.8991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6.8900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Source: Federal Reserve Statistical Release</w:t>
      </w:r>
    </w:p>
    <w:p>
      <w:pPr>
        <w:spacing w:after="0" w:line="23" w:lineRule="exact"/>
        <w:rPr>
          <w:sz w:val="20"/>
          <w:szCs w:val="20"/>
          <w:color w:val="auto"/>
        </w:rPr>
      </w:pPr>
    </w:p>
    <w:p>
      <w:pPr>
        <w:ind w:left="460" w:right="20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appointed [Law Debenture Corporate Services,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commenced our online marketing business in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September 2010, we set up Diablo Holdings Corporation, a company incorporated in the British Virgin Islands, which focuses on search engine marketing and operates in China through Search Asia Technology (Shenzhen) Co., Ltd., its wholly owned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we set up our Singapore subsidiary, iClick Interactive (Singapore) Pte. Ltd., to provide localized services to customers in Southeast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Asia.</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2013, we incorporated Performance Media Group Limited in Hong Kong to further expand our online marketing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in January 2013, we set up Tetris Media (Shanghai) Co., Ltd., as our wholly owned PRC subsidiary.</w:t>
      </w:r>
    </w:p>
    <w:p>
      <w:pPr>
        <w:spacing w:after="0" w:line="22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operates in China through Buzzinate (Shanghai) Information Technology Co., Ltd., its wholly owned subsidiary.</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July 2015, we acquired all shares in OptAim Ltd., or OptAim, and substantially expanded our online marketing business into mobile channels to identify, engage and convert mobile audience. OptAim operates in China through OptAim (Beijing) Information Technology Co., Ltd., or OptAim Beijing, its wholly owned subsidiary. OptAim Beijing has entered into a set of contractual arrangements with OptAim Network, a company incorporated in China, OptAim Network’s nominee shareholders, and Zhiyunzhong, the wholly owned Chinese subsidiary of OptAim Network. See “— Contractual Arrangements with OptAim Network.”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principal subsidiaries, our VIE, and the VIE’s subsidiary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65850" cy="5522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65850" cy="552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0" w:hanging="452"/>
        <w:spacing w:after="0" w:line="25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 We are in the process of registering the equity pledge with the relevant office of the Administration for Industry and Commerce in accordance with the PRC Property Rights Law and expect to complete the above registration by June 2017. Our PRC counsel Jingtian &amp; Gongcheng believes that there is no legal obstacle for us to complete the registration.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OptAim Network</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 To the extent any current or future business of OptAim Network can be directly operated by our wholly owned subsidiaries under the PRC law, we are in the process of transferring such business to our wholly owned subsidiaries. We expect that by the end of 2018, OptAim Beijing will replace OptAim Network as contracting party for all our mobile audience solution business that are operated by OptAim. See “Risk Factors — Risk Related to Our Corporate Structure — We may not be able to transfer all the customer contracts of our VIE entity to our wholly owned PRC subsidiary in a timely manner or at all, in which case we will continue to rely on the contractual arrangements that establish the structure for certain of our operations in China.”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arrangements between OptAim Beijing, OptAim Network and the shareholders of OptAim Network allow us to:</w:t>
      </w:r>
    </w:p>
    <w:p>
      <w:pPr>
        <w:spacing w:after="0" w:line="13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OptAim Network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Equity Pledge Agreement</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OptAim Beijing, OptAim Network and the shareholders of OptAim Network entered into an amended and restated equity pledge agreement on July 24, 2015. Pursuant to the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 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change of the pledged equity that may have material adverse effects on the pledgee’s rights under this agreement without the prior written consent of OptAim Beijing. The amended and restated equity pledge agreement will remain effective until OptAim Network and its shareholders discharge all their obligations under the contractual arrangements and pay out all consulting and services fees under the exclusive business cooperation agreement. We are in the process of registering the equity pledge with the relevant office of the Administration for Industry and Commerce in accordance with the PRC Property Rights Law and expect to complete the above registration by June 2017. Our PRC counsel Jingtian &amp; Gongcheng believes that there is no legal obstacle for us to complete the registration.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 of Attorney</w:t>
      </w:r>
    </w:p>
    <w:p>
      <w:pPr>
        <w:spacing w:after="0" w:line="117"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Through powers of attorney dated July 24, 2015,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Spousal Consent</w:t>
      </w:r>
    </w:p>
    <w:p>
      <w:pPr>
        <w:spacing w:after="0" w:line="117"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The spouse of Jian Tang signed a spousal consent letter on July 15, 2015. Jian Tang holds 49% equity interest in OptAim Network. Under the spousal consent letter, the signing spouse unconditionally and irrevocably agreed that she was aware of the disposal of OptAim Network shares held by Jian Tang in the abovementioned amended and restated exclusive call option agreement, the power of attorney, and the amended and restated equity pledge agreement.</w:t>
      </w:r>
    </w:p>
    <w:p>
      <w:pPr>
        <w:jc w:val="both"/>
        <w:ind w:right="60"/>
        <w:spacing w:after="0" w:line="255" w:lineRule="auto"/>
        <w:rPr>
          <w:sz w:val="20"/>
          <w:szCs w:val="20"/>
          <w:color w:val="auto"/>
        </w:rPr>
      </w:pPr>
      <w:r>
        <w:rPr>
          <w:rFonts w:ascii="Arial" w:cs="Arial" w:eastAsia="Arial" w:hAnsi="Arial"/>
          <w:sz w:val="18"/>
          <w:szCs w:val="18"/>
          <w:color w:val="auto"/>
        </w:rPr>
        <w:t>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98" w:lineRule="exact"/>
        <w:rPr>
          <w:sz w:val="20"/>
          <w:szCs w:val="20"/>
          <w:color w:val="auto"/>
        </w:rPr>
      </w:pPr>
    </w:p>
    <w:p>
      <w:pPr>
        <w:ind w:right="4160"/>
        <w:spacing w:after="0" w:line="375" w:lineRule="auto"/>
        <w:rPr>
          <w:sz w:val="20"/>
          <w:szCs w:val="20"/>
          <w:color w:val="auto"/>
        </w:rPr>
      </w:pPr>
      <w:r>
        <w:rPr>
          <w:rFonts w:ascii="Arial" w:cs="Arial" w:eastAsia="Arial" w:hAnsi="Arial"/>
          <w:sz w:val="18"/>
          <w:szCs w:val="18"/>
          <w:b w:val="1"/>
          <w:bCs w:val="1"/>
          <w:i w:val="1"/>
          <w:iCs w:val="1"/>
          <w:color w:val="auto"/>
        </w:rPr>
        <w:t>Agreement that Allows Us to Receive Economic Benefits from OptAim Network and Zhiyunzhong Exclusive Business Cooperation Agreement</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300" w:lineRule="exact"/>
        <w:rPr>
          <w:sz w:val="20"/>
          <w:szCs w:val="20"/>
          <w:color w:val="auto"/>
        </w:rPr>
      </w:pPr>
    </w:p>
    <w:p>
      <w:pPr>
        <w:ind w:right="4300"/>
        <w:spacing w:after="0" w:line="375" w:lineRule="auto"/>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OptAim Network Amended and Restated Exclusive Call Option Agreement</w:t>
      </w:r>
    </w:p>
    <w:p>
      <w:pPr>
        <w:spacing w:after="0" w:line="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OptAim Beijing, OptAim Network and the shareholders of OptAim Network entered into an amended and restated exclusive call option agreement on July 24, 2015. Pursuant to the amended and restated exclusive call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option agreement, the shareholders of OptAim Network have irrevocably granted OptAim Beijing or any third party designated by OptAim Beijing an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opinion of Jingtian &amp; Gongcheng, our PRC legal counsel:</w:t>
      </w:r>
    </w:p>
    <w:p>
      <w:pPr>
        <w:spacing w:after="0" w:line="131" w:lineRule="exact"/>
        <w:rPr>
          <w:sz w:val="20"/>
          <w:szCs w:val="20"/>
          <w:color w:val="auto"/>
        </w:rPr>
      </w:pPr>
    </w:p>
    <w:p>
      <w:pPr>
        <w:ind w:left="900" w:right="3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ownership structures of OptAim Beijing and OptAim Network, both currently and immediately after giving effect to this offering, will not result in any violation of applicable PRC laws or regulations currently in effect; and</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contractual arrangements among OptAim Beijing, OptAim Network, the shareholders of OptAim Network and Zhiyunzhong governed by PRC law both currently and immediately after giving effect to this offering are valid, binding and enforceable, and will not result in any violation of PRC laws or regulations currently in effect.</w:t>
      </w:r>
    </w:p>
    <w:p>
      <w:pPr>
        <w:spacing w:after="0" w:line="18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“Risk Factors — Risks Related to Our Corporate Structure — We may not be able to transfer all the customer contracts of our VIE entity to our wholly owned PRC subsidiary in a timely manner or at all, in which case we will continue to rely on the contractual arrangements that establish the structure for certain of our operations in China,” and “— Substantial uncertainties exist with respect to the enactment timetable, interpretation and implementation of draft PRC Foreign Investment Law and how it may impact the viability of our current corporate structure, corporate government and business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The following selected consolidated statements of comprehensive income/(loss) data and selected consolidated cash flows data for the year ended December 31, 2015 and 2016, and selected consolidated balance sheet data as of December 31, 2015 and 2016 have been derived from our audited consolidated financial statements included elsewhere in this prospectus. Our audited and unaudited consolidated financial statements are prepared and presented in accordance with U.S. GAAP. Our historical results do not necessarily indicate results expected for any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23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(US$ in thousands, except for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per share and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Comprehensive Loss: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Net revenues</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65,242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95,357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(34,531)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3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(8,106)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(31,385)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(12,745)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(52,236)</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(63,617)</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3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791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(19,390)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3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(39,714)</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(2,692)</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Net loss attributable to iClick Interactive Asia Group Limited’s ordinary shareholders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(44,388)</w:t>
            </w:r>
          </w:p>
        </w:tc>
        <w:tc>
          <w:tcPr>
            <w:tcW w:w="3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(39,843)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(3.81)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11,661,049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11,661,049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ind w:left="5620"/>
              <w:spacing w:after="0"/>
              <w:rPr>
                <w:sz w:val="20"/>
                <w:szCs w:val="20"/>
                <w:color w:val="auto"/>
              </w:rPr>
            </w:pPr>
            <w:r>
              <w:rPr>
                <w:rFonts w:ascii="Arial" w:cs="Arial" w:eastAsia="Arial" w:hAnsi="Arial"/>
                <w:sz w:val="18"/>
                <w:szCs w:val="18"/>
                <w:color w:val="auto"/>
              </w:rPr>
              <w:t>73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2015 and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2000" w:type="dxa"/>
            <w:vAlign w:val="bottom"/>
            <w:gridSpan w:val="3"/>
          </w:tcPr>
          <w:p>
            <w:pPr>
              <w:jc w:val="right"/>
              <w:ind w:right="331"/>
              <w:spacing w:after="0" w:line="142" w:lineRule="exact"/>
              <w:rPr>
                <w:sz w:val="20"/>
                <w:szCs w:val="20"/>
                <w:color w:val="auto"/>
              </w:rPr>
            </w:pPr>
            <w:r>
              <w:rPr>
                <w:rFonts w:ascii="Arial" w:cs="Arial" w:eastAsia="Arial" w:hAnsi="Arial"/>
                <w:sz w:val="14"/>
                <w:szCs w:val="14"/>
                <w:b w:val="1"/>
                <w:bCs w:val="1"/>
                <w:color w:val="auto"/>
              </w:rPr>
              <w:t>(US$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10,395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tcPr>
          <w:p>
            <w:pPr>
              <w:ind w:left="340"/>
              <w:spacing w:after="0" w:line="201" w:lineRule="exact"/>
              <w:rPr>
                <w:sz w:val="20"/>
                <w:szCs w:val="20"/>
                <w:color w:val="auto"/>
              </w:rPr>
            </w:pPr>
            <w:r>
              <w:rPr>
                <w:rFonts w:ascii="Arial" w:cs="Arial" w:eastAsia="Arial" w:hAnsi="Arial"/>
                <w:sz w:val="18"/>
                <w:szCs w:val="18"/>
                <w:color w:val="auto"/>
                <w:w w:val="96"/>
              </w:rPr>
              <w:t>Accounts receivable, net of allowance for doubtful receivables of US$1,733 and US$1,693 as of December 31, 2015</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18"/>
                <w:szCs w:val="18"/>
                <w:color w:val="auto"/>
              </w:rPr>
              <w:t>and 2016, respectively</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28,423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24,793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19,095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48,496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146,110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115,124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30"/>
        </w:trPr>
        <w:tc>
          <w:tcPr>
            <w:tcW w:w="9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118,829</w:t>
            </w:r>
          </w:p>
        </w:tc>
        <w:tc>
          <w:tcPr>
            <w:tcW w:w="5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83,210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(55,929)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146,110</w:t>
            </w: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jc w:val="right"/>
              <w:ind w:right="3430"/>
              <w:spacing w:after="0"/>
              <w:rPr>
                <w:sz w:val="20"/>
                <w:szCs w:val="20"/>
                <w:color w:val="auto"/>
              </w:rPr>
            </w:pPr>
            <w:r>
              <w:rPr>
                <w:rFonts w:ascii="Arial" w:cs="Arial" w:eastAsia="Arial" w:hAnsi="Arial"/>
                <w:sz w:val="18"/>
                <w:szCs w:val="18"/>
                <w:color w:val="auto"/>
              </w:rPr>
              <w:t>74</w:t>
            </w: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Financial and Other Data” and our consolidated financial statements and the consolidated financial statements of OptAim and the related notes included elsewhere in this prospectus. The discussion in this section contains forward-looking statements that involve risks and uncertainties. As a result of various factors, including those set forth under “Risk Factors” and elsewhere in this prospectus, our actual future results may be materially different from what we expect.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an integrated cross-channel gateway providing marketers with innovative and cost-effective end-to-end solutions to optimize their online marketing efforts. Our solutions help marketers identify, engage and activate potential customers, monitor and measure the results of online marketing campaigns, and create content catering to audience across different online channels. We collaborate closely with leading content distribution channels in China, which enables marketers to access a wide variety of cross-channel content distribution opportunities in a single platform to achieve their branding and performance-based marketing goals.</w:t>
      </w:r>
    </w:p>
    <w:p>
      <w:pPr>
        <w:spacing w:after="0" w:line="188"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We offer both mobile audience solutions and other solutions based on channels desired by our customers. Our mobile audience solutions are designed to identify, engage and activate audience exclusively on mobile apps, and monitor and measure the results of online marketing activities on such channels. Mobile audience solutions have exhibited high growth potential for online marketing in light of the increasing mobile penetration rate and users’ engagement with mobile apps. We have been prioritizing our mobile strategy since 2014, including through our acquisition of OptAim on July 24, 2015, to capture a larger share of online marketing spend on mobile apps. Our gross billing from mobile audience solutions increased significantly by US$71.1 million, or</w:t>
      </w:r>
    </w:p>
    <w:p>
      <w:pPr>
        <w:spacing w:after="0" w:line="2"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172.0%, from US$41.3 million in 2015 to US$112.4 million in 2016. Our gross billing from mobile audience solutions represented 47.6% of our total gross billing in 2016, compared to 23.2% in 2015. Our net revenues from mobile audience solutions represented 60.6% of our net revenues in 2016, compared to 18.3% in 2015. In addition to mobile audience solutions, we have other online marketing solutions that are primarily focused on non-mobile app channels.</w:t>
      </w:r>
    </w:p>
    <w:p>
      <w:pPr>
        <w:spacing w:after="0" w:line="15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take a flexible approach to the delivery model of our solutions in order to cater to the preferences and levels of internal resources and sophistication of customers. Customers may choose to access our solutions either through (i) a self-service model, under which they have the flexibility to utilize our solutions “a la carte” to complement their existing marketing resources, and (ii) a managed service model, where our account management team provides in-depth services that suit customers’ specific marketing objectives and budgets utilizing our solutions. We seamlessly address marketers’ needs and deliver a highly integrated customer experience throughout their marketing cycle.</w:t>
      </w:r>
    </w:p>
    <w:p>
      <w:pPr>
        <w:spacing w:after="0" w:line="188"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Our customers, referring to entities from which we recognize revenue under our marketing campaign contracts with them, include direct marketer customers and marketing agencies. We derived over 70% of our gross billing from direct marketer customers in 2015 and 2016.</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generate revenues primarily from customers’ marketing spend through our platform as they utilize our solutions, and to a lesser extent from rebates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certain publishers. We have achieved significant growth in recent years. Our gross billing grew by 32.5% from US$178.2 million in 2015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US$236.3 million in 2016. Our net revenues grew by 46.2% from US$65.2 million in 2015 to US$95.4 million in 2016. Our net loss was US$39.7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US$27.3 million in 2015 and 2016, respectively.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Our Acquisition of OptAim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our acquisition of OptAim on July 24, 2015, OptAim has been our wholly owned subsidiary and has been consolidated into our results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operations. Please refer to note 4(b) of our consolidated financial statements included elsewhere in this prospectus. OptAim contributed US$41.1 million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gross billing and US$11.7 million to our net revenues from July 24, 2015, when we acquired OptAim, to December 31, 2015, and contributed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US$105.7 million to our gross billing and US$51.1 million to our net revenues in 2016. Intangible assets identified in connection with our acquisition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OptAim are amortized. Amortization expenses of US$1.8 million and US$4.0 million were recognized under our cost of revenues in 2015 and 2016,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In addition, as of December 31, 2016, we had US$45.5 million of goodwill, which represented approximately 26.8% of our total assets,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primarily related to our acquisition of OptAim. Goodwill is recorded at fair value and is not amortized, but is reviewed for impairment at least annually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more frequently if impairment indicators arise. Impairment charges could substantially affect our results of operations in the periods of such charges.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 impairment charges would negatively impact our financial ratios and could limit our ability to obtain financing in the future. See “Risk Factors —</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Risks Related to Our Business and Industry — We may be required to record significant impairment charges as a result of our acquisition of OptAim.”</w:t>
      </w:r>
    </w:p>
    <w:p>
      <w:pPr>
        <w:spacing w:after="0" w:line="22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As we integrate OptAim’s operations, we have realized synergies and economy of scale. Our operating expenses as a percentage of net revenues decreased from 80.1% in 2015 to 66.7% in 2016. In particular, we were able to reduce our sales and marketing expenses by US$3.1 million, or 9.9%, from US$31.4 million in 2015 to US$28.3 million in 2016 while increasing our net revenues in the same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206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vMerge w:val="restart"/>
          </w:tcPr>
          <w:p>
            <w:pPr>
              <w:jc w:val="right"/>
              <w:ind w:right="73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140" w:type="dxa"/>
            <w:vAlign w:val="bottom"/>
          </w:tcPr>
          <w:p>
            <w:pPr>
              <w:jc w:val="right"/>
              <w:ind w:right="495"/>
              <w:spacing w:after="0" w:line="119" w:lineRule="exact"/>
              <w:rPr>
                <w:sz w:val="20"/>
                <w:szCs w:val="20"/>
                <w:color w:val="auto"/>
              </w:rPr>
            </w:pPr>
            <w:r>
              <w:rPr>
                <w:rFonts w:ascii="Arial" w:cs="Arial" w:eastAsia="Arial" w:hAnsi="Arial"/>
                <w:sz w:val="13"/>
                <w:szCs w:val="13"/>
                <w:b w:val="1"/>
                <w:bCs w:val="1"/>
                <w:color w:val="auto"/>
              </w:rPr>
              <w:t>(US$ in</w:t>
            </w:r>
          </w:p>
        </w:tc>
        <w:tc>
          <w:tcPr>
            <w:tcW w:w="7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520" w:type="dxa"/>
            <w:vAlign w:val="bottom"/>
          </w:tcPr>
          <w:p>
            <w:pPr>
              <w:spacing w:after="0"/>
              <w:rPr>
                <w:sz w:val="10"/>
                <w:szCs w:val="10"/>
                <w:color w:val="auto"/>
              </w:rPr>
            </w:pPr>
          </w:p>
        </w:tc>
        <w:tc>
          <w:tcPr>
            <w:tcW w:w="78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(US$ in</w:t>
            </w:r>
          </w:p>
        </w:tc>
        <w:tc>
          <w:tcPr>
            <w:tcW w:w="11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140" w:type="dxa"/>
            <w:vAlign w:val="bottom"/>
          </w:tcPr>
          <w:p>
            <w:pPr>
              <w:jc w:val="right"/>
              <w:ind w:right="375"/>
              <w:spacing w:after="0"/>
              <w:rPr>
                <w:sz w:val="20"/>
                <w:szCs w:val="20"/>
                <w:color w:val="auto"/>
              </w:rPr>
            </w:pPr>
            <w:r>
              <w:rPr>
                <w:rFonts w:ascii="Arial" w:cs="Arial" w:eastAsia="Arial" w:hAnsi="Arial"/>
                <w:sz w:val="14"/>
                <w:szCs w:val="14"/>
                <w:b w:val="1"/>
                <w:bCs w:val="1"/>
                <w:color w:val="auto"/>
                <w:w w:val="87"/>
              </w:rPr>
              <w:t>thousands)</w:t>
            </w: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billing)</w:t>
            </w: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billing)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Gross billing</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178,239</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236,253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billing from mobile audience solutions</w:t>
            </w:r>
          </w:p>
        </w:tc>
        <w:tc>
          <w:tcPr>
            <w:tcW w:w="114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41,323</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23.2</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112,403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136,916</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76.8</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123,850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revenues</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65,242</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36.6</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95,357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revenues from mobile audience solutions</w:t>
            </w:r>
          </w:p>
        </w:tc>
        <w:tc>
          <w:tcPr>
            <w:tcW w:w="114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11,908</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57,761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53,334</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29.9</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37,596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(8,850)</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Adjusted net loss</w:t>
            </w:r>
          </w:p>
        </w:tc>
        <w:tc>
          <w:tcPr>
            <w:tcW w:w="1140" w:type="dxa"/>
            <w:vAlign w:val="bottom"/>
          </w:tcPr>
          <w:p>
            <w:pPr>
              <w:jc w:val="right"/>
              <w:ind w:right="315"/>
              <w:spacing w:after="0"/>
              <w:rPr>
                <w:sz w:val="20"/>
                <w:szCs w:val="20"/>
                <w:color w:val="auto"/>
              </w:rPr>
            </w:pPr>
            <w:r>
              <w:rPr>
                <w:rFonts w:ascii="Arial" w:cs="Arial" w:eastAsia="Arial" w:hAnsi="Arial"/>
                <w:sz w:val="18"/>
                <w:szCs w:val="18"/>
                <w:color w:val="auto"/>
              </w:rPr>
              <w:t>(11,583)</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780" w:type="dxa"/>
            <w:vAlign w:val="bottom"/>
          </w:tcPr>
          <w:p>
            <w:pPr>
              <w:jc w:val="right"/>
              <w:spacing w:after="0"/>
              <w:rPr>
                <w:sz w:val="20"/>
                <w:szCs w:val="20"/>
                <w:color w:val="auto"/>
              </w:rPr>
            </w:pPr>
            <w:r>
              <w:rPr>
                <w:rFonts w:ascii="Arial" w:cs="Arial" w:eastAsia="Arial" w:hAnsi="Arial"/>
                <w:sz w:val="18"/>
                <w:szCs w:val="18"/>
                <w:color w:val="auto"/>
              </w:rPr>
              <w:t>(8,999)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jc w:val="both"/>
        <w:ind w:right="60" w:firstLine="456"/>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customers pay us, after deducting rebates paid and discounts given to customers.</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Gross billing from our mobile audience solutions increased, both in absolute amount and as a percentage of total gross billing, as we prioritized the execution of our mobile strategy to capture a larger share of online marketing spend on mobile apps. This is evidenced by our acquisition of OptAim, which is focused on providing performance-driven mobile audience solutions, in July 2015. Gross billing from our other solutions decreased from 2015 to 2016 as a result of a decrease in the number of customers for our other solutions from 2015 to 2016 as we optimized our customer base to focus on customers that have larger marketing budgets and better credit and liquidity profile, and conduct online marketing campaigns on a more frequent basis.</w:t>
      </w:r>
    </w:p>
    <w:p>
      <w:pPr>
        <w:spacing w:after="0" w:line="173"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Our gross billing per customer increased by US$32,020, or 47.5%, from US$67,413 in 2015 to US$99,433 in 2016, while the total number of our customers decreased by 10.1% from 2,644 in 2015 to 2,376 in 2016. This was due to our efforts in optimizing our customer base to focus on sales to customers who have better credit and liquidity profile and larger marketing budgets, and conduct online marketing campaigns on a more frequent basis.</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gross billing retention rate, referring to the rate with respect to a given fiscal year of (i) gross billing recognized during such period from customers that contributed to the gross billing recognized in the prior fiscal year divided by (ii) gross billing contributed by such customers in such prior fiscal year, was 107% in 2016, compared to 100% in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derive and report our revenue under two models. Our revenue for cost-plus advertisement campaigns and rebates earned from certain website publishers is reported under the net model. Our revenue from performing specified actions (i.e., a CPM, CPC, CPA, CPS, CPL or ROI basis) is reported under the gross model.</w:t>
      </w:r>
    </w:p>
    <w:p>
      <w:pPr>
        <w:spacing w:after="0" w:line="18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Under the net model, we record service fees, net of media costs and, rebates and discounts, as net revenues. Service fees are generally calculated as a percentage of media cost. Such percentage is negotiated on a customer-by-customer, and campaign-by-campaign basis. We also generate revenue under this model from rebates from publishers for which we distribute content distribution opportunities. The amount of such rebates are determined based on a variety of factors, including yearly market spending at these publishers’ platforms.</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Under the gross model, we record the aggregate gross dollar amount that our customers spend through our platform, which includes media cost, as net revenues. We charge our customers for specified actions, such as when a user clicks on their marketing messages, or a CPC pricing model, or when their marketing messages are displayed, or a CPM pricing model. Rebates received from publishers are recorded as deduction of cost of revenues under this model.</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grant rebates and discounts to our customers based on certain factors, including their yearly market spending on our platform, to incentivize and encourage them to use our marketing solutions. The rebates and discounts to our customers are recorded as a deduction from our net revenues, except where such rebates are paid to our customers in connection with our promotion of content distribution opportunities for certain publishers, in which case the rebates received from the publishers are recorded as net revenues under our net model and the rebates and discounts to our customers are recorded as our cost of revenues.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24"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20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1960" w:type="dxa"/>
            <w:vAlign w:val="bottom"/>
            <w:gridSpan w:val="3"/>
          </w:tcPr>
          <w:p>
            <w:pPr>
              <w:jc w:val="right"/>
              <w:ind w:right="311"/>
              <w:spacing w:after="0" w:line="142" w:lineRule="exact"/>
              <w:rPr>
                <w:sz w:val="20"/>
                <w:szCs w:val="20"/>
                <w:color w:val="auto"/>
              </w:rPr>
            </w:pPr>
            <w:r>
              <w:rPr>
                <w:rFonts w:ascii="Arial" w:cs="Arial" w:eastAsia="Arial" w:hAnsi="Arial"/>
                <w:sz w:val="14"/>
                <w:szCs w:val="14"/>
                <w:b w:val="1"/>
                <w:bCs w:val="1"/>
                <w:color w:val="auto"/>
              </w:rPr>
              <w:t>(US$ in thousands)</w:t>
            </w:r>
          </w:p>
        </w:tc>
        <w:tc>
          <w:tcPr>
            <w:tcW w:w="100" w:type="dxa"/>
            <w:vAlign w:val="bottom"/>
          </w:tcPr>
          <w:p>
            <w:pPr>
              <w:spacing w:after="0"/>
              <w:rPr>
                <w:sz w:val="12"/>
                <w:szCs w:val="1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(27,330)</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Add / (less):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3,181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5,824</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EBITDA</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(36,981)</w:t>
            </w:r>
          </w:p>
        </w:tc>
        <w:tc>
          <w:tcPr>
            <w:tcW w:w="5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6,494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21,244</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19,390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(791)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7"/>
        </w:trPr>
        <w:tc>
          <w:tcPr>
            <w:tcW w:w="9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(8,850)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w:t>
            </w:r>
          </w:p>
        </w:tc>
      </w:tr>
      <w:tr>
        <w:trPr>
          <w:trHeight w:val="20"/>
        </w:trPr>
        <w:tc>
          <w:tcPr>
            <w:tcW w:w="9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Adjusted net loss represents net loss before (i) share-based compensation, (ii) fair value loss/(gain) on derivative liabilities, (iii) share of loss from an equity investee, (iv) compensation in relation to the acquisition of OptAim, and (v) other (gains)/losses, net.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20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1960" w:type="dxa"/>
            <w:vAlign w:val="bottom"/>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(US$ in thousands)</w:t>
            </w:r>
          </w:p>
        </w:tc>
        <w:tc>
          <w:tcPr>
            <w:tcW w:w="100" w:type="dxa"/>
            <w:vAlign w:val="bottom"/>
          </w:tcPr>
          <w:p>
            <w:pPr>
              <w:spacing w:after="0"/>
              <w:rPr>
                <w:sz w:val="12"/>
                <w:szCs w:val="1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(27,330)</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Add:</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6,494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21,244</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19,390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(3,995)</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(11,583)</w:t>
            </w:r>
          </w:p>
        </w:tc>
        <w:tc>
          <w:tcPr>
            <w:tcW w:w="5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100" w:type="dxa"/>
            <w:vAlign w:val="bottom"/>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key factors affecting our financial condition and results of operations include the following:</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expand mobile app channels;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revenue models;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optimize customer base and increase customer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enlarge audience data set, strengthen data analytics capabilities and innovate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Mobile App Channels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66"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audience solutions, which have resulted in a downward pricing pressure on our mobile audience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audience solutions. Therefore, gross profit margins for our mobile audience solutions were significantly lower than those for our other solutions for the same periods historically, and we expect the trend to continue. As a result, an increase in the percentage of revenue from our mobile audience solutions may have a positive impact on our gross billing and net revenues but a negative impact on our gross profit margin.</w:t>
      </w:r>
    </w:p>
    <w:p>
      <w:pPr>
        <w:spacing w:after="0" w:line="182"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do not currently own or control any of our content distribution channels. To further expand our content distribution network, we need to develop new and enhance our existing relationships with content distribution channel partners, which depends, in part, on our ability to continually generate sufficient marketing spend from our customers on these channels, especially mobile app channels. We also intend to strengthen our relationships with content distribution channel partners through technology collaboration to faciliate innovative and effective user engagement.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derive revenue under two models. Our revenue for cost-plus advertisement campaigns and rebates earned from certain website publishers is reported under the net model. Our revenue from performing specified actions (i.e., a CPM, CPC, CPA, CPS, CPL or ROI basis) is reported under the gross model. Please see “— Key Operating and Financial Metrics — Net Revenues” above for more details. The gross profit margin under our net model is higher than the gross model as cost of revenues under the net model does not include media cost. As a result, an increase in the percentage of revenue from our gross model will have a positive impact on our net revenues and a negative impact on gross profit margin. Our mobile audience solutions, on one hand and other solutions, on the other hand, each represents a mixture of revenue recognized on gross basis and on net basis and the proportion of each fluctuates from period to period. Therefore our net revenues, gross margin and the comparability of our financial results in one period to another may be affected by the relative percentage of revenue recognized under the gross model and net model.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Optimize Customer Base and Increase Customer Spending</w:t>
      </w:r>
    </w:p>
    <w:p>
      <w:pPr>
        <w:spacing w:after="0" w:line="117"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Our growth and profitability are dependent upon our ability to optimize customer base and increase customer’s marketing spend on our platform. To optimize our customer base, we conducted a comprehensive review of our customer base in 2016 to focus on sales to customers who have larger marketing budgets and better credit and liquidity profile, and conduct online marketing campaigns on a more frequent basis. We have also been focused, and expect to continue our focus, on sales to direct marketer customers, which tend to command higher gross profit margin compared to agency customers. Furthermore, our growth and profitability also depend on our ability to attract more customers to our self-service model, and to further diversify our customers base to capture the growth in additional industry verticals and geographic markets.</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ability to increase customer’s marketing spend on our platform depends on whether our solutions can effectively address customers’ evolving and diverse needs in a cost-efficient manner. To that end, we plan to develop and offer more tailored, innovative and user-friendly solutions and services and enhance our sales, marketing and account servicing efforts.</w:t>
      </w:r>
    </w:p>
    <w:p>
      <w:pPr>
        <w:spacing w:after="0" w:line="18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As a result of these initiatives, our gross billing retention rate and gross billing per customer both increased from 2015 to 2016, which resulted in the growth of our overall gross billing despite the decrease in our number of customers during the same period as we optimized our customer base.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Enlarge Audience Data Set, Strengthen Data Analytics Capabilities and Innovate Technologies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performance is significantly dependent on our ability to enlarge audience data set, strengthen data analytics capabilities and innovate technologies. This helps customers achieve more precise audience targeting and enables us to retain customers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customers’ minimum key performance indicator, or KPI requirements, such as a minimum number of clicks on the marketing messages, without having to purchase additional content distribution opportunities and incur additional media cost to fulfill these minimum KPI requirements. Furthermore, it enables us to extend our data application across more aspects in online marketing and beyond to capitalize on more growth opportunities.</w:t>
      </w:r>
    </w:p>
    <w:p>
      <w:pPr>
        <w:spacing w:after="0" w:line="18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plan to continue collaborating with customers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have experienced seasonal fluctuations in revenue. The fourth quarter of each calendar year generally contributes the largest portion of our annual revenue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revenue, primarily due to a lower level of allocation of online marketing budgets by marketers at the beginning of the calendar year in which the Chinese New Year holidays fall, during which time businesses in China are generally closed. We expect our revenue to continue fluctuating based on seasonal factors that affect the online marketing industry as a whole.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 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 when and to the extent permitted by PRC law.</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consolidated financial statements include the financial statements of the Company, its subsidiaries, its VIE and the VIE’s subsidiary for which we are the primary beneficiary. All transactions and balances among we, our subsidiaries, our VIE and the VIE’s subsidiary have been eliminated upon consolidation.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8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subsidiary, and has been determined to be the primary beneficiary of the VIE.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subsidiary amounting to US$2.1 million and US$2.1 million, respectively, as of December 31, 2015 and 2016. As the VIE was incorporated as limited liability company under the PRC Company Law, the creditors do not have recourse to the general credit of the Company for all the liabilities of the VIE. Currently there is no contractual arrangement that could require us to provide additional financial support to the VIE.</w:t>
      </w:r>
    </w:p>
    <w:p>
      <w:pPr>
        <w:spacing w:after="0" w:line="19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8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 Related to the Accounting for Business Combinations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completed business combinations during 2015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services are the provisions of online marketing services. We utilize a combination of pricing models and revenue is recognized when the related services are delivered based on the specific terms of the contract, which are commonly based on (i) cost-plus, (ii) agreed rebates to be earned from certain website publishers or (iii) specified actions (i.e. CPM, CPC, CPA, CPS, CPL or ROI) and related campaign budgets, depending on the customers’ preferences and their campaigns launched.</w:t>
      </w:r>
    </w:p>
    <w:p>
      <w:pPr>
        <w:spacing w:after="0" w:line="187"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We recognize revenue when four basic criteria are met: (1) persuasive evidence of an arrangement with the customer exists reflecting the terms and conditions under which the services will be provided; (2) services have been provided or delivery has occurred; (3) the fee is fixed or determinable; and</w:t>
      </w:r>
    </w:p>
    <w:p>
      <w:pPr>
        <w:jc w:val="both"/>
        <w:ind w:right="60" w:firstLine="8"/>
        <w:spacing w:after="0" w:line="255"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 Revenues are recorded net of value-added taxes and surcharges.</w:t>
      </w:r>
    </w:p>
    <w:p>
      <w:pPr>
        <w:spacing w:after="0" w:line="1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we are acting as an agent in a transaction, and the timing and the amount are based on an evaluation of the terms of each arrangement.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For cost-plus advertisement campaigns and rebates to be earned from certain website publishers, sales are valued at the fair value of the amount received. Rebates and discounts granted to clients, along with free or extended advertising campaigns, are recorded as a deduction from revenue. In the normal course of business, we act as an intermediary in executing transactions with third parties, specifically, we are not the principal in executing these transactions as we are acting on behalf of the website publishers.</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determination of whether revenue should be reported on a gross or net basis is based on an assessment of whether we are acting as the principal or an agent in our transactions. In determining whether we act as the principal or an agent, we follow the accounting guidance for principal-agent considerations. The determination of whether we are acting as a principal or an agent in a transaction involves judgment and is based on an evaluation of the terms of each arrangement. While none of the factors individually are considered presumptive or determinative, because we are facilitating the customers and the publishers to purchase and to sell advertising inventory and the pricing is generally restricted by the costs incurred through purchasing the advertising inventory, we conclude that we are not the principal in these arrangements and therefore report revenue earned and costs incurred related to these transaction on a net basis.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Specified Actions</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we are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Ordinary Shares, Preferred Shares and Share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determining fair value of our preferred shares, we, with the assistance of independent appraisers, adopted a two-step method as follows: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 1: to derive the fair value of total equity by adopting the discounted cash flow (“DCF”) Method;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Step 2: based on the total equity value derived in step 1, to derive the fair value of each class of shares by adopting equity allocation method.</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Total Equity</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with the assistance of an independent appraiser, mainly performed retrospective valuations instead of contemporaneous valuations because, at the time of valuation, our financial resources and limited human 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 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income approach involves applying discounted cash flow analysis based on our projected cash flows using management’s best estimate as of the valuation dates. Estimating future cash flow requires us to analyze projected revenue growth, gross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78"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The table below sets forth the fair value of total equity as of January 1, 2015, August 1, 2015, December 31, 2015 and December 28, 2016,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5500" w:type="dxa"/>
            <w:vAlign w:val="bottom"/>
          </w:tcPr>
          <w:p>
            <w:pPr>
              <w:jc w:val="right"/>
              <w:spacing w:after="0"/>
              <w:rPr>
                <w:sz w:val="20"/>
                <w:szCs w:val="20"/>
                <w:color w:val="auto"/>
              </w:rPr>
            </w:pPr>
            <w:r>
              <w:rPr>
                <w:rFonts w:ascii="Arial" w:cs="Arial" w:eastAsia="Arial" w:hAnsi="Arial"/>
                <w:sz w:val="14"/>
                <w:szCs w:val="14"/>
                <w:b w:val="1"/>
                <w:bCs w:val="1"/>
                <w:color w:val="auto"/>
              </w:rPr>
              <w:t>US$ in millions</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August 1, 2015</w:t>
            </w:r>
          </w:p>
        </w:tc>
        <w:tc>
          <w:tcPr>
            <w:tcW w:w="55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December 28, 2016</w:t>
            </w:r>
          </w:p>
        </w:tc>
        <w:tc>
          <w:tcPr>
            <w:tcW w:w="5500" w:type="dxa"/>
            <w:vAlign w:val="bottom"/>
          </w:tcPr>
          <w:p>
            <w:pPr>
              <w:jc w:val="right"/>
              <w:spacing w:after="0"/>
              <w:rPr>
                <w:sz w:val="20"/>
                <w:szCs w:val="20"/>
                <w:color w:val="auto"/>
              </w:rPr>
            </w:pPr>
            <w:r>
              <w:rPr>
                <w:rFonts w:ascii="Arial" w:cs="Arial" w:eastAsia="Arial" w:hAnsi="Arial"/>
                <w:sz w:val="18"/>
                <w:szCs w:val="18"/>
                <w:color w:val="auto"/>
              </w:rPr>
              <w:t>441</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major assumptions used in calculating the fair value of total equity include:</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i w:val="1"/>
          <w:iCs w:val="1"/>
          <w:color w:val="auto"/>
        </w:rPr>
        <w:t xml:space="preserve">Weighted average cost of capital, or WACC. </w:t>
      </w:r>
      <w:r>
        <w:rPr>
          <w:rFonts w:ascii="Arial" w:cs="Arial" w:eastAsia="Arial" w:hAnsi="Arial"/>
          <w:sz w:val="17"/>
          <w:szCs w:val="17"/>
          <w:color w:val="auto"/>
        </w:rPr>
        <w:t>Our cash flows were discounted to present value using discount rates that reflect the risks the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15.6%, 16.1%, 16.2% and 18.3% for January 1, 2015, August 1, 2015, December 31, 2015 and December 28, 2016, respectively.</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Comparable companies. </w:t>
      </w:r>
      <w:r>
        <w:rPr>
          <w:rFonts w:ascii="Arial" w:cs="Arial" w:eastAsia="Arial" w:hAnsi="Arial"/>
          <w:sz w:val="18"/>
          <w:szCs w:val="18"/>
          <w:color w:val="auto"/>
        </w:rPr>
        <w:t>In deriving the WACCs, which are used as the discount rates under the income approach, four publicly traded companies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were selected for reference as our guideline companies.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Discount for lack of marketability, or DLOM</w:t>
      </w:r>
      <w:r>
        <w:rPr>
          <w:rFonts w:ascii="Arial" w:cs="Arial" w:eastAsia="Arial" w:hAnsi="Arial"/>
          <w:sz w:val="18"/>
          <w:szCs w:val="18"/>
          <w:color w:val="auto"/>
        </w:rPr>
        <w:t>. At the time of each issuance, we were a closely-held company and there was no public market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12.4%, 9.4%, 20.7% and 19.2% for January 1, 2015, August 1, 2015, December 31, 2015 and December 28, 2016, respectively.</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Contributing to the Difference in Fair Value Determined of Total Equity</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determined fair value of total equity increased from US$324.6 million as of January 1, 2015 to US$485.4 million as of August 1, 2015, and decrease to US$478.0 million as of December 31, 2015 and further to US$440.8 million as of December 31, 2016. We believe the change in the fair value of our total equity was primarily attributable to the following factors:</w:t>
      </w:r>
    </w:p>
    <w:p>
      <w:pPr>
        <w:spacing w:after="0" w:line="7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increase of equity value from January 2015 to August 2015 was mainly attributable to the acquisition of OptAim. Our equity values have remained fairly stable afterward and certain fluctuation is attributable to the changes in discount rate as a result of the change in market data adopted in the CAPM model for derivation of WACC (i.e. increase in risk-free rates and unlevered beta of comparable companies has been observed by end of 2015 and 2016).</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Preferred Shares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Based on the total equity value as determined by step 1, we, with the assistance of independent appraisers, adopted the Equity Allocation Model, which was referenced to the “Practice Aid — Valuation of Privately Held Company Equity Securities Issued as Compensation” issued by the AICPA in 2013, to allocate the equity value of the Company to different class of shares.</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six classes of shares —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8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mentioned in the Amended and Restated Memorandum of Association, total equity value will be allocated to different classes of shareholders under three different scenarios, namely liquidation scenario, redemption scenario and conversion scenario (i.e. the IPO scenario).</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key assumptions used in the equity allocation model with contingent claim to allocate the total equity value under the liquidation scenario and redemption scenario include:</w:t>
      </w:r>
    </w:p>
    <w:p>
      <w:pPr>
        <w:spacing w:after="0" w:line="7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Current equity value. </w:t>
      </w:r>
      <w:r>
        <w:rPr>
          <w:rFonts w:ascii="Arial" w:cs="Arial" w:eastAsia="Arial" w:hAnsi="Arial"/>
          <w:sz w:val="18"/>
          <w:szCs w:val="18"/>
          <w:color w:val="auto"/>
        </w:rPr>
        <w:t>Current equity value is determined as the total equity value derived by step 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Life to expiration. </w:t>
      </w:r>
      <w:r>
        <w:rPr>
          <w:rFonts w:ascii="Arial" w:cs="Arial" w:eastAsia="Arial" w:hAnsi="Arial"/>
          <w:sz w:val="18"/>
          <w:szCs w:val="18"/>
          <w:color w:val="auto"/>
        </w:rPr>
        <w:t>Life to expiration is determined based on the remaining contractual life of each class of preferred shares;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Risk free interest rate is determined based on the yield of U.S. Treasury Strips with a maturity life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to expiration;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determined based on our comparable companies.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After deriving the values of preferred and ordinary shares under each of the liquidation scenario, redemption scenario and conversion scenario, we then assigned the probabilities of each scenario to arrive at the probability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weighted value of each class of shares. The table below sets forth the probability of the three scenarios used in calculating the fair value of the preferred shares as of January 1, 2015, August 1, 2015, December 31, 2015 and December 28, 2016, respectively: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8"/>
              </w:rPr>
              <w:t>Liquidation</w:t>
            </w: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Redemption</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Conversion</w:t>
            </w:r>
          </w:p>
        </w:tc>
      </w:tr>
      <w:tr>
        <w:trPr>
          <w:trHeight w:val="171"/>
        </w:trPr>
        <w:tc>
          <w:tcPr>
            <w:tcW w:w="72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Scenario</w:t>
            </w:r>
          </w:p>
        </w:tc>
        <w:tc>
          <w:tcPr>
            <w:tcW w:w="8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8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200" w:type="dxa"/>
            <w:vAlign w:val="bottom"/>
            <w:tcBorders>
              <w:bottom w:val="single" w:sz="8" w:color="CCEEFF"/>
            </w:tcBorders>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August 1, 2015</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December 28, 2016</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bl>
    <w:p>
      <w:pPr>
        <w:spacing w:after="0" w:line="18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table below sets forth the fair value of ordinary shares and preferred shares as of January 1, 2015, August 1, 2015, December 31, 2015 and December 28, 2016, respectively.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
          </w:tcPr>
          <w:p>
            <w:pPr>
              <w:jc w:val="right"/>
              <w:ind w:right="1156"/>
              <w:spacing w:after="0"/>
              <w:rPr>
                <w:sz w:val="20"/>
                <w:szCs w:val="20"/>
                <w:color w:val="auto"/>
              </w:rPr>
            </w:pPr>
            <w:r>
              <w:rPr>
                <w:rFonts w:ascii="Arial" w:cs="Arial" w:eastAsia="Arial" w:hAnsi="Arial"/>
                <w:sz w:val="14"/>
                <w:szCs w:val="14"/>
                <w:b w:val="1"/>
                <w:bCs w:val="1"/>
                <w:color w:val="auto"/>
              </w:rPr>
              <w:t>Preferred Shares</w:t>
            </w:r>
          </w:p>
        </w:tc>
        <w:tc>
          <w:tcPr>
            <w:tcW w:w="8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Ordinary Shares</w:t>
            </w:r>
          </w:p>
        </w:tc>
      </w:tr>
      <w:tr>
        <w:trPr>
          <w:trHeight w:val="142"/>
        </w:trPr>
        <w:tc>
          <w:tcPr>
            <w:tcW w:w="4460" w:type="dxa"/>
            <w:vAlign w:val="bottom"/>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6"/>
              </w:rPr>
              <w:t>Series - A</w:t>
            </w:r>
          </w:p>
        </w:tc>
        <w:tc>
          <w:tcPr>
            <w:tcW w:w="10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Series - B</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C</w:t>
            </w:r>
          </w:p>
        </w:tc>
        <w:tc>
          <w:tcPr>
            <w:tcW w:w="14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Series - D</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E</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tcPr>
          <w:p>
            <w:pPr>
              <w:jc w:val="right"/>
              <w:ind w:right="356"/>
              <w:spacing w:after="0" w:line="142" w:lineRule="exact"/>
              <w:rPr>
                <w:sz w:val="20"/>
                <w:szCs w:val="20"/>
                <w:color w:val="auto"/>
              </w:rPr>
            </w:pPr>
            <w:r>
              <w:rPr>
                <w:rFonts w:ascii="Arial" w:cs="Arial" w:eastAsia="Arial" w:hAnsi="Arial"/>
                <w:sz w:val="14"/>
                <w:szCs w:val="14"/>
                <w:b w:val="1"/>
                <w:bCs w:val="1"/>
                <w:color w:val="auto"/>
                <w:w w:val="91"/>
              </w:rPr>
              <w:t>(US$ in millions)</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48</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August 1, 2015</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48</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460" w:type="dxa"/>
            <w:vAlign w:val="bottom"/>
          </w:tcPr>
          <w:p>
            <w:pPr>
              <w:jc w:val="right"/>
              <w:ind w:right="196"/>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59</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December 28, 2016</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44</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34</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460" w:type="dxa"/>
            <w:vAlign w:val="bottom"/>
          </w:tcPr>
          <w:p>
            <w:pPr>
              <w:jc w:val="right"/>
              <w:ind w:right="196"/>
              <w:spacing w:after="0"/>
              <w:rPr>
                <w:sz w:val="20"/>
                <w:szCs w:val="20"/>
                <w:color w:val="auto"/>
              </w:rPr>
            </w:pPr>
            <w:r>
              <w:rPr>
                <w:rFonts w:ascii="Arial" w:cs="Arial" w:eastAsia="Arial" w:hAnsi="Arial"/>
                <w:sz w:val="18"/>
                <w:szCs w:val="18"/>
                <w:color w:val="auto"/>
              </w:rPr>
              <w:t>49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grant share options to eligible employees and account for these share-based awards in accordance with ASC 718 Compensation — Stock Compensation.</w:t>
      </w:r>
    </w:p>
    <w:p>
      <w:pPr>
        <w:spacing w:after="0" w:line="170"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the awards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 The table below sets forth the key assumptions used in the binomial option model:</w:t>
      </w:r>
    </w:p>
    <w:p>
      <w:pPr>
        <w:spacing w:after="0" w:line="179"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years ended December 31, 2015 and 2016 were estimated using the following assumptions: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3520" w:type="dxa"/>
            <w:vAlign w:val="bottom"/>
            <w:vMerge w:val="restart"/>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Risk-free interest</w:t>
            </w:r>
          </w:p>
        </w:tc>
        <w:tc>
          <w:tcPr>
            <w:tcW w:w="740" w:type="dxa"/>
            <w:vAlign w:val="bottom"/>
          </w:tcPr>
          <w:p>
            <w:pPr>
              <w:spacing w:after="0"/>
              <w:rPr>
                <w:sz w:val="14"/>
                <w:szCs w:val="1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Dividend yield</w:t>
            </w:r>
            <w:r>
              <w:rPr>
                <w:rFonts w:ascii="Arial" w:cs="Arial" w:eastAsia="Arial" w:hAnsi="Arial"/>
                <w:sz w:val="12"/>
                <w:szCs w:val="12"/>
                <w:b w:val="1"/>
                <w:bCs w:val="1"/>
                <w:color w:val="auto"/>
                <w:w w:val="93"/>
              </w:rPr>
              <w:t>(2)</w:t>
            </w:r>
          </w:p>
        </w:tc>
        <w:tc>
          <w:tcPr>
            <w:tcW w:w="960" w:type="dxa"/>
            <w:vAlign w:val="bottom"/>
            <w:vMerge w:val="restart"/>
          </w:tcPr>
          <w:p>
            <w:pPr>
              <w:spacing w:after="0"/>
              <w:rPr>
                <w:sz w:val="14"/>
                <w:szCs w:val="14"/>
                <w:color w:val="auto"/>
              </w:rPr>
            </w:pPr>
          </w:p>
        </w:tc>
        <w:tc>
          <w:tcPr>
            <w:tcW w:w="198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w w:val="95"/>
              </w:rPr>
              <w:t>Volatility rate</w:t>
            </w:r>
            <w:r>
              <w:rPr>
                <w:rFonts w:ascii="Arial" w:cs="Arial" w:eastAsia="Arial" w:hAnsi="Arial"/>
                <w:sz w:val="12"/>
                <w:szCs w:val="12"/>
                <w:b w:val="1"/>
                <w:bCs w:val="1"/>
                <w:color w:val="auto"/>
                <w:w w:val="95"/>
              </w:rPr>
              <w:t>(3)</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1"/>
              </w:rPr>
              <w:t>Expected term (in</w:t>
            </w:r>
          </w:p>
        </w:tc>
        <w:tc>
          <w:tcPr>
            <w:tcW w:w="0" w:type="dxa"/>
            <w:vAlign w:val="bottom"/>
          </w:tcPr>
          <w:p>
            <w:pPr>
              <w:spacing w:after="0"/>
              <w:rPr>
                <w:sz w:val="1"/>
                <w:szCs w:val="1"/>
                <w:color w:val="auto"/>
              </w:rPr>
            </w:pPr>
          </w:p>
        </w:tc>
      </w:tr>
      <w:tr>
        <w:trPr>
          <w:trHeight w:val="171"/>
        </w:trPr>
        <w:tc>
          <w:tcPr>
            <w:tcW w:w="720" w:type="dxa"/>
            <w:vAlign w:val="bottom"/>
            <w:vMerge w:val="continue"/>
          </w:tcPr>
          <w:p>
            <w:pPr>
              <w:spacing w:after="0"/>
              <w:rPr>
                <w:sz w:val="14"/>
                <w:szCs w:val="14"/>
                <w:color w:val="auto"/>
              </w:rPr>
            </w:pPr>
          </w:p>
        </w:tc>
        <w:tc>
          <w:tcPr>
            <w:tcW w:w="352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2"/>
                <w:szCs w:val="12"/>
                <w:b w:val="1"/>
                <w:bCs w:val="1"/>
                <w:color w:val="auto"/>
                <w:w w:val="94"/>
              </w:rPr>
              <w:t>(1)</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160" w:type="dxa"/>
            <w:vAlign w:val="bottom"/>
          </w:tcPr>
          <w:p>
            <w:pPr>
              <w:jc w:val="right"/>
              <w:ind w:right="253"/>
              <w:spacing w:after="0"/>
              <w:rPr>
                <w:sz w:val="20"/>
                <w:szCs w:val="20"/>
                <w:color w:val="auto"/>
              </w:rPr>
            </w:pPr>
            <w:r>
              <w:rPr>
                <w:rFonts w:ascii="Arial" w:cs="Arial" w:eastAsia="Arial" w:hAnsi="Arial"/>
                <w:sz w:val="14"/>
                <w:szCs w:val="14"/>
                <w:b w:val="1"/>
                <w:bCs w:val="1"/>
                <w:color w:val="auto"/>
              </w:rPr>
              <w:t xml:space="preserve">years) </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740" w:type="dxa"/>
            <w:vAlign w:val="bottom"/>
            <w:vMerge w:val="continue"/>
            <w:shd w:val="clear" w:color="auto" w:fill="CCEEFF"/>
          </w:tcPr>
          <w:p>
            <w:pPr>
              <w:spacing w:after="0"/>
              <w:rPr>
                <w:sz w:val="18"/>
                <w:szCs w:val="18"/>
                <w:color w:val="auto"/>
              </w:rPr>
            </w:pPr>
          </w:p>
        </w:tc>
        <w:tc>
          <w:tcPr>
            <w:tcW w:w="2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47.34%</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January 1, 2015</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274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53.47%</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27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54.55%</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June 30, 2015</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274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52.87%</w:t>
            </w:r>
          </w:p>
        </w:tc>
        <w:tc>
          <w:tcPr>
            <w:tcW w:w="1160" w:type="dxa"/>
            <w:vAlign w:val="bottom"/>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6, 2015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c>
          <w:tcPr>
            <w:tcW w:w="27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52.60%</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July 6, 2015</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274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52.64%</w:t>
            </w:r>
          </w:p>
        </w:tc>
        <w:tc>
          <w:tcPr>
            <w:tcW w:w="1160" w:type="dxa"/>
            <w:vAlign w:val="bottom"/>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w:t>
            </w:r>
          </w:p>
        </w:tc>
        <w:tc>
          <w:tcPr>
            <w:tcW w:w="27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52.78%</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274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55.54%</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27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49.37%</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274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50.52%</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50"/>
        </w:trPr>
        <w:tc>
          <w:tcPr>
            <w:tcW w:w="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86</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20" w:hanging="452"/>
        <w:spacing w:after="0" w:line="25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following table sets forth a summary of our consolidated results of operations for the periods indicated. This information should be read together with our consolidated financial statements and related notes included elsewhere in this prospectus. Due to our limited operating history, period-to-period comparisons discussed below may not be meaningful and are not indicative of our future trends. See “Risk Factors — Risks Related to Our Business and Industry — We have experienced rapid growth in recent periods, and such growth rates may not be indicative of our future growth.”</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112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440" w:type="dxa"/>
            <w:vAlign w:val="bottom"/>
          </w:tcPr>
          <w:p>
            <w:pPr>
              <w:spacing w:after="0"/>
              <w:rPr>
                <w:sz w:val="10"/>
                <w:szCs w:val="10"/>
                <w:color w:val="auto"/>
              </w:rPr>
            </w:pPr>
          </w:p>
        </w:tc>
        <w:tc>
          <w:tcPr>
            <w:tcW w:w="112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thousands)</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revenues)</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95,357</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 of revenues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(34,531)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(52.9)</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(61,048)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4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4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(8,106)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(8,584)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(31,385)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(48.1)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(28,266)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(12,745)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(26,767)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(52,236)</w:t>
            </w:r>
          </w:p>
        </w:tc>
        <w:tc>
          <w:tcPr>
            <w:tcW w:w="440" w:type="dxa"/>
            <w:vAlign w:val="bottom"/>
            <w:vMerge w:val="continue"/>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(80.1)</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(63,617)</w:t>
            </w:r>
          </w:p>
        </w:tc>
        <w:tc>
          <w:tcPr>
            <w:tcW w:w="44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(21,525)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(29,308)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(713)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791</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(19,390)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(29.7)</w:t>
            </w:r>
          </w:p>
        </w:tc>
        <w:tc>
          <w:tcPr>
            <w:tcW w:w="680" w:type="dxa"/>
            <w:vAlign w:val="bottom"/>
          </w:tcPr>
          <w:p>
            <w:pPr>
              <w:jc w:val="right"/>
              <w:spacing w:after="0"/>
              <w:rPr>
                <w:sz w:val="20"/>
                <w:szCs w:val="20"/>
                <w:color w:val="auto"/>
              </w:rPr>
            </w:pPr>
            <w:r>
              <w:rPr>
                <w:rFonts w:ascii="Arial" w:cs="Arial" w:eastAsia="Arial" w:hAnsi="Arial"/>
                <w:sz w:val="18"/>
                <w:szCs w:val="18"/>
                <w:color w:val="auto"/>
              </w:rPr>
              <w:t>3,995</w:t>
            </w:r>
          </w:p>
        </w:tc>
        <w:tc>
          <w:tcPr>
            <w:tcW w:w="4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(40,231)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(27,108)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Income tax benefit/(expense)</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555</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(222)</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(39,714)</w:t>
            </w:r>
          </w:p>
        </w:tc>
        <w:tc>
          <w:tcPr>
            <w:tcW w:w="440" w:type="dxa"/>
            <w:vAlign w:val="bottom"/>
            <w:vMerge w:val="continue"/>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(60.9)</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(27,330)</w:t>
            </w:r>
          </w:p>
        </w:tc>
        <w:tc>
          <w:tcPr>
            <w:tcW w:w="44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generate revenue primarily from customers of our online marketing solutions, and from certain publishers for our promotion of their content distribution opportunities. Please refer to “— Key Operating and Financial Metrics — Net Revenues” for a description of the components of our net revenues and revenue recognition policies.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net revenues breakdown for our mobile audience solutions and other solutions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2016</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16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460" w:type="dxa"/>
            <w:vAlign w:val="bottom"/>
          </w:tcPr>
          <w:p>
            <w:pPr>
              <w:spacing w:after="0"/>
              <w:rPr>
                <w:sz w:val="10"/>
                <w:szCs w:val="10"/>
                <w:color w:val="auto"/>
              </w:rPr>
            </w:pPr>
          </w:p>
        </w:tc>
        <w:tc>
          <w:tcPr>
            <w:tcW w:w="7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(US$ in</w:t>
            </w:r>
          </w:p>
        </w:tc>
        <w:tc>
          <w:tcPr>
            <w:tcW w:w="4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thousands)</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revenues)</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thousands)</w:t>
            </w:r>
          </w:p>
        </w:tc>
        <w:tc>
          <w:tcPr>
            <w:tcW w:w="4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 from mobile audience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57,761</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revenues from other solutions</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53,334</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81.7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37,596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65,242</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95,357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 diverse customer base with customers from in and outside China as we help marketers, especially multinational marketers, navigate through the fragmented online marketing landscapes in China to identify and reach their potential customers. In 2015 and 2016, we derived 53.2% and 25.3% of our net revenues from customers outside China, respectively. Our net revenues from customers in China increased significantly from 2015 to 2016 as we continued to prioritize the execution of our mobile strategy. Our net revenues from customers outside China decreased from 2015 to 2016 as we continued to optimize our customer base. The table below shows our net revenues breakdown by geographic region as measured by the location of our billing entities,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2016</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7400" w:type="dxa"/>
            <w:vAlign w:val="bottom"/>
          </w:tcPr>
          <w:p>
            <w:pPr>
              <w:spacing w:after="0"/>
              <w:rPr>
                <w:sz w:val="10"/>
                <w:szCs w:val="10"/>
                <w:color w:val="auto"/>
              </w:rPr>
            </w:pPr>
          </w:p>
        </w:tc>
        <w:tc>
          <w:tcPr>
            <w:tcW w:w="116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460" w:type="dxa"/>
            <w:vAlign w:val="bottom"/>
          </w:tcPr>
          <w:p>
            <w:pPr>
              <w:spacing w:after="0"/>
              <w:rPr>
                <w:sz w:val="10"/>
                <w:szCs w:val="10"/>
                <w:color w:val="auto"/>
              </w:rPr>
            </w:pPr>
          </w:p>
        </w:tc>
        <w:tc>
          <w:tcPr>
            <w:tcW w:w="7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(US$ in</w:t>
            </w:r>
          </w:p>
        </w:tc>
        <w:tc>
          <w:tcPr>
            <w:tcW w:w="4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74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thousands)</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revenues)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thousands)</w:t>
            </w:r>
          </w:p>
        </w:tc>
        <w:tc>
          <w:tcPr>
            <w:tcW w:w="4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Hong Kong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34,442</w:t>
            </w:r>
          </w:p>
        </w:tc>
        <w:tc>
          <w:tcPr>
            <w:tcW w:w="4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52.8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22,766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23.9</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Total 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Margin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revenues primarily consists of:</w:t>
      </w:r>
    </w:p>
    <w:p>
      <w:pPr>
        <w:spacing w:after="0" w:line="131" w:lineRule="exact"/>
        <w:rPr>
          <w:sz w:val="20"/>
          <w:szCs w:val="20"/>
          <w:color w:val="auto"/>
        </w:rPr>
      </w:pPr>
    </w:p>
    <w:p>
      <w:pPr>
        <w:ind w:left="900" w:right="6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Media cost in connection with our gross model</w:t>
      </w:r>
      <w:r>
        <w:rPr>
          <w:rFonts w:ascii="Arial" w:cs="Arial" w:eastAsia="Arial" w:hAnsi="Arial"/>
          <w:sz w:val="18"/>
          <w:szCs w:val="18"/>
          <w:color w:val="auto"/>
        </w:rPr>
        <w:t>. Media cost refers to cost we pay to publishers for acquisition of content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which is partially offset by rebates we receive from publishers under our gross model. Media cost represented 81.3% and 88.2% of our cost of revenues in 2015 and 2016, respectively.</w:t>
      </w:r>
    </w:p>
    <w:p>
      <w:pPr>
        <w:spacing w:after="0" w:line="86"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Rebates to customers in connection with our net model</w:t>
      </w:r>
      <w:r>
        <w:rPr>
          <w:rFonts w:ascii="Arial" w:cs="Arial" w:eastAsia="Arial" w:hAnsi="Arial"/>
          <w:sz w:val="18"/>
          <w:szCs w:val="18"/>
          <w:color w:val="auto"/>
        </w:rPr>
        <w:t>. We pay rebates to our customers in connection with our distribution of advertisements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certain publishers. Rebates to customers represented 10.2% and 4.2% of our cost of revenues in 2015 and 2016, respectively. The significant decrease was mainly due to our increased bargaining power as we solidified our market position as the leading independent online marketing technology platform in China.</w:t>
      </w:r>
    </w:p>
    <w:p>
      <w:pPr>
        <w:spacing w:after="0" w:line="92"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Amortization of expenses</w:t>
      </w:r>
      <w:r>
        <w:rPr>
          <w:rFonts w:ascii="Arial" w:cs="Arial" w:eastAsia="Arial" w:hAnsi="Arial"/>
          <w:sz w:val="18"/>
          <w:szCs w:val="18"/>
          <w:color w:val="auto"/>
        </w:rPr>
        <w:t>. This relates to amortization of computer software acquired in the acquisitions of Buzzinate and OptAim,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5.4% and 6.8% of our cost of revenues in 2015 and 2016, respectively.</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gross profit margins for our mobile audience solutions in 2015 and 2016 were significantly lower than those for our non-mobile business for the same periods. We expect that our gross profit margin for mobile audience solutions will continue to be lower than that for our other solutions in near future in light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competitive landscape and pricing pressure as mobile apps publishers tend to have stronger bargaining power compared to other online publishers.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200" w:lineRule="exact"/>
        <w:rPr>
          <w:sz w:val="20"/>
          <w:szCs w:val="20"/>
          <w:color w:val="auto"/>
        </w:rPr>
      </w:pPr>
    </w:p>
    <w:tbl>
      <w:tblPr>
        <w:tblLayout w:type="fixed"/>
        <w:tblInd w:w="7480" w:type="dxa"/>
        <w:tblCellMar>
          <w:top w:w="0" w:type="dxa"/>
          <w:left w:w="0" w:type="dxa"/>
          <w:bottom w:w="0" w:type="dxa"/>
          <w:right w:w="0" w:type="dxa"/>
        </w:tblCellMar>
      </w:tblPr>
      <w:tr>
        <w:trPr>
          <w:trHeight w:val="171"/>
        </w:trPr>
        <w:tc>
          <w:tcPr>
            <w:tcW w:w="10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1020" w:type="dxa"/>
            <w:vAlign w:val="bottom"/>
            <w:tcBorders>
              <w:bottom w:val="single" w:sz="8" w:color="auto"/>
            </w:tcBorders>
          </w:tcPr>
          <w:p>
            <w:pPr>
              <w:spacing w:after="0"/>
              <w:rPr>
                <w:sz w:val="14"/>
                <w:szCs w:val="14"/>
                <w:color w:val="auto"/>
              </w:rPr>
            </w:pPr>
          </w:p>
        </w:tc>
      </w:tr>
      <w:tr>
        <w:trPr>
          <w:trHeight w:val="142"/>
        </w:trPr>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50"/>
              <w:spacing w:after="0" w:line="142" w:lineRule="exact"/>
              <w:rPr>
                <w:sz w:val="20"/>
                <w:szCs w:val="20"/>
                <w:color w:val="auto"/>
              </w:rPr>
            </w:pPr>
            <w:r>
              <w:rPr>
                <w:rFonts w:ascii="Arial" w:cs="Arial" w:eastAsia="Arial" w:hAnsi="Arial"/>
                <w:sz w:val="14"/>
                <w:szCs w:val="14"/>
                <w:b w:val="1"/>
                <w:bCs w:val="1"/>
                <w:color w:val="auto"/>
                <w:w w:val="89"/>
              </w:rPr>
              <w:t>2016</w:t>
            </w:r>
          </w:p>
        </w:tc>
      </w:tr>
      <w:tr>
        <w:trPr>
          <w:trHeight w:val="119"/>
        </w:trPr>
        <w:tc>
          <w:tcPr>
            <w:tcW w:w="1040" w:type="dxa"/>
            <w:vAlign w:val="bottom"/>
          </w:tcPr>
          <w:p>
            <w:pPr>
              <w:jc w:val="center"/>
              <w:ind w:right="310"/>
              <w:spacing w:after="0" w:line="119" w:lineRule="exact"/>
              <w:rPr>
                <w:sz w:val="20"/>
                <w:szCs w:val="20"/>
                <w:color w:val="auto"/>
              </w:rPr>
            </w:pPr>
            <w:r>
              <w:rPr>
                <w:rFonts w:ascii="Arial" w:cs="Arial" w:eastAsia="Arial" w:hAnsi="Arial"/>
                <w:sz w:val="13"/>
                <w:szCs w:val="13"/>
                <w:b w:val="1"/>
                <w:bCs w:val="1"/>
                <w:color w:val="auto"/>
              </w:rPr>
              <w:t>(US$ in</w:t>
            </w:r>
          </w:p>
        </w:tc>
        <w:tc>
          <w:tcPr>
            <w:tcW w:w="66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 net</w:t>
            </w:r>
          </w:p>
        </w:tc>
        <w:tc>
          <w:tcPr>
            <w:tcW w:w="4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 in</w:t>
            </w:r>
          </w:p>
        </w:tc>
        <w:tc>
          <w:tcPr>
            <w:tcW w:w="102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 of net</w:t>
            </w:r>
          </w:p>
        </w:tc>
      </w:tr>
      <w:tr>
        <w:trPr>
          <w:trHeight w:val="171"/>
        </w:trPr>
        <w:tc>
          <w:tcPr>
            <w:tcW w:w="1040" w:type="dxa"/>
            <w:vAlign w:val="bottom"/>
          </w:tcPr>
          <w:p>
            <w:pPr>
              <w:jc w:val="center"/>
              <w:ind w:right="290"/>
              <w:spacing w:after="0"/>
              <w:rPr>
                <w:sz w:val="20"/>
                <w:szCs w:val="20"/>
                <w:color w:val="auto"/>
              </w:rPr>
            </w:pPr>
            <w:r>
              <w:rPr>
                <w:rFonts w:ascii="Arial" w:cs="Arial" w:eastAsia="Arial" w:hAnsi="Arial"/>
                <w:sz w:val="14"/>
                <w:szCs w:val="14"/>
                <w:b w:val="1"/>
                <w:bCs w:val="1"/>
                <w:color w:val="auto"/>
                <w:w w:val="90"/>
              </w:rPr>
              <w:t>thousands)</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1020" w:type="dxa"/>
            <w:vAlign w:val="bottom"/>
          </w:tcPr>
          <w:p>
            <w:pPr>
              <w:ind w:left="420"/>
              <w:spacing w:after="0"/>
              <w:rPr>
                <w:sz w:val="20"/>
                <w:szCs w:val="20"/>
                <w:color w:val="auto"/>
              </w:rPr>
            </w:pPr>
            <w:r>
              <w:rPr>
                <w:rFonts w:ascii="Arial" w:cs="Arial" w:eastAsia="Arial" w:hAnsi="Arial"/>
                <w:sz w:val="14"/>
                <w:szCs w:val="14"/>
                <w:b w:val="1"/>
                <w:bCs w:val="1"/>
                <w:color w:val="auto"/>
                <w:w w:val="87"/>
              </w:rPr>
              <w:t>revenues)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(8,106)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(12.4)</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(8,584)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(31,385)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(28,266)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(12,745)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(19.5)</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(26,767)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(52,236)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(80.1)</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(63,617)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1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(i) advertising and market promotion expenses, and (ii)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for sales and marketing personnel.</w:t>
      </w:r>
    </w:p>
    <w:p>
      <w:pPr>
        <w:spacing w:after="0" w:line="75" w:lineRule="exact"/>
        <w:rPr>
          <w:rFonts w:ascii="Arial" w:cs="Arial" w:eastAsia="Arial" w:hAnsi="Arial"/>
          <w:sz w:val="18"/>
          <w:szCs w:val="18"/>
          <w:color w:val="auto"/>
        </w:rPr>
      </w:pPr>
    </w:p>
    <w:p>
      <w:pPr>
        <w:ind w:left="900" w:hanging="325"/>
        <w:spacing w:after="0" w:line="25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(i) salary and welfare for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personnel, (ii) allowance for doubtful receivables, (iii) professional service fees, and (iv) compensation to certain senior management of OptAim in 2015 in connection with our acquisition. Allowance for doubtful receivables, which related to account receivable from certain agency customers was US$1.7 million and US$0.1 million in 2015 and 2016, respectively. Professional service fees primarily related to legal and audit service in connection with our private placements and OptAim acquisition and preparation for this offering. We expect to continue to invest in our corporate infrastructure and incur expenses related to being a public company, including increased accounting and legal fees, investor relations costs and compliance costs. As a result, we anticipate that general and administrative expenses will continue to increase in future periods.</w:t>
      </w:r>
    </w:p>
    <w:p>
      <w:pPr>
        <w:spacing w:after="0" w:line="97" w:lineRule="exact"/>
        <w:rPr>
          <w:rFonts w:ascii="Arial" w:cs="Arial" w:eastAsia="Arial" w:hAnsi="Arial"/>
          <w:sz w:val="18"/>
          <w:szCs w:val="18"/>
          <w:color w:val="auto"/>
        </w:rPr>
      </w:pPr>
    </w:p>
    <w:p>
      <w:pPr>
        <w:ind w:left="900" w:right="66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(i) salary and welfare for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(ii) rental expenses and (iii) depreciation of office premise and (iv) servers utilized by research and development personnel.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British Virgin Islands</w:t>
      </w:r>
    </w:p>
    <w:p>
      <w:pPr>
        <w:spacing w:after="0" w:line="117"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4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 — Risks Related to Doing Business in China — If we are classified as a PRC resident enterprise for PRC income tax purposes, such classification could result in unfavorable tax consequences to us and our non-PRC shareholders or ADS holders.”</w:t>
      </w:r>
    </w:p>
    <w:p>
      <w:pPr>
        <w:spacing w:after="0" w:line="291" w:lineRule="exact"/>
        <w:rPr>
          <w:sz w:val="20"/>
          <w:szCs w:val="20"/>
          <w:color w:val="auto"/>
        </w:rPr>
      </w:pPr>
    </w:p>
    <w:p>
      <w:pPr>
        <w:ind w:right="5480"/>
        <w:spacing w:after="0" w:line="378" w:lineRule="auto"/>
        <w:rPr>
          <w:sz w:val="20"/>
          <w:szCs w:val="20"/>
          <w:color w:val="auto"/>
        </w:rPr>
      </w:pPr>
      <w:r>
        <w:rPr>
          <w:rFonts w:ascii="Arial" w:cs="Arial" w:eastAsia="Arial" w:hAnsi="Arial"/>
          <w:sz w:val="18"/>
          <w:szCs w:val="18"/>
          <w:b w:val="1"/>
          <w:bCs w:val="1"/>
          <w:color w:val="auto"/>
        </w:rPr>
        <w:t xml:space="preserve">Year Ended December 31, 2016 Compared to Year Ended December 31, 2015 </w:t>
      </w:r>
      <w:r>
        <w:rPr>
          <w:rFonts w:ascii="Arial" w:cs="Arial" w:eastAsia="Arial" w:hAnsi="Arial"/>
          <w:sz w:val="18"/>
          <w:szCs w:val="18"/>
          <w:b w:val="1"/>
          <w:bCs w:val="1"/>
          <w:i w:val="1"/>
          <w:iCs w:val="1"/>
          <w:color w:val="auto"/>
        </w:rPr>
        <w:t>Net Revenues</w:t>
      </w:r>
    </w:p>
    <w:p>
      <w:pPr>
        <w:ind w:right="40" w:firstLine="456"/>
        <w:spacing w:after="0" w:line="293" w:lineRule="auto"/>
        <w:rPr>
          <w:sz w:val="20"/>
          <w:szCs w:val="20"/>
          <w:color w:val="auto"/>
        </w:rPr>
      </w:pPr>
      <w:r>
        <w:rPr>
          <w:rFonts w:ascii="Arial" w:cs="Arial" w:eastAsia="Arial" w:hAnsi="Arial"/>
          <w:sz w:val="16"/>
          <w:szCs w:val="16"/>
          <w:color w:val="auto"/>
        </w:rPr>
        <w:t>Our net revenues increased by US$30.1 million, or 46.2%, from US$65.2 million in 2015 to US$95.4 million in 2016, primarily as a result of an increase in our net revenues from our mobile audience solutions and partially offset by a decrease in our net revenues from our other solutions. Net revenues from our mobile audience solutions increased by US$45.9 million, or 385.1% from US$11.9 million in 2015 to US$57.8 million in 2016 as we prioritized the execution of our mobile strategy to capture a larger share of online marketing spend on mobile apps. Net revenues from our other solutions decreased by US$15.7 million or 29.5% from US$53.3 million in 2015 to US$37.6 million in 2016 primarily as a result of a larger percentage of our net revenues from other solutions being recognized on a net basis in 2016 compared to 2015 and a decrease in gross billing from other solutions.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6350</wp:posOffset>
            </wp:positionV>
            <wp:extent cx="14579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40"/>
        <w:spacing w:after="0"/>
        <w:tabs>
          <w:tab w:leader="none" w:pos="106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-3175</wp:posOffset>
            </wp:positionV>
            <wp:extent cx="14579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60"/>
        <w:spacing w:after="0" w:line="233" w:lineRule="auto"/>
        <w:rPr>
          <w:sz w:val="20"/>
          <w:szCs w:val="20"/>
          <w:color w:val="auto"/>
        </w:rPr>
      </w:pPr>
      <w:r>
        <w:rPr>
          <w:rFonts w:ascii="Arial" w:cs="Arial" w:eastAsia="Arial" w:hAnsi="Arial"/>
          <w:sz w:val="14"/>
          <w:szCs w:val="14"/>
          <w:b w:val="1"/>
          <w:bCs w:val="1"/>
          <w:color w:val="auto"/>
        </w:rPr>
        <w:t>(US$ in thousands, except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(34,531)</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(61,048)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Gross profit</w:t>
            </w:r>
          </w:p>
        </w:tc>
        <w:tc>
          <w:tcPr>
            <w:tcW w:w="4980" w:type="dxa"/>
            <w:vAlign w:val="bottom"/>
          </w:tcPr>
          <w:p>
            <w:pPr>
              <w:jc w:val="right"/>
              <w:ind w:right="490"/>
              <w:spacing w:after="0"/>
              <w:rPr>
                <w:sz w:val="20"/>
                <w:szCs w:val="20"/>
                <w:color w:val="auto"/>
              </w:rPr>
            </w:pPr>
            <w:r>
              <w:rPr>
                <w:rFonts w:ascii="Arial" w:cs="Arial" w:eastAsia="Arial" w:hAnsi="Arial"/>
                <w:sz w:val="18"/>
                <w:szCs w:val="18"/>
                <w:color w:val="auto"/>
              </w:rPr>
              <w:t>30,711</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34,309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bl>
    <w:p>
      <w:pPr>
        <w:spacing w:after="0" w:line="202"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Our cost of revenues increased by US$26.5 million, or 76.8%, from US$34.5 million in 2015 to US$61.0 million in 2016, primarily as a result of an increase in cost of revenues from our mobile business in line with the growth of our mobile audience solutions, and partially offset by a decrease in cost of revenues from our other solutions, as we prioritized the growth of our mobile audience solutions over our other solutions.</w:t>
      </w:r>
    </w:p>
    <w:p>
      <w:pPr>
        <w:spacing w:after="0" w:line="16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As a result of the above, our gross profit increased from US$30.7 million in 2015 to US$34.3 million in 2016. Our gross profit margin decreased from 47.1% in 2015 to 36.0% in 2016 primarily due to the expansion in our mobile audience solutions. Due to competitive landscape and pricing pressure as mobile apps publishers tend to have stronger bargaining power compared to other online publishers, mobile audience solutions tend to command a lower gross profit margin compared to non-mobile marketing solutions. Gross profit margins for our mobile audience solutions in 2015 and 2016 were significantly lower than those for our other solutions for the same periods. In addition, a larger percentage of our net revenues in 2016 were recognized on a gross basis compared to 2015, which also contributed to an overall lower gross profit margin in 2016 compared to 2015. 59.8% of our net revenues were recognized on a gross basis in 2015 while 76.5% of our net revenues were recognized on a gross basis in 2016.</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operating expenses increased by US$11.4 million, or 21.8%, during 2016 compared to 2015, primarily due to increases in general and administrative expenses and research and development expenses, partially offset by a decrease in sales and marketing expenses. Our operating expenses as a percentage of net revenue decreased from 80.1% in 2015 to 66.7% in 2016.</w:t>
      </w:r>
    </w:p>
    <w:p>
      <w:pPr>
        <w:spacing w:after="0" w:line="87" w:lineRule="exact"/>
        <w:rPr>
          <w:sz w:val="20"/>
          <w:szCs w:val="20"/>
          <w:color w:val="auto"/>
        </w:rPr>
      </w:pPr>
    </w:p>
    <w:p>
      <w:pPr>
        <w:ind w:left="900" w:right="480" w:hanging="325"/>
        <w:spacing w:after="0" w:line="291"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Our sales and marketing expenses decreased by US$3.1 million, or 9.9%, from US$31.4 million in 2015 to</w:t>
      </w:r>
      <w:r>
        <w:rPr>
          <w:rFonts w:ascii="Arial" w:cs="Arial" w:eastAsia="Arial" w:hAnsi="Arial"/>
          <w:sz w:val="16"/>
          <w:szCs w:val="16"/>
          <w:i w:val="1"/>
          <w:iCs w:val="1"/>
          <w:color w:val="auto"/>
        </w:rPr>
        <w:t xml:space="preserve"> </w:t>
      </w:r>
      <w:r>
        <w:rPr>
          <w:rFonts w:ascii="Arial" w:cs="Arial" w:eastAsia="Arial" w:hAnsi="Arial"/>
          <w:sz w:val="16"/>
          <w:szCs w:val="16"/>
          <w:color w:val="auto"/>
        </w:rPr>
        <w:t>US$28.3 million in 2016. Sales and marketing expenses as a percentage of net revenues also decreased significantly from 48.1% in 2015 to</w:t>
      </w: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29.6% in 2016, as a result of synergies from the integration of complementary sales and marketing capabilities of OptAim and economies of scale, and as we optimized our sales and marketing efforts to focus on sales to customers who have larger marketing budgets and better credit and liquidity profiles.</w:t>
      </w:r>
    </w:p>
    <w:p>
      <w:pPr>
        <w:spacing w:after="0" w:line="95" w:lineRule="exact"/>
        <w:rPr>
          <w:rFonts w:ascii="Arial" w:cs="Arial" w:eastAsia="Arial" w:hAnsi="Arial"/>
          <w:sz w:val="16"/>
          <w:szCs w:val="16"/>
          <w:color w:val="auto"/>
        </w:rPr>
      </w:pPr>
    </w:p>
    <w:p>
      <w:pPr>
        <w:ind w:left="900" w:right="120" w:hanging="325"/>
        <w:spacing w:after="0" w:line="273"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increased by US$14.0 million, or 110.0%, from US$12.7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2015 to US$26.8 million in 2016, primarily due to an increase in personnel costs related to share base compensation to one of our founders in 2016, and an increase in headcount for our general and administrative personnel as a result of OptAim acquisition, partially offset by a decrease in legal and professional fees, which primarily related to our acquisition of OptAim in 2015, and the absence of a compensation payment to certain existing shareholders of OptAim in connection with our acquisition of OptAim in 2015. As a result, general and administrative expenses as a percentage of net revenues increased from 19.5% in 2015 to 28.1% in 2016.</w:t>
      </w:r>
    </w:p>
    <w:p>
      <w:pPr>
        <w:spacing w:after="0" w:line="83" w:lineRule="exact"/>
        <w:rPr>
          <w:rFonts w:ascii="Arial" w:cs="Arial" w:eastAsia="Arial" w:hAnsi="Arial"/>
          <w:sz w:val="17"/>
          <w:szCs w:val="17"/>
          <w:color w:val="auto"/>
        </w:rPr>
      </w:pPr>
    </w:p>
    <w:p>
      <w:pPr>
        <w:ind w:left="900" w:right="8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Our research and development expenses increased by US$0.5 million, or 5.9%, from US$8.1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to US$8.6 million in 2016. Research and development expenses as a percentage of our net revenues decreased from 12.4% in 2015 to 9.0% in 2016, primarily as a result of synergies from the integration of the complementary technologies and technology infrastructure of OptAim and economy of scale.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interest expense increased by 566.4%, or US$0.6 million, from US$0.1 million in 2015 to US$0.7 million in 2016. This increase was primarily due to an increase in the average balance of our outstanding bank borrowings in 2016 compared to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other gains, net was US$0.8 million in 2015, compared to an other losses, net of US$1.1 million in 2016. The change was primarily due to an increase by 24.3%, or US$0.2 million, from US$0.9 million in 2015 to US$1.1 million in 2016 in net exchange loss due to the depreciation of Renminbi against the US dollars. In addition, we recorded 1) fair value gain on re-measurement of previously held equity interest in associate of US$1.2 million and 2) management fee income of US$0.4 million in 2015 in relation to our provision of office and human resource service to a third-party to help its expansion in China. We did not incur similar fair value gain and management fee in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fair value loss on derivative liabilities was US$19.4 million in 2015, compared to a fair value gain on derivative liabilities of US$4.0 million in 2016. The fair value loss or gain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D and E preferred shares. The fair value loss on derivative liabilities of US$19.4 million in 2015 was primarily related to our series A, B and D preferred shares, subsequent to which we grew our business substantially as we acquired OptAim.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Losses from an Equity Investee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incurred US$38 thousand share of losses from an equity investee, Buzzinate, in 2015. We acquired the remaining equity interest in Buzzinate in February 2015 and as a result Buzzinate has become our wholly owned subsidiary and been consolidated in our financial statements since February 2015. We did not have share of losses from an equity investee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recorded an income tax benefit of US$0.6 million in 2015 and an income tax expense of US$0.2 million in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foregoing, our net loss decreased by 31.2% from US$39.7 million in 2015 to US$27.3 million in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To date, we have financed our operations primarily through the issuance of shares in private placements and bank financing. As of December 31, 2016, we had US$27.3 million in cash and cash equivalents, and borrowing capacity of US$4.4 million under our revolving credit facilities and term loan facilities of a total principal amount of US$17.3 million. As of December 31, 2016, our cash and cash equivalents primarily consisted of cash</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hand, cash held at bank, and time deposits placed with banks or other financial institutions, which have original maturities of three months or less. As of December 31, 2016, we had violated certain financial covenants with respect to our bank borrowings extended by a bank, however, we had obtained the necessary waiver letters such that the bank would not demand immediate repayment. We believe that our current cash and cash equivalents, together with the borrowing capacity under our revolving credit facilities and the term loan facility and anticipated proceeds from this offering will be sufficient to meet our anticipated working capital requirements and capital expenditures for the 12 months following this offering.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“Corporate History and Structure.” For restrictions and limitations on liquidity and capital resources as a result of our corporate structure, see “—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“Risk Factors — Risks Relating to Doing Business in China — Governmental control of currency conversion may limit our ability to utilize our revenues effectively and affect the value of your investment.”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140" w:type="dxa"/>
            <w:vAlign w:val="bottom"/>
            <w:gridSpan w:val="3"/>
          </w:tcPr>
          <w:p>
            <w:pPr>
              <w:ind w:left="2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8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40" w:type="dxa"/>
            <w:vAlign w:val="bottom"/>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rPr>
              <w:t>(US$ in thousands)</w:t>
            </w:r>
          </w:p>
        </w:tc>
        <w:tc>
          <w:tcPr>
            <w:tcW w:w="10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3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4700" w:type="dxa"/>
            <w:vAlign w:val="bottom"/>
            <w:gridSpan w:val="2"/>
          </w:tcPr>
          <w:p>
            <w:pPr>
              <w:jc w:val="right"/>
              <w:ind w:right="308"/>
              <w:spacing w:after="0"/>
              <w:rPr>
                <w:sz w:val="20"/>
                <w:szCs w:val="20"/>
                <w:color w:val="auto"/>
              </w:rPr>
            </w:pPr>
            <w:r>
              <w:rPr>
                <w:rFonts w:ascii="Arial" w:cs="Arial" w:eastAsia="Arial" w:hAnsi="Arial"/>
                <w:sz w:val="18"/>
                <w:szCs w:val="18"/>
                <w:color w:val="auto"/>
              </w:rPr>
              <w:t>(9,797)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(3,907)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7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(18,095)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4700" w:type="dxa"/>
            <w:vAlign w:val="bottom"/>
            <w:gridSpan w:val="2"/>
          </w:tcPr>
          <w:p>
            <w:pPr>
              <w:jc w:val="right"/>
              <w:ind w:right="308"/>
              <w:spacing w:after="0"/>
              <w:rPr>
                <w:sz w:val="20"/>
                <w:szCs w:val="20"/>
                <w:color w:val="auto"/>
              </w:rPr>
            </w:pPr>
            <w:r>
              <w:rPr>
                <w:rFonts w:ascii="Arial" w:cs="Arial" w:eastAsia="Arial" w:hAnsi="Arial"/>
                <w:sz w:val="18"/>
                <w:szCs w:val="18"/>
                <w:color w:val="auto"/>
              </w:rPr>
              <w:t>(2,612)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24,564</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4"/>
              </w:rPr>
              <w:t>Effect on exchange rate changes on cash and cash equivalents</w:t>
            </w:r>
          </w:p>
        </w:tc>
        <w:tc>
          <w:tcPr>
            <w:tcW w:w="47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(232)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4700" w:type="dxa"/>
            <w:vAlign w:val="bottom"/>
            <w:gridSpan w:val="2"/>
          </w:tcPr>
          <w:p>
            <w:pPr>
              <w:jc w:val="right"/>
              <w:ind w:right="308"/>
              <w:spacing w:after="0"/>
              <w:rPr>
                <w:sz w:val="20"/>
                <w:szCs w:val="20"/>
                <w:color w:val="auto"/>
              </w:rPr>
            </w:pPr>
            <w:r>
              <w:rPr>
                <w:rFonts w:ascii="Arial" w:cs="Arial" w:eastAsia="Arial" w:hAnsi="Arial"/>
                <w:sz w:val="18"/>
                <w:szCs w:val="18"/>
                <w:color w:val="auto"/>
              </w:rPr>
              <w:t>(30,504)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16,947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year</w:t>
            </w:r>
          </w:p>
        </w:tc>
        <w:tc>
          <w:tcPr>
            <w:tcW w:w="47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41,131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10,395</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Cash and cash equivalents at the end of year</w:t>
            </w:r>
          </w:p>
        </w:tc>
        <w:tc>
          <w:tcPr>
            <w:tcW w:w="4700" w:type="dxa"/>
            <w:vAlign w:val="bottom"/>
            <w:gridSpan w:val="2"/>
          </w:tcPr>
          <w:p>
            <w:pPr>
              <w:jc w:val="right"/>
              <w:ind w:right="368"/>
              <w:spacing w:after="0"/>
              <w:rPr>
                <w:sz w:val="20"/>
                <w:szCs w:val="20"/>
                <w:color w:val="auto"/>
              </w:rPr>
            </w:pPr>
            <w:r>
              <w:rPr>
                <w:rFonts w:ascii="Arial" w:cs="Arial" w:eastAsia="Arial" w:hAnsi="Arial"/>
                <w:sz w:val="18"/>
                <w:szCs w:val="18"/>
                <w:color w:val="auto"/>
              </w:rPr>
              <w:t>10,395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27,280</w:t>
            </w:r>
          </w:p>
        </w:tc>
      </w:tr>
      <w:tr>
        <w:trPr>
          <w:trHeight w:val="350"/>
        </w:trPr>
        <w:tc>
          <w:tcPr>
            <w:tcW w:w="4820" w:type="dxa"/>
            <w:vAlign w:val="bottom"/>
          </w:tcPr>
          <w:p>
            <w:pPr>
              <w:spacing w:after="0"/>
              <w:rPr>
                <w:sz w:val="24"/>
                <w:szCs w:val="24"/>
                <w:color w:val="auto"/>
              </w:rPr>
            </w:pPr>
          </w:p>
        </w:tc>
        <w:tc>
          <w:tcPr>
            <w:tcW w:w="3540" w:type="dxa"/>
            <w:vAlign w:val="bottom"/>
          </w:tcPr>
          <w:p>
            <w:pPr>
              <w:jc w:val="right"/>
              <w:ind w:right="2930"/>
              <w:spacing w:after="0"/>
              <w:rPr>
                <w:sz w:val="20"/>
                <w:szCs w:val="20"/>
                <w:color w:val="auto"/>
              </w:rPr>
            </w:pPr>
            <w:r>
              <w:rPr>
                <w:rFonts w:ascii="Arial" w:cs="Arial" w:eastAsia="Arial" w:hAnsi="Arial"/>
                <w:sz w:val="18"/>
                <w:szCs w:val="18"/>
                <w:color w:val="auto"/>
              </w:rPr>
              <w:t>93</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Net cash used in operating activities amounted to US$3.9 million in 2016, which was mainly attributable to a net loss of $27.3 million, partially offset by a net increase in working capital of US$1.3 million and non-cash items of US$22.2 million. The net increase in working capital of US$1.3 million was primarily attributable to a increase in deferred revenue of US$10.8 million, and increase in income tax payable of US$1.9 million and a decrease in rebates receivables of US$1.4 million, partially offset by an increase in prepaid media cost of US$9.6 million and an increase in accounts receivable of</w:t>
      </w:r>
    </w:p>
    <w:p>
      <w:pPr>
        <w:spacing w:after="0" w:line="2"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US$2.3 million. The increase in deferred revenue of US$10.8 million was primarily driven by an increase in receipt in advance from customers. The increase in prepaid media cost of US$9.6 million was primarily driven by an increase in prepayment to certain publishers to secure rebates.</w:t>
      </w:r>
    </w:p>
    <w:p>
      <w:pPr>
        <w:spacing w:after="0" w:line="16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non-cash items of US$22.2 million were primarily attributable to share-based compensation of US$21.2 million in relation to our share based payment to one of our founders and certain members of OptAim management team of US$17.6 million and employees of US$3.6 million in 2016, and amortization of intangible assets of US$4.3 million relating to intangible assets, partially offset by fair value gain on derivative financial instruments of US$4.0 million.</w:t>
      </w:r>
    </w:p>
    <w:p>
      <w:pPr>
        <w:spacing w:after="0" w:line="18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Net cash used in operating activities was US$9.8 million in 2015, which was mainly attributable to a net loss of $39.7 million, partially offset by a net increase in working capital of US$1.6 million and non-cash items of US$28.4 million. The net increase in working capital of US$1.6 million was primarily attributable to an increase in accrued liabilities and other current liabilities of US$9.3 million and a decrease in prepaid media costs of US$8.1 million, partially offset primarily by an increase in accounts receivable of US$13.7 million. The increase in accrued liabilities and other current liabilities of US$9.3 million was primarily driven by an increase in rebate provision to customers and accrued expenses.</w:t>
      </w:r>
    </w:p>
    <w:p>
      <w:pPr>
        <w:spacing w:after="0" w:line="173" w:lineRule="exact"/>
        <w:rPr>
          <w:sz w:val="20"/>
          <w:szCs w:val="20"/>
          <w:color w:val="auto"/>
        </w:rPr>
      </w:pPr>
    </w:p>
    <w:p>
      <w:pPr>
        <w:ind w:right="1000" w:firstLine="456"/>
        <w:spacing w:after="0" w:line="264" w:lineRule="auto"/>
        <w:rPr>
          <w:sz w:val="20"/>
          <w:szCs w:val="20"/>
          <w:color w:val="auto"/>
        </w:rPr>
      </w:pPr>
      <w:r>
        <w:rPr>
          <w:rFonts w:ascii="Arial" w:cs="Arial" w:eastAsia="Arial" w:hAnsi="Arial"/>
          <w:sz w:val="18"/>
          <w:szCs w:val="18"/>
          <w:color w:val="auto"/>
        </w:rPr>
        <w:t>The increase in accounts receivable of US$13.7 million was commensurate with the growth of our gross billing. The non-cash items of US$28.4 million were mainly attributable to fair value loss on derivative financial instruments of US$19.4 million, share-based compensation of US$6.5 million and amortization of intangible assets of US$2.0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Net cash used in investing activities in 2016 was US$3.7 million, due to an increase in restricted cash of US$4.2 million as we incurred more bank borrowings in 2016, and purchase of property and equipment of US$1.0 million, partially offset by a decrease in short-term investments of US$1.6 million.</w:t>
      </w:r>
    </w:p>
    <w:p>
      <w:pPr>
        <w:spacing w:after="0" w:line="124"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Net cash used in investing activities in 2015 was US$18.1 million. This primarily consisted of US$14.5 million acquisition cost of subsidiaries, net of cash received related to the payment of cash consideration for our acquisition of OptAim and purchase of property and equipment of US$2.6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cash provided by financing activities in 2016 was US$24.6 million, which was primarily attributable to US$20.0 million of proceeds from issuance of Series E convertible redeemable preferred shares and US$8.2 million of proceeds from bank borrowings, partially offset by repayment of bank borrowings of US$3.8 million and decrease in amounts due to related parties in an amount of US$0.05 million relating to the repayment of a loan provided by our director during the year ended December 31, 2016.</w:t>
      </w:r>
    </w:p>
    <w:p>
      <w:pPr>
        <w:spacing w:after="0" w:line="187"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Net cash used in financing activities in 2015 was US$2.6 million. This was primarily attributable to US$15.0 million of remaining proceeds from issuance of Series D convertible redeemable preferred shares, US$7.6 million of proceeds from bank borrowings and US$0.3 million of proceeds from exercise of share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options. These were partially offset by the repurchase of ordinary shares in an amount of US$11.6 million, the repurchase of Series B convertible redeemable preferred shares in an amount of US$11.6 million, repayment of bank borrowings in an amount of US$1.6 million and repayment of a loan provided by our director in an amount of US$0.6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made capital expenditures of US$2.7 million and US$0.9 million in 2015 and 2016, respectively. In these periods, our capital expenditures were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mainly used for the purchase of property and equipment and purchase of software. Our capital expenditures for 2017 are expected to be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US$3.0 million, consisting primarily of expenditures related to the purchase of property and equipment and purchase of software. We will continue to make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to meet the expected growth of our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and commercial commitments as of December 31, 2015 and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6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11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Less than 1 year</w:t>
            </w:r>
          </w:p>
        </w:tc>
        <w:tc>
          <w:tcPr>
            <w:tcW w:w="4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1-3 years</w:t>
            </w: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3-5 years</w:t>
            </w:r>
          </w:p>
        </w:tc>
        <w:tc>
          <w:tcPr>
            <w:tcW w:w="6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3,500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2,065</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1,435</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Debt obligation, including interest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13,555</w:t>
            </w:r>
          </w:p>
        </w:tc>
        <w:tc>
          <w:tcPr>
            <w:tcW w:w="6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13,471</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84</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17,055</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15,536</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1,519</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60" w:firstLine="456"/>
        <w:spacing w:after="0" w:line="342" w:lineRule="auto"/>
        <w:rPr>
          <w:sz w:val="20"/>
          <w:szCs w:val="20"/>
          <w:color w:val="auto"/>
        </w:rPr>
      </w:pPr>
      <w:r>
        <w:rPr>
          <w:rFonts w:ascii="Arial" w:cs="Arial" w:eastAsia="Arial" w:hAnsi="Arial"/>
          <w:sz w:val="16"/>
          <w:szCs w:val="16"/>
          <w:color w:val="auto"/>
        </w:rPr>
        <w:t>Our operating lease obligations relate to our leases of office premises. We lease our office premises under a non-cancelable operating lease arrangement. Rental expenses under operating leases for 2015 and 2016 were US$2.6 million and US$3.0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December 2015, we entered into a facility agreement for working capital loans with SPD Silicon Valley Bank, which was most recently amended in March 2017. Pursuant to the agreement as amended, we were granted a one-year revolving line of credit up to the lesser of (a) RMB50 million (US$7.2 million) and (b) a borrowing base equal to 70%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minimum quarterly EBITDA, minimum month-end unrestricted cash balance and new equity round. We provided corporate guarantee and a maximum amount of RMB60 million (US$8.6 million) account receivables as pledge to secure our obligation to SPD Silicon Valley Bank. The interest rate of this facility is the benchmark interest rate determined by the People’s Bank of China for loans over one year granted by financial institutions plus 1.65% per annum. We are required to make monthly interest payments through December 2018, when the loan matures and the principal is due and payable. We are allowed to voluntarily prepay the loan without prepayment charges. As of December 31, 2016, the total outstanding amount of the revolving loan was RMB30 million (US$4.3 million) and RMB20 million (US$2.9 million) was available to be drawn under this facility.</w:t>
      </w:r>
    </w:p>
    <w:p>
      <w:pPr>
        <w:spacing w:after="0" w:line="1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March 2017. Pursuant to the agreement as amended, we were provided with a US$2 million term loan and a revolving line of credit up to the lesser of</w:t>
      </w:r>
    </w:p>
    <w:p>
      <w:pPr>
        <w:ind w:left="5620" w:right="1800" w:hanging="5612"/>
        <w:spacing w:after="0" w:line="433" w:lineRule="auto"/>
        <w:tabs>
          <w:tab w:leader="none" w:pos="2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US$3 million and (b) a borrowing base equal to 80% of eligible accounts receivable (as defined in the agreement). The agreement 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amended provides for customary representations, warranties, affirmative and negative covenants and events of default. The agreement as amended also includes a financial covenant that requires that we meet certain minimum monthly adjusted quick ratio, minimum quarterly EBITDA and minimum month-end unrestricted cash balance. We provided corporate guarantee and debentures constituting a floating charge over all assets of certain of our subsidiaries to secure our obligation to SPD Silicon Valley Bank. The interest rate for the term loan facility is the benchmark interest rate determined by three-month LIBOR plus 7.00% per annum, and we are required to make equal monthly payments of principal plus accrued interest through January 2018. We will be charged a prepayment fee if we prepay the term loan before the maturity date. As of December 31, 2016, the total outstanding amount of the term loan was approximately US$1.1 million and no further amounts were available to be drawn under this facility. The interest rate of the revolving loan is the benchmark interest rate determined by three-month LIBOR plus 5.75% per annum, and we are required to make monthly interest payments through December 2017, when the loan matures and the principal is due and payable. We are allowed to voluntarily prepay the revolving loan without prepayment charges. As of December 31, 2016, the total outstanding amount under the revolving loan was US$2,950,000 and US$50,000 was available to be drawn under this facility. This loan also contains certain repayable on demand clause.</w:t>
      </w:r>
    </w:p>
    <w:p>
      <w:pPr>
        <w:spacing w:after="0" w:line="18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May 2016, we entered into a facility agreement for working capital loans with Bangkok Bank, which was most recently amended in October 2016. Pursuant to the agreement as amended, we were provided with a RMB20 million (US$2.9 million) revolving line of credit. The agreement as amended provides for customary representations, warranties, affirmative and negative covenants and events of default. The agreement as amended does not include a financial covenant. Our obligations to Bangkok Bank are secured by a pledged deposit in US dollar equals to 105% of our total outstanding amount under this facility. The interest rate of this facility was the benchmark interest rate determined by the People’s Bank of China for loans over six months granted by financial institutions plus 20.0% per annum. We are required to make monthly interest payments through May 2017, when the loan matures and the principal is due and payable. We will be charged a prepayment fee if we prepay the loan before the maturity date. As of December 31, 2016, the total outstanding amount of the revolving loan was RMB10 million (US$1.4 million) which was repaid in January 2017.</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July 2016, we entered into a facility agreement for working capital loans with SPD Silicon Valley Bank, which provides for a RMB12 million</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(US$1.6 million) one-year non-revolving loan. The agreement contains customary representations, warranties, affirmative and negative covenants and events of default. The agreement also includes a financial covenant that requires that we meet certain foreign debt quota coverage. Our obligations to Silicon Valley Bank are secured by a pledged deposit with an amount of US$2 million. The interest rate of this facility is the benchmark interest rate determined by the People’s Bank of China for loans over one year granted by financial institutions plus 0.435% per annum, and we are required to make monthly interest payments through July, 2017, when the loan matures and the principal is due and payable. We are allowed to voluntarily prepay the loan without prepayment charges. As of December 31, 2016, the total outstanding amount of the non-revolving loan was RMB12 million (US$1.7 million) and no further amounts were available to be drawn under that facility.</w:t>
      </w:r>
    </w:p>
    <w:p>
      <w:pPr>
        <w:spacing w:after="0" w:line="1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November 2016, we entered into a facility agreement for working capital loans with SPD Silicon Valley Bank, which provides for a RMB10 million (US$1.4 million) three-month non-revolving loan. The agreement includes a financial covenant that requires that we meet certain foreign debt quota coverage. Our obligations to Silicon Valley Bank are secured by a pledged deposit with an amount of US$1,666,000. The interest rate of this loan facility is the benchmark interest rate determined by the People’s Bank of China for loans over three months granted by financial institutions plus 0.435% per annum, and we are required to make monthly payment of accrued interest through February 2017, when the loan matures and principal is due and payable. We are allowed to voluntarily prepay the loan without prepayment charges. As of December 31, 2016, the total outstanding amount of the non-revolving loan was RMB10 million (US$1.4 million) and no further amounts were available to be drawn under that facility. The facility was fully repaid in February 2017.</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those shown above, we did not have any significant capital and other commitments, long-term obligations, or guarantees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and procedures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GAPP are not identified in a timely manner. Neither we nor our independent registered public accounting firm undertook a comprehensive assessment of our internal control under the Sarbanes-Oxley Act for purposes of identifying and reporting any weakness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remedy our identified material weaknesses, we have adopted a few measures to improve our internal control over financial reporting, including. In particular, we are in the process of hiring additional accounting staff with an appropriate understanding of U.S. GAAP and SEC reporting requirements. We also plan to establish a comprehensive accounting policies and procedures manual and provide internal training to accounting and operation staff in relation to these policies and procedures.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cannot assure you that we will remediate our material weaknesses in a timely manner. See “Risk Factors — Risks Related to Our Business — If we fail to implement and maintain an effective system of internal controls, we may be unable to accurately report our results of operations, meet our reporting obligations or prevent fraud.”</w:t>
      </w:r>
    </w:p>
    <w:p>
      <w:pPr>
        <w:spacing w:after="0" w:line="18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iClick Interactive Asia Group Limited is a Cayman Islands exempted limited liability company, used as a holding company with no material operations of its own. We conduct our operations primarily through our wholly 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wholly 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Since our inception, inflation in China has not materially affected our results of operations. According to the National Bureau of Statistics of China, the year-over-year percent increases in the consumer price index for December 2015 and 2016 were 1.6% and 1.9%, respectively. Although we have not been materially affected by inflation in the past, we may be affected if China experiences higher rates of inflation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We do not hedge against currency risk.</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 of December 31, 2016, we had Renminbi-denominated cash and cash equivalents, accounts receivable, prepaid cost and deferred revenue of RMB67.7 million, RMB159.0 million, RMB238.4 million and RMB167.9 million, respectively. We estimate that a 10% depreciation of Renminbi against the U.S. dollar based on the foreign exchange rate on December 31, 2016 would result in our holding U.S. dollar equivalents of US$(0.9) million, US$(2.1) million, US$(3.1) million and US$2.2 million for cash and cash equivalents, accounts receivable, prepaid cost and deferred revenue, respectively.</w:t>
      </w:r>
    </w:p>
    <w:p>
      <w:pPr>
        <w:spacing w:after="0" w:line="15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All of the aggregate principal outstanding amount of our bank borrowings as of December 31, 2016 was at floating rates.</w:t>
      </w:r>
    </w:p>
    <w:p>
      <w:pPr>
        <w:spacing w:after="0" w:line="166"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As of December 31, 2016, if interest rates increased/decreased by 1%, with all other variables having remained constant, and assuming the amount of bank borrowings outstanding at the end of the year was outstanding for the entire year, our net loss would have been US$129,818 higher/lower, respectively, mainly as a result of higher/lower interest expense for our bank borrowings at floating rates.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(“ASU 2014-09”). ASU 2014 -09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good or service to be provided to the customer by the other party (as an agent). The guidance is effective for interim and annual periods beginning after December 15, 2017.</w:t>
      </w:r>
    </w:p>
    <w:p>
      <w:pPr>
        <w:spacing w:after="0" w:line="170"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will apply the new revenue standard beginning January 1, 2018 and will not early adopt. We will set up an implementation team to analyze each revenue stream in accordance with the new revenue standard to determine the impact on our consolidated financial statements. We plan to continue the evaluation, analysis and documentation of its adoption of ASU 2014-9 (including those subsequently issued updates that clarify its provisions) throughout 2017 as we work towards the implementation and finalizes our determination of the impact that the adoption will have on our consolidated financial statements.</w:t>
      </w:r>
    </w:p>
    <w:p>
      <w:pPr>
        <w:spacing w:after="0" w:line="18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We are in the process of evaluating the impact of the standard on our consolidated financial statements.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We do not expect this standard to have a material impact on our consolidated financial statements.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U.S. GAAP, which did not require lease assets and lease liabilities to be recognized for most leases.</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public business entities, the amendments in this update are effective for fiscal years beginning after December 15, 2018, including interim periods within those fiscal years. We are in the process of evaluating the impact of the standard on our consolidated financial statements.</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We are currently evaluating the impact of this standard will have on our consolidated financial statements.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October 2016, the FASB issued ASU 2016-16, Income Taxes: Intra-Entity Transfers of Assets Other Than Inventory (Topic 740). This standard will require entities to recognize the income tax consequences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intra-entity transfers of assets other than inventory at the time of transfer. This standard requires a modified retrospective approach to adoption. ASU 2016-16 is effective for fiscal years and interim periods within those years beginning after December 31, 2018. We do not expect ASU 2016-16 to have a material impact to our consolidated financial statements.</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15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We do not expect this standard to have a material impact on our consolidated financial statements.</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We are currently evaluating the impact of the adoption on our consolidated financial statements.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are currently evaluating the impact of adopting this standard on our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All the information and data presented in this section have been derived from Frost &amp; Sullivan’s industry report, unless otherwise noted. Frost &amp; Sullivan has advised us that the statistical and graphical information contained herein is drawn from its database and other sources. The following discussion includes projections for future growth, which may not occur at the rates that are projected or at all.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Market</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Benefiting from its rapid economic growth and increasing domestic consumption in the past decades, China has the world’s second largest marketing industry with a market size of RMB924.3 billion in 2016, as measured by total marketing spend, growing from RMB697.2 billion in 2012 with a CAGR of 7.3%. It is expected to reach RMB1,371.4 billion in 2021, representing a CAGR of 8.2% from 2016 to 2021.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Driven by continuous innovations in internet and mobile technologies and the increasing amount of time consumers spend on digital devices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data-driven potential of online marketing, marketers are increasingly shifting their marketing spend from offline channels, such as television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print advertising and radio advertising, to online channels in order to achieve wider but more targeted audience reach and provide more tailored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messages in a cost effective manner. Online marketing in China, as measured by total marketing spend, grew from RMB152.6 billion in 2012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RMB343.4 billion in 2016, representing a CAGR of 22.5%, which outpaced the growth of the overall marketing market. Online marketing spend in China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reach RMB767.1 billion in 2021, representing a CAGR of 17.4% from 2016 to 2021. In 2016, online marketing spend accounted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37.2% of total marketing spend in China, surging from 21.9% in 2012. This percentage is expected to continue to increase in the coming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reaching approximately 52.3% in 2020, when online marketing surpasses offline marketing as the primary segment in China’s marketing industry.</w:t>
      </w:r>
    </w:p>
    <w:p>
      <w:pPr>
        <w:spacing w:after="0" w:line="22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diagram below illustrates the historical and projected breakdown of the overall marketing market in China by online and offline segments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134620</wp:posOffset>
            </wp:positionV>
            <wp:extent cx="4373880" cy="14579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7388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Online marketing is divided into the following four segments:</w:t>
      </w:r>
    </w:p>
    <w:p>
      <w:pPr>
        <w:spacing w:after="0" w:line="13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Create</w:t>
      </w:r>
      <w:r>
        <w:rPr>
          <w:rFonts w:ascii="Arial" w:cs="Arial" w:eastAsia="Arial" w:hAnsi="Arial"/>
          <w:sz w:val="18"/>
          <w:szCs w:val="18"/>
          <w:color w:val="auto"/>
        </w:rPr>
        <w:t>: the creation, personalization curation and management of marketing content to be delivered to targeted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Connect</w:t>
      </w:r>
      <w:r>
        <w:rPr>
          <w:rFonts w:ascii="Arial" w:cs="Arial" w:eastAsia="Arial" w:hAnsi="Arial"/>
          <w:sz w:val="18"/>
          <w:szCs w:val="18"/>
          <w:color w:val="auto"/>
        </w:rPr>
        <w:t>: the delivery of marketing content to targeted audience through marketing channels and forms;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Manage</w:t>
      </w:r>
      <w:r>
        <w:rPr>
          <w:rFonts w:ascii="Arial" w:cs="Arial" w:eastAsia="Arial" w:hAnsi="Arial"/>
          <w:sz w:val="18"/>
          <w:szCs w:val="18"/>
          <w:color w:val="auto"/>
        </w:rPr>
        <w:t>: the planning and management strategies to accomplish marketing objectives utilizing available resources;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Measure</w:t>
      </w:r>
      <w:r>
        <w:rPr>
          <w:rFonts w:ascii="Arial" w:cs="Arial" w:eastAsia="Arial" w:hAnsi="Arial"/>
          <w:sz w:val="17"/>
          <w:szCs w:val="17"/>
          <w:color w:val="auto"/>
        </w:rPr>
        <w:t>: the gathering of valuable audience insights through monitoring and analyzing campaign performance and other data traffic.</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trends shaping China’s online marketing market include:</w:t>
      </w:r>
    </w:p>
    <w:p>
      <w:pPr>
        <w:spacing w:after="0" w:line="131" w:lineRule="exact"/>
        <w:rPr>
          <w:sz w:val="20"/>
          <w:szCs w:val="20"/>
          <w:color w:val="auto"/>
        </w:rPr>
      </w:pPr>
    </w:p>
    <w:p>
      <w:pPr>
        <w:jc w:val="both"/>
        <w:ind w:left="900" w:right="48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Integration of media resources</w:t>
      </w:r>
      <w:r>
        <w:rPr>
          <w:rFonts w:ascii="Arial" w:cs="Arial" w:eastAsia="Arial" w:hAnsi="Arial"/>
          <w:sz w:val="18"/>
          <w:szCs w:val="18"/>
          <w:color w:val="auto"/>
        </w:rPr>
        <w:t>. Marketers tend to promote their products and services through the most efficient channels.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one-stop platforms to help marketers deliver marketing content and monitor its effectiveness across a wider spectrum of marketing channels in an cost-efficient manner are expected to benefit from this trend.</w:t>
      </w:r>
    </w:p>
    <w:p>
      <w:pPr>
        <w:spacing w:after="0" w:line="86" w:lineRule="exact"/>
        <w:rPr>
          <w:rFonts w:ascii="Arial" w:cs="Arial" w:eastAsia="Arial" w:hAnsi="Arial"/>
          <w:sz w:val="18"/>
          <w:szCs w:val="18"/>
          <w:color w:val="auto"/>
        </w:rPr>
      </w:pPr>
    </w:p>
    <w:p>
      <w:pPr>
        <w:jc w:val="both"/>
        <w:ind w:left="900" w:right="100" w:hanging="325"/>
        <w:spacing w:after="0" w:line="31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Enrichment, diversification and personalization of marketing content. </w:t>
      </w:r>
      <w:r>
        <w:rPr>
          <w:rFonts w:ascii="Arial" w:cs="Arial" w:eastAsia="Arial" w:hAnsi="Arial"/>
          <w:sz w:val="16"/>
          <w:szCs w:val="16"/>
          <w:color w:val="auto"/>
        </w:rPr>
        <w:t>Content marketing is a strategic marketing approach focusing on creating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distributing valuable, relevant and consistent content to attract and retain targeted audience and ultimately drive consumption. The ability to enrich, diversify and personalize marketing content will be one of the most critical factors for online marketing companies to succeed.</w:t>
      </w:r>
    </w:p>
    <w:p>
      <w:pPr>
        <w:spacing w:after="0" w:line="52" w:lineRule="exact"/>
        <w:rPr>
          <w:rFonts w:ascii="Arial" w:cs="Arial" w:eastAsia="Arial" w:hAnsi="Arial"/>
          <w:sz w:val="16"/>
          <w:szCs w:val="16"/>
          <w:color w:val="auto"/>
        </w:rPr>
      </w:pPr>
    </w:p>
    <w:p>
      <w:pPr>
        <w:ind w:left="900" w:right="160" w:hanging="325"/>
        <w:spacing w:after="0" w:line="31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Rise of mobile marketing. </w:t>
      </w:r>
      <w:r>
        <w:rPr>
          <w:rFonts w:ascii="Arial" w:cs="Arial" w:eastAsia="Arial" w:hAnsi="Arial"/>
          <w:sz w:val="16"/>
          <w:szCs w:val="16"/>
          <w:color w:val="auto"/>
        </w:rPr>
        <w:t>Mobile marketing market has demonstrated tremendous growth potential with significant advantages in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accessibility and portability. In light of the growing mobile audience base and continuous innovation in mobile technology, companies that can help marketers better create, connect, manage and measure their marketing through mobile channels are poised to capture greater market share.</w:t>
      </w:r>
    </w:p>
    <w:p>
      <w:pPr>
        <w:spacing w:after="0" w:line="52" w:lineRule="exact"/>
        <w:rPr>
          <w:rFonts w:ascii="Arial" w:cs="Arial" w:eastAsia="Arial" w:hAnsi="Arial"/>
          <w:sz w:val="16"/>
          <w:szCs w:val="16"/>
          <w:color w:val="auto"/>
        </w:rPr>
      </w:pPr>
    </w:p>
    <w:p>
      <w:pPr>
        <w:ind w:left="900" w:right="180" w:hanging="325"/>
        <w:spacing w:after="0" w:line="30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Development of advanced online marketing technologies. </w:t>
      </w:r>
      <w:r>
        <w:rPr>
          <w:rFonts w:ascii="Arial" w:cs="Arial" w:eastAsia="Arial" w:hAnsi="Arial"/>
          <w:sz w:val="16"/>
          <w:szCs w:val="16"/>
          <w:color w:val="auto"/>
        </w:rPr>
        <w:t>Advanced technologies have proven to boost the efficiency and capability of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delivery, and to increase the reach of audience group. It also enables marketers to collect, monitor and analyze information and explore valuable insights, which in turn help them develop and implement targeted market strategies. As a result, companies that focus on technology innovations to online marketing to efficiently execute marketing campaigns are expected to capitalize on this trend.</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Rising significance of audience data management. </w:t>
      </w:r>
      <w:r>
        <w:rPr>
          <w:rFonts w:ascii="Arial" w:cs="Arial" w:eastAsia="Arial" w:hAnsi="Arial"/>
          <w:sz w:val="18"/>
          <w:szCs w:val="18"/>
          <w:color w:val="auto"/>
        </w:rPr>
        <w:t>Audience data management can help marketers gather valuable insights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their marketing campaigns and plan future marketing strategies. Companies that are able to apply technologies such as big data and cloud computing to extract most value out of audience data to increase effectiveness and efficiency of marketing objectives for marketers are expected to benefit from this trend.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Technology Market</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Technologies have been increasingly utilized in online marketing in China in recent years. They help marketers optimize marketing resources and create and deliver tailored marketing content to a wide range of audience effectively and efficiently. They also provide instrumental data insights and feedback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China’s online marketing technology market experienced rapid growth in the past years. In the United States, marketers are accustomed to having larger marketing departments well versed in online marketing, including using marketing technologies through self-service model. In China, marketers expect a higher level of customer service support when using marketing technologies or more simplified marketing technology solutions that would enable them to execute marketing campaigns on their own.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Online marketing technology market can be divided into the same four segments as the online marketing industry, as each segment of the online marketing industry is served by marketing technologies of different functionalities:</w:t>
      </w:r>
    </w:p>
    <w:p>
      <w:pPr>
        <w:spacing w:after="0" w:line="76" w:lineRule="exact"/>
        <w:rPr>
          <w:sz w:val="20"/>
          <w:szCs w:val="20"/>
          <w:color w:val="auto"/>
        </w:rPr>
      </w:pPr>
    </w:p>
    <w:p>
      <w:pPr>
        <w:ind w:left="900" w:right="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Create: </w:t>
      </w:r>
      <w:r>
        <w:rPr>
          <w:rFonts w:ascii="Arial" w:cs="Arial" w:eastAsia="Arial" w:hAnsi="Arial"/>
          <w:sz w:val="18"/>
          <w:szCs w:val="18"/>
          <w:color w:val="auto"/>
        </w:rPr>
        <w:t>technologies that assist marketers in designing marketing content, and include content creation tools, graphic creation tools, webinar and</w:t>
      </w:r>
      <w:r>
        <w:rPr>
          <w:rFonts w:ascii="Arial" w:cs="Arial" w:eastAsia="Arial" w:hAnsi="Arial"/>
          <w:sz w:val="18"/>
          <w:szCs w:val="18"/>
          <w:i w:val="1"/>
          <w:iCs w:val="1"/>
          <w:color w:val="auto"/>
        </w:rPr>
        <w:t xml:space="preserve"> </w:t>
      </w:r>
      <w:r>
        <w:rPr>
          <w:rFonts w:ascii="Arial" w:cs="Arial" w:eastAsia="Arial" w:hAnsi="Arial"/>
          <w:sz w:val="18"/>
          <w:szCs w:val="18"/>
          <w:color w:val="auto"/>
        </w:rPr>
        <w:t>event creation tools.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Connect: </w:t>
      </w:r>
      <w:r>
        <w:rPr>
          <w:rFonts w:ascii="Arial" w:cs="Arial" w:eastAsia="Arial" w:hAnsi="Arial"/>
          <w:sz w:val="18"/>
          <w:szCs w:val="18"/>
          <w:color w:val="auto"/>
        </w:rPr>
        <w:t>technologies that assist marketers in the delivery of marketing content to targeted audience, and include mobile apps design tools,</w:t>
      </w:r>
      <w:r>
        <w:rPr>
          <w:rFonts w:ascii="Arial" w:cs="Arial" w:eastAsia="Arial" w:hAnsi="Arial"/>
          <w:sz w:val="18"/>
          <w:szCs w:val="18"/>
          <w:i w:val="1"/>
          <w:iCs w:val="1"/>
          <w:color w:val="auto"/>
        </w:rPr>
        <w:t xml:space="preserve"> </w:t>
      </w:r>
      <w:r>
        <w:rPr>
          <w:rFonts w:ascii="Arial" w:cs="Arial" w:eastAsia="Arial" w:hAnsi="Arial"/>
          <w:sz w:val="18"/>
          <w:szCs w:val="18"/>
          <w:color w:val="auto"/>
        </w:rPr>
        <w:t>search engine tools, email tools, video and display processing, analyzing and compressing technologies.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325"/>
        <w:spacing w:after="0" w:line="308"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Manage</w:t>
      </w:r>
      <w:r>
        <w:rPr>
          <w:rFonts w:ascii="Arial" w:cs="Arial" w:eastAsia="Arial" w:hAnsi="Arial"/>
          <w:sz w:val="17"/>
          <w:szCs w:val="17"/>
          <w:color w:val="auto"/>
        </w:rPr>
        <w:t>: technologies that assist marketers in accomplishing marketing objectives, and include customer relationship management system, or</w:t>
      </w:r>
      <w:r>
        <w:rPr>
          <w:rFonts w:ascii="Arial" w:cs="Arial" w:eastAsia="Arial" w:hAnsi="Arial"/>
          <w:sz w:val="17"/>
          <w:szCs w:val="17"/>
          <w:i w:val="1"/>
          <w:iCs w:val="1"/>
          <w:color w:val="auto"/>
        </w:rPr>
        <w:t xml:space="preserve"> </w:t>
      </w:r>
      <w:r>
        <w:rPr>
          <w:rFonts w:ascii="Arial" w:cs="Arial" w:eastAsia="Arial" w:hAnsi="Arial"/>
          <w:sz w:val="17"/>
          <w:szCs w:val="17"/>
          <w:color w:val="auto"/>
        </w:rPr>
        <w:t>CRM system, marketing automation, account-based marketing, or ABM, project and product management tools.</w:t>
      </w:r>
    </w:p>
    <w:p>
      <w:pPr>
        <w:spacing w:after="0" w:line="51" w:lineRule="exact"/>
        <w:rPr>
          <w:rFonts w:ascii="Arial" w:cs="Arial" w:eastAsia="Arial" w:hAnsi="Arial"/>
          <w:sz w:val="17"/>
          <w:szCs w:val="17"/>
          <w:color w:val="auto"/>
        </w:rPr>
      </w:pPr>
    </w:p>
    <w:p>
      <w:pPr>
        <w:ind w:left="900" w:right="2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Measure: </w:t>
      </w:r>
      <w:r>
        <w:rPr>
          <w:rFonts w:ascii="Arial" w:cs="Arial" w:eastAsia="Arial" w:hAnsi="Arial"/>
          <w:sz w:val="18"/>
          <w:szCs w:val="18"/>
          <w:color w:val="auto"/>
        </w:rPr>
        <w:t>technologies that assist marketers in monitoring and analyzing data to derive valuable insights, and include mobile and web analytic</w:t>
      </w:r>
      <w:r>
        <w:rPr>
          <w:rFonts w:ascii="Arial" w:cs="Arial" w:eastAsia="Arial" w:hAnsi="Arial"/>
          <w:sz w:val="18"/>
          <w:szCs w:val="18"/>
          <w:i w:val="1"/>
          <w:iCs w:val="1"/>
          <w:color w:val="auto"/>
        </w:rPr>
        <w:t xml:space="preserve"> </w:t>
      </w:r>
      <w:r>
        <w:rPr>
          <w:rFonts w:ascii="Arial" w:cs="Arial" w:eastAsia="Arial" w:hAnsi="Arial"/>
          <w:sz w:val="18"/>
          <w:szCs w:val="18"/>
          <w:color w:val="auto"/>
        </w:rPr>
        <w:t>tools, cloud computing and data integration tools.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breakdown of China’s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16205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2818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of these four segments has experienced rapid growth in the past five years. From 2012 to 2016, the size of “create”, “connect”, “manage” and “measure” online marketing technology segments, as measured by gross billing, increased from RMB4.9 billion to RMB9.8 billion, from RMB32.6 billion to RMB85.2 billion, from RMB5.5 billion to RMB11.1 billion, and from RMB10.8 billion to RMB23.1 billion, representing CAGRs of 18.8%, 27.2%, 19.3% and 20.9%, respectively. It is expected that each of these segments will continue to grow rapidly, reaching RMB17.3 billion, RMB215.7 billion, RMB22.0 billion and RMB47.3 billion, respectively, in 2021.</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addition to the trends that drive the growth of China’s online marketing market in general, the following trends have driven, and are expected to continue to drive, the growth of online marketing technology market in China:</w:t>
      </w:r>
    </w:p>
    <w:p>
      <w:pPr>
        <w:spacing w:after="0" w:line="76" w:lineRule="exact"/>
        <w:rPr>
          <w:sz w:val="20"/>
          <w:szCs w:val="20"/>
          <w:color w:val="auto"/>
        </w:rPr>
      </w:pPr>
    </w:p>
    <w:p>
      <w:pPr>
        <w:ind w:left="900" w:right="100" w:hanging="325"/>
        <w:spacing w:after="0" w:line="279"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Big data era. </w:t>
      </w:r>
      <w:r>
        <w:rPr>
          <w:rFonts w:ascii="Arial" w:cs="Arial" w:eastAsia="Arial" w:hAnsi="Arial"/>
          <w:sz w:val="17"/>
          <w:szCs w:val="17"/>
          <w:color w:val="auto"/>
        </w:rPr>
        <w:t>The emergence and use of big data have transformed the planning and execution of marketing campaigns. Marketers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increasingly taking advantage of big data to refine marketing strategies on a real time basis for more cost-effective marketing. Online marketing technology companies with advanced big data analytics capacities that harness large amount of unstructured data to derive valuable insights on consumer behaviors and marketing performance can help marketers achieve this goal.</w:t>
      </w:r>
    </w:p>
    <w:p>
      <w:pPr>
        <w:spacing w:after="0" w:line="76" w:lineRule="exact"/>
        <w:rPr>
          <w:rFonts w:ascii="Arial" w:cs="Arial" w:eastAsia="Arial" w:hAnsi="Arial"/>
          <w:sz w:val="17"/>
          <w:szCs w:val="17"/>
          <w:color w:val="auto"/>
        </w:rPr>
      </w:pPr>
    </w:p>
    <w:p>
      <w:pPr>
        <w:ind w:left="900" w:right="22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Rising demand from small and medium-sized enterprises</w:t>
      </w:r>
      <w:r>
        <w:rPr>
          <w:rFonts w:ascii="Arial" w:cs="Arial" w:eastAsia="Arial" w:hAnsi="Arial"/>
          <w:sz w:val="18"/>
          <w:szCs w:val="18"/>
          <w:color w:val="auto"/>
        </w:rPr>
        <w:t>. With the help of online marketing technologies, small and medium-sized enterprises</w:t>
      </w:r>
      <w:r>
        <w:rPr>
          <w:rFonts w:ascii="Arial" w:cs="Arial" w:eastAsia="Arial" w:hAnsi="Arial"/>
          <w:sz w:val="18"/>
          <w:szCs w:val="18"/>
          <w:i w:val="1"/>
          <w:iCs w:val="1"/>
          <w:color w:val="auto"/>
        </w:rPr>
        <w:t xml:space="preserve"> </w:t>
      </w:r>
      <w:r>
        <w:rPr>
          <w:rFonts w:ascii="Arial" w:cs="Arial" w:eastAsia="Arial" w:hAnsi="Arial"/>
          <w:sz w:val="18"/>
          <w:szCs w:val="18"/>
          <w:color w:val="auto"/>
        </w:rPr>
        <w:t>have more options to promote their products and services and reach their targeted customers through various online marketing channels at relatively low costs. Online marketing technology companies with solutions and solution delivery models tailored to the need of small and medium-sized enterprises are expected to benefit from this trend.</w:t>
      </w:r>
    </w:p>
    <w:p>
      <w:pPr>
        <w:spacing w:after="0" w:line="92"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Rising Demand from Multinational Companies. </w:t>
      </w:r>
      <w:r>
        <w:rPr>
          <w:rFonts w:ascii="Arial" w:cs="Arial" w:eastAsia="Arial" w:hAnsi="Arial"/>
          <w:sz w:val="18"/>
          <w:szCs w:val="18"/>
          <w:color w:val="auto"/>
        </w:rPr>
        <w:t>With rapid economic growth and increasing consumer spending power in China, multinational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global brands have a rising demand in bringing more of their products in China and need to better understand Chinese audience in order to develop more targeted marketing strategies to promote brand awareness and access a wider audience through multiple online marketing channels. Online marketing technology companies that offer one-stop access to a wide variety of cross-channel content distribution opportunities to Chinese audience and with</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resources to bridge multinational companies to the China market are expected to benefit from this trend.</w:t>
      </w:r>
    </w:p>
    <w:p>
      <w:pPr>
        <w:spacing w:after="0" w:line="131" w:lineRule="exact"/>
        <w:rPr>
          <w:sz w:val="20"/>
          <w:szCs w:val="20"/>
          <w:color w:val="auto"/>
        </w:rPr>
      </w:pPr>
    </w:p>
    <w:p>
      <w:pPr>
        <w:ind w:left="900" w:hanging="325"/>
        <w:spacing w:after="0" w:line="297"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Rising demand from and outsourcing of certain services by publishers</w:t>
      </w:r>
      <w:r>
        <w:rPr>
          <w:rFonts w:ascii="Arial" w:cs="Arial" w:eastAsia="Arial" w:hAnsi="Arial"/>
          <w:sz w:val="16"/>
          <w:szCs w:val="16"/>
          <w:color w:val="auto"/>
        </w:rPr>
        <w:t>. Publishers are increasingly looking to online marketing technologies to</w:t>
      </w:r>
      <w:r>
        <w:rPr>
          <w:rFonts w:ascii="Arial" w:cs="Arial" w:eastAsia="Arial" w:hAnsi="Arial"/>
          <w:sz w:val="16"/>
          <w:szCs w:val="16"/>
          <w:i w:val="1"/>
          <w:iCs w:val="1"/>
          <w:color w:val="auto"/>
        </w:rPr>
        <w:t xml:space="preserve"> </w:t>
      </w:r>
      <w:r>
        <w:rPr>
          <w:rFonts w:ascii="Arial" w:cs="Arial" w:eastAsia="Arial" w:hAnsi="Arial"/>
          <w:sz w:val="16"/>
          <w:szCs w:val="16"/>
          <w:color w:val="auto"/>
        </w:rPr>
        <w:t>better monetize their media resources and channels, including innovations on audience engagement formats. In addition, publishers are increasingly outsourcing certain aspects of their services, such as audience data monitoring and analysis and marketing performance evaluation to online marketing technology platforms. Online marketing technology companies with advanced data analytics capabilities and close working relationships with publishers, including through collaborations on research and development initiatives, are expected to benefit from these trends.</w:t>
      </w:r>
    </w:p>
    <w:p>
      <w:pPr>
        <w:spacing w:after="0" w:line="63" w:lineRule="exact"/>
        <w:rPr>
          <w:rFonts w:ascii="Arial" w:cs="Arial" w:eastAsia="Arial" w:hAnsi="Arial"/>
          <w:sz w:val="16"/>
          <w:szCs w:val="16"/>
          <w:color w:val="auto"/>
        </w:rPr>
      </w:pPr>
    </w:p>
    <w:p>
      <w:pPr>
        <w:ind w:left="900" w:right="100" w:hanging="325"/>
        <w:spacing w:after="0" w:line="308"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Market consolidation. </w:t>
      </w:r>
      <w:r>
        <w:rPr>
          <w:rFonts w:ascii="Arial" w:cs="Arial" w:eastAsia="Arial" w:hAnsi="Arial"/>
          <w:sz w:val="17"/>
          <w:szCs w:val="17"/>
          <w:color w:val="auto"/>
        </w:rPr>
        <w:t>The trend of horizontal integration among small and medium-sized enterprises in the online marketing technology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is expected to continue as these enterprises look to diversify their product portfolios and enhance technology capabilities.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Independent Online Marketing Technology Market</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Independent online marketing technology companies are online marketing technology companies which do not own, or are not part of any group which owns, any online publishing resources. Compared to non-independent online marketing technology companies, which own, or are part of any group who owns, any online publishing resources, independent online marketing technology companies are perceived to have the following advantages:</w:t>
      </w:r>
    </w:p>
    <w:p>
      <w:pPr>
        <w:spacing w:after="0" w:line="52" w:lineRule="exact"/>
        <w:rPr>
          <w:sz w:val="20"/>
          <w:szCs w:val="20"/>
          <w:color w:val="auto"/>
        </w:rPr>
      </w:pPr>
    </w:p>
    <w:p>
      <w:pPr>
        <w:ind w:left="900" w:right="380" w:hanging="325"/>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Access to more diverse sources of data and wider range of content distribution opportunities. </w:t>
      </w:r>
      <w:r>
        <w:rPr>
          <w:rFonts w:ascii="Arial" w:cs="Arial" w:eastAsia="Arial" w:hAnsi="Arial"/>
          <w:sz w:val="16"/>
          <w:szCs w:val="16"/>
          <w:color w:val="auto"/>
        </w:rPr>
        <w:t>Non-independent online marketing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may be limited in their access to audience data and content distribution opportunities from their competing publishers.</w:t>
      </w:r>
    </w:p>
    <w:p>
      <w:pPr>
        <w:spacing w:after="0" w:line="29" w:lineRule="exact"/>
        <w:rPr>
          <w:rFonts w:ascii="Arial" w:cs="Arial" w:eastAsia="Arial" w:hAnsi="Arial"/>
          <w:sz w:val="16"/>
          <w:szCs w:val="16"/>
          <w:color w:val="auto"/>
        </w:rPr>
      </w:pPr>
    </w:p>
    <w:p>
      <w:pPr>
        <w:jc w:val="both"/>
        <w:ind w:left="900" w:right="64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Neutrality. </w:t>
      </w:r>
      <w:r>
        <w:rPr>
          <w:rFonts w:ascii="Arial" w:cs="Arial" w:eastAsia="Arial" w:hAnsi="Arial"/>
          <w:sz w:val="18"/>
          <w:szCs w:val="18"/>
          <w:color w:val="auto"/>
        </w:rPr>
        <w:t>Independent online marketing technology companies are perceived to provide more neutral and unbiased value proposition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marketers as its selection of channels to deliver marketing content is solely driven by the evaluation as to which channels would achieve maximum results with minimal costs for marketers.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 This market is highly competitive and fragmented. We were the largest independent online marketing technology company in China in terms of gross billing in 2016, with a market share of 5.2%. The five largest independent online marketing technology companies in China accounted for a total market share of 13.1% in terms of gross billing in 2016.</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growth of China’s independent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169545</wp:posOffset>
            </wp:positionV>
            <wp:extent cx="4399280" cy="14751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9928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w:t>
      </w:r>
    </w:p>
    <w:p>
      <w:pPr>
        <w:spacing w:after="0" w:line="18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April 15, 2017, we analyzed approximately 651.6 million active profiled users with 23 attributes on average for each such profile. Leveraging our sophisticated automation and deep learning technologies, we continually refine our big data analytics and update our user profiles to address the evolving needs of our customers,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platform appeals to marketers by offering omni-channel reach to the Chinese audience. We provide our customers one-stop access to a wide variety of cross-channel content distribution opportunities, including those from the leading online publishers in China. We offer both mobile audience solutions and other solutions based on channels desired by our customers. In the 30 days leading up to April 15, 2017, we covered approximately 72,000 mobile apps and 2.3 million websites. We work closely with our content distribution partners to facilitate innovative and effective audience engagement. In 2016, our gross billing from mobile audience solutions and other solutions amounted to US$112.4 million and US$123.9 million, respectively.</w:t>
      </w:r>
    </w:p>
    <w:p>
      <w:pPr>
        <w:spacing w:after="0" w:line="15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take a flexible approach to the delivery model of our solutions in order to cater to the preferences and levels of internal resources and expertise of customers. Customers may choose to access our solutions through (i) a self-service model, under which they have the flexibility to utilize our solutions “a la carte” to complement their existing marketing resources, and (ii) a managed service model, where our account management team provides in-depth services that suit customers’ specified marketing objectives and budgets utilizing our solutions.</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success of our solutions is evidenced by our strong, diverse and loyal customer base from a broad range of industry verticals, including banking and finance, entertainment and media, and E-commerce. Our customers include direct marketer customers and marketing agencies, and feature companies of different sizes, including more than 150 multinationals companies in 2016, as well as small and medium-sized enterprises, and from different geographic regions in and outside China. We derived over 70% of our gross billing from direct marketer customers in 2015 and 2016.</w:t>
      </w:r>
    </w:p>
    <w:p>
      <w:pPr>
        <w:spacing w:after="0" w:line="17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generate revenue primarily from customers’ marketing spend through our platform as they utilize our solutions, and to a less extent from rebates from certain publishers. We have achieved rapid growth in recent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color w:val="auto"/>
        </w:rPr>
        <w:t>years. Our gross billing grew by 32.5% from US$178.2 million in 2015 to US$236.3 million in 2016 and our net revenues grew by 46.2% from US$65.2 million in 2015 to US$95.4 million in 2016. Our net loss was US$39.7 million and US$27.3 million in 2015 and 2016,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 following competitive strengths have contributed to our success, differentiated us from our competitors and will continue to support our growth: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independent online marketing technology platform in China with a highly scalable and flexible business model</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As one of the first independent online marketing technology platforms in China to apply a data-driven approach to address marketers’ needs, according to Frost &amp; Sullivan, our business has grown rapidly. In 2016, our gross billing reached US$236.3 million, up by 32.5% from 2015, leading to net revenue of US$95.4 million, up by 46.2% from 2015.</w:t>
      </w:r>
    </w:p>
    <w:p>
      <w:pPr>
        <w:spacing w:after="0" w:line="18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 address marketers’ needs and deliver highly integrated customer experience throughout their marketing cycle, we have developed a suite of end-to-end solutions spanning from identification, engagement and activation of their potential customers, to monitoring and measurement of the results of online marketing campaigns, to creating content catering to their potential customers across different channels. We offer both mobile audience solutions and other solutions based on channels desired by our customers. Our solutions are delivered under our self-service model or managed service model, which we believe are well suited to the current development stage of online marketing in China. Our self-service model enables sophisticated marketers to run their campaigns on an “a-la-carte”, cost-effective basis. Our managed service model, under which our account management team provides in-depth services utilizing our solutions, enables marketers to navigate through complicated and fragmented online marketing landscapes and manage their marketing activities based on specified objectives and budgets. This model is attractive to a wide spectrum of marketers because of the ease of use and helps us foster long-term strategic relationships with marketers to gain valuable insights into their audience data and refine our data algorithms.</w:t>
      </w:r>
    </w:p>
    <w:p>
      <w:pPr>
        <w:spacing w:after="0" w:line="16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been prioritizing our mobile strategy since 2014, including through our acquisition of OptAim on July 24, 2015. We have also launched an increasing number of mobile audience solutions, such as MoSocial in March 2015, and MoTV and MoFeeds in November 2015, to capture a larger share of online marketing spend on mobile apps, which we believe to have significant growth potential. According to Frost &amp; Sullivan, in 2016, 95.1% of Internet users were mobile Internet users, and from 2016 to 2021, per capita mobile weekly time spent on the Internet is expected to grow at a CAGR of 14.7%. In addition, we are continually simplifying and streamlining the features and functions of our solutions so that small and medium-sized enterprises in China may also run their campaigns on a self-serve basis on our platform. For example, our iExpress solution is designed to be used by small and medium-sized enterprises to access audience on various mobile and online channels. Our operation is also highly scalable as our solutions are designed for easy plug-and-play and compatibility with marketers’ own systems and databases requiring minimal additional tailoring.</w:t>
      </w:r>
    </w:p>
    <w:p>
      <w:pPr>
        <w:spacing w:after="0" w:line="1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Leveraging our market-leading position, we are well-positioned to attract and retain marketers and gain access to premium audience engagement opportunities, creating a virtuous cycle which we expect to continue to fuel our growth. As we attract more marketing spend, we are able to gain access to more extensive data, reinforce our content distribution network and enhance our access to audience engagement opportunities to reach more audience, which in turn draws more marketers to our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Largest independent Chinese consumer data set with omni-channel, targeted audience reach</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had the largest Chinese consumer data set in terms of number of active profiled users in 2016 among independent online marketing technology companies in China, according to Frost &amp; Sullivan. In the 30 days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leading up to April 15, 2017, we analyzed data of approximately 651.6 million active profiled users. The average daily volume of the data we collected reached 1.2 terabytes in the 30 days leading up to April 15, 2017.</w:t>
      </w:r>
    </w:p>
    <w:p>
      <w:pPr>
        <w:spacing w:after="0" w:line="17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Our data is robust in terms of comprehensiveness and variety. It comes from a variety of sources, including from our own tracking through proprietary toolbars and software development kits installed on apps and websites, from marketers, publishers and ad exchanges, and from third-party data partners, including major internet companies in China. Our data includes users’ intent, interest, online transaction, offline purchase behavioral data, social data and demographic data, which helps us construct a context-rich user profile. Our proprietary user profiles typically include information on a user’s attributes, such as his or her demographics, geographic location, device preference, spending history, personal interest and other online or offline behavioral pattern, which can be targeted for marketing campaigns by specific industry verticals. These user profiles are continuously fed into our content distribution opportunity matching process, allowing marketers to identify and access or activate the right audience omni-channel. In particular, as internet users spend more time engaging with contents on the mobile channel, a larger proportion of our content distribution takes place on the mobile channel and in the native content format in particular to capitalize on the evolving behavior of internet users. Our data also includes campaign performance data that helps marketers refine campaign strategies and guide future campaign planning.</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we continue to deliver increasingly targeted and personalized audience engagement opportunities to marketers, more marketers are attracted to, or increase their marketing spend on, our platform. As our engagement with marketers expands and deepens, our data assets and analytics capabilities grow, and such growth in turn enables us to deliver more effective solutions.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sophisticated and automated platform powered by proprietary, cutting-edge technologies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focused on leveraging cutting-edge and proprietary technologies to propel a highly sophisticated and automated online marketing platform since our inception. Backed by our sophisticated data science technologies and scalable and reliable technology infrastructure, we continually refine our big data analytics to capture the latest behavior of the audience set and address the evolving needs of marketers across different verticals. Our refined big data analytics enable us to offer more effective marketing solutions, and increase our operational efficiency while ensuring the stability of our data and platform as we scale up our operations.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apply data science technologies extensively throughout their marketing cycle. For example, our digital fingerprinting technology enhances our ability to track user behavior across multiple channels, especially in mobile operating systems where cookies are difficult to collect with traditional tracking technologies. Our data mining and user behavior analytics technologies allow us to build and segment context-rich user profiles and update them in real time. Our state-of-the-art multi-dimensional automation technologies allow us to make cost-efficient decisions on, and continuously optimize our bids for, real-time audience engagement opportunities based on a wide range of parameters and predictions. We can process and match audience engagement opportunities within 30 milliseconds and handle up to 60,000 queries per second on the marketer side.</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marketing platform is built on highly scalable and reliable cloud-based infrastructure. This allows us to harness large quantities of real-time data and ensures high speed performance at a larger scale to accommodate more customers and increased complexity of their online marketing campaigns.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diverse and loyal customer base</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effective and flexible solutions, sophisticated data analytics capabilities, and market leadership position have earned us a strong and diverse customer base from a broad range of industry verticals, including banking and finance, entertainment and media, and E-commerce. Our customers include over 150 multinational companies in 2016 , making us the No.1 independent online marketing technology platform bridging the largest number of multinational companies to the Chinese market, according to Frost &amp; Sullivan.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addition to multinational companies, our diverse customer base also includes small and medium-sized enterprises. We provide tailored and user-friendly solutions to cater to customers and marketers of different levels of sophistication and from different industry verticals. This allows us to serve a wide spectrum of customers to capture the growth potentials in the market segments or industry verticals that they represent.</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Through our close working relationship with direct marketer customers, we are able to better understand and anticipate market trends, customize our solutions, foster closer customer relationships and increase customer loyalty and retention. We derived over 70% of our gross billing from direct marketer customers in 2015 and 2016. Our gross billing retention rate was to 107% in 2016, compared to 100% in 2015. Our gross billing per customer increased by 47.5% from US$67,413 in 2015 to US$99,433 in 2016. All of these demonstrate the stickiness of our platform and the strength of our solutions in addressing direct marketer customers’ needs through differentiated and tailored service offerings.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knowledge and familiarity with China’s online marketing industry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Leveraging our deep knowledge in Chinese consumer behavior patterns, we provide marketers with one-stop access to a wide variety of cross-channel audience engagement opportunities in China. According to Frost &amp; Sullivan, with an estimated growth of per capita disposable income of urban households at a CAGR of 7.6% between 2016 and 2021, China represents one of the most important geographies for many marketers, and online marketing has become one of the most attractive options to those marketers in light of increasing mobile and internet penetration in China. According to Frost &amp; Sullivan, in 2016, multinational companies spent RMB338.3 billion (US$48.7 billion) on marketing targeted at the Chinese market, 52.1% of which was spent on online marketing campaigns.</w:t>
      </w:r>
    </w:p>
    <w:p>
      <w:pPr>
        <w:spacing w:after="0" w:line="1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independent online marketing technology industry in China is highly fragmented and competitive. According to Frost &amp; Sullivan, we are one of the first independent online marketing technology platforms in China to apply a data-driven approach to address marketers’ needs in China. We have fostered in-depth knowledge of, and cooperation with leading online channels covering approximately 72,000 mobile apps and 2.3 million websites in the 30 days leading up to April 15, 2017, to help marketers, especially multinational marketers, navigate the fragmented landscape to identify and reach their potential customers. In 2016, we derived 30% of our gross billing from customers situated outside China. We are also well-versed with the challenges and opportunities in online marketing in China and have developed solutions that analyze and transform massive amount of unstructured and scattered data into valuable insights on Chinese consumer behavior to help marketers capitalize on the growth opportunities in the China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Visionary leadership with proven track record of organic growth and acquisition execution</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success is attributable to the deep industry experience and proven execution track record of our senior management team, with global perspectives and insightful knowledge in both technology and the online marketing industry. We are spearheaded by Sammy Hsieh, our chief executive officer and co-founder, Jian Tang, our chief operating officer, chief technology officer and co-founder, and Yan Lee, our chief product officer, together having an average of 15 years of experience in the online marketing industry in China. Our senior management team includes online marketing veterans and technology and E-commerce marketing experts from leading internet companies including Tencent, Yahoo! and Efficient Frontier (a part of Adobe Systems). Our management team’s experience in multinational companies and roots in China empower us with local know-how to develop and expand our network and reach in the fragmented and complex Chinese online marketing market as well as international perspectives to understand the needs of multinational companies.</w:t>
      </w:r>
    </w:p>
    <w:p>
      <w:pPr>
        <w:spacing w:after="0" w:line="16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Our management team has navigated us through the development of the online marketing industry in recent years, ensuring that our products and services continue to be attractive to and in demand by customers in the rapidly changing business environment. For example, according to Frost &amp; Sullivan, we were one of the first companies to work with new apps and new media formats and stayed abreast of marketing campaign delivery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formats with the shift from PC to mobile channel, which enabled us to maintain and enhance our market-leading position in China. We also have proven track record in successfully executing acquisitions and integrations. For example, we acquired Buzzinate in 2014 and OptAim in 2015 and their two founders have become our chief product officer, and chief operating officer and chief technology officer, respectively. The core technology teams of these two acquired companies have also become an integral part of our team and we have integrated their solution offerings and technologies to enhance the depth and breadth of our existing solutions and improve our technology platform.</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believe that the extensive industry experience, strategic vision and proven execution capabilities of our senior management team, along with our entrepreneurial corporate culture, have paved the way for our rapid growth since our inception, led to our present success, and laid a solid foundation for us to achieve a higher level of success in China’s online marketing industry.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 and diversify our customer base</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plan to continue to optimize and diversify our customer base, including attracting customers to our self-service model, and customers from additional industry verticals and geographic markets, through developing and offering more tailored and user-friendly solutions and services, and enhancing our sales and marketing efforts.</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believe the online marketing needs for small and medium-sized enterprise market segment in China are underserved and there are considerable demands for, and growth opportunities in, simplified marketing technology solutions that would enable small and medium-sized enterprises to execute marketing campaigns on their own. We plan to partner with marketing agencies in 2</w:t>
      </w:r>
      <w:r>
        <w:rPr>
          <w:rFonts w:ascii="Arial" w:cs="Arial" w:eastAsia="Arial" w:hAnsi="Arial"/>
          <w:sz w:val="14"/>
          <w:szCs w:val="14"/>
          <w:color w:val="auto"/>
        </w:rPr>
        <w:t>nd</w:t>
      </w:r>
      <w:r>
        <w:rPr>
          <w:rFonts w:ascii="Arial" w:cs="Arial" w:eastAsia="Arial" w:hAnsi="Arial"/>
          <w:sz w:val="17"/>
          <w:szCs w:val="17"/>
          <w:color w:val="auto"/>
        </w:rPr>
        <w:t xml:space="preserve"> tier and 3</w:t>
      </w:r>
      <w:r>
        <w:rPr>
          <w:rFonts w:ascii="Arial" w:cs="Arial" w:eastAsia="Arial" w:hAnsi="Arial"/>
          <w:sz w:val="14"/>
          <w:szCs w:val="14"/>
          <w:color w:val="auto"/>
        </w:rPr>
        <w:t>rd</w:t>
      </w:r>
      <w:r>
        <w:rPr>
          <w:rFonts w:ascii="Arial" w:cs="Arial" w:eastAsia="Arial" w:hAnsi="Arial"/>
          <w:sz w:val="17"/>
          <w:szCs w:val="17"/>
          <w:color w:val="auto"/>
        </w:rPr>
        <w:t xml:space="preserve"> tier cities in China and invest in their training to strengthen their ability in attracting and retaining high-quality small and medium-sized enterprises locally and educate them to use our solutions on a self-serve basis. We also strive to diversify our customer base and penetrate into new industry verticals and geographical markets to capture more growth opportunities. We plan to launch solutions with industry-specific features, such as more user data packages with industry focus, and interfaces to attract customers in additional industry verticals. In addition, we intend to continue to open overseas offices, increase our international presence and attract more overseas customers with timely and localized support. We plan to add new features to our existing solutions that are particularly relevant to overseas customers, such as multi-language, currency and time zone settings. Furthermore, we plan to roll out our self-service model in the overseas market to cater to more multinational companies. We believe this will empower a growing number of multinational customers to transact in an automated fashion with minimal additional sales and marketing inputs from us, enabling us to scale up operations efficiently.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customer marketing spend on our platform</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strive to increase customer marketing spend on our platform by staying at the forefront of the online marketing industry and address marketers’ evolving needs with innovative solutions.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intend to offer new features and enhanced functionalities on our platform to provide more effective and comprehensive solutions, especially mobile audience solutions. For example, we are in the process of beta testing our content creation solution, iExperience, which is designed to enable marketers to syndicate and manage their marketing messages, including to dynamically create and tailor marketing messages to specific audience interest. We expect to officially launch iExperience in the fourth quarter of 2017. In addition, we are working on new partnership initiatives, which would make third-party applications available to our customers through our platform directly, further enhancing customer experience and hence increasing the stickiness of our platform. For example, we intend to make available on our platform certain social listening and enhanced data visualization modules by third-party service providers to help our customers better monitor and optimize their campaigns.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also intend to explore innovative audience engagement formats across multiple channels, in particular on mobile apps. For example, we are closely collaborating with over-the-top, or OTT, content partners to capture the growth in OTT marketing spend.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enlarge audience data set, strengthen data analytics capabilities and innovate technologies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place a high value on data expansion and technological innovation and intend to continue devoting substantial resources to that end. We will continue to collaborate with customers and other third parties to increase the dimensions and varieties of our data assets. We plan to work on further integration of data management platforms of our customers, publishers and other third-party partners with ours, and develop strategic relationships to exploit new data sources and enlarge audience data set. For example, we expect to form new partnership with selected consumer goods retailers to access their consumer transactional records, which will allow us to gain valuable insight into their spending patterns.</w:t>
      </w:r>
    </w:p>
    <w:p>
      <w:pPr>
        <w:spacing w:after="0" w:line="173"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addition, we plan to continue investing in our data science technologies, including refreshing and upgrading data modeling and segmentation technologies to meet customer demands in different market segments and industry verticals. We also plan to upgrade our technical infrastructure to support our growing data set and data analytics capabilities as we continue to expand. For example, we have multiple ongoing initiatives to optimize both our hardware and software infrastructure and systems, such as faster reporting and analysis generation and more efficient server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data application across more aspects in online marketing and beyond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broaden our solution offerings across more aspects in online marketing, including content creation and customer relationship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example, we plan to expand our data application to content optimization to help marketers decide how best to upgrade their marketing content.</w:t>
      </w:r>
    </w:p>
    <w:p>
      <w:pPr>
        <w:spacing w:after="0" w:line="222"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In addition, we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Explore strategic alliance and acquisition opportunities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plan to take advantage of the fragmented nature and rapid growth of the online marketing technology market in China to continue to explore investment, acquisition and business collaboration opportunities and will consider opportunities that complement or enhance our existing operations and are strategically beneficial to our long-term goals. Our management plans to judiciously evaluate any such opportunity that may arise from time to time. We believe that our past acquisition experience, our relationship with many industry participants and our knowledge of, and experience in, the online marketing technology market in China will assist us in making sound acquisition decisions. We do not, however, currently have any specific acquisition plans or targets.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87"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 their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engage and activate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monitor and measure the results of online marketing campaigns;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create content catering to their potential customers.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the architecture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169545</wp:posOffset>
            </wp:positionV>
            <wp:extent cx="5111115" cy="2298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111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Suite of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Identification Solution: iAudience</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16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168910</wp:posOffset>
            </wp:positionV>
            <wp:extent cx="4931410" cy="3833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3141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and Activation Solutions: iAccess and iActivation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404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3141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Solution Designed for Small and Medium-Sized Enterprises – iExpress</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iExpress is the “lite” version of our iAccess solution. While iAccess is designed for and primarily used by multinational customers, iExpress is designed for small and medium-sized enterprises in China, who value simplicity and flexibility in their marketing activities. iExpress contains the basic functions of iAccess with a more simplified and intuitive user interface.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Campaign Results Monitoring and Measurement Solution: iNsights</w:t>
      </w:r>
    </w:p>
    <w:p>
      <w:pPr>
        <w:spacing w:after="0" w:line="11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94" w:lineRule="exact"/>
        <w:rPr>
          <w:sz w:val="20"/>
          <w:szCs w:val="20"/>
          <w:color w:val="auto"/>
        </w:rPr>
      </w:pPr>
    </w:p>
    <w:p>
      <w:pPr>
        <w:jc w:val="both"/>
        <w:ind w:left="90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Conversion path analyses </w:t>
      </w:r>
      <w:r>
        <w:rPr>
          <w:rFonts w:ascii="Arial" w:cs="Arial" w:eastAsia="Arial" w:hAnsi="Arial"/>
          <w:sz w:val="18"/>
          <w:szCs w:val="18"/>
          <w:color w:val="auto"/>
        </w:rPr>
        <w:t>– Holistic analyses of when, where and how a user interacts with various devices by the multiple touch points he or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come in contact with, including the “last mile” through which the user is converted, i.e., making a purchase or otherwise taking an action that the marketer desires; and</w:t>
      </w:r>
    </w:p>
    <w:p>
      <w:pPr>
        <w:spacing w:after="0" w:line="86" w:lineRule="exact"/>
        <w:rPr>
          <w:rFonts w:ascii="Arial" w:cs="Arial" w:eastAsia="Arial" w:hAnsi="Arial"/>
          <w:sz w:val="18"/>
          <w:szCs w:val="18"/>
          <w:color w:val="auto"/>
        </w:rPr>
      </w:pPr>
    </w:p>
    <w:p>
      <w:pPr>
        <w:ind w:left="900" w:right="640" w:hanging="325"/>
        <w:spacing w:after="0" w:line="286"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Cross-channel effectiveness analyses </w:t>
      </w:r>
      <w:r>
        <w:rPr>
          <w:rFonts w:ascii="Arial" w:cs="Arial" w:eastAsia="Arial" w:hAnsi="Arial"/>
          <w:sz w:val="17"/>
          <w:szCs w:val="17"/>
          <w:color w:val="auto"/>
        </w:rPr>
        <w:t>– Analyses of the effectiveness of the various marketing channels in achieving different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Creation Solution: iExperience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recently launched, on trial basis, iExperience, our content creation solution that helps marketers syndicate and manage all their marketing content and assets.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We expect to officially launch iExperience in the fourth quarter of 2017.</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also leverage on our solutions such as iAudience, iAccess, and iActivation to design tailored solutions catering to customers’ specific marketing needs. For example, we have launched a number of mobile audience solutions, such as MoTV, our native in-app mobile video ad solution, MoSocial, our premium mobile social ad solution and MoFeeds, our native mobile in-feed ad solution.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Delivery Model</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offer both mobile audience solutions and other solutions based on channels desired by our customers. Our mobile audience solutions are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 PC video advertisements and search engine marketing.</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take a flexible approach to delivering our solutions. Depending on the preferences and levels of internal resources and sophistication of customers, our solutions are delivered through:</w:t>
      </w:r>
    </w:p>
    <w:p>
      <w:pPr>
        <w:spacing w:after="0" w:line="76"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self-service model, under which customers have the flexibility to run their advertising campaigns on an “a la carte”, cost-effective basis; and</w:t>
      </w:r>
    </w:p>
    <w:p>
      <w:pPr>
        <w:spacing w:after="0" w:line="153" w:lineRule="exact"/>
        <w:rPr>
          <w:rFonts w:ascii="Arial" w:cs="Arial" w:eastAsia="Arial" w:hAnsi="Arial"/>
          <w:sz w:val="16"/>
          <w:szCs w:val="16"/>
          <w:color w:val="auto"/>
        </w:rPr>
      </w:pPr>
    </w:p>
    <w:p>
      <w:pPr>
        <w:jc w:val="both"/>
        <w:ind w:left="900" w:right="16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managed service model, where our account management team manages marketing campaigns for our customers, including deciding on cross-channel marketing budget allocation and the timing, frequency, number and format of audience engagement based on their specified marketing objectives and budgets.</w:t>
      </w:r>
    </w:p>
    <w:p>
      <w:pPr>
        <w:spacing w:after="0" w:line="18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generate revenues primarily from customers’ marketing spend through our platform as they utilize our solutions, and depending on our revenue recognition model, either including or excluding media cost. To a lesser extent, we generate revenues from rebates from certain publishers. Please refer to “Management Discussion and Analysis of Financial Condition and Results of Operations — Key Operating and Financial Metrics — Net Revenue”, and “Management Discussion and Analysis of Financial Condition — Critical Accounting Policies — Revenue recognition” for a description of our revenue recognition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and Data Analytics Capabilities and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Assets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data assets are the backbone of our solutions and data analytics capabilities. We had the largest Chinese consumer data set in terms of number of active profiled users in 2016 among independent online marketing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technology companies in China, according to Frost &amp; Sullivan. From approximately 72,000 mobile apps and 2.3 million websites that we covered, we analyzed approximately 651.6 million active profiled users in China in the 30 days leading up to April 15, 2017. According to the China Internet Network Information Center, or CNNIC, there were 731 million PC internet users and 695 million mobile internet users in China as of December 31, 2016. The average daily volume of the data we collected reached 1.2 terabytes in the 30 days leading up to April 15, 2017.</w:t>
      </w:r>
    </w:p>
    <w:p>
      <w:pPr>
        <w:spacing w:after="0" w:line="17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70" w:lineRule="exact"/>
        <w:rPr>
          <w:sz w:val="20"/>
          <w:szCs w:val="20"/>
          <w:color w:val="auto"/>
        </w:rPr>
      </w:pPr>
    </w:p>
    <w:p>
      <w:pPr>
        <w:ind w:left="900" w:hanging="325"/>
        <w:spacing w:after="0" w:line="25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Intent data – </w:t>
      </w:r>
      <w:r>
        <w:rPr>
          <w:rFonts w:ascii="Arial" w:cs="Arial" w:eastAsia="Arial" w:hAnsi="Arial"/>
          <w:sz w:val="18"/>
          <w:szCs w:val="18"/>
          <w:color w:val="auto"/>
        </w:rPr>
        <w:t>Intent data refers to data that indicates the various intent of a user. Intent data directly identifies the interests and immediate needs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93" w:lineRule="exact"/>
        <w:rPr>
          <w:rFonts w:ascii="Arial" w:cs="Arial" w:eastAsia="Arial" w:hAnsi="Arial"/>
          <w:sz w:val="18"/>
          <w:szCs w:val="18"/>
          <w:color w:val="auto"/>
        </w:rPr>
      </w:pPr>
    </w:p>
    <w:p>
      <w:pPr>
        <w:ind w:left="900" w:right="280" w:hanging="325"/>
        <w:spacing w:after="0" w:line="297"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Interest data – </w:t>
      </w:r>
      <w:r>
        <w:rPr>
          <w:rFonts w:ascii="Arial" w:cs="Arial" w:eastAsia="Arial" w:hAnsi="Arial"/>
          <w:sz w:val="16"/>
          <w:szCs w:val="16"/>
          <w:color w:val="auto"/>
        </w:rPr>
        <w:t>Interest data refers to the category and semantic meaning of the content of websites and apps that a user visits, including visit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63" w:lineRule="exact"/>
        <w:rPr>
          <w:rFonts w:ascii="Arial" w:cs="Arial" w:eastAsia="Arial" w:hAnsi="Arial"/>
          <w:sz w:val="16"/>
          <w:szCs w:val="16"/>
          <w:color w:val="auto"/>
        </w:rPr>
      </w:pPr>
    </w:p>
    <w:p>
      <w:pPr>
        <w:ind w:left="900" w:right="140" w:hanging="325"/>
        <w:spacing w:after="0" w:line="276"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Online transactional data – </w:t>
      </w:r>
      <w:r>
        <w:rPr>
          <w:rFonts w:ascii="Arial" w:cs="Arial" w:eastAsia="Arial" w:hAnsi="Arial"/>
          <w:sz w:val="17"/>
          <w:szCs w:val="17"/>
          <w:color w:val="auto"/>
        </w:rPr>
        <w:t>Online transactional data refers to a user’s behavior on online commerce platforms, including the items he or she is</w:t>
      </w:r>
      <w:r>
        <w:rPr>
          <w:rFonts w:ascii="Arial" w:cs="Arial" w:eastAsia="Arial" w:hAnsi="Arial"/>
          <w:sz w:val="17"/>
          <w:szCs w:val="17"/>
          <w:i w:val="1"/>
          <w:iCs w:val="1"/>
          <w:color w:val="auto"/>
        </w:rPr>
        <w:t xml:space="preserve"> </w:t>
      </w:r>
      <w:r>
        <w:rPr>
          <w:rFonts w:ascii="Arial" w:cs="Arial" w:eastAsia="Arial" w:hAnsi="Arial"/>
          <w:sz w:val="17"/>
          <w:szCs w:val="17"/>
          <w:color w:val="auto"/>
        </w:rPr>
        <w:t>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customers.</w:t>
      </w:r>
    </w:p>
    <w:p>
      <w:pPr>
        <w:spacing w:after="0" w:line="77" w:lineRule="exact"/>
        <w:rPr>
          <w:rFonts w:ascii="Arial" w:cs="Arial" w:eastAsia="Arial" w:hAnsi="Arial"/>
          <w:sz w:val="17"/>
          <w:szCs w:val="17"/>
          <w:color w:val="auto"/>
        </w:rPr>
      </w:pPr>
    </w:p>
    <w:p>
      <w:pPr>
        <w:ind w:left="900" w:right="40" w:hanging="325"/>
        <w:spacing w:after="0" w:line="273"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Offline purchase behavioral data – </w:t>
      </w:r>
      <w:r>
        <w:rPr>
          <w:rFonts w:ascii="Arial" w:cs="Arial" w:eastAsia="Arial" w:hAnsi="Arial"/>
          <w:sz w:val="17"/>
          <w:szCs w:val="17"/>
          <w:color w:val="auto"/>
        </w:rPr>
        <w:t>Offline purchase behavioral data refers to a user’s behavior in non-digitally connected environments,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83" w:lineRule="exact"/>
        <w:rPr>
          <w:rFonts w:ascii="Arial" w:cs="Arial" w:eastAsia="Arial" w:hAnsi="Arial"/>
          <w:sz w:val="17"/>
          <w:szCs w:val="17"/>
          <w:color w:val="auto"/>
        </w:rPr>
      </w:pPr>
    </w:p>
    <w:p>
      <w:pPr>
        <w:ind w:left="900" w:right="180" w:hanging="325"/>
        <w:spacing w:after="0" w:line="286"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Social data – </w:t>
      </w:r>
      <w:r>
        <w:rPr>
          <w:rFonts w:ascii="Arial" w:cs="Arial" w:eastAsia="Arial" w:hAnsi="Arial"/>
          <w:sz w:val="17"/>
          <w:szCs w:val="17"/>
          <w:color w:val="auto"/>
        </w:rPr>
        <w:t>Social data refers a user’s behavior on social networks, such as Sina Weibo and Tencent QZone, including the content the user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from websites or apps via social sharing toolbars, and the content the user posts, shares on the social networks, his or her “social graph”, such as his or her “friends” and “followers” and other behavior data the user publicly shares on social networks. Social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52" w:lineRule="exact"/>
        <w:rPr>
          <w:sz w:val="20"/>
          <w:szCs w:val="20"/>
          <w:color w:val="auto"/>
        </w:rPr>
      </w:pPr>
    </w:p>
    <w:p>
      <w:pPr>
        <w:jc w:val="both"/>
        <w:ind w:left="900" w:right="100" w:hanging="325"/>
        <w:spacing w:after="0" w:line="31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Demographic data – </w:t>
      </w:r>
      <w:r>
        <w:rPr>
          <w:rFonts w:ascii="Arial" w:cs="Arial" w:eastAsia="Arial" w:hAnsi="Arial"/>
          <w:sz w:val="16"/>
          <w:szCs w:val="16"/>
          <w:color w:val="auto"/>
        </w:rPr>
        <w:t>Demographic data refers to a user’s age, gender, income level and geographic location. In addition to inferred demographic</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52"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Campaign performance data – </w:t>
      </w:r>
      <w:r>
        <w:rPr>
          <w:rFonts w:ascii="Arial" w:cs="Arial" w:eastAsia="Arial" w:hAnsi="Arial"/>
          <w:sz w:val="18"/>
          <w:szCs w:val="18"/>
          <w:color w:val="auto"/>
        </w:rPr>
        <w:t>Campaign performance data refers to a user’s interaction with, and response to, a given marketing message,</w:t>
      </w:r>
      <w:r>
        <w:rPr>
          <w:rFonts w:ascii="Arial" w:cs="Arial" w:eastAsia="Arial" w:hAnsi="Arial"/>
          <w:sz w:val="18"/>
          <w:szCs w:val="18"/>
          <w:i w:val="1"/>
          <w:iCs w:val="1"/>
          <w:color w:val="auto"/>
        </w:rPr>
        <w:t xml:space="preserve"> </w:t>
      </w:r>
      <w:r>
        <w:rPr>
          <w:rFonts w:ascii="Arial" w:cs="Arial" w:eastAsia="Arial" w:hAnsi="Arial"/>
          <w:sz w:val="18"/>
          <w:szCs w:val="18"/>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customer campaigns, and through our data collaboration arrangements with selected third-party data partners.</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We distill structured variables from large volume of unstructured data to construct context-rich user profiles. In the 30 days leading up to April 15, 2017, we analyzed approximately 651.6 million active profiled users, whose profiles include on average 23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Analytics Capabilities and Technologies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apply data science technologies extensively throughout the online marketing cycle to support audience tracking, profiling and segmentation and to execute cost-efficient decisions on real-time audience engagement. Our proprietary data analytics capabilities and technologies include: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 Learning and Artificial Intelligence</w:t>
      </w:r>
    </w:p>
    <w:p>
      <w:pPr>
        <w:spacing w:after="0" w:line="131" w:lineRule="exact"/>
        <w:rPr>
          <w:sz w:val="20"/>
          <w:szCs w:val="20"/>
          <w:color w:val="auto"/>
        </w:rPr>
      </w:pPr>
    </w:p>
    <w:p>
      <w:pPr>
        <w:ind w:left="900" w:right="80" w:hanging="325"/>
        <w:spacing w:after="0" w:line="25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Audience tracking engine </w:t>
      </w:r>
      <w:r>
        <w:rPr>
          <w:rFonts w:ascii="Arial" w:cs="Arial" w:eastAsia="Arial" w:hAnsi="Arial"/>
          <w:sz w:val="18"/>
          <w:szCs w:val="18"/>
          <w:color w:val="auto"/>
        </w:rPr>
        <w:t>- Our audience tracking engine monitors our audience across various devices and channels to identify which user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 including de-duplication of multiple devices to a user.</w:t>
      </w:r>
    </w:p>
    <w:p>
      <w:pPr>
        <w:spacing w:after="0" w:line="93" w:lineRule="exact"/>
        <w:rPr>
          <w:rFonts w:ascii="Arial" w:cs="Arial" w:eastAsia="Arial" w:hAnsi="Arial"/>
          <w:sz w:val="18"/>
          <w:szCs w:val="18"/>
          <w:color w:val="auto"/>
        </w:rPr>
      </w:pPr>
    </w:p>
    <w:p>
      <w:pPr>
        <w:ind w:left="900" w:right="40" w:hanging="325"/>
        <w:spacing w:after="0" w:line="286"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Contextual analysis engine - </w:t>
      </w:r>
      <w:r>
        <w:rPr>
          <w:rFonts w:ascii="Arial" w:cs="Arial" w:eastAsia="Arial" w:hAnsi="Arial"/>
          <w:sz w:val="17"/>
          <w:szCs w:val="17"/>
          <w:color w:val="auto"/>
        </w:rPr>
        <w:t>Our contextual analysis engine parses all data properties to understand the context and content which audiences are</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70"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Natural language processing algorithms - </w:t>
      </w:r>
      <w:r>
        <w:rPr>
          <w:rFonts w:ascii="Arial" w:cs="Arial" w:eastAsia="Arial" w:hAnsi="Arial"/>
          <w:sz w:val="18"/>
          <w:szCs w:val="18"/>
          <w:color w:val="auto"/>
        </w:rPr>
        <w:t>Our natural language processing algorithms, or NLP, are important elements of our contextual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engine. We use these algorithms to extract structure from unstructured data, so that it can be processed and analyzed effectively. Our NLP algorithms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31" w:lineRule="exact"/>
        <w:rPr>
          <w:sz w:val="20"/>
          <w:szCs w:val="20"/>
          <w:color w:val="auto"/>
        </w:rPr>
      </w:pPr>
    </w:p>
    <w:p>
      <w:pPr>
        <w:ind w:left="900" w:right="40" w:hanging="325"/>
        <w:spacing w:after="0" w:line="279"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User profiling engine - </w:t>
      </w:r>
      <w:r>
        <w:rPr>
          <w:rFonts w:ascii="Arial" w:cs="Arial" w:eastAsia="Arial" w:hAnsi="Arial"/>
          <w:sz w:val="17"/>
          <w:szCs w:val="17"/>
          <w:color w:val="auto"/>
        </w:rPr>
        <w:t>Combining the data collected through, and processed by, our contextual analysis engine and audience tracking engine, our</w:t>
      </w:r>
      <w:r>
        <w:rPr>
          <w:rFonts w:ascii="Arial" w:cs="Arial" w:eastAsia="Arial" w:hAnsi="Arial"/>
          <w:sz w:val="17"/>
          <w:szCs w:val="17"/>
          <w:i w:val="1"/>
          <w:iCs w:val="1"/>
          <w:color w:val="auto"/>
        </w:rPr>
        <w:t xml:space="preserve"> </w:t>
      </w:r>
      <w:r>
        <w:rPr>
          <w:rFonts w:ascii="Arial" w:cs="Arial" w:eastAsia="Arial" w:hAnsi="Arial"/>
          <w:sz w:val="17"/>
          <w:szCs w:val="17"/>
          <w:color w:val="auto"/>
        </w:rPr>
        <w:t>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April 15, 2017, we had designed an aggregate of 187 data labels for our user profiles.</w:t>
      </w:r>
    </w:p>
    <w:p>
      <w:pPr>
        <w:spacing w:after="0" w:line="76"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Profile Segmentation Algorithms </w:t>
      </w:r>
      <w:r>
        <w:rPr>
          <w:rFonts w:ascii="Arial" w:cs="Arial" w:eastAsia="Arial" w:hAnsi="Arial"/>
          <w:sz w:val="18"/>
          <w:szCs w:val="18"/>
          <w:color w:val="auto"/>
        </w:rPr>
        <w:t>- We use various algorithms to organize user profiles, which are generated and updated dynamically in real time,</w:t>
      </w:r>
      <w:r>
        <w:rPr>
          <w:rFonts w:ascii="Arial" w:cs="Arial" w:eastAsia="Arial" w:hAnsi="Arial"/>
          <w:sz w:val="18"/>
          <w:szCs w:val="18"/>
          <w:i w:val="1"/>
          <w:iCs w:val="1"/>
          <w:color w:val="auto"/>
        </w:rPr>
        <w:t xml:space="preserve"> </w:t>
      </w:r>
      <w:r>
        <w:rPr>
          <w:rFonts w:ascii="Arial" w:cs="Arial" w:eastAsia="Arial" w:hAnsi="Arial"/>
          <w:sz w:val="18"/>
          <w:szCs w:val="18"/>
          <w:color w:val="auto"/>
        </w:rPr>
        <w:t>responding to real time changes in user interests and needs. This allows for accurate and detailed segmentation of user interests through multiple dimensions, e.g. by user interest keywords and user interest categories.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Real-Time Matching Technologies</w:t>
      </w:r>
    </w:p>
    <w:p>
      <w:pPr>
        <w:spacing w:after="0" w:line="131" w:lineRule="exact"/>
        <w:rPr>
          <w:sz w:val="20"/>
          <w:szCs w:val="20"/>
          <w:color w:val="auto"/>
        </w:rPr>
      </w:pPr>
    </w:p>
    <w:p>
      <w:pPr>
        <w:ind w:left="900" w:right="24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Real-time user engagement algorithms </w:t>
      </w:r>
      <w:r>
        <w:rPr>
          <w:rFonts w:ascii="Arial" w:cs="Arial" w:eastAsia="Arial" w:hAnsi="Arial"/>
          <w:sz w:val="18"/>
          <w:szCs w:val="18"/>
          <w:color w:val="auto"/>
        </w:rPr>
        <w:t>– Our real time user engagement algorithms execute marketing decisions based on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92" w:lineRule="exact"/>
        <w:rPr>
          <w:rFonts w:ascii="Arial" w:cs="Arial" w:eastAsia="Arial" w:hAnsi="Arial"/>
          <w:sz w:val="18"/>
          <w:szCs w:val="18"/>
          <w:color w:val="auto"/>
        </w:rPr>
      </w:pPr>
    </w:p>
    <w:p>
      <w:pPr>
        <w:ind w:left="900" w:right="20" w:hanging="325"/>
        <w:spacing w:after="0" w:line="25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Online continuous real-time bid optimization algorithms </w:t>
      </w:r>
      <w:r>
        <w:rPr>
          <w:rFonts w:ascii="Arial" w:cs="Arial" w:eastAsia="Arial" w:hAnsi="Arial"/>
          <w:sz w:val="18"/>
          <w:szCs w:val="18"/>
          <w:color w:val="auto"/>
        </w:rPr>
        <w:t>– Our online continuous real-time bid optimization algorithms consider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collect data solely to analyze audience and campaign performance. In order to identify each user profile, we associate a random number with each new profile. We then use that number as the anonymous identification for the profile and associate it with all related data. In general we do not collect personally identifiable information unless a user consents to it or a marketer gives consent on behalf of the user. If such information is inadvertently obtained by us, we require its immediate deletion.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treat all information we collect as confidential. We do not disclose any information we gather from a marketer or any third party data partner unless such disclosure is approved by it, which in turn has obtained end user consent.</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put in place appropriate physical, electronic and managerial procedures to safeguard and secure our data assets, including to prevent unauthorized access, to preserve their integrity and to ensure their appropriate use. On the software level, we maintain the same database login information across all our computer systems to control access, and individuals with different levels or job duties are assigned different levels of access permissions. For example, only high-level technology personnel, including head of system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head of data science and certain other technical developments leaders have root access to our operation system; and only database managers have access to the relevant database. We have central controls to govern user roles and permissions. On the hardware levels, our servers are located at IDCs, and only system operation personnel have access to our servers. In addition, we have established hardware firewall where all traffic is inspected and filtered according to a comprehensive set of rules. We conduct comprehensive security reviews of our data assets on an annual basis and ad hoc security reviews from time to time as special needs arise.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Our platform is built on a highly scalable and reliable cloud-based technology architecture. This allows us to harness large quantities of real-time data and ensures high speed performance at a large scale to accommodate more customers and increased complexity of their online marketing campaigns.</w:t>
      </w:r>
    </w:p>
    <w:p>
      <w:pPr>
        <w:spacing w:after="0" w:line="29" w:lineRule="exact"/>
        <w:rPr>
          <w:sz w:val="20"/>
          <w:szCs w:val="20"/>
          <w:color w:val="auto"/>
        </w:rPr>
      </w:pPr>
    </w:p>
    <w:p>
      <w:pPr>
        <w:ind w:left="900" w:right="80" w:hanging="325"/>
        <w:spacing w:after="0" w:line="30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Real-time analytics - </w:t>
      </w:r>
      <w:r>
        <w:rPr>
          <w:rFonts w:ascii="Arial" w:cs="Arial" w:eastAsia="Arial" w:hAnsi="Arial"/>
          <w:sz w:val="16"/>
          <w:szCs w:val="16"/>
          <w:color w:val="auto"/>
        </w:rPr>
        <w:t>Our cloud-based technology architecture is built to be fully distributed while having a single unified access layer. Large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real-time to our data, providing the most up-to-date and accurate representations of a user’s traits and online behavior.</w:t>
      </w:r>
    </w:p>
    <w:p>
      <w:pPr>
        <w:spacing w:after="0" w:line="59" w:lineRule="exact"/>
        <w:rPr>
          <w:rFonts w:ascii="Arial" w:cs="Arial" w:eastAsia="Arial" w:hAnsi="Arial"/>
          <w:sz w:val="16"/>
          <w:szCs w:val="16"/>
          <w:color w:val="auto"/>
        </w:rPr>
      </w:pPr>
    </w:p>
    <w:p>
      <w:pPr>
        <w:ind w:left="900" w:right="80" w:hanging="325"/>
        <w:spacing w:after="0" w:line="276"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Scalability - </w:t>
      </w:r>
      <w:r>
        <w:rPr>
          <w:rFonts w:ascii="Arial" w:cs="Arial" w:eastAsia="Arial" w:hAnsi="Arial"/>
          <w:sz w:val="17"/>
          <w:szCs w:val="17"/>
          <w:color w:val="auto"/>
        </w:rPr>
        <w:t>With modular architecture that is built to be horizontally scalable, our platform can be easily expanded as data storage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customer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77" w:lineRule="exact"/>
        <w:rPr>
          <w:rFonts w:ascii="Arial" w:cs="Arial" w:eastAsia="Arial" w:hAnsi="Arial"/>
          <w:sz w:val="17"/>
          <w:szCs w:val="17"/>
          <w:color w:val="auto"/>
        </w:rPr>
      </w:pPr>
    </w:p>
    <w:p>
      <w:pPr>
        <w:jc w:val="both"/>
        <w:ind w:left="900" w:right="80" w:hanging="325"/>
        <w:spacing w:after="0" w:line="288"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Reliability - </w:t>
      </w:r>
      <w:r>
        <w:rPr>
          <w:rFonts w:ascii="Arial" w:cs="Arial" w:eastAsia="Arial" w:hAnsi="Arial"/>
          <w:sz w:val="16"/>
          <w:szCs w:val="16"/>
          <w:color w:val="auto"/>
        </w:rPr>
        <w:t>Our technology layers have built in software and hardware redundancy and will automatically switch if errors are detected. We built</w:t>
      </w:r>
      <w:r>
        <w:rPr>
          <w:rFonts w:ascii="Arial" w:cs="Arial" w:eastAsia="Arial" w:hAnsi="Arial"/>
          <w:sz w:val="16"/>
          <w:szCs w:val="16"/>
          <w:i w:val="1"/>
          <w:iCs w:val="1"/>
          <w:color w:val="auto"/>
        </w:rPr>
        <w:t xml:space="preserve"> </w:t>
      </w:r>
      <w:r>
        <w:rPr>
          <w:rFonts w:ascii="Arial" w:cs="Arial" w:eastAsia="Arial" w:hAnsi="Arial"/>
          <w:sz w:val="16"/>
          <w:szCs w:val="16"/>
          <w:color w:val="auto"/>
        </w:rPr>
        <w:t>our platform on a distributed computing architecture with no single point of failure. In addition, our architecture supports multiple live copies of each data set along with snapshot capabilities for faster, point-in-time data recovery instead of traditional backup and restore methodologies.</w:t>
      </w:r>
    </w:p>
    <w:p>
      <w:pPr>
        <w:ind w:left="900" w:right="640"/>
        <w:spacing w:after="0" w:line="261" w:lineRule="auto"/>
        <w:rPr>
          <w:rFonts w:ascii="Arial" w:cs="Arial" w:eastAsia="Arial" w:hAnsi="Arial"/>
          <w:sz w:val="16"/>
          <w:szCs w:val="16"/>
          <w:color w:val="auto"/>
        </w:rPr>
      </w:pPr>
      <w:r>
        <w:rPr>
          <w:rFonts w:ascii="Arial" w:cs="Arial" w:eastAsia="Arial" w:hAnsi="Arial"/>
          <w:sz w:val="18"/>
          <w:szCs w:val="18"/>
          <w:color w:val="auto"/>
        </w:rPr>
        <w:t>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Content Distribution Channels</w:t>
      </w:r>
    </w:p>
    <w:p>
      <w:pPr>
        <w:spacing w:after="0" w:line="121"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We provide marketers with one-stop access to a wide variety of cross-channel content distribution opportunities in China through our deep relationship with content distribution channel partners. Our content distribution opportunities span the mobile and PC channels, and include various formats such as video and traditional banner ad. Our content distribution channel partners primarily include mobile and online publishers, major search engines and ad exchanges.</w:t>
      </w:r>
    </w:p>
    <w:p>
      <w:pPr>
        <w:spacing w:after="0" w:line="254" w:lineRule="auto"/>
        <w:rPr>
          <w:sz w:val="20"/>
          <w:szCs w:val="20"/>
          <w:color w:val="auto"/>
        </w:rPr>
      </w:pPr>
      <w:r>
        <w:rPr>
          <w:rFonts w:ascii="Arial" w:cs="Arial" w:eastAsia="Arial" w:hAnsi="Arial"/>
          <w:sz w:val="18"/>
          <w:szCs w:val="18"/>
          <w:color w:val="auto"/>
        </w:rPr>
        <w:t>In the 30 days leading up to April 15, 2017, we covered approximately 72,000 mobile apps and 2.3 million websites. In 2016, our gross billing from mobile audience solutions and other solutions amounted to US$112.4 million and US$123.9 million, accounting for 47.6% and 52.4% of our gross billing, respectively. In 2016, our net revenues from mobile audience solutions and other solutions amounted to US$57.8 million and US$37.6 million, accounting for 60.6% and 39.4% of our net revenue, respectively.</w:t>
      </w:r>
    </w:p>
    <w:p>
      <w:pPr>
        <w:spacing w:after="0" w:line="1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generally enter into annual framework agreements with content distribution channel partners. These agreements generally provide for certain rebates that we are entitled to should the market spending during the terms exceed specified thresholds. See “Management’s Discussion and Analysis of Financial Condition and Results of Operations — Key Operating and Financial Metrics — Net Revenue,” “— Critical Accounting Policies — Revenue recognition — Cost-Plus and Agreed Rebates to be Earned from Certain Website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Publishers” and “— Key Components of Results of Operations — Cost of Revenues; Gross Profit Margin” for a description of the accounting treatment of rebates that we receive from content distribution channels. Some of these agreements also provide for minimum amount of content distribution opportunities that needs to be purchased during the terms of the agreements, failing which the content distribution channel partners may terminate the agreements.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collaborate with many of our content distribution channel partners. Our product, technology and data engineering division work closely with the respective technology teams in our channel partners to address ad hoc technical changes from these partners that affect our tracking and access to content distribution opportunities. In addition to basic cooperation on access to content distribution opportunities, we collaborate closely with our content distribution partners on research and development to stay at the forefront of marketing technology innovation and facilitate optimal audience engagement. For example, in 2015, we launched MoTV mobile SDK through cooperation with certain leading apps in China, which is an in-app video app that provides blue-ray quality ad viewing experience. In addition, we were awarded “Platinum Service Partner” by Tencent in 2016 in recognition of our online marketing capabilities on social media.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sell our solutions by entering into marketing campaign contracts with marketers or marketing agencies. We treat entities which we derive revenue from under our marketing campaign contracts with them as our customers. Therefore, we count specific sub-brands or divisions within the same brand or holding company as distinct customers so long as we have signed campaign contracts with different entities. On the other hand, even though multiple campaign contracts may be involved, we only record one single customer if those contracts with us are signed by the same entity. Our customers include both marketers who have direct contractual relationships with us, or direct marketer customers, and marketing agency customers. Our “marketers” include both direct marketer customers, and marketers that are represented by our marketing agency customers and have no direct contractual relationship with us, or end marketers. During 2016, we had over 2,000 customers including over 1,800 direct marketer customers and over 500 marketing agency customers, which represented over 1,100 end marketers.</w:t>
      </w:r>
    </w:p>
    <w:p>
      <w:pPr>
        <w:spacing w:after="0" w:line="17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Our marketers span a diverse array of industry segments, with banking and finance, entertainment and media, E-commerce, personal care and beauty, and travel and hospitality being among the top five in terms of gross billing contribution in 2016. They also feature companies of different sizes, including more than 150 multinational companies in 2016, as well as small and medium-sized enterprises. Our marketers come from a variety of regions, including Europe, North America, South America, and Southeast Asia. We provide marketers with on-the-ground support through our local offices as well as centralized support out of our headquarters in Hong Kong.</w:t>
      </w:r>
    </w:p>
    <w:p>
      <w:pPr>
        <w:spacing w:after="0" w:line="18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derived over 70% of our gross billing from direct marketer customers in 2015 and 2016. We have been strategically optimizing our customer base to focus on sales to customers who have larger marketing budgets and better credit and liquidity profile, and conduct online marketing campaigns on a more frequent basis. As a result of these efforts and our enhanced focus on mobile, including our acquisition of OptAim, our gross billing per customer increased by US$32,020, or 47.5%, from US$67,413 in 2015 to US$99,433 in 2016 and our gross billing retention rate was 107% in 2016, compared to 100% in 2015, both of which contributed to the growth of our overall gross billing and demonstrated the stickiness of our platform. The total number of our customers decreased by 10.1% from 2,644 in 2015 to 2,376 in 2016 notwithstanding our full year consolidation of OptAim’s results of operations in 2016 compared to our consolidation of OptAim’s results of operations only for the period from July 24 to December 31 in 2015.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Business Development and Account Management</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sales and business development workforce is focused on optimizing our customer base to enhance sales to customers who have larger marketing budgets and better credit and liquidity profile, and to attract more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customers to use our solutions through our self-service model. Leveraging our existing positions and reputations in industry sectors where we already have a strong presence, we are able to attract more direct marketer customers in those sectors. In addition, we are focused on diversifying our customer base. We have partnered with local marketing agencies at selected first and second-tier cities in China to expand our marketer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78"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Our sales and business development team is organized by geographic region, and is further divided into groups that focus on sales to marketers or to marketing agencies in each geographic region. As of December 31, 2016, we had 161 employees for sales and business development.</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Supporting our sales and business development team are our account managers under our operational support team, who help maintain and grow the accounts of our customers. While our intuitive user interfaces are designed to enable customers to easily deploy and utilize our solutions themselves with minimal customer support, we make online and telephonic helpdesk facilities available and provide onsite engineering support to customers and also assign account managers for our direct marketer customers and some of our marketing agency customers. Our account mangers provide consultative services on the use of our solutions, and in addition, for our managed service customers, more in-depth servicing on campaign planning, execution and result measurement and analysis.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use a variety of traditional and web-based channels to drive our brand awareness and generate customer demand, including through direct marketing, print advertising in trade journals, offline sales efforts and customer referrals. We regularly attend trade shows and industry conferences, including the industry-renowned DMEXCO, RISE conference, iAB TechFront and GMIC,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66"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Notwithstanding these efforts, we cannot be sure that any intellectual property we own will not be challenged, invalidated, or circumvented or that such intellectual property will be commercially useful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protecting our brand, products, services and technology. For more information regarding the risks related to our intellectual property, please see “Risk Factors</w:t>
      </w:r>
    </w:p>
    <w:p>
      <w:pPr>
        <w:spacing w:after="0" w:line="4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Risks Related to Our Business and Industry — Our business may suffer if it is alleged or determined that our technologies or any other aspects of our business infringe on the intellectual property rights of others,” “— If we are unable to protect our proprietary information or other intellectual property, our business could be adversely affected.”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April 30, 2017, we had two patents in application in China, and 13 registered trademarks and trademark application in China and Hong Kong.</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China’s independent online marketing technology market is highly competitive, fragmented and rapidly changing. According to Frost &amp; Sullivan, we were the largest independent online marketing technology company in China in terms of gross billing in 2016, with a market share of 5.2%. According to Frost &amp; Sullivan, the five largest independent online marketing technology companies accounted for a total market share of 13.1% in terms of gross billing among all independent online marketing technology companies in China in 2016. We mainly compete with independent online marketing technology companies in China that offer online marketing solutions through demand side platform and use advanced technologies to optimize marketing campaigns for marketers. Frost &amp; Sullivan expects that the independent online marketing technology market will undergo further consolidation and continuous innovation, which could result in higher concentration levels and leading players achieving higher market shares.</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compete for online marketing revenue based on many factors, including our ability to deliver return on marketing expenditure at scale, customer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customer base, deep knowledge and familiarity with China’s online marketing industry, and visionary leadership enable us to remain competitive.</w:t>
      </w:r>
    </w:p>
    <w:p>
      <w:pPr>
        <w:spacing w:after="0" w:line="19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and Tencent, which have established stronger and broader presence across the online marketing ecosystem and have significantly more financial, marketing and other resources, more extensive customer base and broader supplier relationship, and longer operating histories and greater brand recognition than we do. 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Please refer to “Risk Factors – Risk Related to Our Business and Industry - The market for online marketing solutions is highly fragmented and intensely competitive, and we may not be able to compete successfully with existing or new competitors” and “Risk Factors – Risk Related to Our Business and Industry - If online marketing solutions do not achieve widespread market acceptance, our business, growth prospects and results of operations would be materially and adversely affected.”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and 2016, we had a total of 596 and 554 employees, respectively. The table below provides a breakdown of our employees by function as of December 31,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employees</w:t>
            </w: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technology and data engineering</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Operation support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Sales and business development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headquarters and principal executive office are located in Hong Kong, in an approximately 1,500 square-meter facility, under certain lease agreements expiring on December 31, 2018. We currently lease approximately 2,900 square-meter office space in China located in Beijing, Shanghai, Shenzhen and Guangzhou, which primarily carry out the functions of technology and data engineering, sales and business development and operation support.</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lease all of our facilities and do not own any real property. Our leases will expire from 2017 to 2019. We believe that our current facilities are suitable and adequate to meet our current needs. If we require additional space, we expect to be able to obtain additional facilities on commercially reasonable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From time to time we may become involved in legal or administrative proceedings or be subject to claims arising in the ordinary course of our business.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Advertising Business</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Advertising Law of the People’s Republic of China, promulgated by the Standing Committee of the National People’s Congress on April 24, 2015 and became effective on September 1, 2015,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The Advertising Law defines an “advertising operator” as any natural person, legal person or other organization that agrees to provide advertising design, production and agency services for advertisers. Therefore, we are subject to the Advertising Law as an “advertising operator”.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such as us,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9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Prior to June 29, 2015, we were regulated by the Regulations for the Administration of Foreign-Invested Advertising Enterprises, promulgated by the State Administration for Industry and Commerce and the MOFCOM, which prescribed certain restrictions on foreign investors that invest in companies in advertising business in China. Among other things, such foreign investors shall have at least three years’ track record primarily engaging in advertising business. The Regulations for the Administration of Foreign-Invested Advertising Enterprises were abolished on June 29, 2015 by the State Administration for Industry and Commerce after consultation with the MOFCOM.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Information Service</w:t>
      </w:r>
    </w:p>
    <w:p>
      <w:pPr>
        <w:spacing w:after="0" w:line="121"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Ministry of Industry and Information Technology, or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w:t>
      </w:r>
    </w:p>
    <w:p>
      <w:pPr>
        <w:spacing w:after="0" w:line="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Privacy Protection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8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Foreign-related Surveys Measures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(2015 version), only a domestic enterprise or a sino-foreign enterprise which meet the several requirements stipulated in the Foreign-related Surveys Measures can apply for license for the foreign-related survey.</w:t>
      </w:r>
    </w:p>
    <w:p>
      <w:pPr>
        <w:spacing w:after="0" w:line="166"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We currently collect data of multiple kinds and from multiple sources through our PRC subsidiaries and Hong Kong subsidiaries, including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According to anonymous inquiries with the National Bureau of Statistics in China and its local counterparts in Beijing, Shanghai and Guangdong province by our PRC Counsel, Jingtian &amp; Gongcheng, these governing bodies currently do not explicitly require a company with a business model similar to ours to obtain the license for foreign-related surveys under the current laws and regulations. However, considerable uncertainties exist on the interpretation and implementation of existing and future laws and regulations on foreign-related surveys. If our data collection, analysis or utilization activities fall into the above scope, we will be deemed to be carrying out foreign-related surveys and therefore subject to the requirements under the Foreign-related Surveys Measures. If that is to happen, we would be required to stop these activities immediately and use a qualified entity other than our PRC subsidiaries or Hong Kong subsidiaries to apply for the data license for foreign-related surveys. We may be subject to penalties, including fines, warnings, orders to correct and even criminal charge if we engage foreign-related survey activities without the license for foreign-related surveys.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Computer Software Copyright</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On March 1, 2013, the Regulations for the Protection of Computer Software promulgated by the State Council came into effect. These regulations are formulated for protecting the rights and interests of computer software copyright owners, encouraging the development and application of computer software and promoting the development of software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w:t>
      </w:r>
    </w:p>
    <w:p>
      <w:pPr>
        <w:spacing w:after="0" w:line="117" w:lineRule="exact"/>
        <w:rPr>
          <w:sz w:val="20"/>
          <w:szCs w:val="20"/>
          <w:color w:val="auto"/>
        </w:rPr>
      </w:pPr>
    </w:p>
    <w:p>
      <w:pPr>
        <w:jc w:val="both"/>
        <w:ind w:right="540" w:firstLine="456"/>
        <w:spacing w:after="0" w:line="297" w:lineRule="auto"/>
        <w:rPr>
          <w:sz w:val="20"/>
          <w:szCs w:val="20"/>
          <w:color w:val="auto"/>
        </w:rPr>
      </w:pPr>
      <w:r>
        <w:rPr>
          <w:rFonts w:ascii="Arial" w:cs="Arial" w:eastAsia="Arial" w:hAnsi="Arial"/>
          <w:sz w:val="16"/>
          <w:szCs w:val="16"/>
          <w:color w:val="auto"/>
        </w:rPr>
        <w:t>The PRC Trademark Law, promulgated in 1983 and most recently amended in 2013, which such amendments became effective on May 1, 2014,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Domain Name</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On December 20, 2004, the Measures for the Administration of Internet Domain Names of the PRC, promulgated by the Ministry of Information, came into effect.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Employment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or the Social Insurance Law, and (iv) the Regulations on the Management of Housing Provident Fund, promulgated by the State Council on March 24, 2002.</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Enterprise Income Tax</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PRC enterprise income tax is calculated based on taxable income, which is determined under (i) the PRC Enterprise Income Tax Law, promulgated by the National People’s Congress of China and implemented on January 1, 2008, or the EIT Law, and (ii) the implementation rules to the EIT Law promulgated by the State Council and implemented on January 1, 2008.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7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for Share Transfers</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According to the Notice on Strengthening Administration of Enterprise Income Tax for Share Transfers by Non-Resident Enterprises, or Circular 698, promulgated by the SAT on December 10, 2009,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There is uncertainty as to the application of Circular 698 and Circular 7. Circular 698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698 and Circular 7, and we may be required to expend valuable resources to comply with Circular 698 and Circular 7 or to establish that we should not be taxed under the general anti-avoidance rule of the EIT Law, which may have a material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Added Tax</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Withholding Tax</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withholding tax rate: (i) it must be is a company; (ii) 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Administrative Measures for Non-Resident Taxpayers to Enjoy Treatments under Tax Treaties, or Non-Resident Tax Treatments Measures, which became effective in November 2015, require that non-resident taxpayers report and submit the relevant statements and materials specified in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6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Settlement and Overseas Remittance of Foreign-Invested Enterprises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6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January 10, 2017, the People’s Bank of China promulgated the Circular on Management of Cross-border Financing. According to this circular, an enterprise shall file the cross-border financing contracts for the record 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Outbound Investment and Financing and Roundtrip Investment</w:t>
      </w:r>
    </w:p>
    <w:p>
      <w:pPr>
        <w:spacing w:after="0" w:line="117" w:lineRule="exact"/>
        <w:rPr>
          <w:sz w:val="20"/>
          <w:szCs w:val="20"/>
          <w:color w:val="auto"/>
        </w:rPr>
      </w:pPr>
    </w:p>
    <w:p>
      <w:pPr>
        <w:ind w:right="500" w:firstLine="456"/>
        <w:spacing w:after="0" w:line="276" w:lineRule="auto"/>
        <w:rPr>
          <w:sz w:val="20"/>
          <w:szCs w:val="20"/>
          <w:color w:val="auto"/>
        </w:rPr>
      </w:pPr>
      <w:r>
        <w:rPr>
          <w:rFonts w:ascii="Arial" w:cs="Arial" w:eastAsia="Arial" w:hAnsi="Arial"/>
          <w:sz w:val="17"/>
          <w:szCs w:val="17"/>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Dividend Distribution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March 1, 2014, and (ii) Wholly Foreign-Owned Enterprise Law of the People’s Republic of China, promulgated on April 12, 1986 and amended on October 31, 2000 by the Standing Committee of the National People’s Congress.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 to the Catalogue for the Guidance of Foreign Investment Industries (Revised in 2015), or the 2015 Catalogue,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According to the 2015 Catalogue, market survey falls into the catalogue of restrictions, which means foreign investors can engage in businesses in this industry only through a sino-foreign enterprise, while social survey falls into the catalogue of prohibitions.</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January 2015, the MOFCOM published a consultation draft of PRC Foreign Investment Law for public review and comments. Among other things, the draft Foreign Investment Law expands the definition of foreign investment and introduces the principle of “actual control” in determining whether a company is considered an FIE. And “actual control” broadly defined in the Draft of PRC Foreign Investment Law including the following summarized categories: (i) holding, directly or indirectly, not less than 50% of shares, equities, share of voting rights or other similar rights of the subject entity;</w:t>
      </w:r>
    </w:p>
    <w:p>
      <w:pPr>
        <w:spacing w:after="0" w:line="2" w:lineRule="exact"/>
        <w:rPr>
          <w:sz w:val="20"/>
          <w:szCs w:val="20"/>
          <w:color w:val="auto"/>
        </w:rPr>
      </w:pPr>
    </w:p>
    <w:p>
      <w:pPr>
        <w:ind w:right="40" w:firstLine="8"/>
        <w:spacing w:after="0" w:line="254" w:lineRule="auto"/>
        <w:tabs>
          <w:tab w:leader="none" w:pos="2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holding, directly or indirectly, less than 50% of the voting rights of the subject entity but having the power to secure at least 50% of the seats on the board or other equivalent decision making bodies, or having the voting power to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w:t>
      </w:r>
    </w:p>
    <w:p>
      <w:pPr>
        <w:spacing w:after="0" w:line="190"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Therefore, under the Draft Foreign Investment Law, variable interest entities would also be deemed as FIEs, if they are ultimately “controlled” by foreign investors and be subject to restrictions on foreign investments. As a result, their operation in the industry listed on the “catalogue of restrictions” without market entry clearance or on the “catalogue of prohibitions” may be considered as illegal. If this is the case, the variable interest entities would be ordered to terminate the related business and might subject to penalties, including confiscations, fines, and even criminal charges.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the Draft Foreign Investment Law imposes stringent ad hoc and periodic information reporting requirements on foreign investors and the applicable FIEs. Aside from an investment information report required at each investment or each investment alteration,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Draft Foreign Investment Law has not taken a position on what actions will be taken with respect to the existing companies with a “variable interest entity” structure, whether or not these companies are controlled by Chinese parties. And it is also uncertain when the draft would be passed into law and whether the final version would have any substantial changes from this draft.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 Unless otherwise stated, the business address for our directors and executive officers is that of our principal executive office at: 15/F, Prosperity Millennia Plaza, 663 King’s Road, Quarry Bay, Hong Kong S.A.R.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tcPr>
          <w:p>
            <w:pPr>
              <w:spacing w:after="0"/>
              <w:rPr>
                <w:sz w:val="20"/>
                <w:szCs w:val="20"/>
                <w:color w:val="auto"/>
              </w:rPr>
            </w:pPr>
            <w:r>
              <w:rPr>
                <w:rFonts w:ascii="Arial" w:cs="Arial" w:eastAsia="Arial" w:hAnsi="Arial"/>
                <w:sz w:val="14"/>
                <w:szCs w:val="14"/>
                <w:b w:val="1"/>
                <w:bCs w:val="1"/>
                <w:color w:val="auto"/>
              </w:rPr>
              <w:t>Position/Title</w:t>
            </w:r>
          </w:p>
        </w:tc>
      </w:tr>
      <w:tr>
        <w:trPr>
          <w:trHeight w:val="195"/>
        </w:trPr>
        <w:tc>
          <w:tcPr>
            <w:tcW w:w="2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Wing Hong Sammy Hsieh</w:t>
            </w:r>
          </w:p>
        </w:tc>
        <w:tc>
          <w:tcPr>
            <w:tcW w:w="60" w:type="dxa"/>
            <w:vAlign w:val="bottom"/>
          </w:tcPr>
          <w:p>
            <w:pPr>
              <w:spacing w:after="0"/>
              <w:rPr>
                <w:sz w:val="16"/>
                <w:szCs w:val="16"/>
                <w:color w:val="auto"/>
              </w:rPr>
            </w:pPr>
          </w:p>
        </w:tc>
        <w:tc>
          <w:tcPr>
            <w:tcW w:w="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6"/>
                <w:szCs w:val="16"/>
                <w:color w:val="auto"/>
              </w:rPr>
            </w:pPr>
          </w:p>
        </w:tc>
        <w:tc>
          <w:tcPr>
            <w:tcW w:w="6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Chief Executive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Jian Tang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Chief Operating Officer, Chief Technology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Yau Ping 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Francis Hun Ming Wong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Yu Long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Antares Au</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Xiangji Zhang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Jie Jiao</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Yan Lee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Product Officer</w:t>
            </w:r>
          </w:p>
        </w:tc>
      </w:tr>
    </w:tbl>
    <w:p>
      <w:pPr>
        <w:spacing w:after="0" w:line="202"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Mr. Wing Hong Sammy Hsieh </w:t>
      </w:r>
      <w:r>
        <w:rPr>
          <w:rFonts w:ascii="Arial" w:cs="Arial" w:eastAsia="Arial" w:hAnsi="Arial"/>
          <w:sz w:val="17"/>
          <w:szCs w:val="17"/>
          <w:color w:val="auto"/>
        </w:rPr>
        <w:t>is our chairman of the board and co-founder and has served as our chief executive officer since 2009. Prior to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Mr. Jian Tang </w:t>
      </w:r>
      <w:r>
        <w:rPr>
          <w:rFonts w:ascii="Arial" w:cs="Arial" w:eastAsia="Arial" w:hAnsi="Arial"/>
          <w:sz w:val="16"/>
          <w:szCs w:val="16"/>
          <w:color w:val="auto"/>
        </w:rPr>
        <w:t>is our director and co-founder and has served as our chief operating officer since January 2016 and our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6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 xml:space="preserve">Mr. Yau Ping Ng </w:t>
      </w:r>
      <w:r>
        <w:rPr>
          <w:rFonts w:ascii="Arial" w:cs="Arial" w:eastAsia="Arial" w:hAnsi="Arial"/>
          <w:sz w:val="18"/>
          <w:szCs w:val="18"/>
          <w:color w:val="auto"/>
        </w:rPr>
        <w:t>is our director and co-founder. Mr. Ng has also served as director of both Aladdin Fintech (Beijing) Company Limited and Aladdin</w:t>
      </w:r>
      <w:r>
        <w:rPr>
          <w:rFonts w:ascii="Arial" w:cs="Arial" w:eastAsia="Arial" w:hAnsi="Arial"/>
          <w:sz w:val="18"/>
          <w:szCs w:val="18"/>
          <w:i w:val="1"/>
          <w:iCs w:val="1"/>
          <w:color w:val="auto"/>
        </w:rPr>
        <w:t xml:space="preserve"> </w:t>
      </w:r>
      <w:r>
        <w:rPr>
          <w:rFonts w:ascii="Arial" w:cs="Arial" w:eastAsia="Arial" w:hAnsi="Arial"/>
          <w:sz w:val="18"/>
          <w:szCs w:val="18"/>
          <w:color w:val="auto"/>
        </w:rPr>
        <w:t>Fintech Company Limited. Prior to founding our company, Mr. Ng was head of direct sales at Yahoo Hong Kong where he specialized in developing new business and sales partnerships for the company’s search marketing and performance display solutions. Mr. Ng received his bachelor’s degree in computer science from the Chinese University of Hong Kong. Mr. Ng was named by Campaign Asia as “Digital A-list Digital Entrepreneur” in 2015 and Vmarketing as “Top 100 digital figures in 2011-2012.”</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Mr. Francis Hun Ming Wong </w:t>
      </w:r>
      <w:r>
        <w:rPr>
          <w:rFonts w:ascii="Arial" w:cs="Arial" w:eastAsia="Arial" w:hAnsi="Arial"/>
          <w:sz w:val="18"/>
          <w:szCs w:val="18"/>
          <w:color w:val="auto"/>
        </w:rPr>
        <w:t>has served as our director since August 2015. Mr. Wong is currently an executive director and serves on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Sumitomo Corporation Equity Asia Limited, the Asia corporate venture investment arm of Sumitomo Corporation, and leads its investment activities in Asia. Mr. Wong also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serves on the board of Wisers Information Holding Company Limited, Algoblu Holding Limited, RETCHAT Inc. and CDP Holdings Limited. Mr. Wong has more than 16 years of venture capital investing experience in Asia, primarily in technology sector. Prior to joining Sumitomo Corporation Equity Asia in 2007, Mr. Wong was an assistant vice president of Walden International, a venture capital firm in Silicon Valley. Prior to entering venture capital industry in 2000, Mr. Wong served various positions on engineering, product and business development in telecom sector respectively with Hongkong Telecom and Hutchison Telecom for almost eight years. Mr. Wong received his bachelor degree in engineering, his master degree in computer science from the University of Manchester, United Kingdom, and an MBA degree from Strathclyde Graduate School of Business, Scotland.</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Ms. Yu Long </w:t>
      </w:r>
      <w:r>
        <w:rPr>
          <w:rFonts w:ascii="Arial" w:cs="Arial" w:eastAsia="Arial" w:hAnsi="Arial"/>
          <w:sz w:val="17"/>
          <w:szCs w:val="17"/>
          <w:color w:val="auto"/>
        </w:rPr>
        <w:t>has served as our director since February 2011. Ms. Long currently also serves as a member of Bertelsmann Group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chief executive officer of Bertelsmann China Corporate Center and managing partner of Bertelsmann Asia Investments. Ms. Long serves on the board of Coach Inc. (NYSE: COH), and China Distance Education (NYSE: DL) and Bitauto Holdings Limited (NYSE: BITA). Prior to that, Ms. Long was a principal at Bertelsmann Digital Media Investments. She joined the international media, services, and education company via the Bertelsmann Entrepreneurs Program in 2005. From 1996 to 2003, Ms. Long was a producer and lead anchor for the Sichuan Broadcasting Group. From 1994 to 1996 she was a producer and host for Chengdu People’s Radio Broadcasting. In addition, she is a member of the Stanford Graduate School of Business Advisory Council. Ms. Long is an active member of the World Economic Forum’s Young Global Leaders Advisory Council and is also a member of its Global Agenda Council on the Future of Media, Entertainment &amp; Information.</w:t>
      </w:r>
    </w:p>
    <w:p>
      <w:pPr>
        <w:spacing w:after="0" w:line="17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Mr. Antares Au </w:t>
      </w:r>
      <w:r>
        <w:rPr>
          <w:rFonts w:ascii="Arial" w:cs="Arial" w:eastAsia="Arial" w:hAnsi="Arial"/>
          <w:sz w:val="16"/>
          <w:szCs w:val="16"/>
          <w:color w:val="auto"/>
        </w:rPr>
        <w:t>has served as our director since February 2011. Mr. Au is the managing director of SSG Capital Management (Hong Kong) Limited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headed its investment activities in Greater China since the firm’s establishment in 2009. He also serves as director of Jamestrong Investment Holding Limited and various entities affiliated with SSG Capital. Mr. Au previously worked at Lehman Brothers Asia Special Situations Group where he was responsible for the group’s investment activities in Greater China from 2007 to 2008</w:t>
      </w:r>
      <w:r>
        <w:rPr>
          <w:rFonts w:ascii="Arial" w:cs="Arial" w:eastAsia="Arial" w:hAnsi="Arial"/>
          <w:sz w:val="16"/>
          <w:szCs w:val="16"/>
          <w:b w:val="1"/>
          <w:bCs w:val="1"/>
          <w:color w:val="auto"/>
        </w:rPr>
        <w:t>.</w:t>
      </w:r>
      <w:r>
        <w:rPr>
          <w:rFonts w:ascii="Arial" w:cs="Arial" w:eastAsia="Arial" w:hAnsi="Arial"/>
          <w:sz w:val="16"/>
          <w:szCs w:val="16"/>
          <w:color w:val="auto"/>
        </w:rPr>
        <w:t xml:space="preserve"> Prior to that, he worked at an affiliate of Och Ziff Capital Management from 2006 to 2007 and the private equity team of Fortress Investment Group from 2003 to 2005. He worked in the investment banking division of Goldman Sachs in New York from 2001 to 2002. Mr. Au received his bachelor’s degree in computer science and economics from Columbia University.</w:t>
      </w:r>
    </w:p>
    <w:p>
      <w:pPr>
        <w:spacing w:after="0" w:line="16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 xml:space="preserve">Mr. Xiangji Zhang </w:t>
      </w:r>
      <w:r>
        <w:rPr>
          <w:rFonts w:ascii="Arial" w:cs="Arial" w:eastAsia="Arial" w:hAnsi="Arial"/>
          <w:sz w:val="17"/>
          <w:szCs w:val="17"/>
          <w:color w:val="auto"/>
        </w:rPr>
        <w:t>has served as our director since April 2016. Mr. Zhang has also served as director of BlueFocus Communication Group Co. Ltd. and</w:t>
      </w:r>
      <w:r>
        <w:rPr>
          <w:rFonts w:ascii="Arial" w:cs="Arial" w:eastAsia="Arial" w:hAnsi="Arial"/>
          <w:sz w:val="17"/>
          <w:szCs w:val="17"/>
          <w:i w:val="1"/>
          <w:iCs w:val="1"/>
          <w:color w:val="auto"/>
        </w:rPr>
        <w:t xml:space="preserve"> </w:t>
      </w:r>
      <w:r>
        <w:rPr>
          <w:rFonts w:ascii="Arial" w:cs="Arial" w:eastAsia="Arial" w:hAnsi="Arial"/>
          <w:sz w:val="17"/>
          <w:szCs w:val="17"/>
          <w:color w:val="auto"/>
        </w:rPr>
        <w:t>its subsidiaries, and as chief financial officer in charge of investment activities at BlueFocus Communication Group Co. Ltd. since June 2013. He also serves as a director of Zamplus Technology Co., Ltd, Vision7 Communication Inc. and AdMaster Inc. Prior to that, Mr. Zhang was investment director of Haixia Development Fund from January 2011 to March 2013. Mr. Zhang received his bachelor degree of art and bachelor degree of economy from Peking University, and his MBA degree from the Wharton School at the University of Pennsylvania.</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Ms. Jie Jiao </w:t>
      </w:r>
      <w:r>
        <w:rPr>
          <w:rFonts w:ascii="Arial" w:cs="Arial" w:eastAsia="Arial" w:hAnsi="Arial"/>
          <w:sz w:val="18"/>
          <w:szCs w:val="18"/>
          <w:color w:val="auto"/>
        </w:rPr>
        <w:t>has served as our chief financial officer since May 2017 and was our head of finance from 2014 to 2016. Ms. Jiao has also served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non-executive director of China Sunshine Paper Holdings Company Limited (2002.HK), a Hong Kong listed company, since 2014. Prior to joining us, Ms. Jiao served at several U.S. or Hong Kong-listed companies, including ArtGo Holdings Limited (3313.HK) and Fang Holdings Limited (NYSE: SFUN), mainly in charge of their initial public offerings, compliance after the initial public offerings and investor relationship from 2007 to 2014. She was a senior counsel at Jingtian &amp; Gongcheng from 2004 to 2007. Ms. Jiao received her bachelor degree of law and bachelor degree of economics from Peking University, and her master degree of law in Oxford University. Ms. Jiao is a Chartered Financial Analyst and has obtained her PRC Legal Profession Qualification Certificate.</w:t>
      </w:r>
    </w:p>
    <w:p>
      <w:pPr>
        <w:spacing w:after="0" w:line="18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Mr. Yan Lee </w:t>
      </w:r>
      <w:r>
        <w:rPr>
          <w:rFonts w:ascii="Arial" w:cs="Arial" w:eastAsia="Arial" w:hAnsi="Arial"/>
          <w:sz w:val="18"/>
          <w:szCs w:val="18"/>
          <w:color w:val="auto"/>
        </w:rPr>
        <w:t>has served as our chief product officer since 2016. Mr. Lee has approximately ten years of experience in digital marketing and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focus on big data advertising platforms as well as business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ecosystem infrastructure. Prior to joining us, Mr. Lee was the founder and chief executive officer of Buzzinate, a leading demand side platform and data service provider in mainland China, which was acquired by us in November 2014. Prior to founding Buzzinate, Mr. Lee held strategic advertising roles at several 4As agencies serving automobile, fast-moving consumer goods and retail clients. Mr. Lee received his dual bachelor’s degrees in advertising and corporate management from National Chengchi University in Taiwan, and an MBA degree from China Europe International Business School in Shanghai, China. In 2012, Mr. Lee was named by Forbes China as one of China’s “30 Under 30” Entrepreneurs.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460"/>
        <w:spacing w:after="0"/>
        <w:tabs>
          <w:tab w:leader="none" w:pos="10660" w:val="left"/>
        </w:tabs>
        <w:rPr>
          <w:sz w:val="20"/>
          <w:szCs w:val="20"/>
          <w:color w:val="auto"/>
        </w:rPr>
      </w:pPr>
      <w:r>
        <w:rPr>
          <w:rFonts w:ascii="Arial" w:cs="Arial" w:eastAsia="Arial" w:hAnsi="Arial"/>
          <w:sz w:val="18"/>
          <w:szCs w:val="18"/>
          <w:color w:val="auto"/>
        </w:rPr>
        <w:t>Upon the effectiveness of our registration statement on Form F-1, of which this prospectus is a part, our board of directors will consist of</w:t>
      </w:r>
      <w:r>
        <w:rPr>
          <w:sz w:val="20"/>
          <w:szCs w:val="20"/>
          <w:color w:val="auto"/>
        </w:rPr>
        <w:tab/>
      </w:r>
      <w:r>
        <w:rPr>
          <w:rFonts w:ascii="Arial" w:cs="Arial" w:eastAsia="Arial" w:hAnsi="Arial"/>
          <w:sz w:val="16"/>
          <w:szCs w:val="16"/>
          <w:color w:val="auto"/>
        </w:rPr>
        <w:t>directors,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including executive directors and non-executive directors.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Prior to the completion of this offering, we intend to establish an audit committee, a compensation committee, and a nominating and corporate governance committee under the board of directors. We intend to adopt a charter for each of the three committees prior to the completion of this offering. Each committee’s members and functions are described below.</w:t>
      </w:r>
    </w:p>
    <w:p>
      <w:pPr>
        <w:spacing w:after="0" w:line="181" w:lineRule="exact"/>
        <w:rPr>
          <w:sz w:val="20"/>
          <w:szCs w:val="20"/>
          <w:color w:val="auto"/>
        </w:rPr>
      </w:pPr>
    </w:p>
    <w:p>
      <w:pPr>
        <w:ind w:left="780" w:right="440" w:hanging="308"/>
        <w:spacing w:after="0" w:line="258"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w:t>
      </w:r>
      <w:r>
        <w:rPr>
          <w:sz w:val="20"/>
          <w:szCs w:val="20"/>
          <w:color w:val="auto"/>
        </w:rPr>
        <w:t xml:space="preserve"> </w:t>
      </w:r>
      <w:r>
        <w:rPr>
          <w:rFonts w:ascii="Arial" w:cs="Arial" w:eastAsia="Arial" w:hAnsi="Arial"/>
          <w:sz w:val="18"/>
          <w:szCs w:val="18"/>
          <w:color w:val="auto"/>
        </w:rPr>
        <w:t>, and , and is chaired by . , and each satisfy the “independence” requirements of the [Rule5605(c)(2) of the Listing Rules of the NASDAQ Stock Market/Section 303A of the</w:t>
      </w:r>
    </w:p>
    <w:p>
      <w:pPr>
        <w:spacing w:after="0" w:line="1" w:lineRule="exact"/>
        <w:rPr>
          <w:sz w:val="20"/>
          <w:szCs w:val="20"/>
          <w:color w:val="auto"/>
        </w:rPr>
      </w:pPr>
    </w:p>
    <w:p>
      <w:pPr>
        <w:ind w:left="600" w:right="240" w:hanging="584"/>
        <w:spacing w:after="0" w:line="281" w:lineRule="auto"/>
        <w:rPr>
          <w:sz w:val="20"/>
          <w:szCs w:val="20"/>
          <w:color w:val="auto"/>
        </w:rPr>
      </w:pPr>
      <w:r>
        <w:rPr>
          <w:rFonts w:ascii="Arial" w:cs="Arial" w:eastAsia="Arial" w:hAnsi="Arial"/>
          <w:sz w:val="16"/>
          <w:szCs w:val="16"/>
          <w:color w:val="auto"/>
        </w:rPr>
        <w:t>Corporate Governance Rules of the NYSE] and meet the independence standards under Rule 10A-3 under the Exchange Act. We have determined that qualifies as an “audit committee financial expert.” The audit committee oversees our accounting and financial reporting processes and the audits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of our company. The audit committee is responsible for, among other things:</w:t>
      </w:r>
    </w:p>
    <w:p>
      <w:pPr>
        <w:spacing w:after="0" w:line="116" w:lineRule="exact"/>
        <w:rPr>
          <w:sz w:val="20"/>
          <w:szCs w:val="20"/>
          <w:color w:val="auto"/>
        </w:rPr>
      </w:pPr>
    </w:p>
    <w:p>
      <w:pPr>
        <w:ind w:left="900" w:right="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reporting regularly to the board of directors.</w:t>
      </w:r>
    </w:p>
    <w:p>
      <w:pPr>
        <w:spacing w:after="0" w:line="225" w:lineRule="exact"/>
        <w:rPr>
          <w:sz w:val="20"/>
          <w:szCs w:val="20"/>
          <w:color w:val="auto"/>
        </w:rPr>
      </w:pPr>
    </w:p>
    <w:p>
      <w:pPr>
        <w:ind w:left="460"/>
        <w:spacing w:after="0"/>
        <w:tabs>
          <w:tab w:leader="none" w:pos="6100" w:val="left"/>
          <w:tab w:leader="none" w:pos="6960" w:val="left"/>
          <w:tab w:leader="none" w:pos="7980" w:val="left"/>
          <w:tab w:leader="none" w:pos="10440" w:val="left"/>
        </w:tabs>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 will be chaired by</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satisfy the “independence” requirements of [the Listing Rules of the NASDAQ Stock Market/ Corporate Governance Rules of the NYSE]. The</w:t>
      </w:r>
    </w:p>
    <w:p>
      <w:pPr>
        <w:spacing w:after="0" w:line="3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will be responsible for, among other things: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68"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three most senior executives;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70" w:lineRule="exact"/>
        <w:rPr>
          <w:sz w:val="20"/>
          <w:szCs w:val="20"/>
          <w:color w:val="auto"/>
        </w:rPr>
      </w:pPr>
    </w:p>
    <w:p>
      <w:pPr>
        <w:jc w:val="right"/>
        <w:ind w:left="460" w:right="200"/>
        <w:spacing w:after="0" w:line="274" w:lineRule="auto"/>
        <w:rPr>
          <w:sz w:val="20"/>
          <w:szCs w:val="20"/>
          <w:color w:val="auto"/>
        </w:rPr>
      </w:pPr>
      <w:r>
        <w:rPr>
          <w:rFonts w:ascii="Arial" w:cs="Arial" w:eastAsia="Arial" w:hAnsi="Arial"/>
          <w:sz w:val="17"/>
          <w:szCs w:val="17"/>
          <w:b w:val="1"/>
          <w:bCs w:val="1"/>
          <w:i w:val="1"/>
          <w:iCs w:val="1"/>
          <w:color w:val="auto"/>
        </w:rPr>
        <w:t xml:space="preserve">Nominating and Corporate Governance Committee </w:t>
      </w:r>
      <w:r>
        <w:rPr>
          <w:rFonts w:ascii="Arial" w:cs="Arial" w:eastAsia="Arial" w:hAnsi="Arial"/>
          <w:sz w:val="17"/>
          <w:szCs w:val="17"/>
          <w:color w:val="auto"/>
        </w:rPr>
        <w:t>Our nominating and corporate governance committee will consist of         ,         ,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and will be chaired by        .         and         satisfy the “independence” requirements of [the Listing Rules of the NASDAQ Stock</w:t>
      </w:r>
    </w:p>
    <w:p>
      <w:pPr>
        <w:ind w:right="120"/>
        <w:spacing w:after="0" w:line="255" w:lineRule="auto"/>
        <w:rPr>
          <w:sz w:val="20"/>
          <w:szCs w:val="20"/>
          <w:color w:val="auto"/>
        </w:rPr>
      </w:pPr>
      <w:r>
        <w:rPr>
          <w:rFonts w:ascii="Arial" w:cs="Arial" w:eastAsia="Arial" w:hAnsi="Arial"/>
          <w:sz w:val="18"/>
          <w:szCs w:val="18"/>
          <w:color w:val="auto"/>
        </w:rPr>
        <w:t>Market/ Corporate Governance Rules of the NYSE].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96"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selecting and recommending to the board the names of directors to serve as members of the audit committee and the compensation committee, as well as of the nominating committee itself;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 You should refer to “Description of Share Capital — Differences in Corporate Law” for additional information on our standard of corporate governance under Cayman Islands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(1) becomes bankrupt or makes any arrangement or composition with his creditors; or (2) dies or is found by our company to be of unsound mind.</w:t>
      </w:r>
    </w:p>
    <w:p>
      <w:pPr>
        <w:spacing w:after="0" w:line="291" w:lineRule="exact"/>
        <w:rPr>
          <w:sz w:val="20"/>
          <w:szCs w:val="20"/>
          <w:color w:val="auto"/>
        </w:rPr>
      </w:pPr>
    </w:p>
    <w:p>
      <w:pPr>
        <w:jc w:val="right"/>
        <w:ind w:right="5040"/>
        <w:spacing w:after="0" w:line="488" w:lineRule="auto"/>
        <w:rPr>
          <w:sz w:val="20"/>
          <w:szCs w:val="20"/>
          <w:color w:val="auto"/>
        </w:rPr>
      </w:pPr>
      <w:r>
        <w:rPr>
          <w:rFonts w:ascii="Arial" w:cs="Arial" w:eastAsia="Arial" w:hAnsi="Arial"/>
          <w:sz w:val="16"/>
          <w:szCs w:val="16"/>
          <w:b w:val="1"/>
          <w:bCs w:val="1"/>
          <w:color w:val="auto"/>
        </w:rPr>
        <w:t xml:space="preserve">Employment Agreements and Indemnification Agreements with Executive Officers </w:t>
      </w:r>
      <w:r>
        <w:rPr>
          <w:rFonts w:ascii="Arial" w:cs="Arial" w:eastAsia="Arial" w:hAnsi="Arial"/>
          <w:sz w:val="16"/>
          <w:szCs w:val="16"/>
          <w:color w:val="auto"/>
        </w:rPr>
        <w:t>We have entered into employment agreements with each of our executive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Pursuant to these agreements, we will be entitled to terminate a senior executive officer’s employment for cause at any time without remuneration for certain acts of the officer, such as being convicted of any criminal conduct, any act of gross or willful misconduct or any serious, willful, grossly negligent or persistent breach of any employment agreement provision, or engaging in any conduct which may make the continued employment of such officer detrimental to our company. We may also terminate a senior executive officer’s employment by giving one month’s to three months’ prior written notice or one month’s to three months’ salary if the senior executive officer is not qualified for his position after we provide relevant training to him. A senior executive officer may terminate his or her employment at any time by giving 30 days’ to three months’ prior written notice.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know-how or confidential business information. The executive officers have also agreed to disclose in confidence to us all inventions, designs and trade secrets which they conceive, develop or reduce to practice at the expense of us during their employment and within one year of termination of employment, and to assign all rights, titles and interests in them to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addition, each executive officer has agreed to be bound by non-competition and non-solicitation restrictions during the term of his or her employment and typically for six months to two years following the last date of employment. Specifically, each executive officer has agreed not to (i) assume employment with or provide services to any of our competitors, or engage, whether as principal, partner or otherwise, any of our competitors; (ii) seek or solicit the services of any of our employees, or approach our clients for business; or (iii) infringe upon any intellectual property developed or conceived during his/her employment, or claim title to any intellectual property invented during his/her employment at the request and expense of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plan to enter into indemnification agreements with each of our directors and executive officers. Under these agreements, we may agree to indemnify our directors and executive officers against certain liabilities and expenses incurred by them in connection with claims made by reason of their being a director or officer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For the twelve months ended December 31, 2016, we paid an aggregate of approximately US$1 million in cash to our executive officers, and we did not pay any compensation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equal to certain percentages of each employee’s salary for his or her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 For incentive share grants to our executive officers, see “— Share Incentive Plans.”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Plan</w:t>
      </w:r>
    </w:p>
    <w:p>
      <w:pPr>
        <w:spacing w:after="0" w:line="117"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Our board of directors approved the 2010 Plan in 2010, to provide incentives to our certain employees and consultants and promote the success of our business. Under the 2010 Plan, the maximum number of ordinary shares that may be issued to the beneficiaries is 2,398,137, which have been issued to Arda as trustee to the beneficiaries of the 2010 Plan. As of the date of this prospectus, options to purchase 2,114,923 ordinary shares were granted under the 2010 Plan, 872,538 of which are not vested, 985,087 are fully vested but not exercised, and 257,298 have been exercised.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2010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 of Awards. </w:t>
      </w:r>
      <w:r>
        <w:rPr>
          <w:rFonts w:ascii="Arial" w:cs="Arial" w:eastAsia="Arial" w:hAnsi="Arial"/>
          <w:sz w:val="18"/>
          <w:szCs w:val="18"/>
          <w:color w:val="auto"/>
        </w:rPr>
        <w:t>The 2010 Plan permits the award of options to purchase our ordinary shares.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Trustee. </w:t>
      </w:r>
      <w:r>
        <w:rPr>
          <w:rFonts w:ascii="Arial" w:cs="Arial" w:eastAsia="Arial" w:hAnsi="Arial"/>
          <w:sz w:val="18"/>
          <w:szCs w:val="18"/>
          <w:color w:val="auto"/>
        </w:rPr>
        <w:t>Mr. Wing Hong Sammy Hsieh through Arda upon trust serves as the trustee to the beneficiaries of the 2010 Plan. Upon a grantee’s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Any award granted under the 2010 Plan is evidenced by an award agreement that sets forth terms, conditions and limitations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employees of our company or any of our subsidiaries.</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Vesting Schedule. </w:t>
      </w:r>
      <w:r>
        <w:rPr>
          <w:rFonts w:ascii="Arial" w:cs="Arial" w:eastAsia="Arial" w:hAnsi="Arial"/>
          <w:sz w:val="18"/>
          <w:szCs w:val="18"/>
          <w:color w:val="auto"/>
        </w:rPr>
        <w:t>Unless otherwise stated in respective grants, subject to forfeiture and arrangement on termination of employment or service, 25%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 options shall be vested at the one-year anniversary of the grant date and 1/36 of the remaining 75% of the shares options shall be vested per month thereafter. In the event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take-over offer is made to our ordinary shares, we will use our best endeavors to procure that such take-over offer be extended to any ordinary shares that may be allotted pursuant to the exercise of unexercised share options.</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Exercise of Options. </w:t>
      </w:r>
      <w:r>
        <w:rPr>
          <w:rFonts w:ascii="Arial" w:cs="Arial" w:eastAsia="Arial" w:hAnsi="Arial"/>
          <w:sz w:val="16"/>
          <w:szCs w:val="16"/>
          <w:color w:val="auto"/>
        </w:rPr>
        <w:t>Vested options will become exercisable during the first five business days of January, April, July and October until the termination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the 2010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4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The participant will not be permitted to transfer, assign, dispose of, or create or purport to create any encumbrances over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In principle, all options shall be exercisable only by the participants. Any such transfer, assignment, disposal or encumbrance or purported encumbrance shall result in the automatic cancellation of the option.</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Termination and amendment of the 2010 Plan. </w:t>
      </w:r>
      <w:r>
        <w:rPr>
          <w:rFonts w:ascii="Arial" w:cs="Arial" w:eastAsia="Arial" w:hAnsi="Arial"/>
          <w:sz w:val="18"/>
          <w:szCs w:val="18"/>
          <w:color w:val="auto"/>
        </w:rPr>
        <w:t>Our board of directors may amend or discontinue the 2010 Plan, provided that such amendment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shall not impair the rights of a participant under any award without such participant’s consent.</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summarizes, as of the date of this prospectus, the outstanding options granted under the 2010 Plan to our directors, executive officers and other grantees.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Ordinary</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Exercise Price</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6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(US$/Share)</w:t>
            </w:r>
          </w:p>
        </w:tc>
        <w:tc>
          <w:tcPr>
            <w:tcW w:w="1860" w:type="dxa"/>
            <w:vAlign w:val="bottom"/>
            <w:gridSpan w:val="2"/>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7"/>
              </w:rPr>
              <w:t>Wing</w:t>
            </w:r>
          </w:p>
        </w:tc>
        <w:tc>
          <w:tcPr>
            <w:tcW w:w="3160" w:type="dxa"/>
            <w:vAlign w:val="bottom"/>
            <w:tcBorders>
              <w:top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Hong Sammy Hsieh</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0.0010</w:t>
            </w:r>
          </w:p>
        </w:tc>
        <w:tc>
          <w:tcPr>
            <w:tcW w:w="1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August 27, 2014</w:t>
            </w:r>
          </w:p>
        </w:tc>
        <w:tc>
          <w:tcPr>
            <w:tcW w:w="100" w:type="dxa"/>
            <w:vAlign w:val="bottom"/>
            <w:tcBorders>
              <w:top w:val="single" w:sz="8" w:color="CCEEFF"/>
            </w:tcBorders>
            <w:shd w:val="clear" w:color="auto" w:fill="CCEEFF"/>
          </w:tcPr>
          <w:p>
            <w:pPr>
              <w:spacing w:after="0"/>
              <w:rPr>
                <w:sz w:val="16"/>
                <w:szCs w:val="16"/>
                <w:color w:val="auto"/>
              </w:rPr>
            </w:pPr>
          </w:p>
        </w:tc>
        <w:tc>
          <w:tcPr>
            <w:tcW w:w="3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earlier of: (1) within 10 years of the</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vesting date; (2) immediately prior to</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listing of the Company on a stock</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exchange,</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Yau Ping Ng</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0.0010 – 4.800</w:t>
            </w:r>
          </w:p>
        </w:tc>
        <w:tc>
          <w:tcPr>
            <w:tcW w:w="18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June 21, 2013 to</w:t>
            </w: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94"/>
              </w:rPr>
              <w:t>April 1, 2023; The earlier of: (1) within 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 27, 2014</w:t>
            </w: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years of the vesting date; (2) immediately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prior to listing of the Company on a stock</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6"/>
              </w:rPr>
              <w:t>exchange,</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 Tang</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0.2687 – 4.0304</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1, 2015</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August 1, 2025</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Yan Lee</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8.1290 – 8.1300</w:t>
            </w:r>
          </w:p>
        </w:tc>
        <w:tc>
          <w:tcPr>
            <w:tcW w:w="18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January 1, 2015</w:t>
            </w: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88"/>
              </w:rPr>
              <w:t>January 1, 2025 to January 1, 2027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to 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Jie Jiao</w:t>
            </w: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8.1290 – 8.1300</w:t>
            </w:r>
          </w:p>
        </w:tc>
        <w:tc>
          <w:tcPr>
            <w:tcW w:w="18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August 18, 2014</w:t>
            </w:r>
          </w:p>
        </w:tc>
        <w:tc>
          <w:tcPr>
            <w:tcW w:w="3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July 1, 2024 to January 1, 2027</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to January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Other grantees</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1,437,174</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0.0100 – 20.0000</w:t>
            </w:r>
          </w:p>
        </w:tc>
        <w:tc>
          <w:tcPr>
            <w:tcW w:w="18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April 1, 2011 to</w:t>
            </w: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91"/>
              </w:rPr>
              <w:t>April 1, 2020 to January 1, 2027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 than 1% of our total outstanding ordinary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and 2018 Performance-Based Incentive Shares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with respect to the beneficial ownership of our ordinary shares as of the date of this prospectus by:</w:t>
      </w:r>
    </w:p>
    <w:p>
      <w:pPr>
        <w:spacing w:after="0" w:line="142"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or entity that we know beneficially owns or will beneficially own more than 5% of our outstanding ordinary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director or executive officer who beneficially owns or will beneficially own more than 1% of our outstanding ordinary shares;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calculations in the table below are based on (1) 23,885,726 ordinary shares on an as-converted basis outstanding as of the date of this prospectus,</w:t>
      </w:r>
    </w:p>
    <w:p>
      <w:pPr>
        <w:spacing w:after="0" w:line="46"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which include all exercised options, but do not include granted but unexercised options, whether or not they are vested, and (2) ordinary shares to be issued immediately upon completion of this offering, including (i) ordinary shares to be sold by us in this offering in the form of ADSs, assuming the</w:t>
      </w:r>
    </w:p>
    <w:p>
      <w:pPr>
        <w:ind w:right="340"/>
        <w:spacing w:after="0" w:line="261" w:lineRule="auto"/>
        <w:rPr>
          <w:sz w:val="20"/>
          <w:szCs w:val="20"/>
          <w:color w:val="auto"/>
        </w:rPr>
      </w:pPr>
      <w:r>
        <w:rPr>
          <w:rFonts w:ascii="Arial" w:cs="Arial" w:eastAsia="Arial" w:hAnsi="Arial"/>
          <w:sz w:val="18"/>
          <w:szCs w:val="18"/>
          <w:color w:val="auto"/>
        </w:rPr>
        <w:t>underwriters do not exercise their over-allotment option to purchase additional ADSs, and (ii) 9,525,757 ordinary shares into which all of our outstanding preferred shares will automatically convert upon completion of this offering on a one-for-one basis.</w:t>
      </w:r>
    </w:p>
    <w:p>
      <w:pPr>
        <w:spacing w:after="0" w:line="18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ordinary shares, however, are not included in the computation of the percentage ownership of any other person.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580" w:type="dxa"/>
            <w:vAlign w:val="bottom"/>
            <w:gridSpan w:val="2"/>
          </w:tcPr>
          <w:p>
            <w:pPr>
              <w:jc w:val="center"/>
              <w:ind w:left="413"/>
              <w:spacing w:after="0"/>
              <w:rPr>
                <w:sz w:val="20"/>
                <w:szCs w:val="20"/>
                <w:color w:val="auto"/>
              </w:rPr>
            </w:pPr>
            <w:r>
              <w:rPr>
                <w:rFonts w:ascii="Arial" w:cs="Arial" w:eastAsia="Arial" w:hAnsi="Arial"/>
                <w:sz w:val="14"/>
                <w:szCs w:val="14"/>
                <w:b w:val="1"/>
                <w:bCs w:val="1"/>
                <w:color w:val="auto"/>
                <w:w w:val="95"/>
              </w:rPr>
              <w:t>Ordinary Shares</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Ordinary Shares Being</w:t>
            </w:r>
          </w:p>
        </w:tc>
        <w:tc>
          <w:tcPr>
            <w:tcW w:w="160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5"/>
              </w:rPr>
              <w:t>Ordinary Shares</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64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Beneficially Owned Prior to</w:t>
            </w:r>
          </w:p>
        </w:tc>
        <w:tc>
          <w:tcPr>
            <w:tcW w:w="2320" w:type="dxa"/>
            <w:vAlign w:val="bottom"/>
            <w:gridSpan w:val="5"/>
            <w:vMerge w:val="continue"/>
          </w:tcPr>
          <w:p>
            <w:pPr>
              <w:spacing w:after="0"/>
              <w:rPr>
                <w:sz w:val="12"/>
                <w:szCs w:val="12"/>
                <w:color w:val="auto"/>
              </w:rPr>
            </w:pPr>
          </w:p>
        </w:tc>
        <w:tc>
          <w:tcPr>
            <w:tcW w:w="19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Beneficially Owned After</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580" w:type="dxa"/>
            <w:vAlign w:val="bottom"/>
            <w:tcBorders>
              <w:bottom w:val="single" w:sz="8" w:color="auto"/>
            </w:tcBorders>
            <w:gridSpan w:val="2"/>
          </w:tcPr>
          <w:p>
            <w:pPr>
              <w:jc w:val="center"/>
              <w:ind w:left="413"/>
              <w:spacing w:after="0"/>
              <w:rPr>
                <w:sz w:val="20"/>
                <w:szCs w:val="20"/>
                <w:color w:val="auto"/>
              </w:rPr>
            </w:pPr>
            <w:r>
              <w:rPr>
                <w:rFonts w:ascii="Arial" w:cs="Arial" w:eastAsia="Arial" w:hAnsi="Arial"/>
                <w:sz w:val="14"/>
                <w:szCs w:val="14"/>
                <w:b w:val="1"/>
                <w:bCs w:val="1"/>
                <w:color w:val="auto"/>
                <w:w w:val="96"/>
              </w:rPr>
              <w:t>This Offering</w:t>
            </w:r>
          </w:p>
        </w:tc>
        <w:tc>
          <w:tcPr>
            <w:tcW w:w="5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4"/>
              </w:rPr>
              <w:t>Sold in This Offering</w:t>
            </w:r>
          </w:p>
        </w:tc>
        <w:tc>
          <w:tcPr>
            <w:tcW w:w="2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b w:val="1"/>
                <w:bCs w:val="1"/>
                <w:color w:val="auto"/>
                <w:w w:val="96"/>
              </w:rPr>
              <w:t>This Offering</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5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2"/>
                <w:szCs w:val="12"/>
                <w:color w:val="auto"/>
              </w:rPr>
            </w:pPr>
          </w:p>
        </w:tc>
        <w:tc>
          <w:tcPr>
            <w:tcW w:w="156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2"/>
                <w:szCs w:val="12"/>
                <w:color w:val="auto"/>
              </w:rPr>
            </w:pPr>
          </w:p>
        </w:tc>
        <w:tc>
          <w:tcPr>
            <w:tcW w:w="160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0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2,757,878</w:t>
            </w:r>
          </w:p>
        </w:tc>
        <w:tc>
          <w:tcPr>
            <w:tcW w:w="5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11.5</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Jian Tang</w:t>
            </w:r>
            <w:r>
              <w:rPr>
                <w:rFonts w:ascii="Arial" w:cs="Arial" w:eastAsia="Arial" w:hAnsi="Arial"/>
                <w:sz w:val="15"/>
                <w:szCs w:val="15"/>
                <w:color w:val="auto"/>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2,334,785</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Yau Ping Ng</w:t>
            </w:r>
            <w:r>
              <w:rPr>
                <w:rFonts w:ascii="Arial" w:cs="Arial" w:eastAsia="Arial" w:hAnsi="Arial"/>
                <w:sz w:val="15"/>
                <w:szCs w:val="15"/>
                <w:color w:val="auto"/>
              </w:rPr>
              <w:t>(3)</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954,653</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4.0</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Francis Hun Ming Wong</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Yu Long</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Antares Au</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Xiangji Zhang</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Jie Jiao</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Yan Lee</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6,106,277</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25.4</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2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Bertelsmann Asia Investments AG and its affiliate</w:t>
            </w:r>
            <w:r>
              <w:rPr>
                <w:rFonts w:ascii="Arial" w:cs="Arial" w:eastAsia="Arial" w:hAnsi="Arial"/>
                <w:sz w:val="15"/>
                <w:szCs w:val="15"/>
                <w:color w:val="auto"/>
              </w:rPr>
              <w:t>(4)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3,281,417</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Blue Focus International Limited</w:t>
            </w:r>
            <w:r>
              <w:rPr>
                <w:rFonts w:ascii="Arial" w:cs="Arial" w:eastAsia="Arial" w:hAnsi="Arial"/>
                <w:sz w:val="15"/>
                <w:szCs w:val="15"/>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3,235,338</w:t>
            </w:r>
          </w:p>
        </w:tc>
        <w:tc>
          <w:tcPr>
            <w:tcW w:w="5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13.5</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Sumitomo Corporation Equity Asia Limited</w:t>
            </w:r>
            <w:r>
              <w:rPr>
                <w:rFonts w:ascii="Arial" w:cs="Arial" w:eastAsia="Arial" w:hAnsi="Arial"/>
                <w:sz w:val="15"/>
                <w:szCs w:val="15"/>
                <w:color w:val="auto"/>
              </w:rPr>
              <w:t>(6)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2,881,030</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2,757,878</w:t>
            </w:r>
          </w:p>
        </w:tc>
        <w:tc>
          <w:tcPr>
            <w:tcW w:w="5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11.5</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Czerny Holdings Limited and Cervetto Holdings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w:t>
            </w:r>
            <w:r>
              <w:rPr>
                <w:rFonts w:ascii="Arial" w:cs="Arial" w:eastAsia="Arial" w:hAnsi="Arial"/>
                <w:sz w:val="15"/>
                <w:szCs w:val="15"/>
                <w:color w:val="auto"/>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2,486,802</w:t>
            </w:r>
          </w:p>
        </w:tc>
        <w:tc>
          <w:tcPr>
            <w:tcW w:w="5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Igomax Inc.</w:t>
            </w:r>
          </w:p>
        </w:tc>
        <w:tc>
          <w:tcPr>
            <w:tcW w:w="1020" w:type="dxa"/>
            <w:vAlign w:val="bottom"/>
          </w:tcPr>
          <w:p>
            <w:pPr>
              <w:jc w:val="right"/>
              <w:spacing w:after="0"/>
              <w:rPr>
                <w:sz w:val="20"/>
                <w:szCs w:val="20"/>
                <w:color w:val="auto"/>
              </w:rPr>
            </w:pPr>
            <w:r>
              <w:rPr>
                <w:rFonts w:ascii="Arial" w:cs="Arial" w:eastAsia="Arial" w:hAnsi="Arial"/>
                <w:sz w:val="18"/>
                <w:szCs w:val="18"/>
                <w:color w:val="auto"/>
              </w:rPr>
              <w:t>2,320,028</w:t>
            </w:r>
          </w:p>
        </w:tc>
        <w:tc>
          <w:tcPr>
            <w:tcW w:w="5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9.7</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Maestro Investment Holdings Limited</w:t>
            </w:r>
            <w:r>
              <w:rPr>
                <w:rFonts w:ascii="Arial" w:cs="Arial" w:eastAsia="Arial" w:hAnsi="Arial"/>
                <w:sz w:val="15"/>
                <w:szCs w:val="15"/>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1,749,818</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 &amp; K Investment Limited</w:t>
            </w:r>
            <w:r>
              <w:rPr>
                <w:rFonts w:ascii="Arial" w:cs="Arial" w:eastAsia="Arial" w:hAnsi="Arial"/>
                <w:sz w:val="15"/>
                <w:szCs w:val="15"/>
                <w:color w:val="auto"/>
              </w:rPr>
              <w:t>(9)</w:t>
            </w:r>
          </w:p>
        </w:tc>
        <w:tc>
          <w:tcPr>
            <w:tcW w:w="1020" w:type="dxa"/>
            <w:vAlign w:val="bottom"/>
          </w:tcPr>
          <w:p>
            <w:pPr>
              <w:jc w:val="right"/>
              <w:spacing w:after="0"/>
              <w:rPr>
                <w:sz w:val="20"/>
                <w:szCs w:val="20"/>
                <w:color w:val="auto"/>
              </w:rPr>
            </w:pPr>
            <w:r>
              <w:rPr>
                <w:rFonts w:ascii="Arial" w:cs="Arial" w:eastAsia="Arial" w:hAnsi="Arial"/>
                <w:sz w:val="18"/>
                <w:szCs w:val="18"/>
                <w:color w:val="auto"/>
              </w:rPr>
              <w:t>1,532,955</w:t>
            </w:r>
          </w:p>
        </w:tc>
        <w:tc>
          <w:tcPr>
            <w:tcW w:w="56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6.4</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520" w:type="dxa"/>
            <w:vAlign w:val="bottom"/>
          </w:tcPr>
          <w:p>
            <w:pPr>
              <w:spacing w:after="0"/>
              <w:rPr>
                <w:sz w:val="24"/>
                <w:szCs w:val="24"/>
                <w:color w:val="auto"/>
              </w:rPr>
            </w:pPr>
          </w:p>
        </w:tc>
        <w:tc>
          <w:tcPr>
            <w:tcW w:w="1580" w:type="dxa"/>
            <w:vAlign w:val="bottom"/>
            <w:gridSpan w:val="2"/>
          </w:tcPr>
          <w:p>
            <w:pPr>
              <w:ind w:left="1060"/>
              <w:spacing w:after="0"/>
              <w:rPr>
                <w:sz w:val="20"/>
                <w:szCs w:val="20"/>
                <w:color w:val="auto"/>
              </w:rPr>
            </w:pPr>
            <w:r>
              <w:rPr>
                <w:rFonts w:ascii="Arial" w:cs="Arial" w:eastAsia="Arial" w:hAnsi="Arial"/>
                <w:sz w:val="18"/>
                <w:szCs w:val="18"/>
                <w:color w:val="auto"/>
              </w:rPr>
              <w:t>141</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Less than 1% of our total outstanding shares.</w:t>
      </w:r>
    </w:p>
    <w:p>
      <w:pPr>
        <w:spacing w:after="0" w:line="23" w:lineRule="exact"/>
        <w:rPr>
          <w:sz w:val="20"/>
          <w:szCs w:val="20"/>
          <w:color w:val="auto"/>
        </w:rPr>
      </w:pPr>
    </w:p>
    <w:p>
      <w:pPr>
        <w:ind w:left="460" w:right="140" w:hanging="452"/>
        <w:spacing w:after="0" w:line="281"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shares beneficially owned by such person or group by the sum of the total number of ordinary shares outstanding, which is 23,885,726 ordinary shares on an as-converted basis as of the date of this prospectus, and the number of ordinary shares such person or group has the right to acquire upon the exercise of options, warrants or other</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within 60 days after the date of this prospectus.</w:t>
      </w:r>
    </w:p>
    <w:p>
      <w:pPr>
        <w:spacing w:after="0" w:line="9" w:lineRule="exact"/>
        <w:rPr>
          <w:sz w:val="20"/>
          <w:szCs w:val="20"/>
          <w:color w:val="auto"/>
        </w:rPr>
      </w:pPr>
    </w:p>
    <w:p>
      <w:pPr>
        <w:ind w:left="460" w:right="260" w:hanging="452"/>
        <w:spacing w:after="0" w:line="28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(a) 2,500,580 ordinary shares held by Wing Hong Sammy Hsieh as of the date of this prospectus and (b) 257,298 ordinary shares held by Arda Holdings from the exercise of options under our 2010 Plan. Mr. Wing Hong Sammy Hsieh through Arda upon trust serves as the trustee to the beneficiaries of the 2010 Plan. The trustee shall only deal with the trust properties in such manner as our board from time to time directs in writing.</w:t>
      </w:r>
    </w:p>
    <w:p>
      <w:pPr>
        <w:spacing w:after="0" w:line="2" w:lineRule="exact"/>
        <w:rPr>
          <w:rFonts w:ascii="Arial" w:cs="Arial" w:eastAsia="Arial" w:hAnsi="Arial"/>
          <w:sz w:val="16"/>
          <w:szCs w:val="16"/>
          <w:color w:val="auto"/>
        </w:rPr>
      </w:pPr>
    </w:p>
    <w:p>
      <w:pPr>
        <w:jc w:val="both"/>
        <w:ind w:left="460" w:right="2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(a) 2,320,028 ordinary shares held by Igomax Inc., a British Virgin Islands company wholly owned by Jian Tang, and (b) 14,757 ordinary shares that are issuable upon exercise of options held in trust by Mr. Tang on behalf of certain consultants of OptAim that are exercisable currently or within 60 days of the date of this prospectus.</w:t>
      </w:r>
    </w:p>
    <w:p>
      <w:pPr>
        <w:spacing w:after="0" w:line="1"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(a) 880,653 ordinary shares held by Yau Ping Ng as of the date of this prospectus, and (b) 74,000 ordinary shares that are issuable upon exercise of options held by Mr. Ng that are exercisable currently or within 60 days of the date of this prospectus.</w:t>
      </w:r>
    </w:p>
    <w:p>
      <w:pPr>
        <w:ind w:left="460" w:right="10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(a) 1,204,920 ordinary shares and 1,484,409 series B preferred shares held by Bertelsmann Asia Investments AG, and (b) 592,088 ordinary shares held by BAI GmbH. Bertelsmann Asia Investments AG is a Swiss company and BAI GmbH is a Germany company. Both Bertelsmann Asia Investments AG and BAI GmbH are controlled by Bertelsmann SE &amp; Co. KGaA.</w:t>
      </w:r>
    </w:p>
    <w:p>
      <w:pPr>
        <w:spacing w:after="0" w:line="1" w:lineRule="exact"/>
        <w:rPr>
          <w:rFonts w:ascii="Arial" w:cs="Arial" w:eastAsia="Arial" w:hAnsi="Arial"/>
          <w:sz w:val="18"/>
          <w:szCs w:val="18"/>
          <w:color w:val="auto"/>
        </w:rPr>
      </w:pPr>
    </w:p>
    <w:p>
      <w:pPr>
        <w:jc w:val="both"/>
        <w:ind w:left="460" w:right="10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(a) 742,320 ordinary shares, and (b) 2,493,018 series D preferred shares held by Blue Focus International Limited, a company incorporated in Hong Kong. Blue Focus International Limited is wholly owned by BlueFocus Communication Group Co. Ltd., a company listed on Shenzhen Stock Exchange.</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2,476,190 series A preferred shares and 404,840 series B preferred shares held by Sumitomo Corporation Equity Asia Limited, a company incorporated in Hong Kong wholly owned by Sumitomo.</w:t>
      </w:r>
    </w:p>
    <w:p>
      <w:pPr>
        <w:ind w:left="460" w:hanging="452"/>
        <w:spacing w:after="0" w:line="265"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(a) 887,616 ordinary shares held by Czerny Holdings Limited and (b) 1,599,186 series C preferred shares held by Cervetto Holdings Limited. Czerny Holdings Limited and Cervetto Holdings Limited are incorporated in the British Virgin Islands. Czerny Holdings Limited is wholly owned by SSG Capital Partners I GPGP, Ltd and Cervetto Holdings Limited is wholly owned by SSG Capital Partners II GPGP, Ltd. Mr. Wong Ching Him, Mr. Shyam Maheshwari and Mr. Andreas Vourloumis together hold all voting power over SSG Capital Holdings Limited , which is the sole shareholder of SSG Capital Partners I GPGP, Ltd and SSG Capital Partners II GPGP, Ltd. The registered office address of Czerny Holdings Limited and Cervetto Holdings Limited is P.O. Box 957, Offshore Incorporations Center, Road Town, Tortola, British Virgin Islands.</w:t>
      </w:r>
    </w:p>
    <w:p>
      <w:pPr>
        <w:spacing w:after="0" w:line="1" w:lineRule="exact"/>
        <w:rPr>
          <w:rFonts w:ascii="Arial" w:cs="Arial" w:eastAsia="Arial" w:hAnsi="Arial"/>
          <w:sz w:val="17"/>
          <w:szCs w:val="17"/>
          <w:color w:val="auto"/>
        </w:rPr>
      </w:pPr>
    </w:p>
    <w:p>
      <w:pPr>
        <w:ind w:left="460" w:right="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1,749,818 ordinary shares held by Maestro Investment Holdings Limited, a company incorporated in British Virgin Islands. Jiping Liu is the sole shareholder of Maestro Investment Holdings Limited.</w:t>
      </w:r>
    </w:p>
    <w:p>
      <w:pPr>
        <w:ind w:left="460" w:right="180" w:hanging="452"/>
        <w:spacing w:after="0" w:line="290"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1,532,955 ordinary shares held by O &amp; K Investment Limited, a company incorporated in Hong Kong. Sunee Chiraseivinupraphand is the sole shareholder of O &amp; K Investment Limited. Sunee Chiraseivinupraphand is spouse of Wing Hong Sammy Hsieh.</w:t>
      </w:r>
    </w:p>
    <w:p>
      <w:pPr>
        <w:spacing w:after="0" w:line="1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the date of this prospectus, none of our ordinary shares issued and outstanding on an as converted basis were held by record holders in the United States. None of our shareholders has informed us that it is affiliated with a registered broker-dealer or is in the business of underwriting securities. None of our existing shareholders will have different voting rights from other shareholders after the completion of this offering. We are not aware of any arrangement that may, at a subsequent date, result in a change of control of our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Variable Interest Entity and its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“Corporate History and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Employment Agreements and Indemnification Agreements with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Share Incentive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December 31, 2015, we borrowed interest-free short-term loans from Mr. Jian Tang, our director, chief operating officer, chief technology officer, and co-founder in the aggregate principal amount of RMB300,000. We used the proceeds of these loans for capital injection into OptAim Network, our VIE, when we were unable to obtain foreign currency in a timely manner. The entire principal amounts of these loans were repaid on January 19, 2016.</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80"/>
          </w:cols>
          <w:pgMar w:left="240" w:top="459" w:right="3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are a Cayman Islands exempted limited liability company and our affairs are governed by our memorandum and articles of association and the Companies Law (2016 Revision) of the Cayman Islands, which we refer to as the Companies Law below, and the common law of the Cayman Islands.</w:t>
      </w:r>
    </w:p>
    <w:p>
      <w:pPr>
        <w:spacing w:after="0" w:line="12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the date of this prospectus, our company is authorized to issue up to a maximum of 50,000,000 shares, which consist of 37,150,000 ordinary shares with a par value of US$0.001 each, 2,500,000 series A preferred shares with a par value of US$0.001 each, 3,000,000 series B preferred Shares with a par value of US$0.001 each, 1,650,000 series C preferred shares with a par value of US$0.001 each, 4,500,000 series D preferred shares with a par value of US$0.001 each and 1,200,000 series E preferred shares with a par value of US$0.001 each. As of the date of this prospectus, 14,359,969 ordinary shares, including 257,298 ordinary shares held by Arda from the exercise of options under our 2010 Plan, 2,476,190 series A preferred shares, 1,889,249 series B preferred shares, 1,599,186 series C preferred shares, 2,493,018 series D preferred shares and 1,068,114 series E preferred shares are issued and outstanding. All of our issued and outstanding ordinary and preferred shares are fully paid, except for the ordinary shares issued to Arda under the 2010 Plan other than those ordinary shares whose underlying 2010 Options have been exercised. See “Management — Share Incentive Plans — 2010 Plan.”</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8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Upon completion of this offering, there will be ordinary shares issued and outstanding, including a total of 9,525,757 ordinary shares resulting from the automatic conversion of all of our outstanding preferred shares (assuming the underwriters do not exercise the over-allotment option).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Post-Offering Amended and Restated Memorandum and Articles of Association</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to adopt, subject to the approval of our shareholders, an eighth amended and restated memorandum and articles of association, which will become effective and replace our current seventh amended and restated memorandum and articles of association in its entirety immediately upon the completion of this offering. The following are summaries of material provisions of the post-offering amended and restated memorandum and articles of association that we expect to adopt and of the Companies Law, insofar as they relate to the material terms of our ordinary shares. This summary is not complete, and you should read the form of our post-offering amended and restated memorandum and articles of association, which have been filed as exhibits to the registration statement of which this prospectus is a part.</w:t>
      </w:r>
    </w:p>
    <w:p>
      <w:pPr>
        <w:spacing w:after="0" w:line="193"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laws of the Cayman Islands.</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Our ordinary shares are issued in registered form and are issued when registered in our register of members. Our shareholders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non-residents of the Cayman Islands may freely hold and vote their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900" w:right="26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our ordinary shares are entitled to such dividends as may be declared by our board of directors. In addition, our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54"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Voting at any shareholders’ meeting is by show of hands unless a poll is demanded. A poll may be demanded by the chairman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or any one or more shareholders who together hold no less than 10% of the votes attaching to the total ordinary shares present in person or by proxy.</w:t>
      </w:r>
    </w:p>
    <w:p>
      <w:pPr>
        <w:spacing w:after="0" w:line="124" w:lineRule="exact"/>
        <w:rPr>
          <w:sz w:val="20"/>
          <w:szCs w:val="20"/>
          <w:color w:val="auto"/>
        </w:rPr>
      </w:pPr>
    </w:p>
    <w:p>
      <w:pPr>
        <w:ind w:right="340" w:firstLine="456"/>
        <w:spacing w:after="0" w:line="276" w:lineRule="auto"/>
        <w:rPr>
          <w:sz w:val="20"/>
          <w:szCs w:val="20"/>
          <w:color w:val="auto"/>
        </w:rPr>
      </w:pPr>
      <w:r>
        <w:rPr>
          <w:rFonts w:ascii="Arial" w:cs="Arial" w:eastAsia="Arial" w:hAnsi="Arial"/>
          <w:sz w:val="17"/>
          <w:szCs w:val="17"/>
          <w:color w:val="auto"/>
        </w:rPr>
        <w:t>A quorum required for a meeting of shareholders consists of one or more shareholders present and holding no less than one-third of the votes of the outstanding voting shares in our company. Shareholders may be present in person or by proxy or, if the shareholder is a legal entity, by its duly authorized representative. Shareholders’ meetings may be convened by our board of directors on its own initiative or upon a request to the directors by shareholders holding no less than one-third of our voting share capital in issue. Advance notice of at least seven clear days is required for the convening of our annual general shareholders’ meeting and any other general shareholders’ meeting.</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ordinary shares cast at a meeting. Both ordinary resolutions and special resolutions may also be passed by unanimous written resolutions signed by all the shareholders of our company, as permitted by the Companies Law and our post-offering amended and restated memorandum and articles of association. A special resolution will be required for important matters such as a change of name or making changes to our post-offering amended and restated memorandum and articles of association. Holders of the ordinary shares may, among other things, divide or combine their shares by ordinary resolution.</w:t>
      </w:r>
    </w:p>
    <w:p>
      <w:pPr>
        <w:spacing w:after="0" w:line="16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of transfer in the usual or common form or any other form approved by our board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900" w:right="12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53"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fee of such maximum sum as the [NYSE/NASDAQ] may determine to be payable or such lesser sum as our directors may from time to time require is paid to us in respect thereof.</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[NYSE/NASDAQ],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i w:val="1"/>
          <w:iCs w:val="1"/>
          <w:color w:val="auto"/>
        </w:rPr>
        <w:t>Redemption, Repurchase and Surrender of Ordinary Shares</w:t>
      </w:r>
      <w:r>
        <w:rPr>
          <w:rFonts w:ascii="Arial" w:cs="Arial" w:eastAsia="Arial" w:hAnsi="Arial"/>
          <w:sz w:val="17"/>
          <w:szCs w:val="17"/>
          <w:color w:val="auto"/>
        </w:rPr>
        <w:t>. We may issue shares on terms that such shares are subject to redemption, at our option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The rights attached to any class or series of shares (unless otherwise provided by the terms of issue of the shares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class or series) may be varied with the consent in writing of all the holders of the issued shares of that class or series or with the sanction of a resolution passed by a majority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of the votes cast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i w:val="1"/>
          <w:iCs w:val="1"/>
          <w:color w:val="auto"/>
        </w:rPr>
        <w:t xml:space="preserve">Issuance of Additional Shares. </w:t>
      </w:r>
      <w:r>
        <w:rPr>
          <w:rFonts w:ascii="Arial" w:cs="Arial" w:eastAsia="Arial" w:hAnsi="Arial"/>
          <w:sz w:val="16"/>
          <w:szCs w:val="16"/>
          <w:color w:val="auto"/>
        </w:rPr>
        <w:t>Our post-offering amended and restated memorandum and articles of association authorizes our board of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additional ordinary shares from time to time as our board of directors shall determine, to the extent of available authorized but unissued shares.</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post-offering amended and restated memorandum and articles of association also authorizes our board of directors to establish from time to time one or more series of preferred shares and to determine, with respect to any series of preferred shares, the terms and rights of that series, including:</w:t>
      </w:r>
    </w:p>
    <w:p>
      <w:pPr>
        <w:spacing w:after="0" w:line="29"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i w:val="1"/>
          <w:iCs w:val="1"/>
          <w:color w:val="auto"/>
        </w:rPr>
        <w:t>Anti-Takeover Provisions</w:t>
      </w:r>
      <w:r>
        <w:rPr>
          <w:rFonts w:ascii="Arial" w:cs="Arial" w:eastAsia="Arial" w:hAnsi="Arial"/>
          <w:sz w:val="17"/>
          <w:szCs w:val="17"/>
          <w:color w:val="auto"/>
        </w:rPr>
        <w:t>. Some provisions of our post-offering amended and restated memorandum and articles of association may discourage, delay</w:t>
      </w:r>
      <w:r>
        <w:rPr>
          <w:rFonts w:ascii="Arial" w:cs="Arial" w:eastAsia="Arial" w:hAnsi="Arial"/>
          <w:sz w:val="17"/>
          <w:szCs w:val="17"/>
          <w:i w:val="1"/>
          <w:iCs w:val="1"/>
          <w:color w:val="auto"/>
        </w:rPr>
        <w:t xml:space="preserve"> </w:t>
      </w:r>
      <w:r>
        <w:rPr>
          <w:rFonts w:ascii="Arial" w:cs="Arial" w:eastAsia="Arial" w:hAnsi="Arial"/>
          <w:sz w:val="17"/>
          <w:szCs w:val="17"/>
          <w:color w:val="auto"/>
        </w:rPr>
        <w:t>or prevent a change of control of our company or management that shareholders may consider favorable, including provisions that:</w:t>
      </w:r>
    </w:p>
    <w:p>
      <w:pPr>
        <w:spacing w:after="0" w:line="52" w:lineRule="exact"/>
        <w:rPr>
          <w:sz w:val="20"/>
          <w:szCs w:val="20"/>
          <w:color w:val="auto"/>
        </w:rPr>
      </w:pPr>
    </w:p>
    <w:p>
      <w:pPr>
        <w:ind w:left="900" w:right="48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right="460" w:firstLine="456"/>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i w:val="1"/>
          <w:iCs w:val="1"/>
          <w:color w:val="auto"/>
        </w:rPr>
        <w:t>General Meetings of Shareholders and Shareholder Proposals</w:t>
      </w:r>
      <w:r>
        <w:rPr>
          <w:rFonts w:ascii="Arial" w:cs="Arial" w:eastAsia="Arial" w:hAnsi="Arial"/>
          <w:sz w:val="18"/>
          <w:szCs w:val="18"/>
          <w:color w:val="auto"/>
        </w:rPr>
        <w:t>. Our shareholders’ general meetings may be held in such place within or outside the</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as our board of directors considers appropriate.</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As a Cayman Islands exempted limited liability company, we are not obliged by the Companies Law to call shareholders’ annual general meetings. Our post-offering amended and restated memorandum and articles of association provide that we may (but are not obliged to) in each year hold a general meeting as our annual general meeting.</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seven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memorandum and articles of association allow our shareholders holding shares representing in aggregate no less than one-third of our voting share capital in issue, the right to requisition an extraordinary general meeting of our shareholders, in which case our directors are obliged to call such meeting and to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 shareholders.</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The Companies Law permits mergers and consolidations between Cayman Islands companies and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99"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 derivative action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94"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an act which is </w:t>
      </w:r>
      <w:r>
        <w:rPr>
          <w:rFonts w:ascii="Arial" w:cs="Arial" w:eastAsia="Arial" w:hAnsi="Arial"/>
          <w:sz w:val="18"/>
          <w:szCs w:val="18"/>
          <w:i w:val="1"/>
          <w:iCs w:val="1"/>
          <w:color w:val="auto"/>
        </w:rPr>
        <w:t>ultra vires</w:t>
      </w:r>
      <w:r>
        <w:rPr>
          <w:rFonts w:ascii="Arial" w:cs="Arial" w:eastAsia="Arial" w:hAnsi="Arial"/>
          <w:sz w:val="18"/>
          <w:szCs w:val="18"/>
          <w:color w:val="auto"/>
        </w:rPr>
        <w:t xml:space="preserve"> the company or illegal, which is therefore incapable of ratification by the shareholders,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149</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65"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In addition, we will enter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by amendment to its certificate of incorporation. Cayman Islands law and our post-offering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any proposal before a general meeting. However, these rights may be provided in articles of association. Our post-offering amended and restated articles of association allow our shareholders holding no less than one-third of all voting power of our share capital in issue to requisition a shareholder’s meeting, in which case our directors are obliged to call such meeting and to put the resolutions so requisitioned to a vote at such meeting. Other than this right to requisition a shareholders’ meeting, our post-offering amended and restated articles of association do not provide our shareholders other right to put proposal before a meeting. As an exempted Cayman Islands company, we are not obliged by law to call shareholders’ annual general meetings.</w:t>
      </w:r>
    </w:p>
    <w:p>
      <w:pPr>
        <w:spacing w:after="0" w:line="16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 xml:space="preserve">Removal of Directors. </w:t>
      </w:r>
      <w:r>
        <w:rPr>
          <w:rFonts w:ascii="Arial" w:cs="Arial" w:eastAsia="Arial" w:hAnsi="Arial"/>
          <w:sz w:val="16"/>
          <w:szCs w:val="16"/>
          <w:color w:val="auto"/>
        </w:rPr>
        <w:t>Under the Delaware General Corporation Law, a director of a corporation with a classified board may be removed only for cause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w:t>
      </w:r>
    </w:p>
    <w:p>
      <w:pPr>
        <w:spacing w:after="0" w:line="14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Transactions with Interested Shareholders. </w:t>
      </w:r>
      <w:r>
        <w:rPr>
          <w:rFonts w:ascii="Arial" w:cs="Arial" w:eastAsia="Arial" w:hAnsi="Arial"/>
          <w:sz w:val="18"/>
          <w:szCs w:val="18"/>
          <w:color w:val="auto"/>
        </w:rPr>
        <w:t>The Delaware General Corporation Law contains a business combination statute applicable to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Dissolution; Winding up. </w:t>
      </w:r>
      <w:r>
        <w:rPr>
          <w:rFonts w:ascii="Arial" w:cs="Arial" w:eastAsia="Arial" w:hAnsi="Arial"/>
          <w:sz w:val="18"/>
          <w:szCs w:val="18"/>
          <w:color w:val="auto"/>
        </w:rPr>
        <w:t>Under the Delaware General Corporation Law, unless the board of directors approves the proposal to dissolve, dissolution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approved by shareholders holding 100% of the total voting power of the corporation. Only if the dissolution is initiated by the board of directors may it be approved by 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simple majority of the corporation’s outstanding shares. Delaware law allows a Delaware corporation to include in its certificate of incorporation a supermajority voting requirement in connection with dissolutions initiated by the board.</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all the holders of the issued shares of that class or with the sanction of a resolution passed by a majority of the votes cast at a separate meeting of the holders of the shares of that class.</w:t>
      </w:r>
    </w:p>
    <w:p>
      <w:pPr>
        <w:spacing w:after="0" w:line="18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 xml:space="preserve">Amendment of Governing Documents. </w:t>
      </w:r>
      <w:r>
        <w:rPr>
          <w:rFonts w:ascii="Arial" w:cs="Arial" w:eastAsia="Arial" w:hAnsi="Arial"/>
          <w:sz w:val="16"/>
          <w:szCs w:val="16"/>
          <w:color w:val="auto"/>
        </w:rPr>
        <w:t>Under the Delaware General Corporation Law, a corporation’s governing documents may be amended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 majority of the outstanding shares entitled to vote, unless the certificate of incorporation provides otherwise. Under Cayman Islands law, our post-offering amended and restated memorandum and articles of association may only be amended with a special resolution of our shareholders.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Rights of Non-resident or Foreign Shareholders. </w:t>
      </w:r>
      <w:r>
        <w:rPr>
          <w:rFonts w:ascii="Arial" w:cs="Arial" w:eastAsia="Arial" w:hAnsi="Arial"/>
          <w:sz w:val="18"/>
          <w:szCs w:val="18"/>
          <w:color w:val="auto"/>
        </w:rPr>
        <w:t>There are no limitations imposed by our post-offering amended and restated memorandum and 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December 2014, we issued 274,752 ordinary shares to Big Tooth Corporation, for total consideration of US$1.00, in recognition of Mr. Robert Tran’s consulting services to us.</w:t>
      </w:r>
    </w:p>
    <w:p>
      <w:pPr>
        <w:spacing w:after="0" w:line="170"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In December 2014, we issued 255,033 ordinary shares to Arda to reserve for future grant and exercise of options under the 2010 Plan. See “Management — Share Incentive Plans — 2010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2014, we issued 742,320 ordinary shares to BlueFocus International Limited for total consideration of US$12.0 million.</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February 2015, we issued 142,151 ordinary shares to the then shareholders of Buzzinate, as part of the consideration for the acquisition of all shares of Buzzinate.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July 2015, we issued 2,535,091 ordinary shares to the then shareholders of OptAim, as part of the consideration for the acquisition of all shares of OptAim.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July 2015, we issued 632,581 ordinary shares to Arda to reserve for future grant and exercise of options under the 2010 Plan. See “Management — Share Incentive Plans — 2010 Plan.”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October 2015, we issued 945,663 ordinary shares to Arda to reserve for future grant and exercise of options under the 2010 Plan. See “Management — Share Incentive Plans — 2010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December 2014, we issued 2,493,018 series D convertible redeemable preferred shares to BlueFocus International Limited for total subscription price of US$48.0 million.</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 December 2016, we issued 1,068,114 series E convertible redeemable preferred shares to Shenwan Hongyuan Goldspring Fund I for a total subscription price of US$20.0 million.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holder of our preferred shares has the right, at such holder’s sole discretion, to convert all or any portion of their preferred shares into ordinary shares at any time. The initial conversion price is the original purchase price per share, subject to adjustment for share dividends, subdivision, combinations or consolidation of ordinary shares, certain distributions and anti-dilution adjustments. The preferred shares will be automatically converted into ordinary shares at the then applicable conversion price upon the completion of a qualified initial public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2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shareholders agreement provides for certain shareholders rights. Except for the registration rights described below, all the shareholders’ rights under the shareholders agreement will automatically terminate upon completion of this offering if it meets the definition of a qualified initial public offering as the term is defined in the shareholders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the registration rights granted under the agreement.</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i w:val="1"/>
          <w:iCs w:val="1"/>
          <w:color w:val="auto"/>
        </w:rPr>
        <w:t xml:space="preserve">Demand Registration Rights. </w:t>
      </w:r>
      <w:r>
        <w:rPr>
          <w:rFonts w:ascii="Arial" w:cs="Arial" w:eastAsia="Arial" w:hAnsi="Arial"/>
          <w:sz w:val="17"/>
          <w:szCs w:val="17"/>
          <w:color w:val="auto"/>
        </w:rPr>
        <w:t>Holders of at least 25% of the registrable securities, which include our ordinary shares issued or issuable to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8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Form F-3 Registration Rights. </w:t>
      </w:r>
      <w:r>
        <w:rPr>
          <w:rFonts w:ascii="Arial" w:cs="Arial" w:eastAsia="Arial" w:hAnsi="Arial"/>
          <w:sz w:val="18"/>
          <w:szCs w:val="18"/>
          <w:color w:val="auto"/>
        </w:rPr>
        <w:t>When we are eligible for registration on Form F-3, upon a written request from any holder of the registrable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outstanding, we must promptly file a registration statement 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Piggyback Registration Rights. </w:t>
      </w:r>
      <w:r>
        <w:rPr>
          <w:rFonts w:ascii="Arial" w:cs="Arial" w:eastAsia="Arial" w:hAnsi="Arial"/>
          <w:sz w:val="17"/>
          <w:szCs w:val="17"/>
          <w:color w:val="auto"/>
        </w:rPr>
        <w:t>If we propose to file a registration statement for a public offering for our own account or for the account of holder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Underwritten Offering. </w:t>
      </w:r>
      <w:r>
        <w:rPr>
          <w:rFonts w:ascii="Arial" w:cs="Arial" w:eastAsia="Arial" w:hAnsi="Arial"/>
          <w:sz w:val="16"/>
          <w:szCs w:val="16"/>
          <w:color w:val="auto"/>
        </w:rPr>
        <w:t>The underwriters of any underwritten offering may in good faith request a reduction in the number of shares offered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Expenses of Registration. </w:t>
      </w:r>
      <w:r>
        <w:rPr>
          <w:rFonts w:ascii="Arial" w:cs="Arial" w:eastAsia="Arial" w:hAnsi="Arial"/>
          <w:sz w:val="16"/>
          <w:szCs w:val="16"/>
          <w:color w:val="auto"/>
        </w:rPr>
        <w:t>We will pay all expenses incurred in complying with the terms of the registration rights provisions, other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Termination of Obligations</w:t>
      </w:r>
      <w:r>
        <w:rPr>
          <w:rFonts w:ascii="Arial" w:cs="Arial" w:eastAsia="Arial" w:hAnsi="Arial"/>
          <w:sz w:val="18"/>
          <w:szCs w:val="18"/>
          <w:color w:val="auto"/>
        </w:rPr>
        <w:t>. The registration rights set forth above shall terminate on the later of (i) the date that is five years from the date of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qualified initial public offering and (ii) with respect to any holder, the date on which such holder may sell all of their registrable securities under Rule 144 of the Securities Act in any ninety-day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right="60" w:firstLine="1004"/>
        <w:spacing w:after="0" w:line="273" w:lineRule="auto"/>
        <w:tabs>
          <w:tab w:leader="none" w:pos="1086" w:val="left"/>
        </w:tabs>
        <w:numPr>
          <w:ilvl w:val="0"/>
          <w:numId w:val="77"/>
        </w:numPr>
        <w:rPr>
          <w:rFonts w:ascii="Arial" w:cs="Arial" w:eastAsia="Arial" w:hAnsi="Arial"/>
          <w:sz w:val="17"/>
          <w:szCs w:val="17"/>
          <w:color w:val="auto"/>
        </w:rPr>
      </w:pPr>
      <w:r>
        <w:rPr>
          <w:rFonts w:ascii="Arial" w:cs="Arial" w:eastAsia="Arial" w:hAnsi="Arial"/>
          <w:sz w:val="17"/>
          <w:szCs w:val="17"/>
          <w:color w:val="auto"/>
        </w:rPr>
        <w:t>as depositary will issue the ADSs which you will be entitled to receive in this offering. Each ADS will represent an ownership interest in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78" w:lineRule="exact"/>
        <w:rPr>
          <w:sz w:val="20"/>
          <w:szCs w:val="20"/>
          <w:color w:val="auto"/>
        </w:rPr>
      </w:pPr>
    </w:p>
    <w:p>
      <w:pPr>
        <w:ind w:left="460"/>
        <w:spacing w:after="0"/>
        <w:tabs>
          <w:tab w:leader="none" w:pos="3960" w:val="left"/>
        </w:tabs>
        <w:rPr>
          <w:sz w:val="20"/>
          <w:szCs w:val="20"/>
          <w:color w:val="auto"/>
        </w:rPr>
      </w:pPr>
      <w:r>
        <w:rPr>
          <w:rFonts w:ascii="Arial" w:cs="Arial" w:eastAsia="Arial" w:hAnsi="Arial"/>
          <w:sz w:val="18"/>
          <w:szCs w:val="18"/>
          <w:color w:val="auto"/>
        </w:rPr>
        <w:t>The depositary’s office is located at</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7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As an ADR holder,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 Washington, DC 20549. You may obtain information on the operation of the Public Reference Room by calling the SEC at 1-800-732-0330.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You may also find the registration statement and the attached deposit agreement on the SEC’s website at http://www.sec.gov.</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shares or other deposited securities, after converting any cash received into U.S. dollars (if it determines such conversion may be made on a reasonable basis)</w:t>
      </w:r>
    </w:p>
    <w:p>
      <w:pPr>
        <w:spacing w:after="0" w:line="4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and, in all cases, making any necessary deductions provided for in the deposit agreement. The depositary may utilize a division, branch or affiliate of ,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23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Cash</w:t>
      </w:r>
      <w:r>
        <w:rPr>
          <w:rFonts w:ascii="Arial" w:cs="Arial" w:eastAsia="Arial" w:hAnsi="Arial"/>
          <w:sz w:val="17"/>
          <w:szCs w:val="17"/>
          <w:color w:val="auto"/>
        </w:rPr>
        <w:t>. The depositary will distribute any U.S. dollars available to it resulting from a cash dividend or other cash distribution or the net proceeds of sales</w:t>
      </w:r>
      <w:r>
        <w:rPr>
          <w:rFonts w:ascii="Arial" w:cs="Arial" w:eastAsia="Arial" w:hAnsi="Arial"/>
          <w:sz w:val="17"/>
          <w:szCs w:val="17"/>
          <w:i w:val="1"/>
          <w:iCs w:val="1"/>
          <w:color w:val="auto"/>
        </w:rPr>
        <w:t xml:space="preserve"> </w:t>
      </w:r>
      <w:r>
        <w:rPr>
          <w:rFonts w:ascii="Arial" w:cs="Arial" w:eastAsia="Arial" w:hAnsi="Arial"/>
          <w:sz w:val="17"/>
          <w:szCs w:val="17"/>
          <w:color w:val="auto"/>
        </w:rPr>
        <w:t>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18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In the case of a distribution in shares, the depositary will issue additional ADRs to evidence the number of ADSs representing such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Only whole ADSs will be issued. Any shares which would result in fractional ADSs will be sold and the net proceeds will be distributed in the same manner as cash to the ADR holders entitled thereto.</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Rights to receive additional shares</w:t>
      </w:r>
      <w:r>
        <w:rPr>
          <w:rFonts w:ascii="Arial" w:cs="Arial" w:eastAsia="Arial" w:hAnsi="Arial"/>
          <w:sz w:val="17"/>
          <w:szCs w:val="17"/>
          <w:color w:val="auto"/>
        </w:rPr>
        <w:t>. In the case of a distribution of rights to subscribe for additional shares or other rights, if we timely provide evidence</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71"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sell such rights if practicable and distribute the net proceeds in the same manner as cash to the ADR holders entitled thereto; or</w:t>
      </w:r>
    </w:p>
    <w:p>
      <w:pPr>
        <w:spacing w:after="0" w:line="130" w:lineRule="exact"/>
        <w:rPr>
          <w:rFonts w:ascii="Arial" w:cs="Arial" w:eastAsia="Arial" w:hAnsi="Arial"/>
          <w:sz w:val="18"/>
          <w:szCs w:val="18"/>
          <w:color w:val="auto"/>
        </w:rPr>
      </w:pPr>
    </w:p>
    <w:p>
      <w:pPr>
        <w:ind w:left="900" w:right="680" w:hanging="446"/>
        <w:spacing w:after="0" w:line="34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obligation to file a registration statement under the Securities Act in order to make any rights available to ADR holders.</w:t>
      </w:r>
    </w:p>
    <w:p>
      <w:pPr>
        <w:spacing w:after="0" w:line="225"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In the case of a distribution of securities or property other than those described above, the depositary may either (i) distribute such</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6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it may retain such items, without paying interest on or investing them, on behalf of the ADR holder as deposited securities, in which case the ADSs will also represent the retained items.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deposited in the future with the custodian must be accompanied by certain delivery documentation and shall, at the time of such deposit, be</w:t>
      </w:r>
    </w:p>
    <w:p>
      <w:pPr>
        <w:spacing w:after="0" w:line="46"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registered in the name of</w:t>
      </w:r>
      <w:r>
        <w:rPr>
          <w:sz w:val="20"/>
          <w:szCs w:val="20"/>
          <w:color w:val="auto"/>
        </w:rPr>
        <w:tab/>
      </w:r>
      <w:r>
        <w:rPr>
          <w:rFonts w:ascii="Arial" w:cs="Arial" w:eastAsia="Arial" w:hAnsi="Arial"/>
          <w:sz w:val="16"/>
          <w:szCs w:val="16"/>
          <w:color w:val="auto"/>
        </w:rPr>
        <w:t>, as depositary for the benefit of holders of ADRs or in such other name as the depositary shall direct.</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7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900" w:right="80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subject to the provisions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 the depositary in writing that</w:t>
      </w:r>
    </w:p>
    <w:p>
      <w:pPr>
        <w:spacing w:after="0" w:line="4" w:lineRule="exact"/>
        <w:rPr>
          <w:sz w:val="20"/>
          <w:szCs w:val="20"/>
          <w:color w:val="auto"/>
        </w:rPr>
      </w:pPr>
    </w:p>
    <w:p>
      <w:pPr>
        <w:ind w:firstLine="8"/>
        <w:spacing w:after="0" w:line="253" w:lineRule="auto"/>
        <w:tabs>
          <w:tab w:leader="none" w:pos="2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do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any applicable law, public rule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regulation in force in the Cayman Islands, (c) the courts of the Cayman Islands will give effect to the voting arrangement and deemed instruction as contemplated in the proxy under Cayman Islands law and (d) there is nothing under Cayman Islands law which would result in the depositary being deemed to have exercised any discretion when voting in accordance with the terms of the proxy.</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6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have advised the depositary that under the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reason, US$5.00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87"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52" w:lineRule="exact"/>
        <w:rPr>
          <w:rFonts w:ascii="Arial" w:cs="Arial" w:eastAsia="Arial" w:hAnsi="Arial"/>
          <w:sz w:val="16"/>
          <w:szCs w:val="16"/>
          <w:color w:val="auto"/>
        </w:rPr>
      </w:pPr>
    </w:p>
    <w:p>
      <w:pPr>
        <w:ind w:left="900" w:hanging="325"/>
        <w:spacing w:after="0" w:line="291"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72" w:lineRule="exact"/>
        <w:rPr>
          <w:rFonts w:ascii="Arial" w:cs="Arial" w:eastAsia="Arial" w:hAnsi="Arial"/>
          <w:sz w:val="16"/>
          <w:szCs w:val="16"/>
          <w:color w:val="auto"/>
        </w:rPr>
      </w:pPr>
    </w:p>
    <w:p>
      <w:pPr>
        <w:ind w:left="900" w:right="58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US$0.05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connection with the conversion of foreign currency into U.S. dollars, shall deduct out of such foreign currency the fees, expenses and other charges charged by it and/or its agent (which may be a division, branch or affiliate) so appointed in connection with such conversion; and</w:t>
      </w:r>
    </w:p>
    <w:p>
      <w:pPr>
        <w:spacing w:after="0" w:line="29"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left="900" w:right="4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and/or its agent may act as principal for such conversion of foreign currency.</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59" w:right="23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Our depositary anticipates to reimburse us for certain expenses we incur that are related to establishment and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8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fees and charges you may be required to pay may vary over time and may be changed by us and by the depositary. You will receive prior notice of the increase in any such fees and charges.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ADR holders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72"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(ii) any distributions of shares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7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w:t>
      </w:r>
    </w:p>
    <w:p>
      <w:pPr>
        <w:ind w:firstLine="8"/>
        <w:spacing w:after="0" w:line="268" w:lineRule="auto"/>
        <w:tabs>
          <w:tab w:leader="none" w:pos="215"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120th day after our notice of removal was first provided to the depositary.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52" w:lineRule="exact"/>
        <w:rPr>
          <w:sz w:val="20"/>
          <w:szCs w:val="20"/>
          <w:color w:val="auto"/>
        </w:rPr>
      </w:pPr>
    </w:p>
    <w:p>
      <w:pPr>
        <w:ind w:left="900" w:right="420" w:hanging="325"/>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w:t>
      </w:r>
    </w:p>
    <w:p>
      <w:pPr>
        <w:ind w:right="160" w:firstLine="8"/>
        <w:spacing w:after="0" w:line="255" w:lineRule="auto"/>
        <w:tabs>
          <w:tab w:leader="none" w:pos="2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9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7" w:lineRule="exact"/>
        <w:rPr>
          <w:sz w:val="20"/>
          <w:szCs w:val="20"/>
          <w:color w:val="auto"/>
        </w:rPr>
      </w:pPr>
    </w:p>
    <w:p>
      <w:pPr>
        <w:ind w:left="900" w:right="20" w:hanging="325"/>
        <w:spacing w:after="0" w:line="272"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any present or future law, rule, regulation, fiat, order or decree of the United States, the Cayman Islands,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30"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or other document believed by it to be genuine and to have been signed, presented or given by the proper party or parties.</w:t>
      </w:r>
    </w:p>
    <w:p>
      <w:pPr>
        <w:spacing w:after="0" w:line="17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w:t>
      </w:r>
    </w:p>
    <w:p>
      <w:pPr>
        <w:spacing w:after="0" w:line="7"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affiliate of . 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has</w:t>
      </w:r>
    </w:p>
    <w:p>
      <w:pPr>
        <w:spacing w:after="0" w:line="1" w:lineRule="exact"/>
        <w:rPr>
          <w:sz w:val="20"/>
          <w:szCs w:val="20"/>
          <w:color w:val="auto"/>
        </w:rPr>
      </w:pPr>
    </w:p>
    <w:p>
      <w:pPr>
        <w:ind w:right="20" w:firstLine="8"/>
        <w:spacing w:after="0" w:line="268" w:lineRule="auto"/>
        <w:tabs>
          <w:tab w:leader="none" w:pos="2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8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the People’s Republic of China law, rules or regulations or any changes therein or thereto.</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Additionally, none of us, the depositary or the custodian shall be liable for the failure by any ADR holder or beneficial owner therein to obtain the benefits of credits on the basis of non-U.S. tax paid against such holder’s or beneficial owner’s income tax liability, except for any failure arising directly out of the gross negligence or willful misconduct of the depositary or the custodian or their respective directors, officers, affiliates or agents acting in their capacities as such. Neither we nor the depositary shall incur any liability for any tax consequences that may be incurred by ADR holders or beneficial owners therein on account of their ownership of ADRs or ADSs.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9" w:lineRule="auto"/>
        <w:rPr>
          <w:sz w:val="20"/>
          <w:szCs w:val="20"/>
          <w:color w:val="auto"/>
        </w:rPr>
      </w:pPr>
      <w:r>
        <w:rPr>
          <w:rFonts w:ascii="Arial" w:cs="Arial" w:eastAsia="Arial" w:hAnsi="Arial"/>
          <w:sz w:val="17"/>
          <w:szCs w:val="17"/>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8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and its agents may own and deal in any class of our securities and in ADSs.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us solely in order to enable us to comply with applicable law.</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of ADSs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its capacity as depositary, the depositary shall not lend shares or ADSs; provided, however, that the depositary may issue ADSs prior to the receipt of shares (a “pre-release”). The depositary may receive ADSs in lieu of shares under (which ADSs will promptly be canceled by the depositary upon receipt by the depositary).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such pre-release will be subject to a written agreement whereby the person or entity (the ”applicant”) to whom ADSs are to be delivered (a) represents that at the time of the pre-release the applicant or its customer owns the shares that are to be delivered by the applicant under such pre-release, (b) agrees to indicate the depositary as owner of such shares or ADSs in its records and to hold such shares in trust for the depositary until such shares are delivered to the depositary or the custodian, (c) unconditionally guarantees to deliver to the depositary or the custodian, as applicable, such shares or ADSs, (d) agrees that the applicant or its customer that owns the shares or ADSs to be delivered by the applicant will cause tax to be withheld on the dividends at the same rate as if such shares or ADSs were held by the depositary and to be paid to the relevant tax authority, and (e) agrees to any additional restrictions or requirements that the depositary deems appropriate. Each such pre-release will be at all times fully collateralized with cash, U.S. government securities or such other collateral as the depositary deems appropriate, terminable by the depositary on not more than five (5) business days’ notice and subject to such further indemnities and credit regulations as the depositary deems appropriate. The depositary will normally limit the number of ADSs involved in such pre-release at any one time to thirty percent (30%) of the ADSs outstanding (without giving effect to ADSs outstanding as a result of a pre-release), provided, however, that the depositary reserves the right to change or disregard such limit from time to time as it deems appropriate. The depositary may also set limits with respect to the number of ADSs involved in pre-release with any one person on a case-by-case basis as it deems appropriate. The depositary may retain for its own account any compensation received by it in conjunction with the foregoing. Collateral provided in connection with pre-release transactions, but not the earnings thereon, shall be held for the benefit of the ADR holders (other than the applicant).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76"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900" w:right="120" w:hanging="325"/>
        <w:spacing w:after="0" w:line="30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and Jurisdiction</w:t>
      </w:r>
    </w:p>
    <w:p>
      <w:pPr>
        <w:spacing w:after="0" w:line="12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provided however, to the extent there are specific federal securities law violation aspects to any claims against us and/or the depositary brought by any registered holder of ADRs, the federal securities law violation aspects of such claims brought by a registered holder of ADRs against us and/or the depositary may, at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the option of such registered holder of ADRs, remain in state or federal court in New York, New York and all other aspects, claims, disputes, legal suits, actions and/or proceedings brought by such ADR holders against us and/or the depositary, including those brought along with, or in addition to, federal securities law violation claims, would be referred to arbitration in accordance with the provisions of the deposit agreement.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459" w:right="27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74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b w:val="1"/>
                <w:bCs w:val="1"/>
                <w:color w:val="auto"/>
              </w:rPr>
              <w:t>SHARES ELIGIBLE FOR FUTURE SALE</w:t>
            </w:r>
          </w:p>
        </w:tc>
      </w:tr>
      <w:tr>
        <w:trPr>
          <w:trHeight w:val="432"/>
        </w:trPr>
        <w:tc>
          <w:tcPr>
            <w:tcW w:w="3940" w:type="dxa"/>
            <w:vAlign w:val="bottom"/>
            <w:gridSpan w:val="2"/>
          </w:tcPr>
          <w:p>
            <w:pPr>
              <w:ind w:left="460"/>
              <w:spacing w:after="0"/>
              <w:rPr>
                <w:sz w:val="20"/>
                <w:szCs w:val="20"/>
                <w:color w:val="auto"/>
              </w:rPr>
            </w:pPr>
            <w:r>
              <w:rPr>
                <w:rFonts w:ascii="Arial" w:cs="Arial" w:eastAsia="Arial" w:hAnsi="Arial"/>
                <w:sz w:val="18"/>
                <w:szCs w:val="18"/>
                <w:color w:val="auto"/>
                <w:w w:val="96"/>
              </w:rPr>
              <w:t>Upon completion of this offering, we will have</w:t>
            </w:r>
          </w:p>
        </w:tc>
        <w:tc>
          <w:tcPr>
            <w:tcW w:w="7400" w:type="dxa"/>
            <w:vAlign w:val="bottom"/>
          </w:tcPr>
          <w:p>
            <w:pPr>
              <w:ind w:left="360"/>
              <w:spacing w:after="0"/>
              <w:rPr>
                <w:sz w:val="20"/>
                <w:szCs w:val="20"/>
                <w:color w:val="auto"/>
              </w:rPr>
            </w:pPr>
            <w:r>
              <w:rPr>
                <w:rFonts w:ascii="Arial" w:cs="Arial" w:eastAsia="Arial" w:hAnsi="Arial"/>
                <w:sz w:val="18"/>
                <w:szCs w:val="18"/>
                <w:color w:val="auto"/>
                <w:w w:val="92"/>
              </w:rPr>
              <w:t>ADSs outstanding, representing approximately   % of our outstanding ordinary shares. All of the</w:t>
            </w:r>
          </w:p>
        </w:tc>
      </w:tr>
    </w:tbl>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and while application has been made for the ADSs to be listed on the [NYSE][NASDAQ], we cannot assure you that a regular trading market will develop in the ADSs. We do not expect that a trading market will develop for our ordinary shares not represented by the ADSs.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have agreed that we will not offer, sell, contract to sell, pledge, grant any option, right or warrant to purchase, sell any option or contract to purchase, purchase any option or contract to sell, lend, make any short sale or otherwise transfer or dispose of (including entering into any swap or other arrangement that transfers to another, in whole or in part, any of the economic consequence of ownership interests), directly or indirectly, any of our ADSs or ordinary shares or any securities that are convertible into or exchangeable for, or that represent the right to receive, our ADSs or ordinary shares or any substantially similar securities, without the prior written consent of the representatives on behalf of the underwriters for a period ending 180 days after the date of this prospectus, except issuances pursuant to the exercise of employee share options outstanding on the date hereof and certain other exceptions.</w:t>
      </w:r>
    </w:p>
    <w:p>
      <w:pPr>
        <w:spacing w:after="0" w:line="16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Each of our directors, executive officers [and existing shareholders] has agreed, subject to some exceptions, not to sell, transfer or dispose of, directly or indirectly, any of our ordinary shares, in the form of ADSs or otherwise, or any securities convertible into or exchangeable or exercisable for our ordinary shares, in the form of ADSs or otherwise, for a period of 180 days after the date this prospectus becomes effective. After the expiration of the 180-day period, the ordinary shares or ADSs held by our directors, executive officers or our existing shareholders may be sold subject to the restrictions under Rule 144 under the Securities Act or by means of registered public offerings.</w:t>
      </w:r>
    </w:p>
    <w:p>
      <w:pPr>
        <w:spacing w:after="0" w:line="17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of our ordinary shares outstanding prior to this offering, other than those issued pursuant to Regulation S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46"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w:t>
      </w:r>
    </w:p>
    <w:p>
      <w:pPr>
        <w:spacing w:after="0" w:line="131" w:lineRule="exact"/>
        <w:rPr>
          <w:sz w:val="20"/>
          <w:szCs w:val="20"/>
          <w:color w:val="auto"/>
        </w:rPr>
      </w:pPr>
    </w:p>
    <w:p>
      <w:pPr>
        <w:ind w:left="900" w:right="4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 of the then outstanding ordinary shares, in the form of ADSs or otherwise, which will equal approximately ordinary shares immediately after this offering; or</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or otherwise, on the [NYSE][NASDAQ], during the four calendar weeks preceding the date on which notice of the sale is filed with the SEC.</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Upon completion of this offering, holders of our registrable securities will be entitled to request that we register their shares under the Securities Act, following the expiration of the lock-up agreements described above. See “Description of Share Capital — Shareholders Agreement.”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The following summary of the material Cayman Islands, PRC and U.S. federal income tax consequences of an investment in our ADSs or ordinary shares is based upon laws and relevant interpretations thereof in effect as of the date of this registration statement, all of which are subject to change. This summary does not discuss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January 2009, the State Administration of Taxation promulgated the Provisional Measures for the Administration of Withholding of Enterprise Income Tax for Non-resident Enterprises, pursuant to which the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 Further, the measures provide that in case of an equity transfer between two non-resident enterprises which occurs outside China, the non-resident enterprise which receives the equity transfer payment must, by itself or engage an agent to, file tax declaration with the PRC tax authority located at place of the PRC company whose equity has been transferred, and the PRC company whose equity has been transferred should assist the tax authorities to collect taxes from the relevant non-resident enterprise.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voting ordinary shares,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2"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2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60"/>
          </w:cols>
          <w:pgMar w:left="240" w:top="459" w:right="2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Dividends paid in a currency other than U.S. dollars generally will be includible in your income in a U.S. dollar amount calculated by reference to the exchange rate in effect on the day you receive the dividends, in the case of ordinary shares, or the date the depositary receives the dividends, in the case of ordinary shares represented by ADSs. U.S. Holders should consult their own tax advisors regarding the treatment of foreign currency gain or loss, if any, on any foreign currency received that is converted into U.S. dollars after it is received.</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certain exceptions for short-term positions, the U.S. dollar amount of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7" w:lineRule="exact"/>
        <w:rPr>
          <w:sz w:val="20"/>
          <w:szCs w:val="20"/>
          <w:color w:val="auto"/>
        </w:rPr>
      </w:pPr>
    </w:p>
    <w:p>
      <w:pPr>
        <w:ind w:left="900" w:right="120" w:hanging="325"/>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we were not, in the year prior to the year in which the dividend was paid, and are not, in the year in which the dividend is paid, a PFIC.</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ADSs will be listed on the [NASDAQ Select Market /New York Stock Exchange], and will qualify as readily tradable on an established securities market in the United States so long as they are so listed.] [Based on our audited financial statements, we believe that we were not treated as a PFIC for U.S. federal income tax purposes with respect to our 2016 taxable year. In addition, based on our audited financial statements and our current expectations regarding the value and nature of our assets, the sources and nature of our income, and our anticipated market capitalization following this offering, we do not anticipate becoming a PFIC for our current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event that we are deemed to be a PRC resident enterprise under the PRC Enterprise Income Tax Law (see “Taxation —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7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Deposits and withdrawals of ordinary shares by U.S. Holders in exchange for ADSs will not result in the realization of gain or loss for U.S. federal income tax purposes.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Special U.S. tax rules apply to companies that are considered to be PFICs. We will be classified as a PFIC in a particular taxable year if either</w:t>
      </w:r>
    </w:p>
    <w:p>
      <w:pPr>
        <w:spacing w:after="0" w:line="142"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30" w:lineRule="exact"/>
        <w:rPr>
          <w:rFonts w:ascii="Arial" w:cs="Arial" w:eastAsia="Arial" w:hAnsi="Arial"/>
          <w:sz w:val="18"/>
          <w:szCs w:val="18"/>
          <w:color w:val="auto"/>
        </w:rPr>
      </w:pPr>
    </w:p>
    <w:p>
      <w:pPr>
        <w:ind w:left="900" w:right="80" w:hanging="325"/>
        <w:spacing w:after="0" w:line="279"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7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Certain U.S. Holders who are individuals that own “specified foreign financial assets” with an aggregate value in excess of US$50,000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Prospective investors should consult their own tax advisors concerning the application of these rules to their investment in the ADSs, including the application of the rules to their particular circumstances.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9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04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920" w:type="dxa"/>
            <w:vAlign w:val="bottom"/>
          </w:tcPr>
          <w:p>
            <w:pPr>
              <w:spacing w:after="0"/>
              <w:rPr>
                <w:sz w:val="24"/>
                <w:szCs w:val="24"/>
                <w:color w:val="auto"/>
              </w:rPr>
            </w:pPr>
          </w:p>
        </w:tc>
      </w:tr>
      <w:tr>
        <w:trPr>
          <w:trHeight w:val="432"/>
        </w:trPr>
        <w:tc>
          <w:tcPr>
            <w:tcW w:w="7400" w:type="dxa"/>
            <w:vAlign w:val="bottom"/>
            <w:gridSpan w:val="2"/>
          </w:tcPr>
          <w:p>
            <w:pPr>
              <w:ind w:left="460"/>
              <w:spacing w:after="0"/>
              <w:rPr>
                <w:sz w:val="20"/>
                <w:szCs w:val="20"/>
                <w:color w:val="auto"/>
              </w:rPr>
            </w:pPr>
            <w:r>
              <w:rPr>
                <w:rFonts w:ascii="Arial" w:cs="Arial" w:eastAsia="Arial" w:hAnsi="Arial"/>
                <w:sz w:val="18"/>
                <w:szCs w:val="18"/>
                <w:color w:val="auto"/>
                <w:w w:val="94"/>
              </w:rPr>
              <w:t>Under the terms and subject to the conditions contained in an underwriting agreement dated</w:t>
            </w:r>
          </w:p>
        </w:tc>
        <w:tc>
          <w:tcPr>
            <w:tcW w:w="3920" w:type="dxa"/>
            <w:vAlign w:val="bottom"/>
          </w:tcPr>
          <w:p>
            <w:pPr>
              <w:ind w:left="300"/>
              <w:spacing w:after="0"/>
              <w:rPr>
                <w:sz w:val="20"/>
                <w:szCs w:val="20"/>
                <w:color w:val="auto"/>
              </w:rPr>
            </w:pPr>
            <w:r>
              <w:rPr>
                <w:rFonts w:ascii="Arial" w:cs="Arial" w:eastAsia="Arial" w:hAnsi="Arial"/>
                <w:sz w:val="18"/>
                <w:szCs w:val="18"/>
                <w:color w:val="auto"/>
                <w:w w:val="89"/>
              </w:rPr>
              <w:t>, we have agreed to sell to the underwriters named</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below, for whom Credit Suisse Securities (USA) LLC and Jefferies LLC are acting as representatives, the following respective numbers of shares of ADSs:</w:t>
      </w: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6740" w:type="dxa"/>
            <w:vAlign w:val="bottom"/>
            <w:gridSpan w:val="3"/>
            <w:vMerge w:val="continue"/>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of ADSs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Credit Suisse Securities (USA) LLC</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underwriting agreement provides that the underwriters are obligated to purchase all ADSs in the offering if any are purchased, other than those ADSs covered by the over-allotment option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additional ADSs from us at the initial public offering price less the underwriting discounts and commissions. The option may be exercised only to cover any over-allotments of ADSs.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ADSs initially at the public offering price on the cover page of this prospectus and to selling group members at that</w:t>
      </w:r>
    </w:p>
    <w:p>
      <w:pPr>
        <w:spacing w:after="0" w:line="46" w:lineRule="exact"/>
        <w:rPr>
          <w:sz w:val="20"/>
          <w:szCs w:val="20"/>
          <w:color w:val="auto"/>
        </w:rPr>
      </w:pPr>
    </w:p>
    <w:p>
      <w:pPr>
        <w:jc w:val="both"/>
        <w:ind w:right="140"/>
        <w:spacing w:after="0" w:line="290" w:lineRule="auto"/>
        <w:rPr>
          <w:sz w:val="20"/>
          <w:szCs w:val="20"/>
          <w:color w:val="auto"/>
        </w:rPr>
      </w:pPr>
      <w:r>
        <w:rPr>
          <w:rFonts w:ascii="Arial" w:cs="Arial" w:eastAsia="Arial" w:hAnsi="Arial"/>
          <w:sz w:val="17"/>
          <w:szCs w:val="17"/>
          <w:color w:val="auto"/>
        </w:rPr>
        <w:t>price less a selling concession of US$ per ADS. The underwriters and selling group members may allow a discount of US$ per ADS on sales to other broker/dealers. After the initial public offering the underwriters may change the public offering price and concession and discount to broker/dealers.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and the selling stockholders will pay: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auto"/>
              </w:rPr>
              <w:t>Per ADS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3"/>
          </w:tcPr>
          <w:p>
            <w:pPr>
              <w:ind w:left="220"/>
              <w:spacing w:after="0"/>
              <w:rPr>
                <w:sz w:val="20"/>
                <w:szCs w:val="20"/>
                <w:color w:val="auto"/>
              </w:rPr>
            </w:pPr>
            <w:r>
              <w:rPr>
                <w:rFonts w:ascii="Arial" w:cs="Arial" w:eastAsia="Arial" w:hAnsi="Arial"/>
                <w:sz w:val="14"/>
                <w:szCs w:val="14"/>
                <w:color w:val="auto"/>
              </w:rPr>
              <w:t>Total</w:t>
            </w:r>
          </w:p>
        </w:tc>
      </w:tr>
      <w:tr>
        <w:trPr>
          <w:trHeight w:val="123"/>
        </w:trPr>
        <w:tc>
          <w:tcPr>
            <w:tcW w:w="4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Borders>
              <w:top w:val="single" w:sz="8" w:color="auto"/>
            </w:tcBorders>
          </w:tcPr>
          <w:p>
            <w:pPr>
              <w:ind w:left="200"/>
              <w:spacing w:after="0" w:line="123" w:lineRule="exact"/>
              <w:rPr>
                <w:sz w:val="20"/>
                <w:szCs w:val="20"/>
                <w:color w:val="auto"/>
              </w:rPr>
            </w:pPr>
            <w:r>
              <w:rPr>
                <w:rFonts w:ascii="Arial" w:cs="Arial" w:eastAsia="Arial" w:hAnsi="Arial"/>
                <w:sz w:val="14"/>
                <w:szCs w:val="14"/>
                <w:color w:val="auto"/>
              </w:rPr>
              <w:t>Without</w:t>
            </w:r>
          </w:p>
        </w:tc>
        <w:tc>
          <w:tcPr>
            <w:tcW w:w="7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720" w:type="dxa"/>
            <w:vAlign w:val="bottom"/>
          </w:tcPr>
          <w:p>
            <w:pPr>
              <w:spacing w:after="0"/>
              <w:rPr>
                <w:sz w:val="10"/>
                <w:szCs w:val="10"/>
                <w:color w:val="auto"/>
              </w:rPr>
            </w:pPr>
          </w:p>
        </w:tc>
        <w:tc>
          <w:tcPr>
            <w:tcW w:w="880" w:type="dxa"/>
            <w:vAlign w:val="bottom"/>
            <w:tcBorders>
              <w:top w:val="single" w:sz="8" w:color="auto"/>
            </w:tcBorders>
          </w:tcPr>
          <w:p>
            <w:pPr>
              <w:ind w:left="220"/>
              <w:spacing w:after="0" w:line="123" w:lineRule="exact"/>
              <w:rPr>
                <w:sz w:val="20"/>
                <w:szCs w:val="20"/>
                <w:color w:val="auto"/>
              </w:rPr>
            </w:pPr>
            <w:r>
              <w:rPr>
                <w:rFonts w:ascii="Arial" w:cs="Arial" w:eastAsia="Arial" w:hAnsi="Arial"/>
                <w:sz w:val="14"/>
                <w:szCs w:val="14"/>
                <w:color w:val="auto"/>
              </w:rPr>
              <w:t>Without</w:t>
            </w:r>
          </w:p>
        </w:tc>
        <w:tc>
          <w:tcPr>
            <w:tcW w:w="7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60" w:type="dxa"/>
            <w:vAlign w:val="bottom"/>
          </w:tcPr>
          <w:p>
            <w:pPr>
              <w:spacing w:after="0"/>
              <w:rPr>
                <w:sz w:val="10"/>
                <w:szCs w:val="10"/>
                <w:color w:val="auto"/>
              </w:rPr>
            </w:pPr>
          </w:p>
        </w:tc>
      </w:t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Over-allotment</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Expenses payable by us</w:t>
            </w:r>
          </w:p>
        </w:tc>
        <w:tc>
          <w:tcPr>
            <w:tcW w:w="1780" w:type="dxa"/>
            <w:vAlign w:val="bottom"/>
            <w:gridSpan w:val="2"/>
          </w:tcPr>
          <w:p>
            <w:pPr>
              <w:ind w:left="900"/>
              <w:spacing w:after="0"/>
              <w:rPr>
                <w:sz w:val="20"/>
                <w:szCs w:val="20"/>
                <w:color w:val="auto"/>
              </w:rPr>
            </w:pPr>
            <w:r>
              <w:rPr>
                <w:rFonts w:ascii="Arial" w:cs="Arial" w:eastAsia="Arial" w:hAnsi="Arial"/>
                <w:sz w:val="18"/>
                <w:szCs w:val="18"/>
                <w:color w:val="auto"/>
              </w:rPr>
              <w:t>US$</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US$</w:t>
            </w:r>
          </w:p>
        </w:tc>
        <w:tc>
          <w:tcPr>
            <w:tcW w:w="1600" w:type="dxa"/>
            <w:vAlign w:val="bottom"/>
            <w:gridSpan w:val="2"/>
          </w:tcPr>
          <w:p>
            <w:pPr>
              <w:ind w:left="720"/>
              <w:spacing w:after="0"/>
              <w:rPr>
                <w:sz w:val="20"/>
                <w:szCs w:val="20"/>
                <w:color w:val="auto"/>
              </w:rPr>
            </w:pPr>
            <w:r>
              <w:rPr>
                <w:rFonts w:ascii="Arial" w:cs="Arial" w:eastAsia="Arial" w:hAnsi="Arial"/>
                <w:sz w:val="18"/>
                <w:szCs w:val="18"/>
                <w:color w:val="auto"/>
              </w:rPr>
              <w:t>US$</w:t>
            </w:r>
          </w:p>
        </w:tc>
        <w:tc>
          <w:tcPr>
            <w:tcW w:w="1680" w:type="dxa"/>
            <w:vAlign w:val="bottom"/>
            <w:gridSpan w:val="3"/>
          </w:tcPr>
          <w:p>
            <w:pPr>
              <w:ind w:left="740"/>
              <w:spacing w:after="0"/>
              <w:rPr>
                <w:sz w:val="20"/>
                <w:szCs w:val="20"/>
                <w:color w:val="auto"/>
              </w:rPr>
            </w:pPr>
            <w:r>
              <w:rPr>
                <w:rFonts w:ascii="Arial" w:cs="Arial" w:eastAsia="Arial" w:hAnsi="Arial"/>
                <w:sz w:val="18"/>
                <w:szCs w:val="18"/>
                <w:color w:val="auto"/>
              </w:rPr>
              <w:t>US$</w:t>
            </w:r>
          </w:p>
        </w:tc>
      </w:tr>
    </w:tbl>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have agreed that we will not offer, sell, contract to sell, pledge or otherwise dispose of, directly or indirectly, or file with the Securities and Exchange Commission a registration statement under the Securities Act relating to, any ADSs, our ordinary shares or securities convertible into or exchangeable or exercisable for any ADSs or our ordinary shares, or publicly disclose the intention to make any offer, sale, pledge, disposition or filing, without the prior written consent of Credit Suisse Securities (USA) LLC and Jefferies LLC for a period of [180] days after the date of this prospectus, except issuances pursuant to the exercise of employee stock options outstanding on the date hereof.]</w:t>
      </w:r>
    </w:p>
    <w:p>
      <w:pPr>
        <w:spacing w:after="0" w:line="17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officers, directors, [major shareholders and option holders] have agreed that they will not offer, sell, contract to sell, pledge or otherwise dispose of, directly or indirectly, any ADSs, our ordinary shares or securities convertible into or exchangeable or exercisable for any ADSs or our ordinary shares, enter into a transaction that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46"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or publicly disclose the intention to make any offer, sale, pledge or disposition, or to enter into any transaction, swap, hedge or other arrangement, without, in each case, the prior written consent of Credit Suisse Securities (USA) LLC and Jefferies LLC for a period of [180] days after the date of this prospectus.]</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underwriters have reserved for sale at the initial public offering price up to ADSs for employees, directors and other persons associated with us who have expressed an interest in purchasing ADSs in the offering. If purchased by these persons, these shares will be subject to a 180-day lock-up restriction. The number of ADSs available for sale to the general public in the offering will be reduced to the extent of these persons’ purchase. Any reserved ADSs not so purchased will be offered by the underwriters to the general public on the same terms as the other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ADSs on [the NYSE/the NASDAQ Global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listing of ADSs on the NYSE/ the NASDAQ Global Market, the underwriters will undertake to sell round lots of 100 shares or</w:t>
      </w:r>
    </w:p>
    <w:p>
      <w:pPr>
        <w:spacing w:after="0" w:line="46"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more to a minimum of</w:t>
      </w:r>
      <w:r>
        <w:rPr>
          <w:sz w:val="20"/>
          <w:szCs w:val="20"/>
          <w:color w:val="auto"/>
        </w:rPr>
        <w:tab/>
      </w:r>
      <w:r>
        <w:rPr>
          <w:rFonts w:ascii="Arial" w:cs="Arial" w:eastAsia="Arial" w:hAnsi="Arial"/>
          <w:sz w:val="16"/>
          <w:szCs w:val="16"/>
          <w:color w:val="auto"/>
        </w:rPr>
        <w:t>beneficial owners.]</w:t>
      </w:r>
    </w:p>
    <w:p>
      <w:pPr>
        <w:spacing w:after="0" w:line="21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Prior to this offering, there has been no public market for the ADSs. The initial public offering price was determined by negotiations among us and the representatives and will not necessarily reflect the market price of the ADSs following this offering. The principal factors that were considered in determining the initial public offering price included:</w:t>
      </w:r>
    </w:p>
    <w:p>
      <w:pPr>
        <w:spacing w:after="0" w:line="87"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history of, and prospects for, the industry in which we will compete;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prospects for our future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present state of our development, results of operations and our current financial condition;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cannot assure you that the initial public offering price will correspond to the price at which the ADSs will trade in the public market subsequent to this offering or that an active trading market for the ADSs will develop and continue after this offering.</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(the “Exchange Act”).</w:t>
      </w:r>
    </w:p>
    <w:p>
      <w:pPr>
        <w:spacing w:after="0" w:line="29"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hanging="325"/>
        <w:spacing w:after="0" w:line="255"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5"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94" w:lineRule="exact"/>
        <w:rPr>
          <w:rFonts w:ascii="Arial" w:cs="Arial" w:eastAsia="Arial" w:hAnsi="Arial"/>
          <w:sz w:val="18"/>
          <w:szCs w:val="18"/>
          <w:color w:val="auto"/>
        </w:rPr>
      </w:pPr>
    </w:p>
    <w:p>
      <w:pPr>
        <w:ind w:left="900" w:right="200" w:hanging="325"/>
        <w:spacing w:after="0" w:line="308"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passive market making, market makers in the ADSs who are underwriters or prospective underwriters may, subject to limitations, make bids for or purchases of our ADSs until the time, if any, at which a stabilizing bid is made.]</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ADSs or preventing or retarding a decline in the market price of the ADSs. As a result the price of our ADSs may be higher than the price that might otherwise exist in the open market. These transactions may be effected on [the NYSE/NASDAQ Global Market] or otherwise and, if commenced, may be discontinued at any time.</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Corporations Act 2001 (the “Corporations Act”), and does not purport to include the information required for a prospectus, product disclosure statement or other disclosure document under the Corporations Act. 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distribution of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ADSs.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By purchasing ADSs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380" w:hanging="325"/>
        <w:spacing w:after="0" w:line="308"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ADSs without the benefit of a prospectus qualified under those securities laws as it is an “accredited investor” as defined under National Instrument 45-106 – Prospectus Exemptions,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prospectus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Center</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which are the subject of the offering contemplated by this document may be illiquid and/or subject to restrictions on their resale. Prospective purchasers of the ADSs offered should conduct their own due diligence on the ADSs. If you do not understand the contents of this document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92"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40"/>
          </w:cols>
          <w:pgMar w:left="240" w:top="460" w:right="3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92"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900" w:right="120" w:hanging="325"/>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of the Autorité des Marchés Financiers,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12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prospectus does not constitute a Prospectus Directive-compliant prospectus in accordance with the German Securities Prospectus Act (Wertpapierprospektgesetz)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The offering of ADSs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ADSs may be offered, sold or delivered, nor copies of this prospectus or any other documents relating to the ADSs may not be distributed in Italy except:</w:t>
      </w:r>
    </w:p>
    <w:p>
      <w:pPr>
        <w:spacing w:after="0" w:line="87" w:lineRule="exact"/>
        <w:rPr>
          <w:sz w:val="20"/>
          <w:szCs w:val="20"/>
          <w:color w:val="auto"/>
        </w:rPr>
      </w:pPr>
    </w:p>
    <w:p>
      <w:pPr>
        <w:ind w:left="900" w:right="180" w:hanging="325"/>
        <w:spacing w:after="0" w:line="31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“qualified investors”, as referred to in Article 100 of Legislative Decree No. 58 of February 24, 1998, as amended (the “Decree No. 58”) and defined in Article 26, paragraph 1, letter d) of CONSOB Regulation No. 16190 of October 29, 2007, as amended (“Regulation No. 16190”) pursuant to Article 34-ter, paragraph 1, letter. b) of CONSOB Regulation No. 11971 of 14 May 1999, as amended (“Regulation No. 11971”); or</w:t>
      </w:r>
    </w:p>
    <w:p>
      <w:pPr>
        <w:spacing w:after="0" w:line="52"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Any offer, sale or delivery of the ADSs or distribution of copies of this prospectus or any other documents relating to the ADSs in the Republic of Italy must be:</w:t>
      </w:r>
    </w:p>
    <w:p>
      <w:pPr>
        <w:spacing w:after="0" w:line="76" w:lineRule="exact"/>
        <w:rPr>
          <w:sz w:val="20"/>
          <w:szCs w:val="20"/>
          <w:color w:val="auto"/>
        </w:rPr>
      </w:pPr>
    </w:p>
    <w:p>
      <w:pPr>
        <w:ind w:left="900" w:right="320" w:hanging="325"/>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September 1, 1993, as amended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Qatar</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ADSs have not been and will not be offered, sold or delivered at any time, directly or indirectly, in the State of Qatar (“Qatar”) in a manner that would constitute a public offering. This prospectus has not been 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w:t>
      </w:r>
    </w:p>
    <w:p>
      <w:pPr>
        <w:spacing w:after="0" w:line="52"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900" w:right="2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92"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740" w:hanging="567"/>
        <w:spacing w:after="0" w:line="277"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(Sharesand Debentures) Regulations 2005 of Singapore.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document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ADSs may be publicly distributed or otherwise made publicly available in Switzerland.</w:t>
      </w:r>
    </w:p>
    <w:p>
      <w:pPr>
        <w:spacing w:after="0" w:line="178"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Neither this document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(FINMA), and investors in the ADSs will not benefit from protection or supervision by such authority.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 (Excluding the Dubai International Financial Center)</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ADSs have not been, and are not being, publicly offered, sold, promoted or advertised in the United Arab Emirates (“U.A.E.”) other than in compliance with the laws of the U.A.E. Prospective investors in the Dubai International Financial Centre should have regard to the specific selling restrictions on prospective investors in the Dubai International Financial Centre set out below.</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900" w:right="40" w:hanging="325"/>
        <w:spacing w:after="0" w:line="286"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 of the FSMA does not apply to us; and</w:t>
      </w:r>
    </w:p>
    <w:p>
      <w:pPr>
        <w:spacing w:after="0" w:line="70"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Set forth below is an itemization of the total expenses, excluding underwriting discounts and commissions, that are expected to be incurred in connection with the offer and sale of the ADSs. With the exception of the Securities and Exchange Commission registration fee, the Financial Industry Regulatory Authority, Inc., or FINRA, filing fee and the [NASDAQ Global Market/NYSE] listing fee, all amounts are estimates.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5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FINRA Filing Fee</w:t>
            </w:r>
          </w:p>
        </w:tc>
        <w:tc>
          <w:tcPr>
            <w:tcW w:w="536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Market/NYSE] Listing Fee</w:t>
            </w:r>
          </w:p>
        </w:tc>
        <w:tc>
          <w:tcPr>
            <w:tcW w:w="5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Printing Expenses</w:t>
            </w:r>
          </w:p>
        </w:tc>
        <w:tc>
          <w:tcPr>
            <w:tcW w:w="536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36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w:t>
            </w:r>
          </w:p>
        </w:tc>
        <w:tc>
          <w:tcPr>
            <w:tcW w:w="536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360" w:type="dxa"/>
            <w:vAlign w:val="bottom"/>
            <w:vMerge w:val="restart"/>
          </w:tcPr>
          <w:p>
            <w:pPr>
              <w:jc w:val="right"/>
              <w:ind w:right="4210"/>
              <w:spacing w:after="0"/>
              <w:rPr>
                <w:sz w:val="20"/>
                <w:szCs w:val="20"/>
                <w:color w:val="auto"/>
              </w:rPr>
            </w:pPr>
            <w:r>
              <w:rPr>
                <w:rFonts w:ascii="Arial" w:cs="Arial" w:eastAsia="Arial" w:hAnsi="Arial"/>
                <w:sz w:val="18"/>
                <w:szCs w:val="18"/>
                <w:color w:val="auto"/>
              </w:rPr>
              <w:t>186</w:t>
            </w: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being represented by Cleary, Gottlieb, Steen &amp; Hamilton LLP with respect to certain legal matters as to United States federal securities and New York State law. The underwriters are being represented by Davis Polk &amp; Wardwell LLP with respect to certain legal matters as to United States federal securities and New York State law. The validity of the ordinary shares represented by the ADSs offered in this offering will be passed upon for us by Travers Thorp Alberga, Attorneys at Law. Certain legal matters as to PRC law will be passed upon for us by Jingtian &amp; Gongcheng and for the underwriters by Fangda Partners. Cleary, Gottlieb, Steen &amp; Hamilton LLP may rely upon Travers Thorp Alberga, Attorneys at Law, with respect to matters governed by Cayman Islands law and Jingtian &amp; Gongcheng with respect to matters governed by PRC law. Davis Polk &amp; Wardwell LLP may rely upon Fangda Partners with respect to matters governed by PRC law.</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300"/>
          </w:cols>
          <w:pgMar w:left="240" w:top="459"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consolidated financial statements of iClick Interactive Asia Group Limited (previously named Optimix Media Asia Limited) as of December 31, 2015 and 2016 and for each of the two years in the period ended December 31, 2016 included in this prospectus have been so included in reliance on the report of PricewaterhouseCoopers, an independent registered public accounting firm, given on the authority of said firm as experts in auditing and accounting.</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consolidated statements of for OptAim for the period from January 1, 2015 to July 23, 2015 included in this prospectus have been so included in reliance upon the report of PricewaterhouseCoopers, an independent registered public accounting firm, given on the authority of said firm as experts in auditing and accounting.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7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380"/>
          </w:cols>
          <w:pgMar w:left="240" w:top="460" w:right="2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8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9580" w:type="dxa"/>
            <w:vAlign w:val="bottom"/>
            <w:gridSpan w:val="13"/>
            <w:vMerge w:val="continue"/>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580" w:type="dxa"/>
            <w:vAlign w:val="bottom"/>
            <w:gridSpan w:val="13"/>
          </w:tcPr>
          <w:p>
            <w:pPr>
              <w:spacing w:after="0" w:line="190" w:lineRule="exact"/>
              <w:rPr>
                <w:rFonts w:ascii="Arial" w:cs="Arial" w:eastAsia="Arial" w:hAnsi="Arial"/>
                <w:sz w:val="18"/>
                <w:szCs w:val="18"/>
                <w:color w:val="0000EE"/>
              </w:rPr>
            </w:pPr>
            <w:hyperlink w:anchor="page196">
              <w:r>
                <w:rPr>
                  <w:rFonts w:ascii="Arial" w:cs="Arial" w:eastAsia="Arial" w:hAnsi="Arial"/>
                  <w:sz w:val="18"/>
                  <w:szCs w:val="18"/>
                  <w:color w:val="0000EE"/>
                </w:rPr>
                <w:t>Report of Independent Registered Public Accounting Firm</w:t>
              </w:r>
            </w:hyperlink>
          </w:p>
        </w:tc>
        <w:tc>
          <w:tcPr>
            <w:tcW w:w="17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97">
              <w:r>
                <w:rPr>
                  <w:rFonts w:ascii="Arial" w:cs="Arial" w:eastAsia="Arial" w:hAnsi="Arial"/>
                  <w:sz w:val="18"/>
                  <w:szCs w:val="18"/>
                  <w:color w:val="0000EE"/>
                  <w:w w:val="88"/>
                </w:rPr>
                <w:t>Consolidated Balance Sheets as of December 31, 2015 and 2016</w:t>
              </w:r>
            </w:hyperlink>
          </w:p>
        </w:tc>
        <w:tc>
          <w:tcPr>
            <w:tcW w:w="4920" w:type="dxa"/>
            <w:vAlign w:val="bottom"/>
            <w:gridSpan w:val="8"/>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01">
              <w:r>
                <w:rPr>
                  <w:rFonts w:ascii="Arial" w:cs="Arial" w:eastAsia="Arial" w:hAnsi="Arial"/>
                  <w:sz w:val="18"/>
                  <w:szCs w:val="18"/>
                  <w:color w:val="0000EE"/>
                  <w:w w:val="89"/>
                </w:rPr>
                <w:t>Consolidated Statements of Comprehensive Loss for the years ended December 31, 2015 and 2016</w:t>
              </w:r>
            </w:hyperlink>
          </w:p>
        </w:tc>
        <w:tc>
          <w:tcPr>
            <w:tcW w:w="2440" w:type="dxa"/>
            <w:vAlign w:val="bottom"/>
            <w:gridSpan w:val="5"/>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Consolidated Statements of Changes in Shareholders’ Deficit for the years ended December 31, 2015 and 2016</w:t>
              </w:r>
            </w:hyperlink>
          </w:p>
        </w:tc>
        <w:tc>
          <w:tcPr>
            <w:tcW w:w="1560" w:type="dxa"/>
            <w:vAlign w:val="bottom"/>
            <w:gridSpan w:val="2"/>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04">
              <w:r>
                <w:rPr>
                  <w:rFonts w:ascii="Arial" w:cs="Arial" w:eastAsia="Arial" w:hAnsi="Arial"/>
                  <w:sz w:val="18"/>
                  <w:szCs w:val="18"/>
                  <w:color w:val="0000EE"/>
                  <w:w w:val="89"/>
                </w:rPr>
                <w:t>Consolidated Statements of Cash Flows for the years ended December 31, 2015 and 2016</w:t>
              </w:r>
            </w:hyperlink>
          </w:p>
        </w:tc>
        <w:tc>
          <w:tcPr>
            <w:tcW w:w="3060" w:type="dxa"/>
            <w:vAlign w:val="bottom"/>
            <w:gridSpan w:val="7"/>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9580" w:type="dxa"/>
            <w:vAlign w:val="bottom"/>
            <w:gridSpan w:val="13"/>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Notes to the Consolidated Financial Statements</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434"/>
        </w:trPr>
        <w:tc>
          <w:tcPr>
            <w:tcW w:w="34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OPTAIM LIMITED (Note)</w:t>
            </w:r>
          </w:p>
        </w:tc>
        <w:tc>
          <w:tcPr>
            <w:tcW w:w="6160" w:type="dxa"/>
            <w:vAlign w:val="bottom"/>
            <w:gridSpan w:val="11"/>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580" w:type="dxa"/>
            <w:vAlign w:val="bottom"/>
            <w:gridSpan w:val="13"/>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580" w:type="dxa"/>
            <w:vAlign w:val="bottom"/>
            <w:gridSpan w:val="13"/>
          </w:tcPr>
          <w:p>
            <w:pPr>
              <w:spacing w:after="0" w:line="170" w:lineRule="exact"/>
              <w:rPr>
                <w:rFonts w:ascii="Arial" w:cs="Arial" w:eastAsia="Arial" w:hAnsi="Arial"/>
                <w:sz w:val="18"/>
                <w:szCs w:val="18"/>
                <w:color w:val="0000EE"/>
              </w:rPr>
            </w:pPr>
            <w:hyperlink w:anchor="page264">
              <w:r>
                <w:rPr>
                  <w:rFonts w:ascii="Arial" w:cs="Arial" w:eastAsia="Arial" w:hAnsi="Arial"/>
                  <w:sz w:val="18"/>
                  <w:szCs w:val="18"/>
                  <w:color w:val="0000EE"/>
                </w:rPr>
                <w:t>Report of Independent Auditors</w:t>
              </w:r>
            </w:hyperlink>
          </w:p>
        </w:tc>
        <w:tc>
          <w:tcPr>
            <w:tcW w:w="1780" w:type="dxa"/>
            <w:vAlign w:val="bottom"/>
          </w:tcPr>
          <w:p>
            <w:pPr>
              <w:jc w:val="right"/>
              <w:spacing w:after="0" w:line="170" w:lineRule="exact"/>
              <w:rPr>
                <w:sz w:val="20"/>
                <w:szCs w:val="20"/>
                <w:color w:val="auto"/>
              </w:rPr>
            </w:pPr>
            <w:r>
              <w:rPr>
                <w:rFonts w:ascii="Arial" w:cs="Arial" w:eastAsia="Arial" w:hAnsi="Arial"/>
                <w:sz w:val="18"/>
                <w:szCs w:val="18"/>
                <w:color w:val="auto"/>
              </w:rPr>
              <w:t>F-70</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65">
              <w:r>
                <w:rPr>
                  <w:rFonts w:ascii="Arial" w:cs="Arial" w:eastAsia="Arial" w:hAnsi="Arial"/>
                  <w:sz w:val="18"/>
                  <w:szCs w:val="18"/>
                  <w:color w:val="0000EE"/>
                  <w:w w:val="89"/>
                </w:rPr>
                <w:t>Consolidated Balance Sheet as of July 23, 2015</w:t>
              </w:r>
            </w:hyperlink>
          </w:p>
        </w:tc>
        <w:tc>
          <w:tcPr>
            <w:tcW w:w="6140" w:type="dxa"/>
            <w:vAlign w:val="bottom"/>
            <w:gridSpan w:val="10"/>
          </w:tcPr>
          <w:p>
            <w:pPr>
              <w:spacing w:after="0"/>
              <w:rPr>
                <w:sz w:val="18"/>
                <w:szCs w:val="18"/>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F-71</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67">
              <w:r>
                <w:rPr>
                  <w:rFonts w:ascii="Arial" w:cs="Arial" w:eastAsia="Arial" w:hAnsi="Arial"/>
                  <w:sz w:val="18"/>
                  <w:szCs w:val="18"/>
                  <w:color w:val="0000EE"/>
                  <w:w w:val="90"/>
                </w:rPr>
                <w:t>Consolidated Statement of Comprehensive Loss for the Period from January 1, 2015 to July 23, 2015</w:t>
              </w:r>
            </w:hyperlink>
          </w:p>
        </w:tc>
        <w:tc>
          <w:tcPr>
            <w:tcW w:w="86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F-73</w:t>
            </w:r>
          </w:p>
        </w:tc>
        <w:tc>
          <w:tcPr>
            <w:tcW w:w="0" w:type="dxa"/>
            <w:vAlign w:val="bottom"/>
          </w:tcPr>
          <w:p>
            <w:pPr>
              <w:spacing w:after="0"/>
              <w:rPr>
                <w:sz w:val="1"/>
                <w:szCs w:val="1"/>
                <w:color w:val="auto"/>
              </w:rPr>
            </w:pPr>
          </w:p>
        </w:tc>
      </w:tr>
      <w:tr>
        <w:trPr>
          <w:trHeight w:val="210"/>
        </w:trPr>
        <w:tc>
          <w:tcPr>
            <w:tcW w:w="9580" w:type="dxa"/>
            <w:vAlign w:val="bottom"/>
            <w:gridSpan w:val="13"/>
          </w:tcPr>
          <w:p>
            <w:pPr>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Consolidated Statement of Changes in Shareholders’ Equity for the Period from January 1, 2015 to July 23, 2015</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210"/>
        </w:trPr>
        <w:tc>
          <w:tcPr>
            <w:tcW w:w="66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269">
              <w:r>
                <w:rPr>
                  <w:rFonts w:ascii="Arial" w:cs="Arial" w:eastAsia="Arial" w:hAnsi="Arial"/>
                  <w:sz w:val="18"/>
                  <w:szCs w:val="18"/>
                  <w:color w:val="0000EE"/>
                  <w:w w:val="90"/>
                </w:rPr>
                <w:t>Consolidated Statement of Cash Flows for the Period from January 1, 2015 to July 23, 2015</w:t>
              </w:r>
            </w:hyperlink>
          </w:p>
        </w:tc>
        <w:tc>
          <w:tcPr>
            <w:tcW w:w="1520" w:type="dxa"/>
            <w:vAlign w:val="bottom"/>
            <w:tcBorders>
              <w:top w:val="single" w:sz="8" w:color="0000EE"/>
            </w:tcBorders>
            <w:gridSpan w:val="5"/>
          </w:tcPr>
          <w:p>
            <w:pPr>
              <w:spacing w:after="0"/>
              <w:rPr>
                <w:sz w:val="18"/>
                <w:szCs w:val="18"/>
                <w:color w:val="auto"/>
              </w:rPr>
            </w:pPr>
          </w:p>
        </w:tc>
        <w:tc>
          <w:tcPr>
            <w:tcW w:w="14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196"/>
        </w:trPr>
        <w:tc>
          <w:tcPr>
            <w:tcW w:w="9580" w:type="dxa"/>
            <w:vAlign w:val="bottom"/>
            <w:gridSpan w:val="13"/>
          </w:tcPr>
          <w:p>
            <w:pPr>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Notes to the Consolidated Financial Statements for the Period from January 1, 2015 to July 23, 2015</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July 24, 2015, the registrant acquired 100% equity interest of OptAim Limited (“OptAim”) for approximately US$67,620,000 in cash and shares (the “Acquisition”). Under Rule 3-05 of Regulation S-X, the Acquisition was determined to be greater than 50% material to the registrant and the net revenues reported by OptAim in its most recent fiscal year (i.e. fiscal year ended December 31, 2016) are less than US$50.0 million, requiring that 2 years of audited financials for OptAim be provided in connection with any public offering of securities by the registrant.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meet the two-year audited financial statements requirement, the registrant is filing (i) pre-Acquisition financials for OptAim from January 1, 2015 (the first day of OptAim’s fiscal year) through July 23, 2015 (the day prior to the Acquisition’s effective date), together with a pro forma condensed combined statement of operations to illustrate the pro forma effect on iClick Interactive Asia Group Limited’s statement of comprehensive income had the Acquisition been completed on January 1, 2015, and (ii) consolidated audited financials for the twelve months ended December 31, 2016, together with a related Management’s Discussion and Analysis of Financial Condition and Results of Operations. Combining those financials pre- and post-Acquisition financials with the registrant’s filed audited financial statements for the year ended December 31, 2015 and 2016 (covering a post-Acquisition period) provides potential investors over 2 years of audited financials for OptAim.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iClick Interactive Asia Group Limited</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comprehensive loss, of changes in shareholders’ deficit and of cash flows, present fairly, in all material respects, the financial position of iClick Interactive Asia Group Limited and its subsidiaries at December 31, 2015 and 2016, and the results of their operations and their cash flows for each of the two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60" w:right="3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w w:val="95"/>
              </w:rPr>
              <w:t>As of 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89"/>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140" w:type="dxa"/>
            <w:vAlign w:val="bottom"/>
          </w:tcPr>
          <w:p>
            <w:pPr>
              <w:jc w:val="right"/>
              <w:ind w:right="191"/>
              <w:spacing w:after="0"/>
              <w:rPr>
                <w:sz w:val="20"/>
                <w:szCs w:val="20"/>
                <w:color w:val="auto"/>
              </w:rPr>
            </w:pPr>
            <w:r>
              <w:rPr>
                <w:rFonts w:ascii="Arial" w:cs="Arial" w:eastAsia="Arial" w:hAnsi="Arial"/>
                <w:sz w:val="14"/>
                <w:szCs w:val="14"/>
                <w:color w:val="auto"/>
              </w:rPr>
              <w:t>Note</w:t>
            </w: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10,395</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27,280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Restricted cash</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5,234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line="201" w:lineRule="exact"/>
              <w:rPr>
                <w:sz w:val="20"/>
                <w:szCs w:val="20"/>
                <w:color w:val="auto"/>
              </w:rPr>
            </w:pPr>
            <w:r>
              <w:rPr>
                <w:rFonts w:ascii="Arial" w:cs="Arial" w:eastAsia="Arial" w:hAnsi="Arial"/>
                <w:sz w:val="18"/>
                <w:szCs w:val="18"/>
                <w:color w:val="auto"/>
                <w:w w:val="98"/>
              </w:rPr>
              <w:t>Accounts receivable, net of allowance for doubtful receivables of US$1,733 and US$1,693 as of</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December 31, 2015 and 2016, respectively</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28,423</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30,694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1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Prepaid media costs</w:t>
            </w:r>
          </w:p>
        </w:tc>
        <w:tc>
          <w:tcPr>
            <w:tcW w:w="1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24,793</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34,409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Income tax receivable</w:t>
            </w:r>
          </w:p>
        </w:tc>
        <w:tc>
          <w:tcPr>
            <w:tcW w:w="1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74,706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682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19,095</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14,804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48,496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9</w:t>
            </w: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66,671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66,671</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146,110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5"/>
              </w:rPr>
              <w:t>As of 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89"/>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Accounts payable (including accounts payable of the consolidated variable interest entity (“VIE”) and its</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subsidiary without recourse to the Company of US$426 and US$28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11,225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9,189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3"/>
              </w:rPr>
              <w:t>Deferred revenue (including deferred revenue of the consolidated VIE and its subsidiary without recourse to</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the Company of US$6,668 and US$11,878 as of December 31, 2015 and 2016, respectively)</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14,935</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25,697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liabilities and other current liabilities (including accrued liabilities and other current liabilities of the</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VIE and its subsidiary without recourse to the Company of US$66 and US$404 as of</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2015 and 2016, 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14,808</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15,091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63,724</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60,525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Amounts due to a related party (including amount due to a related party of the consolidated VIE and its</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subsidiary without recourse to the Company of US$46 and US$nil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Bank borrowings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8,542</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12,982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1,061</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1,067</w:t>
            </w:r>
          </w:p>
        </w:tc>
        <w:tc>
          <w:tcPr>
            <w:tcW w:w="72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115,124</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126,572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66,047</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7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359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118,829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129,569</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As of December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7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6"/>
              </w:rPr>
              <w:t>2016</w:t>
            </w:r>
          </w:p>
        </w:tc>
        <w:tc>
          <w:tcPr>
            <w:tcW w:w="60" w:type="dxa"/>
            <w:vAlign w:val="bottom"/>
          </w:tcPr>
          <w:p>
            <w:pPr>
              <w:spacing w:after="0"/>
              <w:rPr>
                <w:sz w:val="10"/>
                <w:szCs w:val="10"/>
                <w:color w:val="auto"/>
              </w:rPr>
            </w:pPr>
          </w:p>
        </w:tc>
      </w:tr>
      <w:tr>
        <w:trPr>
          <w:trHeight w:val="149"/>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(Note 26)</w:t>
            </w:r>
          </w:p>
        </w:tc>
      </w:tr>
      <w:tr>
        <w:trPr>
          <w:trHeight w:val="181"/>
        </w:trPr>
        <w:tc>
          <w:tcPr>
            <w:tcW w:w="7480" w:type="dxa"/>
            <w:vAlign w:val="bottom"/>
          </w:tcPr>
          <w:p>
            <w:pPr>
              <w:spacing w:after="0"/>
              <w:rPr>
                <w:sz w:val="15"/>
                <w:szCs w:val="15"/>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color w:val="auto"/>
              </w:rPr>
              <w:t>Note</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5"/>
                <w:szCs w:val="15"/>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5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(unaudited)</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A convertible redeemable preferred shares (US$0.001 par value; 2,500,000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w w:val="96"/>
              </w:rPr>
              <w:t>authorized as of December 31, 2015 and 2016, respectively; 2,476,190 shares issued and</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US$7,393 and US$6,737 as of December 31, 2015 and 2016, respectively)</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5,487</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5,597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B convertible redeemable preferred shares (US$0.001 par value; 3,000,000 shares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authorized as of December 31, 2015 and 2016, respectively; 1,889,249 shares issued and</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US$14,441 and US$14,625 as of 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9,145</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9,807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8"/>
              </w:rPr>
              <w:t>Series C convertible redeemable preferred shares (US$0.001 par value; 1,650,000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w w:val="96"/>
              </w:rPr>
              <w:t>authorized as of December 31, 2015 and 2016, respectively; 1,599,186 shares issued and</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US$20,636 and US$22,288 as of December 31, 2015 and 2016, respectively)</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10,733</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10,733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Series D convertible redeemable preferred shares (US$0.001 par value; 4,500,000 shares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authorized as of December 31, 2015 and 2016, respectively; 2,493,018 shares issued and</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US$55,944 and US$58,874 as of 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43,956</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43,956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E convertible redeemable preferred shares (US$0.001 par value; 1,200,000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authorized as of December 31, 2016; 1,068,114 shares issued and outstanding as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December 31, 2016; redemption amount of US$20,000 as of December 31, 2016)</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18,845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Redeemable ordinary shares (US$0.001 par value; 742,320 shares issued and outstanding as of</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13,889</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15,445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10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83,210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104,383</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3"/>
              </w:rPr>
              <w:t>As of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8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6"/>
              </w:rPr>
              <w:t>2016</w:t>
            </w:r>
          </w:p>
        </w:tc>
        <w:tc>
          <w:tcPr>
            <w:tcW w:w="120" w:type="dxa"/>
            <w:vAlign w:val="bottom"/>
          </w:tcPr>
          <w:p>
            <w:pPr>
              <w:spacing w:after="0"/>
              <w:rPr>
                <w:sz w:val="10"/>
                <w:szCs w:val="10"/>
                <w:color w:val="auto"/>
              </w:rPr>
            </w:pPr>
          </w:p>
        </w:tc>
      </w:tr>
      <w:tr>
        <w:trPr>
          <w:trHeight w:val="149"/>
        </w:trPr>
        <w:tc>
          <w:tcPr>
            <w:tcW w:w="8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8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(Note 26)</w:t>
            </w:r>
          </w:p>
        </w:tc>
      </w:tr>
      <w:tr>
        <w:trPr>
          <w:trHeight w:val="181"/>
        </w:trPr>
        <w:tc>
          <w:tcPr>
            <w:tcW w:w="804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4"/>
                <w:szCs w:val="14"/>
                <w:color w:val="auto"/>
              </w:rPr>
              <w:t>Note</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(unaudited)</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040" w:type="dxa"/>
            <w:vAlign w:val="bottom"/>
          </w:tcPr>
          <w:p>
            <w:pPr>
              <w:ind w:left="360"/>
              <w:spacing w:after="0" w:line="201" w:lineRule="exact"/>
              <w:rPr>
                <w:sz w:val="20"/>
                <w:szCs w:val="20"/>
                <w:color w:val="auto"/>
              </w:rPr>
            </w:pPr>
            <w:r>
              <w:rPr>
                <w:rFonts w:ascii="Arial" w:cs="Arial" w:eastAsia="Arial" w:hAnsi="Arial"/>
                <w:sz w:val="18"/>
                <w:szCs w:val="18"/>
                <w:color w:val="auto"/>
                <w:w w:val="91"/>
              </w:rPr>
              <w:t>Ordinary shares (US$0.001 par value; 38,350,000 and 37,150,000 shares authorized as of December 31,</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040" w:type="dxa"/>
            <w:vAlign w:val="bottom"/>
          </w:tcPr>
          <w:p>
            <w:pPr>
              <w:ind w:left="540"/>
              <w:spacing w:after="0"/>
              <w:rPr>
                <w:sz w:val="20"/>
                <w:szCs w:val="20"/>
                <w:color w:val="auto"/>
              </w:rPr>
            </w:pPr>
            <w:r>
              <w:rPr>
                <w:rFonts w:ascii="Arial" w:cs="Arial" w:eastAsia="Arial" w:hAnsi="Arial"/>
                <w:sz w:val="18"/>
                <w:szCs w:val="18"/>
                <w:color w:val="auto"/>
                <w:w w:val="99"/>
              </w:rPr>
              <w:t>2015 and 2016, respectively; 13,104,300 and 13,609,208 shares issued and outstanding as of</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40" w:type="dxa"/>
            <w:vAlign w:val="bottom"/>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620" w:type="dxa"/>
            <w:vAlign w:val="bottom"/>
          </w:tcPr>
          <w:p>
            <w:pPr>
              <w:jc w:val="right"/>
              <w:ind w:right="76"/>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Treasury shares (2,654,188 and 2,149,280 shares as of December 31, 2015 and 2016, respectively)</w:t>
            </w: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(2,468)</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53,917</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65,687</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230,944</w:t>
            </w:r>
          </w:p>
        </w:tc>
        <w:tc>
          <w:tcPr>
            <w:tcW w:w="120" w:type="dxa"/>
            <w:vAlign w:val="bottom"/>
          </w:tcPr>
          <w:p>
            <w:pPr>
              <w:spacing w:after="0"/>
              <w:rPr>
                <w:sz w:val="18"/>
                <w:szCs w:val="18"/>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Statutory reserves</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6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(3,241)</w:t>
            </w:r>
          </w:p>
        </w:tc>
        <w:tc>
          <w:tcPr>
            <w:tcW w:w="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(3,241)</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(97,055)</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(124,385)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(124,385)</w:t>
            </w: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(55,929)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2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100,955</w:t>
            </w:r>
          </w:p>
        </w:tc>
        <w:tc>
          <w:tcPr>
            <w:tcW w:w="1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146,110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169,640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120" w:type="dxa"/>
            <w:vAlign w:val="bottom"/>
            <w:shd w:val="clear" w:color="auto" w:fill="CCEEFF"/>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60" w:type="dxa"/>
            <w:vAlign w:val="bottom"/>
            <w:vMerge w:val="restart"/>
          </w:tcPr>
          <w:p>
            <w:pPr>
              <w:jc w:val="right"/>
              <w:ind w:right="192"/>
              <w:spacing w:after="0"/>
              <w:rPr>
                <w:sz w:val="20"/>
                <w:szCs w:val="20"/>
                <w:color w:val="auto"/>
              </w:rPr>
            </w:pPr>
            <w:r>
              <w:rPr>
                <w:rFonts w:ascii="Arial" w:cs="Arial" w:eastAsia="Arial" w:hAnsi="Arial"/>
                <w:sz w:val="14"/>
                <w:szCs w:val="14"/>
                <w:color w:val="auto"/>
              </w:rPr>
              <w:t>Note</w:t>
            </w:r>
          </w:p>
        </w:tc>
        <w:tc>
          <w:tcPr>
            <w:tcW w:w="2420" w:type="dxa"/>
            <w:vAlign w:val="bottom"/>
            <w:gridSpan w:val="4"/>
          </w:tcPr>
          <w:p>
            <w:pPr>
              <w:jc w:val="right"/>
              <w:ind w:right="280"/>
              <w:spacing w:after="0"/>
              <w:rPr>
                <w:sz w:val="20"/>
                <w:szCs w:val="20"/>
                <w:color w:val="auto"/>
              </w:rPr>
            </w:pPr>
            <w:r>
              <w:rPr>
                <w:rFonts w:ascii="Arial" w:cs="Arial" w:eastAsia="Arial" w:hAnsi="Arial"/>
                <w:sz w:val="14"/>
                <w:szCs w:val="14"/>
                <w:color w:val="auto"/>
                <w:w w:val="97"/>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65,242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(34,531)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32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(31,385)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(12,745)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(52,236)</w:t>
            </w:r>
          </w:p>
        </w:tc>
        <w:tc>
          <w:tcPr>
            <w:tcW w:w="3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(21,525)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gains/(losses), net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Fair value (loss)/gain on derivative liabilities</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(19,390)</w:t>
            </w:r>
          </w:p>
        </w:tc>
        <w:tc>
          <w:tcPr>
            <w:tcW w:w="1000" w:type="dxa"/>
            <w:vAlign w:val="bottom"/>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(40,231)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555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from an equity investee</w:t>
            </w:r>
          </w:p>
        </w:tc>
        <w:tc>
          <w:tcPr>
            <w:tcW w:w="1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(1,982)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(44,388)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4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(39,843)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Diluted</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(3.81)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used in per share calculation:</w:t>
            </w: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Basic</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11,661,049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11,661,049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color w:val="auto"/>
              </w:rPr>
              <w:t>Ordinary shares</w:t>
            </w:r>
          </w:p>
        </w:tc>
        <w:tc>
          <w:tcPr>
            <w:tcW w:w="1700" w:type="dxa"/>
            <w:vAlign w:val="bottom"/>
            <w:gridSpan w:val="4"/>
          </w:tcPr>
          <w:p>
            <w:pPr>
              <w:jc w:val="right"/>
              <w:ind w:right="520"/>
              <w:spacing w:after="0"/>
              <w:rPr>
                <w:sz w:val="20"/>
                <w:szCs w:val="20"/>
                <w:color w:val="auto"/>
              </w:rPr>
            </w:pPr>
            <w:r>
              <w:rPr>
                <w:rFonts w:ascii="Arial" w:cs="Arial" w:eastAsia="Arial" w:hAnsi="Arial"/>
                <w:sz w:val="14"/>
                <w:szCs w:val="14"/>
                <w:color w:val="auto"/>
              </w:rPr>
              <w:t>Treasury shares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3"/>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Statutory</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Amount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reserves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11,102,278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1,143,044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(59,932)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(2,973)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2"/>
              </w:rPr>
              <w:t>Issuance of ordinary shares and reissuance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of treasury shares upon acquisition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OptAim Limited</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2,535,091</w:t>
            </w: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(600,169)</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51,641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Buzzinate Company</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142,151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(142,151)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Issuance of ordinary shares and held as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treasury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1,578,244</w:t>
            </w:r>
          </w:p>
        </w:tc>
        <w:tc>
          <w:tcPr>
            <w:tcW w:w="2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(803,217)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(11,637)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exercise of employee share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127,997</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(127,997)</w:t>
            </w:r>
          </w:p>
        </w:tc>
        <w:tc>
          <w:tcPr>
            <w:tcW w:w="540" w:type="dxa"/>
            <w:vAlign w:val="bottom"/>
          </w:tcPr>
          <w:p>
            <w:pPr>
              <w:jc w:val="right"/>
              <w:spacing w:after="0"/>
              <w:rPr>
                <w:sz w:val="20"/>
                <w:szCs w:val="20"/>
                <w:color w:val="auto"/>
              </w:rPr>
            </w:pPr>
            <w:r>
              <w:rPr>
                <w:rFonts w:ascii="Arial" w:cs="Arial" w:eastAsia="Arial" w:hAnsi="Arial"/>
                <w:sz w:val="16"/>
                <w:szCs w:val="16"/>
                <w:color w:val="auto"/>
              </w:rPr>
              <w:t>1,854</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(1,571)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6,494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(2,692)</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accretion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(1,982)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Deemed dividend upon repurchase of</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Series B-1 preferred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2,591</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(39,714)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(129)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13,104,300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2,654,188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53,917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(97,055)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Arial" w:cs="Arial" w:eastAsia="Arial" w:hAnsi="Arial"/>
                <w:sz w:val="14"/>
                <w:szCs w:val="14"/>
                <w:color w:val="auto"/>
              </w:rPr>
              <w:t>Ordinary shares</w:t>
            </w: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Treasury shares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6"/>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Additional</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Accumulated</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2"/>
              </w:rPr>
              <w:t>Statutory</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c>
          <w:tcPr>
            <w:tcW w:w="6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paid-in capital</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deficit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reserves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13,104,300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2,654,188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(9,783)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(97,055)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as share-based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6,328</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(6,329)</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Reissuance of treasury shares upon exercise of</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share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21,244</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accretion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(1,556)</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(27,330)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13,609,208</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2,149,280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(2,468)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(124,385)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68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(39,714)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1,138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2,043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Recovery of doubtful debts previously provided for</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(185)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6,494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19,390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(1,161)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Changes in operating assets and liabilities, net</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(13,746)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Prepayments and other assets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9,308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(3,765)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Prepaid media costs</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8,100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(9,797)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Prepayment of property and equipment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(2,628)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(Increase)/decrease in short-term investments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restricted cash</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Acquisition of businesses, net of cash received</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(14,486)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(18,095)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4"/>
          </w:tcPr>
          <w:p>
            <w:pPr>
              <w:jc w:val="right"/>
              <w:ind w:right="280"/>
              <w:spacing w:after="0"/>
              <w:rPr>
                <w:sz w:val="20"/>
                <w:szCs w:val="20"/>
                <w:color w:val="auto"/>
              </w:rPr>
            </w:pPr>
            <w:r>
              <w:rPr>
                <w:rFonts w:ascii="Arial" w:cs="Arial" w:eastAsia="Arial" w:hAnsi="Arial"/>
                <w:sz w:val="14"/>
                <w:szCs w:val="14"/>
                <w:color w:val="auto"/>
                <w:w w:val="98"/>
              </w:rPr>
              <w:t>For the years ended December 31,</w:t>
            </w: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90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Series B convertible redeemable preferred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(11,581)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Series D convertible redeemable preferred shares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rPr>
              <w:t>Proceeds from issuance of Series E convertible redeemable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preferred shares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share options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bank borrowings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7,589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8,232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bank borrowings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(1,642)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(11,639)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amounts due to related parties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Net cash (used in)/provided by financing activities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6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(30,504)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16,947</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41,131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10,395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Interests paid</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(paid)/refunded for income taxes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and financing activities: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Acquisition of Buzzinate Company Limited in form of share issuance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2,027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OptAim Limited in form of share issuance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w w:val="97"/>
              </w:rPr>
              <w:t>Fair value of replacement awards attributable to pre-acquisition services for acquisition of OptAim Limited (note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520"/>
              <w:spacing w:after="0"/>
              <w:rPr>
                <w:sz w:val="20"/>
                <w:szCs w:val="20"/>
                <w:color w:val="auto"/>
              </w:rPr>
            </w:pPr>
            <w:r>
              <w:rPr>
                <w:rFonts w:ascii="Arial" w:cs="Arial" w:eastAsia="Arial" w:hAnsi="Arial"/>
                <w:sz w:val="18"/>
                <w:szCs w:val="18"/>
                <w:color w:val="auto"/>
              </w:rPr>
              <w:t>4(b))</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801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Series A preferred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Accretion to Series B preferred shares redemption value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2,385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redeemable ordinary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4"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Buzzinate is also engaged in the provision of online marketing services and mainly focuses on the PRC market. Refer to note 4(a) to the consolidated financial statements for more details in relation to this transaction.</w:t>
      </w:r>
    </w:p>
    <w:p>
      <w:pPr>
        <w:spacing w:after="0" w:line="62"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 OptAim is engaged in the provision of online marketing services with a focus of mobile device in the PRC market. Refer to note 4(b) to the consolidated financial statements for more details in relation to this transaction.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As of December 31, 2016, the Group had net current liabilities of US$23,603, total shareholders’ deficit of US$64,312 and accumulated deficit of</w:t>
      </w:r>
    </w:p>
    <w:p>
      <w:pPr>
        <w:spacing w:after="0" w:line="34" w:lineRule="exact"/>
        <w:rPr>
          <w:rFonts w:ascii="Arial" w:cs="Arial" w:eastAsia="Arial" w:hAnsi="Arial"/>
          <w:sz w:val="18"/>
          <w:szCs w:val="18"/>
          <w:b w:val="1"/>
          <w:bCs w:val="1"/>
          <w:color w:val="auto"/>
        </w:rPr>
      </w:pPr>
    </w:p>
    <w:p>
      <w:pPr>
        <w:ind w:left="4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US$124,385. During the year ended December 31, 2016, the Group incurred a net loss of US$27,330 and a net operating cash outflow of US$3,907. In December 2016, the Company entered into an agreement to issue Series E preferred shares for a total cash consideration of US$20,000 and management considered such additional funding to enable the Company to operate without significant curtailment of its operation and to meet its financial obligations as and when they fall due. As of December 31, 2016, the Group had violated certain financial covenants with respect to its bank borrowings extended by a bank, however, the Group had obtained the necessary waiver letters such that the bank would not demand immediate repayment. Accordingly, the management is of the opinion that the financial statements have been prepared on a going concern basis.</w:t>
      </w:r>
    </w:p>
    <w:p>
      <w:pPr>
        <w:spacing w:after="0" w:line="56"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 of direct</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or indirect</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auto"/>
              </w:rPr>
              <w:t>Place of</w:t>
            </w:r>
          </w:p>
        </w:tc>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economic</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4"/>
              </w:rPr>
              <w:t>incorporation/</w:t>
            </w:r>
          </w:p>
        </w:tc>
        <w:tc>
          <w:tcPr>
            <w:tcW w:w="420" w:type="dxa"/>
            <w:vAlign w:val="bottom"/>
          </w:tcPr>
          <w:p>
            <w:pPr>
              <w:spacing w:after="0"/>
              <w:rPr>
                <w:sz w:val="12"/>
                <w:szCs w:val="12"/>
                <w:color w:val="auto"/>
              </w:rPr>
            </w:pPr>
          </w:p>
        </w:tc>
        <w:tc>
          <w:tcPr>
            <w:tcW w:w="3100" w:type="dxa"/>
            <w:vAlign w:val="bottom"/>
            <w:vMerge w:val="restart"/>
          </w:tcPr>
          <w:p>
            <w:pPr>
              <w:ind w:left="102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3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Relationship</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ownership</w:t>
            </w:r>
          </w:p>
        </w:tc>
        <w:tc>
          <w:tcPr>
            <w:tcW w:w="1120" w:type="dxa"/>
            <w:vAlign w:val="bottom"/>
          </w:tcPr>
          <w:p>
            <w:pPr>
              <w:ind w:left="180"/>
              <w:spacing w:after="0"/>
              <w:rPr>
                <w:sz w:val="20"/>
                <w:szCs w:val="20"/>
                <w:color w:val="auto"/>
              </w:rPr>
            </w:pPr>
            <w:r>
              <w:rPr>
                <w:rFonts w:ascii="Arial" w:cs="Arial" w:eastAsia="Arial" w:hAnsi="Arial"/>
                <w:sz w:val="14"/>
                <w:szCs w:val="14"/>
                <w:color w:val="auto"/>
              </w:rPr>
              <w:t>incorporation</w:t>
            </w:r>
          </w:p>
        </w:tc>
        <w:tc>
          <w:tcPr>
            <w:tcW w:w="4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w w:val="92"/>
              </w:rPr>
              <w:t>establishment</w:t>
            </w:r>
          </w:p>
        </w:tc>
        <w:tc>
          <w:tcPr>
            <w:tcW w:w="4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Digital Marketing Group Limited</w:t>
            </w:r>
          </w:p>
        </w:tc>
        <w:tc>
          <w:tcPr>
            <w:tcW w:w="2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Subsidiary</w:t>
            </w:r>
          </w:p>
        </w:tc>
        <w:tc>
          <w:tcPr>
            <w:tcW w:w="4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w w:val="94"/>
              </w:rPr>
              <w:t>Hong Kong</w:t>
            </w:r>
          </w:p>
        </w:tc>
        <w:tc>
          <w:tcPr>
            <w:tcW w:w="420" w:type="dxa"/>
            <w:vAlign w:val="bottom"/>
            <w:vMerge w:val="continue"/>
            <w:shd w:val="clear" w:color="auto" w:fill="CCEEFF"/>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July 2007</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iClick Interactive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90"/>
              </w:rPr>
              <w:t>December 2008</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March 2009</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China Search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87"/>
              </w:rPr>
              <w:t>September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93"/>
        </w:trPr>
        <w:tc>
          <w:tcPr>
            <w:tcW w:w="304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British</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Virgin</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Islands</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(“BVI”)</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Harmattan Capital Holdings Corporation</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BVI</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iClick Interactive (Singapore) Pte. Ltd.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January 2011</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Singapore</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1400" w:type="dxa"/>
            <w:vAlign w:val="bottom"/>
            <w:gridSpan w:val="3"/>
            <w:shd w:val="clear" w:color="auto" w:fill="CCEEFF"/>
          </w:tcPr>
          <w:p>
            <w:pPr>
              <w:jc w:val="right"/>
              <w:ind w:right="440"/>
              <w:spacing w:after="0" w:line="185" w:lineRule="exact"/>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260" w:type="dxa"/>
            <w:vAlign w:val="bottom"/>
            <w:gridSpan w:val="2"/>
            <w:shd w:val="clear" w:color="auto" w:fill="CCEEFF"/>
          </w:tcPr>
          <w:p>
            <w:pPr>
              <w:ind w:left="440"/>
              <w:spacing w:after="0" w:line="185" w:lineRule="exact"/>
              <w:rPr>
                <w:sz w:val="20"/>
                <w:szCs w:val="20"/>
                <w:color w:val="auto"/>
              </w:rPr>
            </w:pPr>
            <w:r>
              <w:rPr>
                <w:rFonts w:ascii="Arial" w:cs="Arial" w:eastAsia="Arial" w:hAnsi="Arial"/>
                <w:sz w:val="17"/>
                <w:szCs w:val="17"/>
                <w:color w:val="auto"/>
              </w:rPr>
              <w:t>The PRC</w:t>
            </w:r>
          </w:p>
        </w:tc>
        <w:tc>
          <w:tcPr>
            <w:tcW w:w="3520" w:type="dxa"/>
            <w:vAlign w:val="bottom"/>
            <w:gridSpan w:val="2"/>
            <w:shd w:val="clear" w:color="auto" w:fill="CCEEFF"/>
          </w:tcPr>
          <w:p>
            <w:pPr>
              <w:ind w:left="420"/>
              <w:spacing w:after="0" w:line="185" w:lineRule="exact"/>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 Ltd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 of direct</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7"/>
              </w:rPr>
              <w:t>or indirect</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Place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economic</w:t>
            </w:r>
          </w:p>
        </w:tc>
        <w:tc>
          <w:tcPr>
            <w:tcW w:w="460" w:type="dxa"/>
            <w:vAlign w:val="bottom"/>
          </w:tcPr>
          <w:p>
            <w:pPr>
              <w:spacing w:after="0"/>
              <w:rPr>
                <w:sz w:val="12"/>
                <w:szCs w:val="12"/>
                <w:color w:val="auto"/>
              </w:rPr>
            </w:pPr>
          </w:p>
        </w:tc>
        <w:tc>
          <w:tcPr>
            <w:tcW w:w="880" w:type="dxa"/>
            <w:vAlign w:val="bottom"/>
          </w:tcPr>
          <w:p>
            <w:pPr>
              <w:ind w:left="22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incorporation/</w:t>
            </w:r>
          </w:p>
        </w:tc>
        <w:tc>
          <w:tcPr>
            <w:tcW w:w="3080" w:type="dxa"/>
            <w:vAlign w:val="bottom"/>
            <w:vMerge w:val="restart"/>
          </w:tcPr>
          <w:p>
            <w:pPr>
              <w:ind w:left="100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960" w:type="dxa"/>
            <w:vAlign w:val="bottom"/>
            <w:gridSpan w:val="3"/>
            <w:vMerge w:val="continue"/>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Relationship</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ownership</w:t>
            </w:r>
          </w:p>
        </w:tc>
        <w:tc>
          <w:tcPr>
            <w:tcW w:w="4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auto"/>
                <w:w w:val="98"/>
              </w:rPr>
              <w:t>incorporation</w:t>
            </w:r>
          </w:p>
        </w:tc>
        <w:tc>
          <w:tcPr>
            <w:tcW w:w="44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Search Asia Technology</w:t>
            </w: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Subsidiary</w:t>
            </w:r>
          </w:p>
        </w:tc>
        <w:tc>
          <w:tcPr>
            <w:tcW w:w="44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100%</w:t>
            </w:r>
          </w:p>
        </w:tc>
        <w:tc>
          <w:tcPr>
            <w:tcW w:w="4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January</w:t>
            </w:r>
          </w:p>
        </w:tc>
        <w:tc>
          <w:tcPr>
            <w:tcW w:w="44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The PRC</w:t>
            </w:r>
          </w:p>
        </w:tc>
        <w:tc>
          <w:tcPr>
            <w:tcW w:w="440" w:type="dxa"/>
            <w:vAlign w:val="bottom"/>
            <w:vMerge w:val="continue"/>
            <w:shd w:val="clear" w:color="auto" w:fill="CCEEFF"/>
          </w:tcPr>
          <w:p>
            <w:pPr>
              <w:spacing w:after="0"/>
              <w:rPr>
                <w:sz w:val="15"/>
                <w:szCs w:val="15"/>
                <w:color w:val="auto"/>
              </w:rPr>
            </w:pPr>
          </w:p>
        </w:tc>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(Shenzhen) Co., Ltd.</w:t>
            </w: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i-Click Interactive Taiwan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Subsidiary’s</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Taiwan</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Limited Taiwan Branch</w:t>
            </w:r>
          </w:p>
        </w:tc>
        <w:tc>
          <w:tcPr>
            <w:tcW w:w="1440" w:type="dxa"/>
            <w:vAlign w:val="bottom"/>
            <w:gridSpan w:val="2"/>
          </w:tcPr>
          <w:p>
            <w:pPr>
              <w:spacing w:after="0"/>
              <w:rPr>
                <w:sz w:val="20"/>
                <w:szCs w:val="20"/>
                <w:color w:val="auto"/>
              </w:rPr>
            </w:pPr>
            <w:r>
              <w:rPr>
                <w:rFonts w:ascii="Arial" w:cs="Arial" w:eastAsia="Arial" w:hAnsi="Arial"/>
                <w:sz w:val="18"/>
                <w:szCs w:val="18"/>
                <w:color w:val="auto"/>
              </w:rPr>
              <w:t>branch</w:t>
            </w: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 Media Group</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2013</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Tetris Media (Shanghai) Co.,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2013</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Buzzinate Company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Buzzinate (Shanghai) Information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2009</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rPr>
              <w:t>Technology development service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2014</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Cayman</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Islands</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OptAim (HK)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2014</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Hong Kong</w:t>
            </w:r>
          </w:p>
        </w:tc>
        <w:tc>
          <w:tcPr>
            <w:tcW w:w="3080" w:type="dxa"/>
            <w:vAlign w:val="bottom"/>
          </w:tcPr>
          <w:p>
            <w:pPr>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(Beijing) Information</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Beijing OptAim Network</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Zhiyunzhong (Shanghai)</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VIE’s</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September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Arda Holdings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May 2010</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BVI</w:t>
            </w:r>
          </w:p>
        </w:tc>
        <w:tc>
          <w:tcPr>
            <w:tcW w:w="3080" w:type="dxa"/>
            <w:vAlign w:val="bottom"/>
          </w:tcPr>
          <w:p>
            <w:pPr>
              <w:spacing w:after="0"/>
              <w:rPr>
                <w:sz w:val="20"/>
                <w:szCs w:val="20"/>
                <w:color w:val="auto"/>
              </w:rPr>
            </w:pPr>
            <w:r>
              <w:rPr>
                <w:rFonts w:ascii="Arial" w:cs="Arial" w:eastAsia="Arial" w:hAnsi="Arial"/>
                <w:sz w:val="18"/>
                <w:szCs w:val="18"/>
                <w:color w:val="auto"/>
              </w:rPr>
              <w:t>To hold treasury shares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F-14</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374"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100"/>
        <w:spacing w:after="0" w:line="257" w:lineRule="auto"/>
        <w:rPr>
          <w:sz w:val="20"/>
          <w:szCs w:val="20"/>
          <w:color w:val="auto"/>
        </w:rPr>
      </w:pPr>
      <w:r>
        <w:rPr>
          <w:rFonts w:ascii="Arial" w:cs="Arial" w:eastAsia="Arial" w:hAnsi="Arial"/>
          <w:sz w:val="18"/>
          <w:szCs w:val="18"/>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w:t>
      </w:r>
    </w:p>
    <w:p>
      <w:pPr>
        <w:spacing w:after="0" w:line="337"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313"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5"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460" w:right="1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5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 and expect to complete by June 2017.</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consolidated financial statements.</w:t>
      </w:r>
    </w:p>
    <w:p>
      <w:pPr>
        <w:spacing w:after="0" w:line="7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As of December 31, 2015 and 2016, the total assets of OptAim VIE and its subsidiary were US$20,341 and US$27,135, respectively, mainly comprising cash and cash equivalents, accounts receivable, prepayments and other current assets, property and equipment. As of December 31, 2015 and 2016, the total liabilities of the OptAim VIE and its subsidiary were US$7,206 and US$12,310 respectively, mainly comprising deferred revenue, accrued liabilities and other current liabilities.</w:t>
      </w:r>
    </w:p>
    <w:p>
      <w:pPr>
        <w:spacing w:after="0" w:line="79"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and US$2,081, respectively, as of December 31, 2015 and 2016.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7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VIEs and a VIE’s subsidiary for which the Company or its subsidiary is the primary beneficiary. All transactions and balances among the Company, its subsidiaries, its VIEs have been eliminated upon consolidation.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57"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73" w:lineRule="exact"/>
        <w:rPr>
          <w:rFonts w:ascii="Arial" w:cs="Arial" w:eastAsia="Arial" w:hAnsi="Arial"/>
          <w:sz w:val="18"/>
          <w:szCs w:val="18"/>
          <w:b w:val="1"/>
          <w:bCs w:val="1"/>
          <w:color w:val="auto"/>
        </w:rPr>
      </w:pPr>
    </w:p>
    <w:p>
      <w:pPr>
        <w:ind w:left="4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Level 3 — Unobservable inputs to the valuation methodology that are significant to the measurement of the fair value of the assets or liabilities.</w:t>
      </w:r>
    </w:p>
    <w:p>
      <w:pPr>
        <w:spacing w:after="0" w:line="128" w:lineRule="exact"/>
        <w:rPr>
          <w:rFonts w:ascii="Arial" w:cs="Arial" w:eastAsia="Arial" w:hAnsi="Arial"/>
          <w:sz w:val="18"/>
          <w:szCs w:val="18"/>
          <w:b w:val="1"/>
          <w:bCs w:val="1"/>
          <w:color w:val="auto"/>
        </w:rPr>
      </w:pPr>
    </w:p>
    <w:p>
      <w:pPr>
        <w:ind w:left="4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Observable inputs are based on market data obtained from independent sources. At December 31, 2015 and 2016 the Company’s derivative liabilities are measured using unobservable inputs that require a high level of judgment to determine fair value, and thus classified as Level 3 (Note 3(c)).</w:t>
      </w:r>
    </w:p>
    <w:p>
      <w:pPr>
        <w:spacing w:after="0" w:line="1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restricted cash, accounts receivable, prepayment and other current assets, accounts payable, accrued liabilities and other current liabilities, deferred revenue and amounts due to a related party, approximate to their fair value due to the short-term nature of these instruments. Based on the borrowing rates currently available to the Group for debt with similar terms, the carrying value of the short-term loan approximates to its fair value (using Level 2 inputs).</w:t>
      </w:r>
    </w:p>
    <w:p>
      <w:pPr>
        <w:spacing w:after="0" w:line="78"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including intangible assets, are also subject to measurement at fair value on a non-recurring basis if they are deemed to be impaired as a result of an impairment review. For the years ended December 31, 2015 and 2016,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2015 and 2016, the Group’s restricted cash represents balance held in restricted bank accounts as required by certain loan agreement.</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1"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Short-term investments primarily consist of wealth management treasury products that are principal-protected variable interest rate deposits held at certain financial institutions with original maturities greater than three months but less than one year. In addition, short-term investments also comprise financial instruments with fixed interest rates. Investments in these financial instruments are stated in the consolidated balance sheets at the principal amount plus accrued interest income, calculated at the specified interest rate.</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the Group did not have any short-term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right="1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Rebates receivable</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holds investments in privately held companies. The Group accounts for these investments over which it has significant influence but does not own a majority equity interest or otherwise control using the equity method of accounting. The Group assesses its equity method investments for other-than-temporary impairment by considering factors including, but not limited to, current economic and market conditions, operating performance of the companies, including current earnings trends and undiscounted cash flows, and other company-specific information. The fair value determination, particularly for investments in privately-held companies, requires significant judgment to determine appropriate estimates and assumptions. Changes in these estimates and assumptions could affect the calculation of the fair value of the investments and determination of whether any identified impairment is other-than-temporary.</w:t>
      </w:r>
    </w:p>
    <w:p>
      <w:pPr>
        <w:spacing w:after="0" w:line="8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noted in Note 1 to the consolidated financial statements, the Company accelerated the purchase of up to 57.1% equity interests in Buzzinate by exercising the option in February 2015 and at the same time purchased the remaining 42.9% equity interest. Prior to the acquisition, the equity interest held in Buzzinate was accounted for using the equity method. When Buzzinate became a wholly-owned subsidiary of the Company, and accordingly the previously held interest was remeasured at fair value with the revaluation gain was recorded in “other gains/(losses), net”. Furthermore, as of December 31, 2015 and 2016, there was no equity method investment.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40"/>
          </w:cols>
          <w:pgMar w:left="240" w:top="460" w:right="3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400"/>
          </w:cols>
          <w:pgMar w:left="240" w:top="460" w:right="259" w:bottom="1440" w:gutter="0" w:footer="0" w:header="0"/>
        </w:sectPr>
      </w:pP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Over the shorter of lease term or 2 – 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103" w:lineRule="exact"/>
        <w:rPr>
          <w:sz w:val="20"/>
          <w:szCs w:val="20"/>
          <w:color w:val="auto"/>
        </w:rPr>
      </w:pPr>
    </w:p>
    <w:p>
      <w:pPr>
        <w:sectPr>
          <w:pgSz w:w="11900" w:h="16838" w:orient="portrait"/>
          <w:cols w:equalWidth="0" w:num="2">
            <w:col w:w="5420" w:space="720"/>
            <w:col w:w="5260"/>
          </w:cols>
          <w:pgMar w:left="240" w:top="460" w:right="259" w:bottom="1440" w:gutter="0" w:footer="0" w:header="0"/>
          <w:type w:val="continuous"/>
        </w:sectPr>
      </w:pPr>
    </w:p>
    <w:p>
      <w:pPr>
        <w:ind w:left="460" w:right="160"/>
        <w:spacing w:after="0" w:line="342" w:lineRule="auto"/>
        <w:rPr>
          <w:sz w:val="20"/>
          <w:szCs w:val="20"/>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loss.</w:t>
      </w:r>
    </w:p>
    <w:p>
      <w:pPr>
        <w:spacing w:after="0" w:line="268"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accounts for acquisitions of entities that include inputs and processes and have the ability to create outputs as business combinations. The Group allocates the purchase price of the acquisition to the tangible assets, liabilities, and identifiable intangible assets acquired based on their estimated fair values. The excess of the purchase price over those fair values is recorded as goodwill. Acquisition related costs are expensed as incurred.</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Intangible assets mainly consist of computer software and systems acquired through the acquisition of OptAim and Buzzinate, respectively. Identifiable intangible assets are carried at acquisition cost less accumulated amortization and impairment loss, if any. Finite lived intangible assets are tested for impairment if impairment indicators arise. Amortization of finite lived intangible assets is computed using the straight-line method over the following estimated useful lives, which are as follows:</w:t>
      </w:r>
    </w:p>
    <w:p>
      <w:pPr>
        <w:spacing w:after="0" w:line="214" w:lineRule="exact"/>
        <w:rPr>
          <w:sz w:val="20"/>
          <w:szCs w:val="20"/>
          <w:color w:val="auto"/>
        </w:rPr>
      </w:pPr>
    </w:p>
    <w:p>
      <w:pPr>
        <w:ind w:left="460"/>
        <w:spacing w:after="0"/>
        <w:tabs>
          <w:tab w:leader="none" w:pos="6120" w:val="left"/>
        </w:tabs>
        <w:rPr>
          <w:sz w:val="20"/>
          <w:szCs w:val="20"/>
          <w:color w:val="auto"/>
        </w:rPr>
      </w:pPr>
      <w:r>
        <w:rPr>
          <w:rFonts w:ascii="Arial" w:cs="Arial" w:eastAsia="Arial" w:hAnsi="Arial"/>
          <w:sz w:val="18"/>
          <w:szCs w:val="18"/>
          <w:color w:val="auto"/>
        </w:rPr>
        <w:t>Computer software and systems</w:t>
      </w:r>
      <w:r>
        <w:rPr>
          <w:sz w:val="20"/>
          <w:szCs w:val="20"/>
          <w:color w:val="auto"/>
        </w:rPr>
        <w:tab/>
      </w:r>
      <w:r>
        <w:rPr>
          <w:rFonts w:ascii="Arial" w:cs="Arial" w:eastAsia="Arial" w:hAnsi="Arial"/>
          <w:sz w:val="15"/>
          <w:szCs w:val="15"/>
          <w:color w:val="auto"/>
        </w:rPr>
        <w:t>2 – 5 years</w:t>
      </w:r>
    </w:p>
    <w:p>
      <w:pPr>
        <w:spacing w:after="0" w:line="370"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intangible assets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over the amounts assigned to the fair value of the assets acquired and the liabilities assumed of an acquired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type w:val="continuous"/>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Customer deposits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customer deposits and recognized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34"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For cost-plus advertisement campaigns and rebates to be earned from certain website publishers, sales are valued at the amount received and receivable. Rebates and discounts granted to customers, along with free or extended marketing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our transactions. In determining whether the Group acts as the principal or an agent, the Group follows the accounting guidance for principal-agent considerations. Such determination involves judgment and is based on an evaluation of the terms of each arrangement. While none of the factors individually are considered presumptive or determinative, because the Group is simply facilitating the customers and the publishers to purchase and to sell inventory and the pricing is generally restricted by the costs incurred through purchasing the inventory, the Group is not the principal in these arrangements and therefore reports revenue earned and costs incurred related to these transaction on a net basis.</w:t>
      </w:r>
    </w:p>
    <w:p>
      <w:pPr>
        <w:spacing w:after="0" w:line="2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w:t>
      </w:r>
    </w:p>
    <w:p>
      <w:pPr>
        <w:spacing w:after="0" w:line="2"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(4) performing all billing and collection activities, including retaining credit risk; and (5) bearing sole responsibility for fulfillment of the marketing, the Group acts as the principal of these arrangements and therefore reports revenue earned and costs incurred related to these transactions on a gross basis.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OptAim VIE and its subsidiary are subjected to VAT at a rate of 6%.</w:t>
      </w:r>
    </w:p>
    <w:p>
      <w:pPr>
        <w:spacing w:after="0" w:line="1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194" w:lineRule="exact"/>
        <w:rPr>
          <w:rFonts w:ascii="Arial" w:cs="Arial" w:eastAsia="Arial" w:hAnsi="Arial"/>
          <w:sz w:val="18"/>
          <w:szCs w:val="18"/>
          <w:b w:val="1"/>
          <w:bCs w:val="1"/>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years ended December 31, 2015 and 2016, the Company has not capitalized any costs related to internal use software. The research and development expenses amounted to US$8,106 and US$8,584 during the years ended December 31, 2015 and 2016, respectively.</w:t>
      </w:r>
    </w:p>
    <w:p>
      <w:pPr>
        <w:spacing w:after="0" w:line="211"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Sales and marketing expenses consist primarily of (i) advertising and marketing expenses, and (ii) salary and welfare for sales and marketing personnel. The sales and market promotion expenses amounted to US$31,385 and US$28,266 during the years ended December 31, 2015 and 2016, respectively.</w:t>
      </w:r>
    </w:p>
    <w:p>
      <w:pPr>
        <w:spacing w:after="0" w:line="146" w:lineRule="exact"/>
        <w:rPr>
          <w:rFonts w:ascii="Arial" w:cs="Arial" w:eastAsia="Arial" w:hAnsi="Arial"/>
          <w:sz w:val="18"/>
          <w:szCs w:val="18"/>
          <w:b w:val="1"/>
          <w:bCs w:val="1"/>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 The general and administrative expenses amounted to US$12,745 and US$26,767 during the years ended December 31, 2015 and 2016,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statements of operations on a straight-line basis over the lease periods. The Group had no capital leases for the years ended December 31, 2015 and 2016.</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8"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Uncertain tax positions</w:t>
      </w:r>
    </w:p>
    <w:p>
      <w:pPr>
        <w:spacing w:after="0" w:line="117"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2015 and 2016. As of December 31, 2015 and 2016, the Group did not have any significant unrecognized uncertain tax positions.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20" w:firstLine="8"/>
        <w:spacing w:after="0" w:line="408" w:lineRule="auto"/>
        <w:tabs>
          <w:tab w:leader="none" w:pos="446"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 (ab) Share-based compensation</w:t>
      </w:r>
    </w:p>
    <w:p>
      <w:pPr>
        <w:spacing w:after="0" w:line="1"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employees</w:t>
      </w:r>
    </w:p>
    <w:p>
      <w:pPr>
        <w:spacing w:after="0" w:line="11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For the options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modification</w:t>
      </w:r>
    </w:p>
    <w:p>
      <w:pPr>
        <w:spacing w:after="0" w:line="117"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non-employees</w:t>
      </w:r>
    </w:p>
    <w:p>
      <w:pPr>
        <w:spacing w:after="0" w:line="117"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(ac)</w:t>
      </w:r>
      <w:r>
        <w:rPr>
          <w:sz w:val="20"/>
          <w:szCs w:val="20"/>
          <w:color w:val="auto"/>
        </w:rPr>
        <w:tab/>
      </w:r>
      <w:r>
        <w:rPr>
          <w:rFonts w:ascii="Arial" w:cs="Arial" w:eastAsia="Arial" w:hAnsi="Arial"/>
          <w:sz w:val="15"/>
          <w:szCs w:val="15"/>
          <w:b w:val="1"/>
          <w:bCs w:val="1"/>
          <w:color w:val="auto"/>
        </w:rPr>
        <w:t>Statutory reserves</w:t>
      </w:r>
    </w:p>
    <w:p>
      <w:pPr>
        <w:spacing w:after="0" w:line="121"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6"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60" w:right="2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(ac)</w:t>
      </w:r>
      <w:r>
        <w:rPr>
          <w:sz w:val="20"/>
          <w:szCs w:val="20"/>
          <w:color w:val="auto"/>
        </w:rPr>
        <w:tab/>
      </w:r>
      <w:r>
        <w:rPr>
          <w:rFonts w:ascii="Arial" w:cs="Arial" w:eastAsia="Arial" w:hAnsi="Arial"/>
          <w:sz w:val="16"/>
          <w:szCs w:val="16"/>
          <w:b w:val="1"/>
          <w:bCs w:val="1"/>
          <w:color w:val="auto"/>
        </w:rPr>
        <w:t>Statutory reserves (Continued)</w:t>
      </w:r>
    </w:p>
    <w:p>
      <w:pPr>
        <w:spacing w:after="0" w:line="135" w:lineRule="exact"/>
        <w:rPr>
          <w:sz w:val="20"/>
          <w:szCs w:val="20"/>
          <w:color w:val="auto"/>
        </w:rPr>
      </w:pPr>
    </w:p>
    <w:p>
      <w:pPr>
        <w:ind w:left="460" w:right="360"/>
        <w:spacing w:after="0" w:line="342"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no legal requirements in the PRC to fund these reserves by transfer of cash to restricted accounts, and the Group was not done so.</w:t>
      </w:r>
    </w:p>
    <w:p>
      <w:pPr>
        <w:spacing w:after="0" w:line="129"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Related parties</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(ae)</w:t>
      </w:r>
      <w:r>
        <w:rPr>
          <w:sz w:val="20"/>
          <w:szCs w:val="20"/>
          <w:color w:val="auto"/>
        </w:rPr>
        <w:tab/>
      </w:r>
      <w:r>
        <w:rPr>
          <w:rFonts w:ascii="Arial" w:cs="Arial" w:eastAsia="Arial" w:hAnsi="Arial"/>
          <w:sz w:val="15"/>
          <w:szCs w:val="15"/>
          <w:b w:val="1"/>
          <w:bCs w:val="1"/>
          <w:color w:val="auto"/>
        </w:rPr>
        <w:t>Dividends</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2015 and 2016, respectively. The Group does not have any present plan to pay any dividends on ordinary shares in the foreseeable future. The Group currently intends to retain the available funds and any future earnings to operate and expand its business.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(af)</w:t>
      </w:r>
      <w:r>
        <w:rPr>
          <w:sz w:val="20"/>
          <w:szCs w:val="20"/>
          <w:color w:val="auto"/>
        </w:rPr>
        <w:tab/>
      </w:r>
      <w:r>
        <w:rPr>
          <w:rFonts w:ascii="Arial" w:cs="Arial" w:eastAsia="Arial" w:hAnsi="Arial"/>
          <w:sz w:val="15"/>
          <w:szCs w:val="15"/>
          <w:b w:val="1"/>
          <w:bCs w:val="1"/>
          <w:color w:val="auto"/>
        </w:rPr>
        <w:t>Loss per share</w:t>
      </w:r>
    </w:p>
    <w:p>
      <w:pPr>
        <w:spacing w:after="0" w:line="121"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Basic loss per share is computed by dividing net loss attributable to holders of ordinary shares by the weighted average number of ordinary shares outstanding during the year using the two class method. Using the two class method, net loss is allocated between ordinary shares and other participating securities (i.e. preferred shares) based on their participating rights.</w:t>
      </w:r>
    </w:p>
    <w:p>
      <w:pPr>
        <w:spacing w:after="0" w:line="73" w:lineRule="exact"/>
        <w:rPr>
          <w:sz w:val="20"/>
          <w:szCs w:val="20"/>
          <w:color w:val="auto"/>
        </w:rPr>
      </w:pPr>
    </w:p>
    <w:p>
      <w:pPr>
        <w:ind w:left="460" w:right="160"/>
        <w:spacing w:after="0" w:line="297" w:lineRule="auto"/>
        <w:rPr>
          <w:sz w:val="20"/>
          <w:szCs w:val="20"/>
          <w:color w:val="auto"/>
        </w:rPr>
      </w:pPr>
      <w:r>
        <w:rPr>
          <w:rFonts w:ascii="Arial" w:cs="Arial" w:eastAsia="Arial" w:hAnsi="Arial"/>
          <w:sz w:val="16"/>
          <w:szCs w:val="16"/>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non-redeemable and redeemable preferred shares using the if-converted method, and ordinary shares issuable upon the conversion of the stock options, using the treasury stock method.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  Comprehensive loss</w:t>
      </w:r>
    </w:p>
    <w:p>
      <w:pPr>
        <w:spacing w:after="0" w:line="12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Comprehensive loss is defined as the change in shareholders’ deficit of the Company during a period arising from transactions and other events and circumstances excluding transactions resulting from investments by shareholders and distributions to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20"/>
          </w:cols>
          <w:pgMar w:left="240" w:top="459" w:right="3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80" w:firstLine="8"/>
        <w:spacing w:after="0" w:line="443" w:lineRule="auto"/>
        <w:tabs>
          <w:tab w:leader="none" w:pos="446"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(ag) Comprehensive loss (Continued)</w:t>
      </w:r>
    </w:p>
    <w:p>
      <w:pPr>
        <w:ind w:left="460" w:right="220"/>
        <w:spacing w:after="0" w:line="277" w:lineRule="auto"/>
        <w:rPr>
          <w:sz w:val="20"/>
          <w:szCs w:val="20"/>
          <w:color w:val="auto"/>
        </w:rPr>
      </w:pPr>
      <w:r>
        <w:rPr>
          <w:rFonts w:ascii="Arial" w:cs="Arial" w:eastAsia="Arial" w:hAnsi="Arial"/>
          <w:sz w:val="18"/>
          <w:szCs w:val="18"/>
          <w:color w:val="auto"/>
        </w:rPr>
        <w:t>Comprehensive loss is reported in the consolidated statements of comprehensive loss. Accumulated other comprehensive losses of the Group include the foreign currency translation adjustments.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(ah)  Segment reporting</w:t>
      </w:r>
    </w:p>
    <w:p>
      <w:pPr>
        <w:spacing w:after="0" w:line="121"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5"/>
          <w:szCs w:val="15"/>
          <w:b w:val="1"/>
          <w:bCs w:val="1"/>
          <w:color w:val="auto"/>
        </w:rPr>
        <w:t>Recently issued accounting pronouncements</w:t>
      </w:r>
    </w:p>
    <w:p>
      <w:pPr>
        <w:spacing w:after="0" w:line="121" w:lineRule="exact"/>
        <w:rPr>
          <w:sz w:val="20"/>
          <w:szCs w:val="20"/>
          <w:color w:val="auto"/>
        </w:rPr>
      </w:pPr>
    </w:p>
    <w:p>
      <w:pPr>
        <w:ind w:left="460" w:right="100"/>
        <w:spacing w:after="0" w:line="253"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consolidated financial statements.</w:t>
      </w:r>
    </w:p>
    <w:p>
      <w:pPr>
        <w:spacing w:after="0" w:line="64"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w:t>
      </w:r>
    </w:p>
    <w:p>
      <w:pPr>
        <w:ind w:left="460" w:right="240" w:firstLine="4"/>
        <w:spacing w:after="0" w:line="323" w:lineRule="auto"/>
        <w:tabs>
          <w:tab w:leader="none" w:pos="72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31"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sz w:val="20"/>
          <w:szCs w:val="20"/>
          <w:color w:val="auto"/>
        </w:rPr>
      </w:pPr>
    </w:p>
    <w:p>
      <w:pPr>
        <w:ind w:left="460" w:right="300"/>
        <w:spacing w:after="0" w:line="279"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9"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16"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consolidated financial statements.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85"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transactions of acquisitions or disposals of assets of businesses.</w:t>
      </w:r>
    </w:p>
    <w:p>
      <w:pPr>
        <w:spacing w:after="0" w:line="70"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5"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If the imposition of any of these penalties precludes the Company from operating its business, it would no longer be in a position to generate revenue or cash from it. If the imposition of any of these penalties causes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3"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6" w:lineRule="exact"/>
        <w:rPr>
          <w:rFonts w:ascii="Arial" w:cs="Arial" w:eastAsia="Arial" w:hAnsi="Arial"/>
          <w:sz w:val="18"/>
          <w:szCs w:val="18"/>
          <w:b w:val="1"/>
          <w:bCs w:val="1"/>
          <w:color w:val="auto"/>
        </w:rPr>
      </w:pPr>
    </w:p>
    <w:p>
      <w:pPr>
        <w:ind w:left="4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the OptAim VIE and its subsidiary excluding the intercompany items with the Company’s subsidiaries was included in the accompanying financial statements as of and for the years ended December 31, 2015 and 2016:</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4,866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20,084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94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payable</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426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96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3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30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profit/(loss)</w:t>
            </w: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(172)</w:t>
            </w:r>
          </w:p>
        </w:tc>
        <w:tc>
          <w:tcPr>
            <w:tcW w:w="5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(used in)/provided by operating activities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1"/>
              </w:rPr>
              <w:t>Net (decrease)/increase in cash and cash equivalents</w:t>
            </w:r>
          </w:p>
        </w:tc>
        <w:tc>
          <w:tcPr>
            <w:tcW w:w="20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0" w:type="dxa"/>
            <w:vAlign w:val="bottom"/>
            <w:gridSpan w:val="5"/>
          </w:tcPr>
          <w:p>
            <w:pPr>
              <w:jc w:val="right"/>
              <w:ind w:right="2988"/>
              <w:spacing w:after="0"/>
              <w:rPr>
                <w:sz w:val="20"/>
                <w:szCs w:val="20"/>
                <w:color w:val="auto"/>
              </w:rPr>
            </w:pPr>
            <w:r>
              <w:rPr>
                <w:rFonts w:ascii="Arial" w:cs="Arial" w:eastAsia="Arial" w:hAnsi="Arial"/>
                <w:sz w:val="18"/>
                <w:szCs w:val="18"/>
                <w:color w:val="auto"/>
              </w:rPr>
              <w:t>F-33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9" w:right="6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VIE arrangements, the Group has power to direct activities of the OptAim VIE, and can have assets transferred out of the OptAim VIE. Therefore, the Group considers that there is no assets of the OptAim VIE can be used only to settle their obligations.</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deficit.</w:t>
      </w:r>
    </w:p>
    <w:p>
      <w:pPr>
        <w:spacing w:after="0" w:line="78"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69"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78"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60" w:right="2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b w:val="1"/>
                <w:bCs w:val="1"/>
                <w:color w:val="auto"/>
              </w:rPr>
              <w:t>Fair value measurements using</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identical</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jc w:val="right"/>
              <w:ind w:right="253"/>
              <w:spacing w:after="0" w:line="154" w:lineRule="exact"/>
              <w:rPr>
                <w:sz w:val="20"/>
                <w:szCs w:val="20"/>
                <w:color w:val="auto"/>
              </w:rPr>
            </w:pPr>
            <w:r>
              <w:rPr>
                <w:rFonts w:ascii="Arial" w:cs="Arial" w:eastAsia="Arial" w:hAnsi="Arial"/>
                <w:sz w:val="14"/>
                <w:szCs w:val="14"/>
                <w:color w:val="auto"/>
                <w:w w:val="95"/>
              </w:rPr>
              <w:t>Total fair</w:t>
            </w:r>
          </w:p>
        </w:tc>
        <w:tc>
          <w:tcPr>
            <w:tcW w:w="1460" w:type="dxa"/>
            <w:vAlign w:val="bottom"/>
          </w:tcPr>
          <w:p>
            <w:pPr>
              <w:jc w:val="center"/>
              <w:spacing w:after="0" w:line="154" w:lineRule="exact"/>
              <w:rPr>
                <w:sz w:val="20"/>
                <w:szCs w:val="20"/>
                <w:color w:val="auto"/>
              </w:rPr>
            </w:pPr>
            <w:r>
              <w:rPr>
                <w:rFonts w:ascii="Arial" w:cs="Arial" w:eastAsia="Arial" w:hAnsi="Arial"/>
                <w:sz w:val="14"/>
                <w:szCs w:val="14"/>
                <w:color w:val="auto"/>
                <w:w w:val="78"/>
              </w:rPr>
              <w:t>assets</w:t>
            </w:r>
          </w:p>
        </w:tc>
        <w:tc>
          <w:tcPr>
            <w:tcW w:w="1300" w:type="dxa"/>
            <w:vAlign w:val="bottom"/>
          </w:tcPr>
          <w:p>
            <w:pPr>
              <w:jc w:val="center"/>
              <w:spacing w:after="0" w:line="154" w:lineRule="exact"/>
              <w:rPr>
                <w:sz w:val="20"/>
                <w:szCs w:val="20"/>
                <w:color w:val="auto"/>
              </w:rPr>
            </w:pPr>
            <w:r>
              <w:rPr>
                <w:rFonts w:ascii="Arial" w:cs="Arial" w:eastAsia="Arial" w:hAnsi="Arial"/>
                <w:sz w:val="14"/>
                <w:szCs w:val="14"/>
                <w:color w:val="auto"/>
                <w:w w:val="90"/>
              </w:rPr>
              <w:t>inputs</w:t>
            </w:r>
          </w:p>
        </w:tc>
        <w:tc>
          <w:tcPr>
            <w:tcW w:w="1160" w:type="dxa"/>
            <w:vAlign w:val="bottom"/>
            <w:gridSpan w:val="2"/>
          </w:tcPr>
          <w:p>
            <w:pPr>
              <w:jc w:val="center"/>
              <w:ind w:left="156"/>
              <w:spacing w:after="0" w:line="154" w:lineRule="exact"/>
              <w:rPr>
                <w:sz w:val="20"/>
                <w:szCs w:val="20"/>
                <w:color w:val="auto"/>
              </w:rPr>
            </w:pPr>
            <w:r>
              <w:rPr>
                <w:rFonts w:ascii="Arial" w:cs="Arial" w:eastAsia="Arial" w:hAnsi="Arial"/>
                <w:sz w:val="14"/>
                <w:szCs w:val="14"/>
                <w:color w:val="auto"/>
                <w:w w:val="96"/>
              </w:rPr>
              <w:t>inputs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color w:val="auto"/>
              </w:rPr>
              <w:t>value</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(Level 2)</w:t>
            </w:r>
          </w:p>
        </w:tc>
        <w:tc>
          <w:tcPr>
            <w:tcW w:w="1160" w:type="dxa"/>
            <w:vAlign w:val="bottom"/>
            <w:gridSpan w:val="2"/>
          </w:tcPr>
          <w:p>
            <w:pPr>
              <w:jc w:val="center"/>
              <w:ind w:left="156"/>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2015</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10,395</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10,395</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1,000</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1,552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8,542</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8,542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63,724</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63,724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27,280</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27,280</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5,234</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5,234</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Bank borrowings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12,982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12,982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8"/>
              </w:rPr>
              <w:t>60,525</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For the year ended December 31, 2016, two individual customers accounted for 18% and 11% of the net revenue, respectively. No individual customer accounted for more than 10% of the net revenues for the year ended December 31, 2015.</w:t>
      </w:r>
    </w:p>
    <w:p>
      <w:pPr>
        <w:spacing w:after="0" w:line="315" w:lineRule="exact"/>
        <w:rPr>
          <w:sz w:val="20"/>
          <w:szCs w:val="20"/>
          <w:color w:val="auto"/>
        </w:rPr>
      </w:pPr>
    </w:p>
    <w:p>
      <w:pPr>
        <w:ind w:left="900" w:hanging="446"/>
        <w:spacing w:after="0"/>
        <w:tabs>
          <w:tab w:leader="none" w:pos="9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 (Continued)</w:t>
      </w:r>
    </w:p>
    <w:p>
      <w:pPr>
        <w:spacing w:after="0" w:line="135"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As of December 31, 2015, one customer accounted for 13% of the consolidated accounts receivable. No individual customer accounted for more than 10% of the consolidated accounts receivable as of December 31, 2016. The top 10 accounts receivable accounted for 44% and 39% of the consolidated accounts receivable as of December 31, 2015 and 2016, respectively.</w:t>
      </w:r>
    </w:p>
    <w:p>
      <w:pPr>
        <w:spacing w:after="0" w:line="326" w:lineRule="exact"/>
        <w:rPr>
          <w:sz w:val="20"/>
          <w:szCs w:val="20"/>
          <w:color w:val="auto"/>
        </w:rPr>
      </w:pPr>
    </w:p>
    <w:p>
      <w:pPr>
        <w:ind w:left="900" w:hanging="446"/>
        <w:spacing w:after="0"/>
        <w:tabs>
          <w:tab w:leader="none" w:pos="90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December 31, 2015 and 2016,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years ended December 31, 2015 and 2016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accounted for its acquisitions in accordance with ASC 805, “Business Combination” (“ASC 805”). The results of the acquirees’ operations have been included in the consolidated financial statements since the acquisition date. The excess of the fair value of the acquired entities over the fair value of net tangible and intangible assets acquired was recorded as goodwill, which is not deductible for corporate income taxation purposes.</w:t>
      </w:r>
    </w:p>
    <w:p>
      <w:pPr>
        <w:spacing w:after="0" w:line="331"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2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movement of carrying value of the equity method investment in Buzzinate from January 1, 2015 to February 13, 2015 (the “period”) is as follows:</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 of loss of equity investee for the period</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13, 2015</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Fair value gain on re-measurement of equity investee</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Fair value of consideration transferred:</w:t>
            </w: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tcPr>
          <w:p>
            <w:pPr>
              <w:ind w:left="1380"/>
              <w:spacing w:after="0"/>
              <w:rPr>
                <w:sz w:val="20"/>
                <w:szCs w:val="20"/>
                <w:color w:val="auto"/>
              </w:rPr>
            </w:pPr>
            <w:r>
              <w:rPr>
                <w:rFonts w:ascii="Arial" w:cs="Arial" w:eastAsia="Arial" w:hAnsi="Arial"/>
                <w:sz w:val="18"/>
                <w:szCs w:val="18"/>
                <w:color w:val="auto"/>
              </w:rPr>
              <w:t>Fair value of previously held interest in Buzzinate</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Recognised amounts of identifiable assets acquired and liabilities assumed: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9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Other current assets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Property and equipment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Intangible asset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Current liabilities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Deferred tax liabilities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r>
      <w:tr>
        <w:trPr>
          <w:trHeight w:val="27"/>
        </w:trPr>
        <w:tc>
          <w:tcPr>
            <w:tcW w:w="9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w:t>
            </w:r>
          </w:p>
        </w:tc>
      </w:tr>
      <w:tr>
        <w:trPr>
          <w:trHeight w:val="223"/>
        </w:trPr>
        <w:tc>
          <w:tcPr>
            <w:tcW w:w="9860" w:type="dxa"/>
            <w:vAlign w:val="bottom"/>
          </w:tcPr>
          <w:p>
            <w:pPr>
              <w:ind w:left="1080"/>
              <w:spacing w:after="0"/>
              <w:rPr>
                <w:sz w:val="20"/>
                <w:szCs w:val="20"/>
                <w:color w:val="auto"/>
              </w:rPr>
            </w:pPr>
            <w:r>
              <w:rPr>
                <w:rFonts w:ascii="Arial" w:cs="Arial" w:eastAsia="Arial" w:hAnsi="Arial"/>
                <w:sz w:val="18"/>
                <w:szCs w:val="18"/>
                <w:color w:val="auto"/>
              </w:rPr>
              <w:t>Goodwill (Note 12)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3,494</w:t>
            </w:r>
          </w:p>
        </w:tc>
      </w:tr>
      <w:tr>
        <w:trPr>
          <w:trHeight w:val="20"/>
        </w:trPr>
        <w:tc>
          <w:tcPr>
            <w:tcW w:w="9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excess of purchase price over tangible assets and identifiable intangible assets acquired and liabilities assumed was recorded as goodwill. Goodwill associated with acquisition of Buzzinate was attributable to the expected synergy arising from the consolidated operations. The acquired goodwill is not deductible for tax purposes. Acquisition-related costs were insignificant and were included in general and administrative expenses for the year ended December 31, 2015.</w:t>
      </w:r>
    </w:p>
    <w:p>
      <w:pPr>
        <w:spacing w:after="0" w:line="7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determining the fair value of previously held interest in Buzzinate, a business valuation of Buzzinate was undertaken by management with the assistance of an external valuer. Significant factor, assumptions and methodologies used in determining the business valuation include applying the discounted cash flow approach. Such approach involves certain significant estimates, which are terminal growth rate of 3.0%, weighted average cost of capital of 18.6%, and growth rate on average spending per customer ranges from 3.0% to 10.0%.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19.6% and growth rate on average spending per customer ranges from 3.0% to 10.0%.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86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520" w:val="left"/>
          <w:tab w:leader="none" w:pos="970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5"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Pro-forma results related to the acquisition in accordance with ASC 805 have not been presented because the acquisition of Buzzinate is not material, where net revenue and net loss of the acquired entities are less than 5% of the Company’s consolidated net revenue and net loss for the corresponding year.</w:t>
      </w:r>
    </w:p>
    <w:p>
      <w:pPr>
        <w:spacing w:after="0" w:line="326"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w:t>
      </w:r>
    </w:p>
    <w:p>
      <w:pPr>
        <w:spacing w:after="0" w:line="121"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is comprised of cash consideration of US$15,976, 2,535,091 shares of the Company amounted to US$50,843 and fair value of replacement awards attributable to pre-acquisition services amounted to US$801.</w:t>
      </w:r>
    </w:p>
    <w:p>
      <w:pPr>
        <w:spacing w:after="0" w:line="73"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50,843</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replacement awards attributable to pre-acquisition services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67,620</w:t>
            </w:r>
          </w:p>
        </w:tc>
        <w:tc>
          <w:tcPr>
            <w:tcW w:w="8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Recognised amounts of identifiable assets acquired and liabilities assumed: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Intangible asset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Deferred tax liabilities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identifiable net assets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3"/>
        </w:trPr>
        <w:tc>
          <w:tcPr>
            <w:tcW w:w="9760" w:type="dxa"/>
            <w:vAlign w:val="bottom"/>
          </w:tcPr>
          <w:p>
            <w:pPr>
              <w:ind w:left="720"/>
              <w:spacing w:after="0"/>
              <w:rPr>
                <w:sz w:val="20"/>
                <w:szCs w:val="20"/>
                <w:color w:val="auto"/>
              </w:rPr>
            </w:pPr>
            <w:r>
              <w:rPr>
                <w:rFonts w:ascii="Arial" w:cs="Arial" w:eastAsia="Arial" w:hAnsi="Arial"/>
                <w:sz w:val="18"/>
                <w:szCs w:val="18"/>
                <w:color w:val="auto"/>
              </w:rPr>
              <w:t>Goodwill (Note 12)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080"/>
              <w:spacing w:after="0"/>
              <w:rPr>
                <w:sz w:val="20"/>
                <w:szCs w:val="20"/>
                <w:color w:val="auto"/>
              </w:rPr>
            </w:pPr>
            <w:r>
              <w:rPr>
                <w:rFonts w:ascii="Arial" w:cs="Arial" w:eastAsia="Arial" w:hAnsi="Arial"/>
                <w:sz w:val="18"/>
                <w:szCs w:val="18"/>
                <w:color w:val="auto"/>
              </w:rPr>
              <w:t>F-38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2015, purchase consideration payable of US$15,976 was settled and there is no adjustment to the purchase consideration amounts.</w:t>
      </w:r>
    </w:p>
    <w:p>
      <w:pPr>
        <w:spacing w:after="0" w:line="14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excess of purchase price over tangible assets, identifiable intangible asset acquired and liabilities assumed was recorded as goodwill. Goodwill associated with the acquisition of OptAim was attributable to the expected synergy arising from the consolidated marketing operations. The acquired goodwill is not deductible for tax purposes. Acquisition-related costs were immaterial and were included in general and administrative expenses for the year ended December 31, 2015.</w:t>
      </w:r>
    </w:p>
    <w:p>
      <w:pPr>
        <w:spacing w:after="0" w:line="78"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determining the fair value of shares of the Company issued as part of the consideration of acquiring OptAim, a business valuation of the Company was performed by management with the assistance of an external valuer. Significant factors, assumptions and methodologies used in determining the business valuation include applying the discounted cash flow approach. Such approach involves certain significant estimates. They are terminal growth rate of 3.0%, weighted average cost of capital of 16.1%, and growth rate on average spending per customer ranges from 1.0% to 4.0%.</w:t>
      </w:r>
    </w:p>
    <w:p>
      <w:pPr>
        <w:spacing w:after="0" w:line="46"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20.6% and a growth rate on average spending per customer ranges from 3.0% to 8.0%.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94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620" w:val="left"/>
          <w:tab w:leader="none" w:pos="948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20,100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pro forma operating results for the Company, assuming the acquisition of OptAim occurred on January 1, 2015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For the year</w:t>
            </w:r>
          </w:p>
        </w:tc>
      </w:tr>
      <w:tr>
        <w:trPr>
          <w:trHeight w:val="149"/>
        </w:trPr>
        <w:tc>
          <w:tcPr>
            <w:tcW w:w="4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4200" w:type="dxa"/>
            <w:vAlign w:val="bottom"/>
          </w:tcPr>
          <w:p>
            <w:pPr>
              <w:spacing w:after="0"/>
              <w:rPr>
                <w:sz w:val="12"/>
                <w:szCs w:val="12"/>
                <w:color w:val="auto"/>
              </w:rPr>
            </w:pPr>
          </w:p>
        </w:tc>
        <w:tc>
          <w:tcPr>
            <w:tcW w:w="356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4200" w:type="dxa"/>
            <w:vAlign w:val="bottom"/>
          </w:tcPr>
          <w:p>
            <w:pPr>
              <w:spacing w:after="0"/>
              <w:rPr>
                <w:sz w:val="14"/>
                <w:szCs w:val="14"/>
                <w:color w:val="auto"/>
              </w:rPr>
            </w:pPr>
          </w:p>
        </w:tc>
        <w:tc>
          <w:tcPr>
            <w:tcW w:w="3440" w:type="dxa"/>
            <w:vAlign w:val="bottom"/>
            <w:gridSpan w:val="2"/>
          </w:tcPr>
          <w:p>
            <w:pPr>
              <w:jc w:val="center"/>
              <w:ind w:left="2557"/>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4"/>
                <w:szCs w:val="14"/>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(39,688)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3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(3.80)</w:t>
            </w:r>
          </w:p>
        </w:tc>
      </w:tr>
    </w:tbl>
    <w:p>
      <w:pPr>
        <w:spacing w:after="0" w:line="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did not have any material, non-recurring pro-forma adjustments directly attributable to the business combination reflected in the reported pro-forma net revenue and net loss.</w:t>
      </w:r>
    </w:p>
    <w:p>
      <w:pPr>
        <w:spacing w:after="0" w:line="62"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pro forma information is not necessarily indicative of the actual results that would have been achieved had OptAim acquisition occurred as of January 1, 2015 or the results that may be achieved in future periods.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2015 and 2016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color w:val="auto"/>
              </w:rPr>
              <w:t>As of December 31,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2015</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US$’000</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2016</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96"/>
        </w:trPr>
        <w:tc>
          <w:tcPr>
            <w:tcW w:w="6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43,725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10,044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1,294</w:t>
            </w:r>
          </w:p>
        </w:tc>
        <w:tc>
          <w:tcPr>
            <w:tcW w:w="1060" w:type="dxa"/>
            <w:vAlign w:val="bottom"/>
          </w:tcPr>
          <w:p>
            <w:pPr>
              <w:jc w:val="right"/>
              <w:spacing w:after="0"/>
              <w:rPr>
                <w:sz w:val="20"/>
                <w:szCs w:val="20"/>
                <w:color w:val="auto"/>
              </w:rPr>
            </w:pPr>
            <w:r>
              <w:rPr>
                <w:rFonts w:ascii="Arial" w:cs="Arial" w:eastAsia="Arial" w:hAnsi="Arial"/>
                <w:sz w:val="18"/>
                <w:szCs w:val="18"/>
                <w:color w:val="auto"/>
              </w:rPr>
              <w:t>15,666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15,064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515</w:t>
            </w: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620" w:type="dxa"/>
            <w:vAlign w:val="bottom"/>
          </w:tcPr>
          <w:p>
            <w:pPr>
              <w:jc w:val="right"/>
              <w:spacing w:after="0"/>
              <w:rPr>
                <w:sz w:val="20"/>
                <w:szCs w:val="20"/>
                <w:color w:val="auto"/>
              </w:rPr>
            </w:pPr>
            <w:r>
              <w:rPr>
                <w:rFonts w:ascii="Arial" w:cs="Arial" w:eastAsia="Arial" w:hAnsi="Arial"/>
                <w:sz w:val="18"/>
                <w:szCs w:val="18"/>
                <w:color w:val="auto"/>
              </w:rPr>
              <w:t>2,854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Group’s restricted cash amounting to US$1,000 and US$5,234 as of December 31, 2015 and 2016, respectively, represented balance held in a restricted bank account pursuant to certain short term loan agreements (see Note 15 for details). The restricted cash is held in US$ and carries fixed interest at the rate of 0.55% and 0.05% per annum as of December 31, 2015 and 2016, respectively.</w:t>
      </w:r>
    </w:p>
    <w:p>
      <w:pPr>
        <w:spacing w:after="0" w:line="310"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52" w:lineRule="exact"/>
        <w:rPr>
          <w:sz w:val="20"/>
          <w:szCs w:val="20"/>
          <w:color w:val="auto"/>
        </w:rPr>
      </w:pPr>
    </w:p>
    <w:p>
      <w:pPr>
        <w:ind w:left="8580"/>
        <w:spacing w:after="0"/>
        <w:rPr>
          <w:sz w:val="20"/>
          <w:szCs w:val="20"/>
          <w:color w:val="auto"/>
        </w:rPr>
      </w:pPr>
      <w:r>
        <w:rPr>
          <w:rFonts w:ascii="Arial" w:cs="Arial" w:eastAsia="Arial" w:hAnsi="Arial"/>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3810</wp:posOffset>
            </wp:positionV>
            <wp:extent cx="10547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8500"/>
        <w:spacing w:after="0"/>
        <w:tabs>
          <w:tab w:leader="none" w:pos="962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520" w:val="left"/>
          <w:tab w:leader="none" w:pos="9800" w:val="left"/>
        </w:tabs>
        <w:rPr>
          <w:sz w:val="20"/>
          <w:szCs w:val="20"/>
          <w:color w:val="auto"/>
        </w:rPr>
      </w:pPr>
      <w:r>
        <w:rPr>
          <w:rFonts w:ascii="Arial" w:cs="Arial" w:eastAsia="Arial" w:hAnsi="Arial"/>
          <w:sz w:val="18"/>
          <w:szCs w:val="18"/>
          <w:color w:val="auto"/>
        </w:rPr>
        <w:t>Investment in treasury instruments</w:t>
      </w:r>
      <w:r>
        <w:rPr>
          <w:sz w:val="20"/>
          <w:szCs w:val="20"/>
          <w:color w:val="auto"/>
        </w:rPr>
        <w:tab/>
      </w:r>
      <w:r>
        <w:rPr>
          <w:rFonts w:ascii="Arial" w:cs="Arial" w:eastAsia="Arial" w:hAnsi="Arial"/>
          <w:sz w:val="18"/>
          <w:szCs w:val="18"/>
          <w:color w:val="auto"/>
        </w:rPr>
        <w:t>1,552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4445</wp:posOffset>
            </wp:positionV>
            <wp:extent cx="3860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21590</wp:posOffset>
            </wp:positionV>
            <wp:extent cx="3860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4445</wp:posOffset>
            </wp:positionV>
            <wp:extent cx="26606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21590</wp:posOffset>
            </wp:positionV>
            <wp:extent cx="26606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3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investments were issued by commercial banks in Hong Kong with a variable interest rate. Since these investments’ maturity dates are within one year, they are classified as short-term investments.</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Interest income generated from short-term investments are recorded using the effective interest method. It was recorded in “other losses, net” on the consolidated statement of comprehensive loss.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45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3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60" w:type="dxa"/>
            <w:vAlign w:val="bottom"/>
            <w:gridSpan w:val="4"/>
          </w:tcPr>
          <w:p>
            <w:pPr>
              <w:jc w:val="right"/>
              <w:ind w:right="320"/>
              <w:spacing w:after="0"/>
              <w:rPr>
                <w:sz w:val="20"/>
                <w:szCs w:val="20"/>
                <w:color w:val="auto"/>
              </w:rPr>
            </w:pPr>
            <w:r>
              <w:rPr>
                <w:rFonts w:ascii="Arial" w:cs="Arial" w:eastAsia="Arial" w:hAnsi="Arial"/>
                <w:sz w:val="14"/>
                <w:szCs w:val="14"/>
                <w:color w:val="auto"/>
              </w:rPr>
              <w:t>As of December 31,</w:t>
            </w:r>
          </w:p>
        </w:tc>
      </w:tr>
      <w:tr>
        <w:trPr>
          <w:trHeight w:val="210"/>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Accounts receivable, gross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30,156</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(1,733)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(1,693)</w:t>
            </w:r>
          </w:p>
        </w:tc>
      </w:tr>
      <w:tr>
        <w:trPr>
          <w:trHeight w:val="223"/>
        </w:trPr>
        <w:tc>
          <w:tcPr>
            <w:tcW w:w="280" w:type="dxa"/>
            <w:vAlign w:val="bottom"/>
          </w:tcPr>
          <w:p>
            <w:pPr>
              <w:spacing w:after="0"/>
              <w:rPr>
                <w:sz w:val="19"/>
                <w:szCs w:val="19"/>
                <w:color w:val="auto"/>
              </w:rPr>
            </w:pPr>
          </w:p>
        </w:tc>
        <w:tc>
          <w:tcPr>
            <w:tcW w:w="4560" w:type="dxa"/>
            <w:vAlign w:val="bottom"/>
            <w:gridSpan w:val="2"/>
          </w:tcPr>
          <w:p>
            <w:pPr>
              <w:ind w:left="1100"/>
              <w:spacing w:after="0"/>
              <w:rPr>
                <w:sz w:val="20"/>
                <w:szCs w:val="20"/>
                <w:color w:val="auto"/>
              </w:rPr>
            </w:pPr>
            <w:r>
              <w:rPr>
                <w:rFonts w:ascii="Arial" w:cs="Arial" w:eastAsia="Arial" w:hAnsi="Arial"/>
                <w:sz w:val="18"/>
                <w:szCs w:val="18"/>
                <w:color w:val="auto"/>
              </w:rPr>
              <w:t>Accounts receivable, net</w:t>
            </w:r>
          </w:p>
        </w:tc>
        <w:tc>
          <w:tcPr>
            <w:tcW w:w="35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28,423</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30,694</w:t>
            </w:r>
          </w:p>
        </w:tc>
        <w:tc>
          <w:tcPr>
            <w:tcW w:w="12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gridSpan w:val="3"/>
          </w:tcPr>
          <w:p>
            <w:pPr>
              <w:jc w:val="right"/>
              <w:ind w:right="3460"/>
              <w:spacing w:after="0"/>
              <w:rPr>
                <w:sz w:val="20"/>
                <w:szCs w:val="20"/>
                <w:color w:val="auto"/>
              </w:rPr>
            </w:pPr>
            <w:r>
              <w:rPr>
                <w:rFonts w:ascii="Arial" w:cs="Arial" w:eastAsia="Arial" w:hAnsi="Arial"/>
                <w:sz w:val="18"/>
                <w:szCs w:val="18"/>
                <w:color w:val="auto"/>
              </w:rPr>
              <w:t>F-40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34" w:name="page235"/>
    <w:bookmarkEnd w:id="2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60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80" w:type="dxa"/>
            <w:vAlign w:val="bottom"/>
          </w:tcPr>
          <w:p>
            <w:pPr>
              <w:spacing w:after="0"/>
              <w:rPr>
                <w:sz w:val="24"/>
                <w:szCs w:val="24"/>
                <w:color w:val="auto"/>
              </w:rPr>
            </w:pPr>
          </w:p>
        </w:tc>
        <w:tc>
          <w:tcPr>
            <w:tcW w:w="7140" w:type="dxa"/>
            <w:vAlign w:val="bottom"/>
            <w:gridSpan w:val="3"/>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7140" w:type="dxa"/>
            <w:vAlign w:val="bottom"/>
            <w:gridSpan w:val="3"/>
          </w:tcPr>
          <w:p>
            <w:pPr>
              <w:ind w:left="18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7140" w:type="dxa"/>
            <w:vAlign w:val="bottom"/>
            <w:gridSpan w:val="3"/>
          </w:tcPr>
          <w:p>
            <w:pPr>
              <w:ind w:left="180"/>
              <w:spacing w:after="0"/>
              <w:rPr>
                <w:sz w:val="20"/>
                <w:szCs w:val="20"/>
                <w:color w:val="auto"/>
              </w:rPr>
            </w:pPr>
            <w:r>
              <w:rPr>
                <w:rFonts w:ascii="Arial" w:cs="Arial" w:eastAsia="Arial" w:hAnsi="Arial"/>
                <w:sz w:val="18"/>
                <w:szCs w:val="18"/>
                <w:color w:val="auto"/>
              </w:rPr>
              <w:t>(US$’000, except share data and per share data, or otherwise noted)</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7140" w:type="dxa"/>
            <w:vAlign w:val="bottom"/>
            <w:gridSpan w:val="3"/>
          </w:tcPr>
          <w:p>
            <w:pPr>
              <w:ind w:left="180"/>
              <w:spacing w:after="0"/>
              <w:rPr>
                <w:sz w:val="20"/>
                <w:szCs w:val="20"/>
                <w:color w:val="auto"/>
              </w:rPr>
            </w:pPr>
            <w:r>
              <w:rPr>
                <w:rFonts w:ascii="Arial" w:cs="Arial" w:eastAsia="Arial" w:hAnsi="Arial"/>
                <w:sz w:val="18"/>
                <w:szCs w:val="18"/>
                <w:b w:val="1"/>
                <w:bCs w:val="1"/>
                <w:color w:val="auto"/>
              </w:rPr>
              <w:t>Accounts receivable, net (Continued)</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7140" w:type="dxa"/>
            <w:vAlign w:val="bottom"/>
            <w:gridSpan w:val="3"/>
          </w:tcPr>
          <w:p>
            <w:pPr>
              <w:ind w:left="180"/>
              <w:spacing w:after="0"/>
              <w:rPr>
                <w:sz w:val="20"/>
                <w:szCs w:val="20"/>
                <w:color w:val="auto"/>
              </w:rPr>
            </w:pPr>
            <w:r>
              <w:rPr>
                <w:rFonts w:ascii="Arial" w:cs="Arial" w:eastAsia="Arial" w:hAnsi="Arial"/>
                <w:sz w:val="18"/>
                <w:szCs w:val="18"/>
                <w:color w:val="auto"/>
              </w:rPr>
              <w:t>The following table presents the movement in the allowance for doubtful accounts: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640" w:type="dxa"/>
            <w:vAlign w:val="bottom"/>
            <w:gridSpan w:val="8"/>
          </w:tcPr>
          <w:p>
            <w:pPr>
              <w:ind w:left="28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2015</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2016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Balance at the beginning of year</w:t>
            </w:r>
          </w:p>
        </w:tc>
        <w:tc>
          <w:tcPr>
            <w:tcW w:w="900" w:type="dxa"/>
            <w:vAlign w:val="bottom"/>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1,733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the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Recoveries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written off</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Exchange differences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year</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714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Other assets</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714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7140" w:type="dxa"/>
            <w:vAlign w:val="bottom"/>
            <w:gridSpan w:val="3"/>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6"/>
          </w:tcPr>
          <w:p>
            <w:pPr>
              <w:ind w:left="1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2015</w:t>
            </w: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Deposits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3,158</w:t>
            </w:r>
          </w:p>
        </w:tc>
        <w:tc>
          <w:tcPr>
            <w:tcW w:w="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VAT receivable</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4,081</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Prepayment for acquisition of fixed assets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Rental deposits</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3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3,899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Furniture and fixtures</w:t>
            </w:r>
          </w:p>
        </w:tc>
        <w:tc>
          <w:tcPr>
            <w:tcW w:w="38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800" w:type="dxa"/>
            <w:vAlign w:val="bottom"/>
            <w:gridSpan w:val="3"/>
          </w:tcPr>
          <w:p>
            <w:pPr>
              <w:jc w:val="right"/>
              <w:ind w:right="400"/>
              <w:spacing w:after="0"/>
              <w:rPr>
                <w:sz w:val="20"/>
                <w:szCs w:val="20"/>
                <w:color w:val="auto"/>
              </w:rPr>
            </w:pPr>
            <w:r>
              <w:rPr>
                <w:rFonts w:ascii="Arial" w:cs="Arial" w:eastAsia="Arial" w:hAnsi="Arial"/>
                <w:sz w:val="18"/>
                <w:szCs w:val="18"/>
                <w:color w:val="auto"/>
              </w:rPr>
              <w:t>(3,011)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(4,519)</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8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4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gridSpan w:val="3"/>
          </w:tcPr>
          <w:p>
            <w:pPr>
              <w:jc w:val="right"/>
              <w:ind w:right="3540"/>
              <w:spacing w:after="0"/>
              <w:rPr>
                <w:sz w:val="20"/>
                <w:szCs w:val="20"/>
                <w:color w:val="auto"/>
              </w:rPr>
            </w:pPr>
            <w:r>
              <w:rPr>
                <w:rFonts w:ascii="Arial" w:cs="Arial" w:eastAsia="Arial" w:hAnsi="Arial"/>
                <w:sz w:val="18"/>
                <w:szCs w:val="18"/>
                <w:color w:val="auto"/>
              </w:rPr>
              <w:t>F-41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446" w:right="1440"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4619"/>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49"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Depreciation expense recognized for the years ended December 31, 2015 and 2016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44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2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Intangible assets consist of the following:</w:t>
            </w: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6"/>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620" w:type="dxa"/>
            <w:vAlign w:val="bottom"/>
            <w:gridSpan w:val="3"/>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2015</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200" w:type="dxa"/>
            <w:vAlign w:val="bottom"/>
            <w:gridSpan w:val="4"/>
          </w:tcPr>
          <w:p>
            <w:pPr>
              <w:jc w:val="right"/>
              <w:spacing w:after="0"/>
              <w:rPr>
                <w:sz w:val="20"/>
                <w:szCs w:val="20"/>
                <w:color w:val="auto"/>
              </w:rPr>
            </w:pPr>
            <w:r>
              <w:rPr>
                <w:rFonts w:ascii="Arial" w:cs="Arial" w:eastAsia="Arial" w:hAnsi="Arial"/>
                <w:sz w:val="18"/>
                <w:szCs w:val="18"/>
                <w:color w:val="auto"/>
              </w:rPr>
              <w:t>21,557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21,576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360" w:type="dxa"/>
            <w:vAlign w:val="bottom"/>
            <w:gridSpan w:val="5"/>
          </w:tcPr>
          <w:p>
            <w:pPr>
              <w:jc w:val="right"/>
              <w:ind w:right="120"/>
              <w:spacing w:after="0"/>
              <w:rPr>
                <w:sz w:val="20"/>
                <w:szCs w:val="20"/>
                <w:color w:val="auto"/>
              </w:rPr>
            </w:pPr>
            <w:r>
              <w:rPr>
                <w:rFonts w:ascii="Arial" w:cs="Arial" w:eastAsia="Arial" w:hAnsi="Arial"/>
                <w:sz w:val="18"/>
                <w:szCs w:val="18"/>
                <w:color w:val="auto"/>
              </w:rPr>
              <w:t>(2,461)</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460" w:type="dxa"/>
            <w:vAlign w:val="bottom"/>
            <w:gridSpan w:val="2"/>
          </w:tcPr>
          <w:p>
            <w:pPr>
              <w:ind w:left="1060"/>
              <w:spacing w:after="0"/>
              <w:rPr>
                <w:sz w:val="20"/>
                <w:szCs w:val="20"/>
                <w:color w:val="auto"/>
              </w:rPr>
            </w:pPr>
            <w:r>
              <w:rPr>
                <w:rFonts w:ascii="Arial" w:cs="Arial" w:eastAsia="Arial" w:hAnsi="Arial"/>
                <w:sz w:val="18"/>
                <w:szCs w:val="18"/>
                <w:color w:val="auto"/>
              </w:rPr>
              <w:t>Intangible assets, net</w:t>
            </w:r>
          </w:p>
        </w:tc>
        <w:tc>
          <w:tcPr>
            <w:tcW w:w="3620" w:type="dxa"/>
            <w:vAlign w:val="bottom"/>
            <w:gridSpan w:val="3"/>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80" w:type="dxa"/>
            <w:vAlign w:val="bottom"/>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8820" w:type="dxa"/>
            <w:vAlign w:val="bottom"/>
            <w:gridSpan w:val="7"/>
          </w:tcPr>
          <w:p>
            <w:pPr>
              <w:ind w:left="140"/>
              <w:spacing w:after="0"/>
              <w:rPr>
                <w:sz w:val="20"/>
                <w:szCs w:val="20"/>
                <w:color w:val="auto"/>
              </w:rPr>
            </w:pPr>
            <w:r>
              <w:rPr>
                <w:rFonts w:ascii="Arial" w:cs="Arial" w:eastAsia="Arial" w:hAnsi="Arial"/>
                <w:sz w:val="18"/>
                <w:szCs w:val="18"/>
                <w:color w:val="auto"/>
                <w:w w:val="97"/>
              </w:rPr>
              <w:t>Amortization expense recognized for the years ended December 31, 2015 and 2016 are summarized as follows: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360" w:type="dxa"/>
            <w:vAlign w:val="bottom"/>
            <w:gridSpan w:val="5"/>
          </w:tcPr>
          <w:p>
            <w:pPr>
              <w:jc w:val="right"/>
              <w:ind w:right="3260"/>
              <w:spacing w:after="0"/>
              <w:rPr>
                <w:sz w:val="20"/>
                <w:szCs w:val="20"/>
                <w:color w:val="auto"/>
              </w:rPr>
            </w:pPr>
            <w:r>
              <w:rPr>
                <w:rFonts w:ascii="Arial" w:cs="Arial" w:eastAsia="Arial" w:hAnsi="Arial"/>
                <w:sz w:val="18"/>
                <w:szCs w:val="18"/>
                <w:color w:val="auto"/>
              </w:rPr>
              <w:t>F-42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60" w:right="1440"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9040" w:type="dxa"/>
            <w:vAlign w:val="bottom"/>
            <w:gridSpan w:val="2"/>
          </w:tcPr>
          <w:p>
            <w:pPr>
              <w:jc w:val="right"/>
              <w:ind w:right="6230"/>
              <w:spacing w:after="0"/>
              <w:rPr>
                <w:sz w:val="20"/>
                <w:szCs w:val="20"/>
                <w:color w:val="auto"/>
              </w:rPr>
            </w:pPr>
            <w:r>
              <w:rPr>
                <w:rFonts w:ascii="Arial" w:cs="Arial" w:eastAsia="Arial" w:hAnsi="Arial"/>
                <w:sz w:val="18"/>
                <w:szCs w:val="18"/>
                <w:b w:val="1"/>
                <w:bCs w:val="1"/>
                <w:color w:val="auto"/>
                <w:w w:val="93"/>
              </w:rPr>
              <w:t>Intangible assets, net (Continued)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9040" w:type="dxa"/>
            <w:vAlign w:val="bottom"/>
            <w:gridSpan w:val="2"/>
          </w:tcPr>
          <w:p>
            <w:pPr>
              <w:jc w:val="right"/>
              <w:ind w:right="1210"/>
              <w:spacing w:after="0"/>
              <w:rPr>
                <w:sz w:val="20"/>
                <w:szCs w:val="20"/>
                <w:color w:val="auto"/>
              </w:rPr>
            </w:pPr>
            <w:r>
              <w:rPr>
                <w:rFonts w:ascii="Arial" w:cs="Arial" w:eastAsia="Arial" w:hAnsi="Arial"/>
                <w:sz w:val="18"/>
                <w:szCs w:val="18"/>
                <w:color w:val="auto"/>
                <w:w w:val="91"/>
              </w:rPr>
              <w:t>The estimated aggregate amortization expense for each of the next five years as of December 31, 2016 is: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Computer</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software</w:t>
            </w: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2018</w:t>
            </w:r>
          </w:p>
        </w:tc>
        <w:tc>
          <w:tcPr>
            <w:tcW w:w="620" w:type="dxa"/>
            <w:vAlign w:val="bottom"/>
          </w:tcPr>
          <w:p>
            <w:pPr>
              <w:jc w:val="right"/>
              <w:spacing w:after="0"/>
              <w:rPr>
                <w:sz w:val="20"/>
                <w:szCs w:val="20"/>
                <w:color w:val="auto"/>
              </w:rPr>
            </w:pPr>
            <w:r>
              <w:rPr>
                <w:rFonts w:ascii="Arial" w:cs="Arial" w:eastAsia="Arial" w:hAnsi="Arial"/>
                <w:sz w:val="18"/>
                <w:szCs w:val="18"/>
                <w:color w:val="auto"/>
              </w:rPr>
              <w:t>4,160</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2020</w:t>
            </w:r>
          </w:p>
        </w:tc>
        <w:tc>
          <w:tcPr>
            <w:tcW w:w="62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2021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Movements on goodwill during the year were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Buzzinate</w:t>
            </w:r>
          </w:p>
        </w:tc>
        <w:tc>
          <w:tcPr>
            <w:tcW w:w="4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Goodwill arising from acquisition during the year (Note 4)</w:t>
            </w:r>
          </w:p>
        </w:tc>
        <w:tc>
          <w:tcPr>
            <w:tcW w:w="580" w:type="dxa"/>
            <w:vAlign w:val="bottom"/>
          </w:tcPr>
          <w:p>
            <w:pPr>
              <w:jc w:val="right"/>
              <w:spacing w:after="0"/>
              <w:rPr>
                <w:sz w:val="20"/>
                <w:szCs w:val="20"/>
                <w:color w:val="auto"/>
              </w:rPr>
            </w:pPr>
            <w:r>
              <w:rPr>
                <w:rFonts w:ascii="Arial" w:cs="Arial" w:eastAsia="Arial" w:hAnsi="Arial"/>
                <w:sz w:val="18"/>
                <w:szCs w:val="18"/>
                <w:color w:val="auto"/>
              </w:rPr>
              <w:t>2,958</w:t>
            </w:r>
          </w:p>
        </w:tc>
        <w:tc>
          <w:tcPr>
            <w:tcW w:w="4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7"/>
        </w:trPr>
        <w:tc>
          <w:tcPr>
            <w:tcW w:w="6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 and 2016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Goodwill is not deductible for tax purposes. The Group performs the annual impairment test on December 31 of each year. Based on the impairment tests performed, no impairment of goodwill was recorded for all years presented.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13   Customer deposits</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138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ind w:left="56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25,697</w:t>
            </w:r>
          </w:p>
        </w:tc>
        <w:tc>
          <w:tcPr>
            <w:tcW w:w="8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14</w:t>
            </w:r>
          </w:p>
        </w:tc>
        <w:tc>
          <w:tcPr>
            <w:tcW w:w="4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3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3,223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14,808</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80" w:type="dxa"/>
            <w:vAlign w:val="bottom"/>
            <w:gridSpan w:val="2"/>
          </w:tcPr>
          <w:p>
            <w:pPr>
              <w:jc w:val="right"/>
              <w:ind w:right="2982"/>
              <w:spacing w:after="0"/>
              <w:rPr>
                <w:sz w:val="20"/>
                <w:szCs w:val="20"/>
                <w:color w:val="auto"/>
              </w:rPr>
            </w:pPr>
            <w:r>
              <w:rPr>
                <w:rFonts w:ascii="Arial" w:cs="Arial" w:eastAsia="Arial" w:hAnsi="Arial"/>
                <w:sz w:val="18"/>
                <w:szCs w:val="18"/>
                <w:color w:val="auto"/>
              </w:rPr>
              <w:t>F-43</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2015</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US$ (Note (ii), (viii))</w:t>
            </w:r>
          </w:p>
        </w:tc>
        <w:tc>
          <w:tcPr>
            <w:tcW w:w="500" w:type="dxa"/>
            <w:vAlign w:val="bottom"/>
          </w:tcPr>
          <w:p>
            <w:pPr>
              <w:jc w:val="right"/>
              <w:spacing w:after="0"/>
              <w:rPr>
                <w:sz w:val="20"/>
                <w:szCs w:val="20"/>
                <w:color w:val="auto"/>
              </w:rPr>
            </w:pPr>
            <w:r>
              <w:rPr>
                <w:rFonts w:ascii="Arial" w:cs="Arial" w:eastAsia="Arial" w:hAnsi="Arial"/>
                <w:sz w:val="18"/>
                <w:szCs w:val="18"/>
                <w:color w:val="auto"/>
              </w:rPr>
              <w:t>2,950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Short-term loan denominated in RMB (Note (iii))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2-year demand loan agreement denominated in US$ (Note (iv),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6-month revolving loan denominated in RMB (Note (v))</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RMB (Note (vi),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3-month loan denominated in RMB (Note (vii),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900" w:right="40" w:hanging="446"/>
        <w:spacing w:after="0" w:line="297" w:lineRule="auto"/>
        <w:tabs>
          <w:tab w:leader="none" w:pos="9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On December 21, 2015, the Company, through its PRC subsidiaries, entered into a one-year revolving loan agreement with a bank amounting to RMB30 million (equivalent to US$4,639).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63" w:lineRule="exact"/>
        <w:rPr>
          <w:rFonts w:ascii="Arial" w:cs="Arial" w:eastAsia="Arial" w:hAnsi="Arial"/>
          <w:sz w:val="16"/>
          <w:szCs w:val="16"/>
          <w:color w:val="auto"/>
        </w:rPr>
      </w:pPr>
    </w:p>
    <w:p>
      <w:pPr>
        <w:ind w:left="900" w:right="80" w:hanging="446"/>
        <w:spacing w:after="0" w:line="279" w:lineRule="auto"/>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On December 21, 2015, the Company, through its Hong Kong subsidiaries, entered into a one-year loan agreement with a bank amounting to US$3,000. Out of this loan facility, the Hong Kong subsidiary had utilized US$2,950 as of December 31, 2015 and 2016. The Company, through its Hong Kong subsidiary, renewed the one-year revolving loan agreement with the bank on December 19, 2016. The interest rate of this short-term loan facility was determined by three-month LIBOR plus 5.75% for the years ended December 31, 2015 and 2016.</w:t>
      </w:r>
    </w:p>
    <w:p>
      <w:pPr>
        <w:spacing w:after="0" w:line="76" w:lineRule="exact"/>
        <w:rPr>
          <w:rFonts w:ascii="Arial" w:cs="Arial" w:eastAsia="Arial" w:hAnsi="Arial"/>
          <w:sz w:val="17"/>
          <w:szCs w:val="17"/>
          <w:color w:val="auto"/>
        </w:rPr>
      </w:pPr>
    </w:p>
    <w:p>
      <w:pPr>
        <w:ind w:left="900" w:hanging="446"/>
        <w:spacing w:after="0" w:line="255"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 December 28, 2015, the Company, through its PRC subsidiary, obtained a short-term loan facility amounting to RMB20 million (equivalent to US$3,093) granted by the bank. Out of this credit facility, the PRC subsidiary had utilized US$953 as of December 31, 2015 with approximately US$2,140 remained unutilized. The interest rate of this bank loan was the benchmark interest rate determined by the People’s Bank of China for loans over six months granted by financial institutions plus 20.0% per annum. The bank loan had a maturity period of six months and such loan was finally settled on June 28, 2016. Restricted cash amounting to US$1,000 was held in a restricted bank account as required by this loan agreement as of December 31, 2015.</w:t>
      </w:r>
    </w:p>
    <w:p>
      <w:pPr>
        <w:spacing w:after="0" w:line="98" w:lineRule="exact"/>
        <w:rPr>
          <w:rFonts w:ascii="Arial" w:cs="Arial" w:eastAsia="Arial" w:hAnsi="Arial"/>
          <w:sz w:val="18"/>
          <w:szCs w:val="18"/>
          <w:color w:val="auto"/>
        </w:rPr>
      </w:pPr>
    </w:p>
    <w:p>
      <w:pPr>
        <w:ind w:left="900" w:right="320" w:hanging="446"/>
        <w:spacing w:after="0" w:line="25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 January 20, 2016, the Company, through its Hong Kong subsidiaries, entered into a two-year loan agreement with a bank amounting to US$2,000. Out of this loan facility, the Hong Kong subsidiaries had utilized US$1,083 as of December 31, 2016. The interest rate of this loan was the benchmark interest rate determined by three-month LIBOR plus 7.00% per annum for the year ended December 31, 2016. The bank facility agreement includes repayable on demand clauses such that the bank borrowing are classified as current liabilities as of December 31, 2016.</w:t>
      </w:r>
    </w:p>
    <w:p>
      <w:pPr>
        <w:spacing w:after="0" w:line="93"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On May 20, 2016, the Company, through its PRC subsidiary, entered into a six-month revolving loan agreement with a bank of limit up to RMB20 million. Out of this loan facility, the PRC subsidiary had utilized RMB10 million (equivalent to US$1,444) as of 31 December 2016. The interest rate of this loan facility was the benchmark interest rate determined by the People’s Bank of China for loans over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 (Continued)</w:t>
      </w:r>
    </w:p>
    <w:p>
      <w:pPr>
        <w:spacing w:after="0" w:line="135"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six months granted by financial institutions plus 20.0% per annum. Restricted cash amounting to US$1,568 was held in a restricted bank account as required by this loan agreement as of December 31, 2016.</w:t>
      </w:r>
    </w:p>
    <w:p>
      <w:pPr>
        <w:spacing w:after="0" w:line="76" w:lineRule="exact"/>
        <w:rPr>
          <w:sz w:val="20"/>
          <w:szCs w:val="20"/>
          <w:color w:val="auto"/>
        </w:rPr>
      </w:pPr>
    </w:p>
    <w:p>
      <w:pPr>
        <w:ind w:left="900" w:hanging="446"/>
        <w:spacing w:after="0" w:line="279" w:lineRule="auto"/>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On July 28, 2016, the Company, through its PRC subsidiary, entered into a one-year revolving loan agreement with a bank amounting to a total of RMB12 million (equivalent to US$1,732).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w:t>
      </w:r>
    </w:p>
    <w:p>
      <w:pPr>
        <w:spacing w:after="0" w:line="76" w:lineRule="exact"/>
        <w:rPr>
          <w:rFonts w:ascii="Arial" w:cs="Arial" w:eastAsia="Arial" w:hAnsi="Arial"/>
          <w:sz w:val="17"/>
          <w:szCs w:val="17"/>
          <w:color w:val="auto"/>
        </w:rPr>
      </w:pPr>
    </w:p>
    <w:p>
      <w:pPr>
        <w:ind w:left="900" w:right="160" w:hanging="446"/>
        <w:spacing w:after="0" w:line="302" w:lineRule="auto"/>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On November 14, 2016, the Company, through its PRC subsidiary, entered into a three-month revolving loan agreement with a bank amounting to a total of RMB10 million (equivalent to US$1,443). The interest rate of this loan facility was the benchmark interest rate determined by the People’s Bank of China for loans over three months granted by financial institutions plus 0.435% per annum. Restricted cash amounting to US$1,666 was held in a restricted bank account as required by this loan agreement as of December 31, 2016.</w:t>
      </w:r>
    </w:p>
    <w:p>
      <w:pPr>
        <w:spacing w:after="0" w:line="59" w:lineRule="exact"/>
        <w:rPr>
          <w:rFonts w:ascii="Arial" w:cs="Arial" w:eastAsia="Arial" w:hAnsi="Arial"/>
          <w:sz w:val="16"/>
          <w:szCs w:val="16"/>
          <w:color w:val="auto"/>
        </w:rPr>
      </w:pPr>
    </w:p>
    <w:p>
      <w:pPr>
        <w:jc w:val="both"/>
        <w:ind w:left="900" w:right="360" w:hanging="446"/>
        <w:spacing w:after="0" w:line="312" w:lineRule="auto"/>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As of December 31, 2015 and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 average interest rate for bank loans outstanding as of December 31, 2015 and 2016 was 6.03% and 5.99% per annum, respectively.</w:t>
      </w:r>
    </w:p>
    <w:p>
      <w:pPr>
        <w:spacing w:after="0" w:line="393" w:lineRule="exact"/>
        <w:rPr>
          <w:sz w:val="20"/>
          <w:szCs w:val="20"/>
          <w:color w:val="auto"/>
        </w:rPr>
      </w:pPr>
    </w:p>
    <w:p>
      <w:pPr>
        <w:ind w:left="460" w:right="7800" w:hanging="452"/>
        <w:spacing w:after="0" w:line="378" w:lineRule="auto"/>
        <w:tabs>
          <w:tab w:leader="none" w:pos="449"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February 21, 2011, the Company entered into agreements (“Series B Agreements”) to issue Series B preferred shares and preferred share warrants to two other third-party investors (“Investors B”) for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B preferred shares (Continued)</w:t>
      </w:r>
    </w:p>
    <w:p>
      <w:pPr>
        <w:spacing w:after="0" w:line="1" w:lineRule="exact"/>
        <w:rPr>
          <w:rFonts w:ascii="Arial" w:cs="Arial" w:eastAsia="Arial" w:hAnsi="Arial"/>
          <w:sz w:val="18"/>
          <w:szCs w:val="18"/>
          <w:b w:val="1"/>
          <w:bCs w:val="1"/>
          <w:color w:val="auto"/>
        </w:rPr>
      </w:pPr>
    </w:p>
    <w:p>
      <w:pPr>
        <w:jc w:val="both"/>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aggregate cash consideration of US$7,000. Pursuant to the Series B Agreements, the Company issued 1,266,667 Series B preferred shares at US$5.53 per share; and warrants to purchase 542,858 Series B preferred shares at US$5.53 per share (“Series B Warrants”) at the option of Investors B. During the year ended December 31, 2013, the Series B Warrants were fully exercised.</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charged the excess of the purchase price over the carrying value to retained earnings or to additional paid in capital if retained earnings is zero.</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D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2015 is less than US$85,000. Considering the gross billing of the Group as defined in the Series D Agreement for the year ended December 31, 2015 was more than US$85,000, no additional Series D preferred shares were issued. Furthermore, the Company determines that the fair value of this obligation is zero as of December 31, 2015.</w:t>
      </w:r>
    </w:p>
    <w:p>
      <w:pPr>
        <w:spacing w:after="0" w:line="2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ind w:left="4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E preferred shares (Continued)</w:t>
      </w:r>
    </w:p>
    <w:p>
      <w:pPr>
        <w:spacing w:after="0" w:line="1" w:lineRule="exact"/>
        <w:rPr>
          <w:rFonts w:ascii="Arial" w:cs="Arial" w:eastAsia="Arial" w:hAnsi="Arial"/>
          <w:sz w:val="18"/>
          <w:szCs w:val="18"/>
          <w:b w:val="1"/>
          <w:bCs w:val="1"/>
          <w:color w:val="auto"/>
        </w:rPr>
      </w:pPr>
    </w:p>
    <w:p>
      <w:pPr>
        <w:ind w:left="460" w:right="254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Pursuant to the Series E Agreement, the Company issued 1,068,114 Series E preferred shares at US$18.72 per share. The key terms of the Series A, B, C, D and E preferred shares are as follows: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 (Continued)</w:t>
      </w:r>
    </w:p>
    <w:p>
      <w:pPr>
        <w:spacing w:after="0" w:line="1" w:lineRule="exact"/>
        <w:rPr>
          <w:rFonts w:ascii="Arial" w:cs="Arial" w:eastAsia="Arial" w:hAnsi="Arial"/>
          <w:sz w:val="18"/>
          <w:szCs w:val="18"/>
          <w:b w:val="1"/>
          <w:bCs w:val="1"/>
          <w:color w:val="auto"/>
        </w:rPr>
      </w:pPr>
    </w:p>
    <w:p>
      <w:pPr>
        <w:ind w:left="46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holders of Series E, Series D, Series B and Series A preferred shares are entitled to receive an amount equal to i) 110% prior to or on December 28, 2017 or ii) 120% from January 1, 2018, 150%, 150% and 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5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2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15"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May 2011, the Company issued 457,611 ordinary shares of the Company to Mr. Cong and Mr. Liu in exchange for Mr. Cong and Mr. Liu would procure the grant of an exclusive reseller agreement from Baidu</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Anti-dilution provision (Continued)</w:t>
      </w:r>
    </w:p>
    <w:p>
      <w:pPr>
        <w:spacing w:after="0" w:line="1"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Online Network Technology (Beijing) Co. Ltd. (“Baidu”) for Hong Kong, Macau, Taiwan and Singapore for a period up to December 31, 2012. In accordance with the Series B Agreement, the issuance of the 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8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holders of Series C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3" w:lineRule="exact"/>
        <w:rPr>
          <w:rFonts w:ascii="Arial" w:cs="Arial" w:eastAsia="Arial" w:hAnsi="Arial"/>
          <w:sz w:val="18"/>
          <w:szCs w:val="18"/>
          <w:b w:val="1"/>
          <w:bCs w:val="1"/>
          <w:color w:val="auto"/>
        </w:rPr>
      </w:pPr>
    </w:p>
    <w:p>
      <w:pPr>
        <w:ind w:left="460" w:right="2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holders of Series D preferred shares can redeem the preferred shares at any time after the earlier of: (i)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(ii) the occurrence of any liquidating transaction as defined in the subscription agreements;</w:t>
      </w:r>
    </w:p>
    <w:p>
      <w:pPr>
        <w:ind w:left="460"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82"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The holders of Series E preferred shares can redeem the preferred shares at any time after the earlier of: (i) the occurrence of any liquidating 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 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56" w:lineRule="exact"/>
        <w:rPr>
          <w:rFonts w:ascii="Arial" w:cs="Arial" w:eastAsia="Arial" w:hAnsi="Arial"/>
          <w:sz w:val="18"/>
          <w:szCs w:val="18"/>
          <w:b w:val="1"/>
          <w:bCs w:val="1"/>
          <w:color w:val="auto"/>
        </w:rPr>
      </w:pPr>
    </w:p>
    <w:p>
      <w:pPr>
        <w:ind w:left="460" w:right="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66"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73"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2015 and 2016, the fair values of these conversion features and redemption features which required to be bifurcated and accounted for as derivative liabilities are as follows: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20" w:type="dxa"/>
            <w:vAlign w:val="bottom"/>
            <w:gridSpan w:val="4"/>
          </w:tcPr>
          <w:p>
            <w:pPr>
              <w:jc w:val="right"/>
              <w:ind w:right="360"/>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2015</w:t>
            </w:r>
          </w:p>
        </w:tc>
        <w:tc>
          <w:tcPr>
            <w:tcW w:w="5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63,724</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(63,724)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0"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In determining the fair value of these preferred shares for purposes of determining the conversion feature and redemption feature as of December 31, 2015 and 2016,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20" w:type="dxa"/>
            <w:vAlign w:val="bottom"/>
            <w:gridSpan w:val="3"/>
          </w:tcPr>
          <w:p>
            <w:pPr>
              <w:ind w:left="740"/>
              <w:spacing w:after="0"/>
              <w:rPr>
                <w:sz w:val="20"/>
                <w:szCs w:val="20"/>
                <w:color w:val="auto"/>
              </w:rPr>
            </w:pPr>
            <w:r>
              <w:rPr>
                <w:rFonts w:ascii="Arial" w:cs="Arial" w:eastAsia="Arial" w:hAnsi="Arial"/>
                <w:sz w:val="14"/>
                <w:szCs w:val="14"/>
                <w:color w:val="auto"/>
              </w:rPr>
              <w:t>Years ended December 31,</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20" w:type="dxa"/>
            <w:vAlign w:val="bottom"/>
            <w:tcBorders>
              <w:top w:val="single" w:sz="8" w:color="auto"/>
            </w:tcBorders>
          </w:tcPr>
          <w:p>
            <w:pPr>
              <w:jc w:val="right"/>
              <w:ind w:right="808"/>
              <w:spacing w:after="0" w:line="142" w:lineRule="exact"/>
              <w:rPr>
                <w:sz w:val="20"/>
                <w:szCs w:val="20"/>
                <w:color w:val="auto"/>
              </w:rPr>
            </w:pPr>
            <w:r>
              <w:rPr>
                <w:rFonts w:ascii="Arial" w:cs="Arial" w:eastAsia="Arial" w:hAnsi="Arial"/>
                <w:sz w:val="14"/>
                <w:szCs w:val="14"/>
                <w:color w:val="auto"/>
              </w:rPr>
              <w:t>2015</w:t>
            </w:r>
          </w:p>
        </w:tc>
        <w:tc>
          <w:tcPr>
            <w:tcW w:w="132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3840" w:type="dxa"/>
            <w:vAlign w:val="bottom"/>
            <w:gridSpan w:val="2"/>
          </w:tcPr>
          <w:p>
            <w:pPr>
              <w:jc w:val="right"/>
              <w:ind w:right="248"/>
              <w:spacing w:after="0"/>
              <w:rPr>
                <w:sz w:val="20"/>
                <w:szCs w:val="20"/>
                <w:color w:val="auto"/>
              </w:rPr>
            </w:pPr>
            <w:r>
              <w:rPr>
                <w:rFonts w:ascii="Arial" w:cs="Arial" w:eastAsia="Arial" w:hAnsi="Arial"/>
                <w:sz w:val="18"/>
                <w:szCs w:val="18"/>
                <w:color w:val="auto"/>
              </w:rPr>
              <w:t>16.2%</w:t>
            </w: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Growth rate on average spending per customer</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 - 22.7%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- 19.0%</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40" w:type="dxa"/>
            <w:vAlign w:val="bottom"/>
            <w:gridSpan w:val="2"/>
          </w:tcPr>
          <w:p>
            <w:pPr>
              <w:jc w:val="right"/>
              <w:ind w:right="2928"/>
              <w:spacing w:after="0"/>
              <w:rPr>
                <w:sz w:val="20"/>
                <w:szCs w:val="20"/>
                <w:color w:val="auto"/>
              </w:rPr>
            </w:pPr>
            <w:r>
              <w:rPr>
                <w:rFonts w:ascii="Arial" w:cs="Arial" w:eastAsia="Arial" w:hAnsi="Arial"/>
                <w:sz w:val="18"/>
                <w:szCs w:val="18"/>
                <w:color w:val="auto"/>
              </w:rPr>
              <w:t>F-51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16</w:t>
            </w:r>
          </w:p>
        </w:tc>
        <w:tc>
          <w:tcPr>
            <w:tcW w:w="76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Redeemable convertible preferred shares (Continued)</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i w:val="1"/>
                <w:iCs w:val="1"/>
                <w:color w:val="auto"/>
              </w:rPr>
              <w:t>Series A</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140" w:type="dxa"/>
            <w:vAlign w:val="bottom"/>
            <w:gridSpan w:val="4"/>
          </w:tcPr>
          <w:p>
            <w:pPr>
              <w:ind w:left="260"/>
              <w:spacing w:after="0"/>
              <w:rPr>
                <w:sz w:val="20"/>
                <w:szCs w:val="20"/>
                <w:color w:val="auto"/>
              </w:rPr>
            </w:pPr>
            <w:r>
              <w:rPr>
                <w:rFonts w:ascii="Arial" w:cs="Arial" w:eastAsia="Arial" w:hAnsi="Arial"/>
                <w:sz w:val="14"/>
                <w:szCs w:val="14"/>
                <w:color w:val="auto"/>
              </w:rPr>
              <w:t>Years ended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2015</w:t>
            </w:r>
          </w:p>
        </w:tc>
        <w:tc>
          <w:tcPr>
            <w:tcW w:w="14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740" w:type="dxa"/>
            <w:vAlign w:val="bottom"/>
          </w:tcPr>
          <w:p>
            <w:pPr>
              <w:jc w:val="right"/>
              <w:spacing w:after="0"/>
              <w:rPr>
                <w:sz w:val="20"/>
                <w:szCs w:val="20"/>
                <w:color w:val="auto"/>
              </w:rPr>
            </w:pPr>
            <w:r>
              <w:rPr>
                <w:rFonts w:ascii="Arial" w:cs="Arial" w:eastAsia="Arial" w:hAnsi="Arial"/>
                <w:sz w:val="18"/>
                <w:szCs w:val="18"/>
                <w:color w:val="auto"/>
              </w:rPr>
              <w:t>2,385</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Buy back of preference shares</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10,733</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D</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43,956</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E</w:t>
      </w: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3810</wp:posOffset>
            </wp:positionV>
            <wp:extent cx="13550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7940"/>
        <w:spacing w:after="0"/>
        <w:tabs>
          <w:tab w:leader="none" w:pos="940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120" w:val="left"/>
          <w:tab w:leader="none" w:pos="9480" w:val="left"/>
        </w:tabs>
        <w:rPr>
          <w:sz w:val="20"/>
          <w:szCs w:val="20"/>
          <w:color w:val="auto"/>
        </w:rPr>
      </w:pPr>
      <w:r>
        <w:rPr>
          <w:rFonts w:ascii="Arial" w:cs="Arial" w:eastAsia="Arial" w:hAnsi="Arial"/>
          <w:sz w:val="18"/>
          <w:szCs w:val="18"/>
          <w:color w:val="auto"/>
        </w:rPr>
        <w:t>Issuance of preferred shares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4445</wp:posOffset>
            </wp:positionV>
            <wp:extent cx="29146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21590</wp:posOffset>
            </wp:positionV>
            <wp:extent cx="2914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4445</wp:posOffset>
            </wp:positionV>
            <wp:extent cx="5575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21590</wp:posOffset>
            </wp:positionV>
            <wp:extent cx="55753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60"/>
          </w:cols>
          <w:pgMar w:left="240" w:top="459" w:right="3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 (Continued)</w:t>
      </w:r>
    </w:p>
    <w:p>
      <w:pPr>
        <w:spacing w:after="0" w:line="134" w:lineRule="exact"/>
        <w:rPr>
          <w:rFonts w:ascii="Arial" w:cs="Arial" w:eastAsia="Arial" w:hAnsi="Arial"/>
          <w:sz w:val="18"/>
          <w:szCs w:val="18"/>
          <w:b w:val="1"/>
          <w:bCs w:val="1"/>
          <w:color w:val="auto"/>
        </w:rPr>
      </w:pPr>
    </w:p>
    <w:p>
      <w:pPr>
        <w:ind w:left="4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Investor D shall have an option to require the Company to repurchase all of the ordinary shares if a qualified IPO is not consummated by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The redemption price shall equal to the issue price, plus accrued interest at a non-compound interest rate of 18% per annum for each of 2015 and 2016, and 12% per annum for 2017. The redeemable date of the ordinary shares was further changed to December 28, 2018 upon the completion of Series E Agreement. The change in value of such modification was insignificant.</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38,350,000 and 37,150,000 shares of US$0.001 par value per ordinary share as of December 31, 2015 and 2016,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2015 and 2016, there were 14,465,124 and 14,970,029 ordinary shares outstanding, respectively.</w:t>
      </w:r>
    </w:p>
    <w:p>
      <w:pPr>
        <w:spacing w:after="0" w:line="85" w:lineRule="exact"/>
        <w:rPr>
          <w:rFonts w:ascii="Arial" w:cs="Arial" w:eastAsia="Arial" w:hAnsi="Arial"/>
          <w:sz w:val="18"/>
          <w:szCs w:val="18"/>
          <w:b w:val="1"/>
          <w:bCs w:val="1"/>
          <w:color w:val="auto"/>
        </w:rPr>
      </w:pPr>
    </w:p>
    <w:p>
      <w:pPr>
        <w:ind w:left="4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1,293,364 and 788,459 shares during the year ended December 31, 2015 and 2016 to Arda. Arda does not hold any other assets or liabilities as at December 31, 2015 and 2016, nor earn any income nor incur any expenses for the years ended December 31, 2015 and 2016.</w:t>
      </w:r>
    </w:p>
    <w:p>
      <w:pPr>
        <w:spacing w:after="0" w:line="60"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addition to the share allotted to Arda which are accounted for as treasury shares, the Company has also purchased certain ordinary shares from shareholders during the year ended December 31, 2015 and they are summarized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4"/>
                <w:szCs w:val="14"/>
                <w:color w:val="auto"/>
              </w:rPr>
              <w:t>Purchase</w:t>
            </w:r>
          </w:p>
        </w:tc>
        <w:tc>
          <w:tcPr>
            <w:tcW w:w="6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Shares</w:t>
            </w:r>
          </w:p>
        </w:tc>
      </w:tr>
      <w:tr>
        <w:trPr>
          <w:trHeight w:val="181"/>
        </w:trPr>
        <w:tc>
          <w:tcPr>
            <w:tcW w:w="2560" w:type="dxa"/>
            <w:vAlign w:val="bottom"/>
          </w:tcPr>
          <w:p>
            <w:pPr>
              <w:spacing w:after="0"/>
              <w:rPr>
                <w:sz w:val="20"/>
                <w:szCs w:val="20"/>
                <w:color w:val="auto"/>
              </w:rPr>
            </w:pPr>
            <w:r>
              <w:rPr>
                <w:rFonts w:ascii="Arial" w:cs="Arial" w:eastAsia="Arial" w:hAnsi="Arial"/>
                <w:sz w:val="14"/>
                <w:szCs w:val="14"/>
                <w:color w:val="auto"/>
              </w:rPr>
              <w:t>Purchase date</w:t>
            </w:r>
          </w:p>
        </w:tc>
        <w:tc>
          <w:tcPr>
            <w:tcW w:w="4780" w:type="dxa"/>
            <w:vAlign w:val="bottom"/>
            <w:gridSpan w:val="2"/>
          </w:tcPr>
          <w:p>
            <w:pPr>
              <w:jc w:val="right"/>
              <w:spacing w:after="0"/>
              <w:rPr>
                <w:sz w:val="20"/>
                <w:szCs w:val="20"/>
                <w:color w:val="auto"/>
              </w:rPr>
            </w:pPr>
            <w:r>
              <w:rPr>
                <w:rFonts w:ascii="Arial" w:cs="Arial" w:eastAsia="Arial" w:hAnsi="Arial"/>
                <w:sz w:val="14"/>
                <w:szCs w:val="14"/>
                <w:color w:val="auto"/>
              </w:rPr>
              <w:t>consideration</w:t>
            </w:r>
          </w:p>
        </w:tc>
        <w:tc>
          <w:tcPr>
            <w:tcW w:w="64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purchased</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January 2015</w:t>
            </w:r>
          </w:p>
        </w:tc>
        <w:tc>
          <w:tcPr>
            <w:tcW w:w="40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484,286</w:t>
            </w:r>
          </w:p>
        </w:tc>
        <w:tc>
          <w:tcPr>
            <w:tcW w:w="6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780" w:type="dxa"/>
            <w:vAlign w:val="bottom"/>
            <w:gridSpan w:val="2"/>
          </w:tcPr>
          <w:p>
            <w:pPr>
              <w:jc w:val="right"/>
              <w:ind w:right="2759"/>
              <w:spacing w:after="0"/>
              <w:rPr>
                <w:sz w:val="20"/>
                <w:szCs w:val="20"/>
                <w:color w:val="auto"/>
              </w:rPr>
            </w:pPr>
            <w:r>
              <w:rPr>
                <w:rFonts w:ascii="Arial" w:cs="Arial" w:eastAsia="Arial" w:hAnsi="Arial"/>
                <w:sz w:val="18"/>
                <w:szCs w:val="18"/>
                <w:color w:val="auto"/>
              </w:rPr>
              <w:t>F-53</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w:t>
      </w:r>
    </w:p>
    <w:p>
      <w:pPr>
        <w:spacing w:after="0" w:line="135"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right="500"/>
        <w:spacing w:after="0" w:line="264" w:lineRule="auto"/>
        <w:rPr>
          <w:rFonts w:ascii="Arial" w:cs="Arial" w:eastAsia="Arial" w:hAnsi="Arial"/>
          <w:sz w:val="18"/>
          <w:szCs w:val="18"/>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120"/>
        <w:spacing w:after="0" w:line="264" w:lineRule="auto"/>
        <w:rPr>
          <w:rFonts w:ascii="Arial" w:cs="Arial" w:eastAsia="Arial" w:hAnsi="Arial"/>
          <w:sz w:val="18"/>
          <w:szCs w:val="18"/>
          <w:color w:val="auto"/>
        </w:rPr>
      </w:pPr>
      <w:r>
        <w:rPr>
          <w:rFonts w:ascii="Arial" w:cs="Arial" w:eastAsia="Arial" w:hAnsi="Arial"/>
          <w:sz w:val="18"/>
          <w:szCs w:val="18"/>
          <w:color w:val="auto"/>
        </w:rPr>
        <w:t>During the years ended December 31, 2015 and 2016,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Vesting</w:t>
            </w:r>
          </w:p>
        </w:tc>
        <w:tc>
          <w:tcPr>
            <w:tcW w:w="880" w:type="dxa"/>
            <w:vAlign w:val="bottom"/>
          </w:tcPr>
          <w:p>
            <w:pPr>
              <w:jc w:val="center"/>
              <w:ind w:left="13"/>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4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grant date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20" w:hanging="574"/>
        <w:spacing w:after="0" w:line="258" w:lineRule="auto"/>
        <w:tabs>
          <w:tab w:leader="none" w:pos="9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61" w:lineRule="auto"/>
        <w:tabs>
          <w:tab w:leader="none" w:pos="9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40"/>
          </w:cols>
          <w:pgMar w:left="240" w:top="460" w:right="3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920" w:right="100" w:hanging="574"/>
        <w:spacing w:after="0" w:line="271" w:lineRule="auto"/>
        <w:tabs>
          <w:tab w:leader="none" w:pos="92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100" w:hanging="574"/>
        <w:spacing w:after="0" w:line="250" w:lineRule="auto"/>
        <w:tabs>
          <w:tab w:leader="none" w:pos="9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right="40" w:hanging="574"/>
        <w:spacing w:after="0" w:line="250" w:lineRule="auto"/>
        <w:tabs>
          <w:tab w:leader="none" w:pos="9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right="40" w:hanging="574"/>
        <w:spacing w:after="0" w:line="265" w:lineRule="auto"/>
        <w:tabs>
          <w:tab w:leader="none" w:pos="92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60" w:hanging="574"/>
        <w:spacing w:after="0" w:line="265" w:lineRule="auto"/>
        <w:tabs>
          <w:tab w:leader="none" w:pos="92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ind w:left="920" w:right="180" w:hanging="574"/>
        <w:spacing w:after="0" w:line="265" w:lineRule="auto"/>
        <w:tabs>
          <w:tab w:leader="none" w:pos="92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460" w:right="2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the share option activity for the years ended December 31, 2015 and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Weighted</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1"/>
              </w:rPr>
              <w:t>Weighted</w:t>
            </w:r>
          </w:p>
        </w:tc>
        <w:tc>
          <w:tcPr>
            <w:tcW w:w="9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87"/>
              </w:rPr>
              <w:t>grant</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average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date fair</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8"/>
              </w:rPr>
              <w:t>exercise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value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price ($)</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876,052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967,653</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14.66</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(127,997)</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(123,265)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6.12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At January 1, 2016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122,316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(68,135)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(154,439)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At December 31, 2016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1,492,185</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1,083,293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Exercisable to vest at December 31, 2016</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928,597</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10.77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7.44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34% and 9% for employees and 26% and 0% for senior management in 2015 and 2016 respectively.</w:t>
      </w:r>
    </w:p>
    <w:p>
      <w:pPr>
        <w:spacing w:after="0" w:line="57"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December 31, 2015 and 2016 and the exercise price.</w:t>
      </w:r>
    </w:p>
    <w:p>
      <w:pPr>
        <w:spacing w:after="0" w:line="62"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December 31, 2015 and 2016 were US$6,494 and US$3,688 respectively.</w:t>
      </w:r>
    </w:p>
    <w:p>
      <w:pPr>
        <w:spacing w:after="0" w:line="7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As of December 31, 2015 and 2016,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or (iii) the Company achieves a gross profit of US$50,000, for the financial year ended December 31, 2015.</w:t>
      </w:r>
    </w:p>
    <w:p>
      <w:pPr>
        <w:spacing w:after="0" w:line="80"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As of December 31, 2015 and 2016, there were US$5,439 and US$5,647 of unrecognized share-based compensation expenses related to share options, which were expected to be recognized over a weighted-average vesting period of 2.51 and 2.20 years, respectively. To the extent the actual forfeiture rate is different from the Company’s estimate, the actual share-based compensation related to these awards may be different from the expectation.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60"/>
          </w:cols>
          <w:pgMar w:left="240" w:top="460" w:right="2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right="10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years ended December 31, 2015 and 2016 were estimated using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center"/>
              <w:ind w:left="75"/>
              <w:spacing w:after="0"/>
              <w:rPr>
                <w:sz w:val="20"/>
                <w:szCs w:val="20"/>
                <w:color w:val="auto"/>
              </w:rPr>
            </w:pPr>
            <w:r>
              <w:rPr>
                <w:rFonts w:ascii="Arial" w:cs="Arial" w:eastAsia="Arial" w:hAnsi="Arial"/>
                <w:sz w:val="14"/>
                <w:szCs w:val="14"/>
                <w:color w:val="auto"/>
                <w:w w:val="92"/>
              </w:rPr>
              <w:t>Expected</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96"/>
              </w:rPr>
              <w:t>Risk-free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5"/>
              </w:rPr>
              <w:t>Dividend</w:t>
            </w:r>
          </w:p>
        </w:tc>
        <w:tc>
          <w:tcPr>
            <w:tcW w:w="1120" w:type="dxa"/>
            <w:vAlign w:val="bottom"/>
          </w:tcPr>
          <w:p>
            <w:pPr>
              <w:ind w:left="220"/>
              <w:spacing w:after="0" w:line="149" w:lineRule="exact"/>
              <w:rPr>
                <w:sz w:val="20"/>
                <w:szCs w:val="20"/>
                <w:color w:val="auto"/>
              </w:rPr>
            </w:pPr>
            <w:r>
              <w:rPr>
                <w:rFonts w:ascii="Arial" w:cs="Arial" w:eastAsia="Arial" w:hAnsi="Arial"/>
                <w:sz w:val="14"/>
                <w:szCs w:val="14"/>
                <w:color w:val="auto"/>
              </w:rPr>
              <w:t>Volatility</w:t>
            </w:r>
          </w:p>
        </w:tc>
        <w:tc>
          <w:tcPr>
            <w:tcW w:w="820" w:type="dxa"/>
            <w:vAlign w:val="bottom"/>
          </w:tcPr>
          <w:p>
            <w:pPr>
              <w:jc w:val="center"/>
              <w:ind w:left="75"/>
              <w:spacing w:after="0" w:line="149" w:lineRule="exact"/>
              <w:rPr>
                <w:sz w:val="20"/>
                <w:szCs w:val="20"/>
                <w:color w:val="auto"/>
              </w:rPr>
            </w:pPr>
            <w:r>
              <w:rPr>
                <w:rFonts w:ascii="Arial" w:cs="Arial" w:eastAsia="Arial" w:hAnsi="Arial"/>
                <w:sz w:val="14"/>
                <w:szCs w:val="14"/>
                <w:color w:val="auto"/>
                <w:w w:val="92"/>
              </w:rPr>
              <w:t>term</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89"/>
              </w:rPr>
              <w:t>interest rate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7"/>
              </w:rPr>
              <w:t>yield</w:t>
            </w: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rate</w:t>
            </w:r>
          </w:p>
        </w:tc>
        <w:tc>
          <w:tcPr>
            <w:tcW w:w="820" w:type="dxa"/>
            <w:vAlign w:val="bottom"/>
          </w:tcPr>
          <w:p>
            <w:pPr>
              <w:jc w:val="center"/>
              <w:ind w:left="75"/>
              <w:spacing w:after="0" w:line="149" w:lineRule="exact"/>
              <w:rPr>
                <w:sz w:val="20"/>
                <w:szCs w:val="20"/>
                <w:color w:val="auto"/>
              </w:rPr>
            </w:pPr>
            <w:r>
              <w:rPr>
                <w:rFonts w:ascii="Arial" w:cs="Arial" w:eastAsia="Arial" w:hAnsi="Arial"/>
                <w:sz w:val="14"/>
                <w:szCs w:val="14"/>
                <w:color w:val="auto"/>
                <w:w w:val="92"/>
              </w:rPr>
              <w:t>(in years)</w:t>
            </w:r>
          </w:p>
        </w:tc>
      </w:tr>
      <w:tr>
        <w:trPr>
          <w:trHeight w:val="181"/>
        </w:trPr>
        <w:tc>
          <w:tcPr>
            <w:tcW w:w="4360" w:type="dxa"/>
            <w:vAlign w:val="bottom"/>
          </w:tcPr>
          <w:p>
            <w:pPr>
              <w:spacing w:after="0"/>
              <w:rPr>
                <w:sz w:val="20"/>
                <w:szCs w:val="20"/>
                <w:color w:val="auto"/>
              </w:rPr>
            </w:pPr>
            <w:r>
              <w:rPr>
                <w:rFonts w:ascii="Arial" w:cs="Arial" w:eastAsia="Arial" w:hAnsi="Arial"/>
                <w:sz w:val="14"/>
                <w:szCs w:val="14"/>
                <w:color w:val="auto"/>
              </w:rPr>
              <w:t>Grant Date</w:t>
            </w:r>
          </w:p>
        </w:tc>
        <w:tc>
          <w:tcPr>
            <w:tcW w:w="4000" w:type="dxa"/>
            <w:vAlign w:val="bottom"/>
          </w:tcPr>
          <w:p>
            <w:pPr>
              <w:jc w:val="center"/>
              <w:ind w:left="2494"/>
              <w:spacing w:after="0"/>
              <w:rPr>
                <w:sz w:val="20"/>
                <w:szCs w:val="20"/>
                <w:color w:val="auto"/>
              </w:rPr>
            </w:pPr>
            <w:r>
              <w:rPr>
                <w:rFonts w:ascii="Arial" w:cs="Arial" w:eastAsia="Arial" w:hAnsi="Arial"/>
                <w:sz w:val="14"/>
                <w:szCs w:val="14"/>
                <w:color w:val="auto"/>
              </w:rPr>
              <w:t>(Note i)</w:t>
            </w:r>
          </w:p>
        </w:tc>
        <w:tc>
          <w:tcPr>
            <w:tcW w:w="1120" w:type="dxa"/>
            <w:vAlign w:val="bottom"/>
          </w:tcPr>
          <w:p>
            <w:pPr>
              <w:jc w:val="center"/>
              <w:ind w:right="74"/>
              <w:spacing w:after="0"/>
              <w:rPr>
                <w:sz w:val="20"/>
                <w:szCs w:val="20"/>
                <w:color w:val="auto"/>
              </w:rPr>
            </w:pPr>
            <w:r>
              <w:rPr>
                <w:rFonts w:ascii="Arial" w:cs="Arial" w:eastAsia="Arial" w:hAnsi="Arial"/>
                <w:sz w:val="14"/>
                <w:szCs w:val="14"/>
                <w:color w:val="auto"/>
                <w:w w:val="97"/>
              </w:rPr>
              <w:t>(Note ii)</w:t>
            </w:r>
          </w:p>
        </w:tc>
        <w:tc>
          <w:tcPr>
            <w:tcW w:w="1120" w:type="dxa"/>
            <w:vAlign w:val="bottom"/>
          </w:tcPr>
          <w:p>
            <w:pPr>
              <w:ind w:left="220"/>
              <w:spacing w:after="0"/>
              <w:rPr>
                <w:sz w:val="20"/>
                <w:szCs w:val="20"/>
                <w:color w:val="auto"/>
              </w:rPr>
            </w:pPr>
            <w:r>
              <w:rPr>
                <w:rFonts w:ascii="Arial" w:cs="Arial" w:eastAsia="Arial" w:hAnsi="Arial"/>
                <w:sz w:val="14"/>
                <w:szCs w:val="14"/>
                <w:color w:val="auto"/>
              </w:rPr>
              <w:t>(Note iii)</w:t>
            </w:r>
          </w:p>
        </w:tc>
        <w:tc>
          <w:tcPr>
            <w:tcW w:w="820" w:type="dxa"/>
            <w:vAlign w:val="bottom"/>
          </w:tcPr>
          <w:p>
            <w:pPr>
              <w:jc w:val="center"/>
              <w:ind w:left="75"/>
              <w:spacing w:after="0"/>
              <w:rPr>
                <w:sz w:val="20"/>
                <w:szCs w:val="20"/>
                <w:color w:val="auto"/>
              </w:rPr>
            </w:pPr>
            <w:r>
              <w:rPr>
                <w:rFonts w:ascii="Arial" w:cs="Arial" w:eastAsia="Arial" w:hAnsi="Arial"/>
                <w:sz w:val="14"/>
                <w:szCs w:val="14"/>
                <w:color w:val="auto"/>
              </w:rPr>
              <w:t>(Note iv)</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0.09%</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January 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2.37%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53.47%</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1.88%</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June 30,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52.87%</w:t>
            </w:r>
          </w:p>
        </w:tc>
        <w:tc>
          <w:tcPr>
            <w:tcW w:w="82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2.53%</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July 6,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2.58%</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52.64%</w:t>
            </w:r>
          </w:p>
        </w:tc>
        <w:tc>
          <w:tcPr>
            <w:tcW w:w="82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2.34%</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December 31,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55.54%</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2.00%</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49.37%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July 1, 2016</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1.62%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50.52%</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500" w:hanging="446"/>
        <w:spacing w:after="0" w:line="258" w:lineRule="auto"/>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700" w:hanging="446"/>
        <w:spacing w:after="0" w:line="250" w:lineRule="auto"/>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359" w:lineRule="exact"/>
        <w:rPr>
          <w:rFonts w:ascii="Arial" w:cs="Arial" w:eastAsia="Arial" w:hAnsi="Arial"/>
          <w:sz w:val="18"/>
          <w:szCs w:val="18"/>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Repurchase of shares from a shareholder</w:t>
      </w:r>
    </w:p>
    <w:p>
      <w:pPr>
        <w:spacing w:after="0" w:line="117" w:lineRule="exact"/>
        <w:rPr>
          <w:rFonts w:ascii="Arial" w:cs="Arial" w:eastAsia="Arial" w:hAnsi="Arial"/>
          <w:sz w:val="18"/>
          <w:szCs w:val="18"/>
          <w:color w:val="auto"/>
        </w:rPr>
      </w:pPr>
    </w:p>
    <w:p>
      <w:pPr>
        <w:ind w:left="460" w:right="40"/>
        <w:spacing w:after="0" w:line="342" w:lineRule="auto"/>
        <w:rPr>
          <w:rFonts w:ascii="Arial" w:cs="Arial" w:eastAsia="Arial" w:hAnsi="Arial"/>
          <w:sz w:val="18"/>
          <w:szCs w:val="18"/>
          <w:color w:val="auto"/>
        </w:rPr>
      </w:pPr>
      <w:r>
        <w:rPr>
          <w:rFonts w:ascii="Arial" w:cs="Arial" w:eastAsia="Arial" w:hAnsi="Arial"/>
          <w:sz w:val="16"/>
          <w:szCs w:val="16"/>
          <w:color w:val="auto"/>
        </w:rPr>
        <w:t>During 2015, the Company repurchased 318,931 shares from a shareholder with an amount of US$4,138 who is also an employee of the Company. The excess of the consideration paid over the fair value of the shares amounting to US$179 was recognized as expenses as of December 31, 2015.</w:t>
      </w:r>
    </w:p>
    <w:p>
      <w:pPr>
        <w:spacing w:after="0" w:line="272" w:lineRule="exact"/>
        <w:rPr>
          <w:rFonts w:ascii="Arial" w:cs="Arial" w:eastAsia="Arial" w:hAnsi="Arial"/>
          <w:sz w:val="18"/>
          <w:szCs w:val="18"/>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Issuance of shares to certain employees</w:t>
      </w:r>
    </w:p>
    <w:p>
      <w:pPr>
        <w:spacing w:after="0" w:line="117" w:lineRule="exact"/>
        <w:rPr>
          <w:rFonts w:ascii="Arial" w:cs="Arial" w:eastAsia="Arial" w:hAnsi="Arial"/>
          <w:sz w:val="18"/>
          <w:szCs w:val="18"/>
          <w:color w:val="auto"/>
        </w:rPr>
      </w:pPr>
    </w:p>
    <w:p>
      <w:pPr>
        <w:ind w:left="460" w:right="140"/>
        <w:spacing w:after="0" w:line="291" w:lineRule="auto"/>
        <w:rPr>
          <w:rFonts w:ascii="Arial" w:cs="Arial" w:eastAsia="Arial" w:hAnsi="Arial"/>
          <w:sz w:val="18"/>
          <w:szCs w:val="18"/>
          <w:color w:val="auto"/>
        </w:rPr>
      </w:pPr>
      <w:r>
        <w:rPr>
          <w:rFonts w:ascii="Arial" w:cs="Arial" w:eastAsia="Arial" w:hAnsi="Arial"/>
          <w:sz w:val="16"/>
          <w:szCs w:val="16"/>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terminated growth rate of 3.0%, weighted average cost of capital of 18.3% and growth rate on average spending per customer ranges from 3.0% to 19.0%.</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Issuance of shares to certain employees (Continued)</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Total compensation costs recognized for the years ended December 31, 2015 and 2016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1,526</w:t>
            </w:r>
          </w:p>
        </w:tc>
        <w:tc>
          <w:tcPr>
            <w:tcW w:w="1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789</w:t>
            </w:r>
          </w:p>
        </w:tc>
        <w:tc>
          <w:tcPr>
            <w:tcW w:w="11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   Other gains/(losses), net</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gain on re-measurement of previously held equity interests</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Buzzinate (Note 4(a))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exchange loss</w:t>
            </w:r>
          </w:p>
        </w:tc>
        <w:tc>
          <w:tcPr>
            <w:tcW w:w="1660" w:type="dxa"/>
            <w:vAlign w:val="bottom"/>
            <w:gridSpan w:val="3"/>
          </w:tcPr>
          <w:p>
            <w:pPr>
              <w:jc w:val="right"/>
              <w:ind w:right="1120"/>
              <w:spacing w:after="0"/>
              <w:rPr>
                <w:sz w:val="20"/>
                <w:szCs w:val="20"/>
                <w:color w:val="auto"/>
              </w:rPr>
            </w:pPr>
            <w:r>
              <w:rPr>
                <w:rFonts w:ascii="Arial" w:cs="Arial" w:eastAsia="Arial" w:hAnsi="Arial"/>
                <w:sz w:val="18"/>
                <w:szCs w:val="18"/>
                <w:color w:val="auto"/>
              </w:rPr>
              <w:t>(923)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Others</w:t>
            </w: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w:t>
      </w:r>
    </w:p>
    <w:p>
      <w:pPr>
        <w:spacing w:after="0" w:line="135"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3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2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years ended December 31, 2015 and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3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1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240" w:top="460" w:right="5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 (Continued)</w:t>
      </w:r>
    </w:p>
    <w:p>
      <w:pPr>
        <w:spacing w:after="0" w:line="135"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PRC Enterprise Income Tax (“EIT”) (Continued)</w:t>
      </w:r>
    </w:p>
    <w:p>
      <w:pPr>
        <w:spacing w:after="0" w:line="130" w:lineRule="exact"/>
        <w:rPr>
          <w:rFonts w:ascii="Arial" w:cs="Arial" w:eastAsia="Arial" w:hAnsi="Arial"/>
          <w:sz w:val="18"/>
          <w:szCs w:val="18"/>
          <w:color w:val="auto"/>
        </w:rPr>
      </w:pPr>
    </w:p>
    <w:p>
      <w:pPr>
        <w:ind w:left="460" w:right="120"/>
        <w:spacing w:after="0" w:line="297" w:lineRule="auto"/>
        <w:rPr>
          <w:rFonts w:ascii="Arial" w:cs="Arial" w:eastAsia="Arial" w:hAnsi="Arial"/>
          <w:sz w:val="18"/>
          <w:szCs w:val="18"/>
          <w:color w:val="auto"/>
        </w:rPr>
      </w:pPr>
      <w:r>
        <w:rPr>
          <w:rFonts w:ascii="Arial" w:cs="Arial" w:eastAsia="Arial" w:hAnsi="Arial"/>
          <w:sz w:val="16"/>
          <w:szCs w:val="16"/>
          <w:color w:val="auto"/>
        </w:rPr>
        <w:t>Although there are undistributed earnings of the Company’s subsidiaries in the PRC and Taiwan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2015 and 2016.</w:t>
      </w:r>
    </w:p>
    <w:p>
      <w:pPr>
        <w:spacing w:after="0" w:line="26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statements of comprehensive loss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color w:val="auto"/>
              </w:rPr>
              <w:t>As of December 31,</w:t>
            </w:r>
          </w:p>
        </w:tc>
      </w:tr>
      <w:tr>
        <w:trPr>
          <w:trHeight w:val="142"/>
        </w:trPr>
        <w:tc>
          <w:tcPr>
            <w:tcW w:w="8020" w:type="dxa"/>
            <w:vAlign w:val="bottom"/>
          </w:tcPr>
          <w:p>
            <w:pPr>
              <w:spacing w:after="0"/>
              <w:rPr>
                <w:sz w:val="12"/>
                <w:szCs w:val="12"/>
                <w:color w:val="auto"/>
              </w:rPr>
            </w:pPr>
          </w:p>
        </w:tc>
        <w:tc>
          <w:tcPr>
            <w:tcW w:w="5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Deferred tax benefits</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r>
      <w:tr>
        <w:trPr>
          <w:trHeight w:val="27"/>
        </w:trPr>
        <w:tc>
          <w:tcPr>
            <w:tcW w:w="8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0"/>
        </w:trPr>
        <w:tc>
          <w:tcPr>
            <w:tcW w:w="8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560"/>
        <w:spacing w:after="0" w:line="308" w:lineRule="auto"/>
        <w:rPr>
          <w:sz w:val="20"/>
          <w:szCs w:val="20"/>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2015 and 2016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current</w:t>
            </w:r>
          </w:p>
        </w:tc>
        <w:tc>
          <w:tcPr>
            <w:tcW w:w="5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non-current</w:t>
            </w:r>
          </w:p>
        </w:tc>
        <w:tc>
          <w:tcPr>
            <w:tcW w:w="58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6640" w:type="dxa"/>
            <w:vAlign w:val="bottom"/>
            <w:gridSpan w:val="3"/>
          </w:tcPr>
          <w:p>
            <w:pPr>
              <w:jc w:val="right"/>
              <w:ind w:right="320"/>
              <w:spacing w:after="0"/>
              <w:rPr>
                <w:sz w:val="20"/>
                <w:szCs w:val="20"/>
                <w:color w:val="auto"/>
              </w:rPr>
            </w:pPr>
            <w:r>
              <w:rPr>
                <w:rFonts w:ascii="Arial" w:cs="Arial" w:eastAsia="Arial" w:hAnsi="Arial"/>
                <w:sz w:val="18"/>
                <w:szCs w:val="18"/>
                <w:color w:val="auto"/>
              </w:rPr>
              <w:t>5,804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6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58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(5,804)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current</w:t>
            </w:r>
          </w:p>
        </w:tc>
        <w:tc>
          <w:tcPr>
            <w:tcW w:w="5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6640" w:type="dxa"/>
            <w:vAlign w:val="bottom"/>
            <w:gridSpan w:val="3"/>
          </w:tcPr>
          <w:p>
            <w:pPr>
              <w:jc w:val="right"/>
              <w:ind w:right="260"/>
              <w:spacing w:after="0"/>
              <w:rPr>
                <w:sz w:val="20"/>
                <w:szCs w:val="20"/>
                <w:color w:val="auto"/>
              </w:rPr>
            </w:pPr>
            <w:r>
              <w:rPr>
                <w:rFonts w:ascii="Arial" w:cs="Arial" w:eastAsia="Arial" w:hAnsi="Arial"/>
                <w:sz w:val="18"/>
                <w:szCs w:val="18"/>
                <w:color w:val="auto"/>
              </w:rPr>
              <w:t>(1,039)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(1,061)</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Deferred tax liabilities — non-current</w:t>
            </w:r>
          </w:p>
        </w:tc>
        <w:tc>
          <w:tcPr>
            <w:tcW w:w="5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6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(3,677)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Others</w:t>
            </w:r>
          </w:p>
        </w:tc>
        <w:tc>
          <w:tcPr>
            <w:tcW w:w="58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(3,705)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(4,766)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640" w:type="dxa"/>
            <w:vAlign w:val="bottom"/>
            <w:gridSpan w:val="3"/>
          </w:tcPr>
          <w:p>
            <w:pPr>
              <w:jc w:val="right"/>
              <w:ind w:right="4900"/>
              <w:spacing w:after="0"/>
              <w:rPr>
                <w:sz w:val="20"/>
                <w:szCs w:val="20"/>
                <w:color w:val="auto"/>
              </w:rPr>
            </w:pPr>
            <w:r>
              <w:rPr>
                <w:rFonts w:ascii="Arial" w:cs="Arial" w:eastAsia="Arial" w:hAnsi="Arial"/>
                <w:sz w:val="18"/>
                <w:szCs w:val="18"/>
                <w:color w:val="auto"/>
              </w:rPr>
              <w:t>F-59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-1156970</wp:posOffset>
            </wp:positionV>
            <wp:extent cx="3003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-1156970</wp:posOffset>
            </wp:positionV>
            <wp:extent cx="3003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-454025</wp:posOffset>
            </wp:positionV>
            <wp:extent cx="3003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-454025</wp:posOffset>
            </wp:positionV>
            <wp:extent cx="3003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Deferred tax assets and liabilities (Continued)</w:t>
      </w:r>
    </w:p>
    <w:p>
      <w:pPr>
        <w:spacing w:after="0" w:line="130" w:lineRule="exact"/>
        <w:rPr>
          <w:rFonts w:ascii="Arial" w:cs="Arial" w:eastAsia="Arial" w:hAnsi="Arial"/>
          <w:sz w:val="18"/>
          <w:szCs w:val="18"/>
          <w:b w:val="1"/>
          <w:bCs w:val="1"/>
          <w:color w:val="auto"/>
        </w:rPr>
      </w:pPr>
    </w:p>
    <w:p>
      <w:pPr>
        <w:ind w:left="900" w:right="160" w:hanging="446"/>
        <w:spacing w:after="0" w:line="273" w:lineRule="auto"/>
        <w:tabs>
          <w:tab w:leader="none" w:pos="90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3,462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Additions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2,342</w:t>
            </w:r>
          </w:p>
        </w:tc>
        <w:tc>
          <w:tcPr>
            <w:tcW w:w="2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As of December 31, 2015 and 2016, the Group had tax loss carryforwards of approximately US$24,356 and US$28,201, respectively,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92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2015</w:t>
            </w:r>
          </w:p>
        </w:tc>
        <w:tc>
          <w:tcPr>
            <w:tcW w:w="104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2017</w:t>
            </w:r>
          </w:p>
        </w:tc>
        <w:tc>
          <w:tcPr>
            <w:tcW w:w="640" w:type="dxa"/>
            <w:vAlign w:val="bottom"/>
          </w:tcPr>
          <w:p>
            <w:pPr>
              <w:jc w:val="right"/>
              <w:spacing w:after="0"/>
              <w:rPr>
                <w:sz w:val="20"/>
                <w:szCs w:val="20"/>
                <w:color w:val="auto"/>
              </w:rPr>
            </w:pPr>
            <w:r>
              <w:rPr>
                <w:rFonts w:ascii="Arial" w:cs="Arial" w:eastAsia="Arial" w:hAnsi="Arial"/>
                <w:sz w:val="18"/>
                <w:szCs w:val="18"/>
                <w:color w:val="auto"/>
              </w:rPr>
              <w:t>3,321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2019</w:t>
            </w:r>
          </w:p>
        </w:tc>
        <w:tc>
          <w:tcPr>
            <w:tcW w:w="640" w:type="dxa"/>
            <w:vAlign w:val="bottom"/>
          </w:tcPr>
          <w:p>
            <w:pPr>
              <w:jc w:val="right"/>
              <w:spacing w:after="0"/>
              <w:rPr>
                <w:sz w:val="20"/>
                <w:szCs w:val="20"/>
                <w:color w:val="auto"/>
              </w:rPr>
            </w:pPr>
            <w:r>
              <w:rPr>
                <w:rFonts w:ascii="Arial" w:cs="Arial" w:eastAsia="Arial" w:hAnsi="Arial"/>
                <w:sz w:val="18"/>
                <w:szCs w:val="18"/>
                <w:color w:val="auto"/>
              </w:rPr>
              <w:t>2,423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24,356</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28,201</w:t>
            </w: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December 31, 2015 and 2016.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Tax loss carryforwards (Continued)</w:t>
      </w:r>
    </w:p>
    <w:p>
      <w:pPr>
        <w:spacing w:after="0" w:line="130"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40" w:type="dxa"/>
            <w:vAlign w:val="bottom"/>
            <w:gridSpan w:val="4"/>
          </w:tcPr>
          <w:p>
            <w:pPr>
              <w:jc w:val="right"/>
              <w:ind w:right="48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2015</w:t>
            </w:r>
          </w:p>
        </w:tc>
        <w:tc>
          <w:tcPr>
            <w:tcW w:w="10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Tax benefit calculated at Hong Kong statutory tax rate (Note i)</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(6,553)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Effect of differences between Hong Kong statutory tax rate and foreign effective tax rates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(527)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Non-taxable other income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(448)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4,684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2,342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900" w:right="10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Group’s major operation, prior to the acquisition of OptAim, was conducted out of Hong Kong. Accordingly, the Group prepared its tax rate reconciliation starting with the Hong Kong statutory tax rate.</w:t>
      </w:r>
    </w:p>
    <w:p>
      <w:pPr>
        <w:spacing w:after="0" w:line="315"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for the years ended December 31, 2015 and 2016 are calculated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2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(39,714)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(1,982)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Numerator of basic net loss per share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(44,388)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 weighted average shares outstanding</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11,661,049</w:t>
            </w:r>
          </w:p>
        </w:tc>
        <w:tc>
          <w:tcPr>
            <w:tcW w:w="4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13,151,063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(3.81)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2015 and 2016.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 (Continued)</w:t>
      </w:r>
    </w:p>
    <w:p>
      <w:pPr>
        <w:spacing w:after="0" w:line="134"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rFonts w:ascii="Arial" w:cs="Arial" w:eastAsia="Arial" w:hAnsi="Arial"/>
          <w:sz w:val="18"/>
          <w:szCs w:val="18"/>
          <w:b w:val="1"/>
          <w:bCs w:val="1"/>
          <w:color w:val="auto"/>
        </w:rPr>
      </w:pPr>
    </w:p>
    <w:p>
      <w:pPr>
        <w:ind w:left="4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color w:val="auto"/>
              </w:rPr>
              <w:t>As of 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8,458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1,194</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9"/>
                <w:szCs w:val="19"/>
                <w:color w:val="auto"/>
              </w:rPr>
            </w:pPr>
          </w:p>
        </w:tc>
      </w:tr>
      <w:tr>
        <w:trPr>
          <w:trHeight w:val="58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23   Related party transactions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240" w:type="dxa"/>
            <w:vAlign w:val="bottom"/>
            <w:gridSpan w:val="2"/>
          </w:tcPr>
          <w:p>
            <w:pPr>
              <w:ind w:left="460"/>
              <w:spacing w:after="0"/>
              <w:rPr>
                <w:sz w:val="20"/>
                <w:szCs w:val="20"/>
                <w:color w:val="auto"/>
              </w:rPr>
            </w:pPr>
            <w:r>
              <w:rPr>
                <w:rFonts w:ascii="Arial" w:cs="Arial" w:eastAsia="Arial" w:hAnsi="Arial"/>
                <w:sz w:val="18"/>
                <w:szCs w:val="18"/>
                <w:color w:val="auto"/>
              </w:rPr>
              <w:t>As of December 31, 2015 and 2016, the amount due to a related party was as follows: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4"/>
          </w:tcPr>
          <w:p>
            <w:pPr>
              <w:ind w:left="160"/>
              <w:spacing w:after="0"/>
              <w:rPr>
                <w:sz w:val="20"/>
                <w:szCs w:val="20"/>
                <w:color w:val="auto"/>
              </w:rPr>
            </w:pPr>
            <w:r>
              <w:rPr>
                <w:rFonts w:ascii="Arial" w:cs="Arial" w:eastAsia="Arial" w:hAnsi="Arial"/>
                <w:sz w:val="14"/>
                <w:szCs w:val="14"/>
                <w:color w:val="auto"/>
              </w:rPr>
              <w:t>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2015</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Amount due to a 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amount due to a director represents cash advances from a director which was unsecured, interest-free and is repayable on demand. The amount due to a director has been settled during the year ended December 31, 2016.</w:t>
      </w:r>
    </w:p>
    <w:p>
      <w:pPr>
        <w:spacing w:after="0" w:line="315"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Segment</w:t>
      </w:r>
    </w:p>
    <w:p>
      <w:pPr>
        <w:spacing w:after="0" w:line="121"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operating and reportable segment. Revenue generated for the respective countries are summarized as follows: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5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20" w:type="dxa"/>
            <w:vAlign w:val="bottom"/>
            <w:gridSpan w:val="4"/>
          </w:tcPr>
          <w:p>
            <w:pPr>
              <w:jc w:val="right"/>
              <w:ind w:right="360"/>
              <w:spacing w:after="0"/>
              <w:rPr>
                <w:sz w:val="20"/>
                <w:szCs w:val="20"/>
                <w:color w:val="auto"/>
              </w:rPr>
            </w:pPr>
            <w:r>
              <w:rPr>
                <w:rFonts w:ascii="Arial" w:cs="Arial" w:eastAsia="Arial" w:hAnsi="Arial"/>
                <w:sz w:val="14"/>
                <w:szCs w:val="14"/>
                <w:color w:val="auto"/>
              </w:rPr>
              <w:t>For the years ended December 31,</w:t>
            </w:r>
          </w:p>
        </w:tc>
      </w:tr>
      <w:tr>
        <w:trPr>
          <w:trHeight w:val="142"/>
        </w:trPr>
        <w:tc>
          <w:tcPr>
            <w:tcW w:w="25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6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color w:val="auto"/>
              </w:rPr>
              <w:t>2015</w:t>
            </w:r>
          </w:p>
        </w:tc>
        <w:tc>
          <w:tcPr>
            <w:tcW w:w="170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6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Hong Kong</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34,442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6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60" w:type="dxa"/>
            <w:vAlign w:val="bottom"/>
            <w:shd w:val="clear" w:color="auto" w:fill="CCEEFF"/>
          </w:tcPr>
          <w:p>
            <w:pPr>
              <w:spacing w:after="0"/>
              <w:rPr>
                <w:sz w:val="18"/>
                <w:szCs w:val="18"/>
                <w:color w:val="auto"/>
              </w:rPr>
            </w:pPr>
          </w:p>
        </w:tc>
      </w:tr>
      <w:tr>
        <w:trPr>
          <w:trHeight w:val="223"/>
        </w:trPr>
        <w:tc>
          <w:tcPr>
            <w:tcW w:w="25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65,242</w:t>
            </w:r>
          </w:p>
        </w:tc>
        <w:tc>
          <w:tcPr>
            <w:tcW w:w="8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95,357</w:t>
            </w:r>
          </w:p>
        </w:tc>
        <w:tc>
          <w:tcPr>
            <w:tcW w:w="60" w:type="dxa"/>
            <w:vAlign w:val="bottom"/>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00" w:type="dxa"/>
            <w:vAlign w:val="bottom"/>
          </w:tcPr>
          <w:p>
            <w:pPr>
              <w:spacing w:after="0"/>
              <w:rPr>
                <w:sz w:val="24"/>
                <w:szCs w:val="24"/>
                <w:color w:val="auto"/>
              </w:rPr>
            </w:pPr>
          </w:p>
        </w:tc>
        <w:tc>
          <w:tcPr>
            <w:tcW w:w="4420" w:type="dxa"/>
            <w:vAlign w:val="bottom"/>
            <w:gridSpan w:val="2"/>
          </w:tcPr>
          <w:p>
            <w:pPr>
              <w:jc w:val="right"/>
              <w:ind w:right="2342"/>
              <w:spacing w:after="0"/>
              <w:rPr>
                <w:sz w:val="20"/>
                <w:szCs w:val="20"/>
                <w:color w:val="auto"/>
              </w:rPr>
            </w:pPr>
            <w:r>
              <w:rPr>
                <w:rFonts w:ascii="Arial" w:cs="Arial" w:eastAsia="Arial" w:hAnsi="Arial"/>
                <w:sz w:val="18"/>
                <w:szCs w:val="18"/>
                <w:color w:val="auto"/>
              </w:rPr>
              <w:t>F-62</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tab/>
        <w:t>Segment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long-lived assets are located in the following countries: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860" w:type="dxa"/>
            <w:vAlign w:val="bottom"/>
          </w:tcPr>
          <w:p>
            <w:pPr>
              <w:spacing w:after="0"/>
              <w:rPr>
                <w:sz w:val="14"/>
                <w:szCs w:val="14"/>
                <w:color w:val="auto"/>
              </w:rPr>
            </w:pPr>
          </w:p>
        </w:tc>
        <w:tc>
          <w:tcPr>
            <w:tcW w:w="1820" w:type="dxa"/>
            <w:vAlign w:val="bottom"/>
            <w:gridSpan w:val="4"/>
          </w:tcPr>
          <w:p>
            <w:pPr>
              <w:ind w:left="300"/>
              <w:spacing w:after="0"/>
              <w:rPr>
                <w:sz w:val="20"/>
                <w:szCs w:val="20"/>
                <w:color w:val="auto"/>
              </w:rPr>
            </w:pPr>
            <w:r>
              <w:rPr>
                <w:rFonts w:ascii="Arial" w:cs="Arial" w:eastAsia="Arial" w:hAnsi="Arial"/>
                <w:sz w:val="14"/>
                <w:szCs w:val="14"/>
                <w:color w:val="auto"/>
              </w:rPr>
              <w:t>As of December 31,</w:t>
            </w:r>
          </w:p>
        </w:tc>
      </w:tr>
      <w:tr>
        <w:trPr>
          <w:trHeight w:val="142"/>
        </w:trPr>
        <w:tc>
          <w:tcPr>
            <w:tcW w:w="686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2015</w:t>
            </w:r>
          </w:p>
        </w:tc>
        <w:tc>
          <w:tcPr>
            <w:tcW w:w="12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Hong Kong</w:t>
            </w:r>
          </w:p>
        </w:tc>
        <w:tc>
          <w:tcPr>
            <w:tcW w:w="500" w:type="dxa"/>
            <w:vAlign w:val="bottom"/>
          </w:tcPr>
          <w:p>
            <w:pPr>
              <w:jc w:val="right"/>
              <w:spacing w:after="0"/>
              <w:rPr>
                <w:sz w:val="20"/>
                <w:szCs w:val="20"/>
                <w:color w:val="auto"/>
              </w:rPr>
            </w:pPr>
            <w:r>
              <w:rPr>
                <w:rFonts w:ascii="Arial" w:cs="Arial" w:eastAsia="Arial" w:hAnsi="Arial"/>
                <w:sz w:val="18"/>
                <w:szCs w:val="18"/>
                <w:color w:val="auto"/>
              </w:rPr>
              <w:t>985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7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3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US$2,636,718 and US$3,024,404 for the years ended December 31, 2015 and 2016,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future minimum payments under non-cancellable operating leases for office rental consist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jc w:val="right"/>
              <w:ind w:right="6750"/>
              <w:spacing w:after="0"/>
              <w:rPr>
                <w:sz w:val="20"/>
                <w:szCs w:val="20"/>
                <w:color w:val="auto"/>
              </w:rPr>
            </w:pPr>
            <w:r>
              <w:rPr>
                <w:rFonts w:ascii="Arial" w:cs="Arial" w:eastAsia="Arial" w:hAnsi="Arial"/>
                <w:sz w:val="18"/>
                <w:szCs w:val="18"/>
                <w:color w:val="auto"/>
                <w:w w:val="84"/>
              </w:rPr>
              <w:t>2017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EEFF"/>
          </w:tcPr>
          <w:p>
            <w:pPr>
              <w:spacing w:after="0"/>
              <w:rPr>
                <w:sz w:val="18"/>
                <w:szCs w:val="18"/>
                <w:color w:val="auto"/>
              </w:rPr>
            </w:pPr>
          </w:p>
        </w:tc>
      </w:tr>
      <w:tr>
        <w:trPr>
          <w:trHeight w:val="223"/>
        </w:trPr>
        <w:tc>
          <w:tcPr>
            <w:tcW w:w="7200" w:type="dxa"/>
            <w:vAlign w:val="bottom"/>
          </w:tcPr>
          <w:p>
            <w:pPr>
              <w:jc w:val="right"/>
              <w:ind w:right="6750"/>
              <w:spacing w:after="0"/>
              <w:rPr>
                <w:sz w:val="20"/>
                <w:szCs w:val="20"/>
                <w:color w:val="auto"/>
              </w:rPr>
            </w:pPr>
            <w:r>
              <w:rPr>
                <w:rFonts w:ascii="Arial" w:cs="Arial" w:eastAsia="Arial" w:hAnsi="Arial"/>
                <w:sz w:val="18"/>
                <w:szCs w:val="18"/>
                <w:color w:val="auto"/>
                <w:w w:val="84"/>
              </w:rPr>
              <w:t>2018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2015 and 2016,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December 31, 2015 and 2016,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Upon the completion of a qualified initial public offering, the Series A, B, C, D and E preferred shares shall automatically be converted into ordinary shares. The unaudited pro-forma balance sheet as of December 31, 2016 assumes a qualified initial public offering has occurred and presents an adjusted financial position as if the conversion of all outstanding Series A, B, C, D and E preferred shares into ordinary shares at the conversion ratio as described in Note 16 to the consolidated financial statements occurred on December 31, 2016.</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 (Continued)</w:t>
      </w:r>
    </w:p>
    <w:p>
      <w:pPr>
        <w:spacing w:after="0" w:line="134" w:lineRule="exact"/>
        <w:rPr>
          <w:rFonts w:ascii="Arial" w:cs="Arial" w:eastAsia="Arial" w:hAnsi="Arial"/>
          <w:sz w:val="18"/>
          <w:szCs w:val="18"/>
          <w:b w:val="1"/>
          <w:bCs w:val="1"/>
          <w:color w:val="auto"/>
        </w:rPr>
      </w:pPr>
    </w:p>
    <w:p>
      <w:pPr>
        <w:jc w:val="both"/>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pro-forma basic and diluted net loss per share reflecting the effect to conversion of all outstanding Series A, B, C, D and E preferred shares into ordinary shares into ordinary shares as if the conversion had occurred at the beginning of the year, or the date of issuance, whichever is later: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4"/>
                <w:szCs w:val="14"/>
                <w:color w:val="auto"/>
              </w:rPr>
              <w:t>For the year ended</w:t>
            </w:r>
          </w:p>
        </w:tc>
      </w:tr>
      <w:tr>
        <w:trPr>
          <w:trHeight w:val="167"/>
        </w:trPr>
        <w:tc>
          <w:tcPr>
            <w:tcW w:w="9700" w:type="dxa"/>
            <w:vAlign w:val="bottom"/>
          </w:tcPr>
          <w:p>
            <w:pPr>
              <w:spacing w:after="0"/>
              <w:rPr>
                <w:sz w:val="14"/>
                <w:szCs w:val="14"/>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color w:val="auto"/>
              </w:rPr>
              <w:t>December 31, 2016</w:t>
            </w:r>
          </w:p>
        </w:tc>
      </w:tr>
      <w:tr>
        <w:trPr>
          <w:trHeight w:val="196"/>
        </w:trPr>
        <w:tc>
          <w:tcPr>
            <w:tcW w:w="9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9700" w:type="dxa"/>
            <w:vAlign w:val="bottom"/>
          </w:tcPr>
          <w:p>
            <w:pPr>
              <w:ind w:left="360"/>
              <w:spacing w:after="0"/>
              <w:rPr>
                <w:sz w:val="20"/>
                <w:szCs w:val="20"/>
                <w:color w:val="auto"/>
              </w:rPr>
            </w:pPr>
            <w:r>
              <w:rPr>
                <w:rFonts w:ascii="Arial" w:cs="Arial" w:eastAsia="Arial" w:hAnsi="Arial"/>
                <w:sz w:val="18"/>
                <w:szCs w:val="18"/>
                <w:color w:val="auto"/>
              </w:rPr>
              <w:t>Net loss attributable to iClick Interactive Asia Group Limited</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(29,659)</w:t>
            </w: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to convertible redeemable shares redemption value</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r>
      <w:tr>
        <w:trPr>
          <w:trHeight w:val="230"/>
        </w:trPr>
        <w:tc>
          <w:tcPr>
            <w:tcW w:w="9700" w:type="dxa"/>
            <w:vAlign w:val="bottom"/>
          </w:tcPr>
          <w:p>
            <w:pPr>
              <w:ind w:left="360"/>
              <w:spacing w:after="0"/>
              <w:rPr>
                <w:sz w:val="20"/>
                <w:szCs w:val="20"/>
                <w:color w:val="auto"/>
              </w:rPr>
            </w:pPr>
            <w:r>
              <w:rPr>
                <w:rFonts w:ascii="Arial" w:cs="Arial" w:eastAsia="Arial" w:hAnsi="Arial"/>
                <w:sz w:val="18"/>
                <w:szCs w:val="18"/>
                <w:color w:val="auto"/>
              </w:rPr>
              <w:t>Accretion to redeemable ordinary shares redemption value</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1,556</w:t>
            </w:r>
          </w:p>
        </w:tc>
      </w:tr>
      <w:tr>
        <w:trPr>
          <w:trHeight w:val="94"/>
        </w:trPr>
        <w:tc>
          <w:tcPr>
            <w:tcW w:w="97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pro-forma basic and diluted net loss per share</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(27,330)</w:t>
            </w:r>
          </w:p>
        </w:tc>
      </w:tr>
      <w:tr>
        <w:trPr>
          <w:trHeight w:val="324"/>
        </w:trPr>
        <w:tc>
          <w:tcPr>
            <w:tcW w:w="97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ordinary shares outstanding</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13,151,063</w:t>
            </w:r>
          </w:p>
        </w:tc>
      </w:tr>
      <w:tr>
        <w:trPr>
          <w:trHeight w:val="216"/>
        </w:trPr>
        <w:tc>
          <w:tcPr>
            <w:tcW w:w="9700" w:type="dxa"/>
            <w:vAlign w:val="bottom"/>
          </w:tcPr>
          <w:p>
            <w:pPr>
              <w:ind w:left="360"/>
              <w:spacing w:after="0"/>
              <w:rPr>
                <w:sz w:val="20"/>
                <w:szCs w:val="20"/>
                <w:color w:val="auto"/>
              </w:rPr>
            </w:pPr>
            <w:r>
              <w:rPr>
                <w:rFonts w:ascii="Arial" w:cs="Arial" w:eastAsia="Arial" w:hAnsi="Arial"/>
                <w:sz w:val="18"/>
                <w:szCs w:val="18"/>
                <w:color w:val="auto"/>
              </w:rPr>
              <w:t>Pro-forma effect of the conversion of Series A preferred shares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2,493,018</w:t>
            </w: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Pro-forma effect of the conversion of Series B preferred shares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1,599,186</w:t>
            </w:r>
          </w:p>
        </w:tc>
      </w:tr>
      <w:tr>
        <w:trPr>
          <w:trHeight w:val="216"/>
        </w:trPr>
        <w:tc>
          <w:tcPr>
            <w:tcW w:w="9700" w:type="dxa"/>
            <w:vAlign w:val="bottom"/>
          </w:tcPr>
          <w:p>
            <w:pPr>
              <w:ind w:left="360"/>
              <w:spacing w:after="0"/>
              <w:rPr>
                <w:sz w:val="20"/>
                <w:szCs w:val="20"/>
                <w:color w:val="auto"/>
              </w:rPr>
            </w:pPr>
            <w:r>
              <w:rPr>
                <w:rFonts w:ascii="Arial" w:cs="Arial" w:eastAsia="Arial" w:hAnsi="Arial"/>
                <w:sz w:val="18"/>
                <w:szCs w:val="18"/>
                <w:color w:val="auto"/>
              </w:rPr>
              <w:t>Pro-forma effect of the conversion of Series C preferred shares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1,889,249</w:t>
            </w: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Pro-forma effect of the conversion of Series D preferred shares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2,476,190</w:t>
            </w:r>
          </w:p>
        </w:tc>
      </w:tr>
      <w:tr>
        <w:trPr>
          <w:trHeight w:val="216"/>
        </w:trPr>
        <w:tc>
          <w:tcPr>
            <w:tcW w:w="9700" w:type="dxa"/>
            <w:vAlign w:val="bottom"/>
          </w:tcPr>
          <w:p>
            <w:pPr>
              <w:ind w:left="360"/>
              <w:spacing w:after="0"/>
              <w:rPr>
                <w:sz w:val="20"/>
                <w:szCs w:val="20"/>
                <w:color w:val="auto"/>
              </w:rPr>
            </w:pPr>
            <w:r>
              <w:rPr>
                <w:rFonts w:ascii="Arial" w:cs="Arial" w:eastAsia="Arial" w:hAnsi="Arial"/>
                <w:sz w:val="18"/>
                <w:szCs w:val="18"/>
                <w:color w:val="auto"/>
              </w:rPr>
              <w:t>Pro-forma effect of the conversion of Series E preferred shares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1,068,114</w:t>
            </w: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Pro-forma effect of redeemable ordinary shares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742,320</w:t>
            </w:r>
          </w:p>
        </w:tc>
      </w:tr>
      <w:tr>
        <w:trPr>
          <w:trHeight w:val="324"/>
        </w:trPr>
        <w:tc>
          <w:tcPr>
            <w:tcW w:w="9700" w:type="dxa"/>
            <w:vAlign w:val="bottom"/>
          </w:tcPr>
          <w:p>
            <w:pPr>
              <w:ind w:left="360"/>
              <w:spacing w:after="0"/>
              <w:rPr>
                <w:sz w:val="20"/>
                <w:szCs w:val="20"/>
                <w:color w:val="auto"/>
              </w:rPr>
            </w:pPr>
            <w:r>
              <w:rPr>
                <w:rFonts w:ascii="Arial" w:cs="Arial" w:eastAsia="Arial" w:hAnsi="Arial"/>
                <w:sz w:val="18"/>
                <w:szCs w:val="18"/>
                <w:color w:val="auto"/>
              </w:rPr>
              <w:t>Denominator for pro-forma basic and diluted net loss per share</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23,419,140</w:t>
            </w:r>
          </w:p>
        </w:tc>
      </w:tr>
      <w:tr>
        <w:trPr>
          <w:trHeight w:val="108"/>
        </w:trPr>
        <w:tc>
          <w:tcPr>
            <w:tcW w:w="9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Pro-forma net loss per share: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9700" w:type="dxa"/>
            <w:vAlign w:val="bottom"/>
          </w:tcPr>
          <w:p>
            <w:pPr>
              <w:ind w:left="360"/>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bl>
    <w:p>
      <w:pPr>
        <w:spacing w:after="0" w:line="94"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potentially dilutive securities that were not included in the calculation of above pro-forma dilutive net loss per share in the period presented where their inclusion would be anti-dilutive include options to purchase ordinary shares of 1,091,088, for the year ended December 31, 2016 on a weighted average basis.</w:t>
      </w:r>
    </w:p>
    <w:p>
      <w:pPr>
        <w:spacing w:after="0" w:line="326"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May 18, 2017, the date on which these financial statements were issued.</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 (Continued)</w:t>
      </w:r>
    </w:p>
    <w:p>
      <w:pPr>
        <w:spacing w:after="0" w:line="1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81" w:lineRule="exact"/>
        <w:rPr>
          <w:rFonts w:ascii="Arial" w:cs="Arial" w:eastAsia="Arial" w:hAnsi="Arial"/>
          <w:sz w:val="18"/>
          <w:szCs w:val="18"/>
          <w:b w:val="1"/>
          <w:bCs w:val="1"/>
          <w:color w:val="auto"/>
        </w:rPr>
      </w:pPr>
    </w:p>
    <w:p>
      <w:pPr>
        <w:ind w:left="460" w:right="1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As of December 31, 2015 and 2016, the total restricted net assets of the Company’s subsidiaries, OptAim VIE and its subsidiary incorporated in PRC and subjected to restriction amounted to approximately US$3,714 and US$4,297,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and the amounts classified as restricted cash of US$1,000 and US$5,234 as of December 31, 2015 and 2016, respectively, there is no other restriction on the use of proceeds generated by the Company’s subsidiaries, VIEs and VIE subsidiaries to satisfy any obligations of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70"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2015 and 2016, there were no material commitments or contingencies, significant provisions for long-term obligations or guarantees of the Company, except for those which have been separately disclosed in the consolidated financial statements, if any.</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Inter-company charges, share-based compensation and other miscellaneous expenses for the years ended December 31, 2015 and 2016, which were previously recognized at the parent company level, had been pushed down to the WFOE/VIE level given the majority of services were provided to the WFOE/VIE entities.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60" w:right="2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from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39,284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39,353</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55,011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94,364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1,124</w:t>
            </w:r>
          </w:p>
        </w:tc>
        <w:tc>
          <w:tcPr>
            <w:tcW w:w="760" w:type="dxa"/>
            <w:vAlign w:val="bottom"/>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63,724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to subsidiaries and VIEs</w:t>
            </w:r>
          </w:p>
        </w:tc>
        <w:tc>
          <w:tcPr>
            <w:tcW w:w="4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63,646</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9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64,005</w:t>
            </w:r>
          </w:p>
        </w:tc>
        <w:tc>
          <w:tcPr>
            <w:tcW w:w="0" w:type="dxa"/>
            <w:vAlign w:val="bottom"/>
          </w:tcPr>
          <w:p>
            <w:pPr>
              <w:spacing w:after="0"/>
              <w:rPr>
                <w:sz w:val="1"/>
                <w:szCs w:val="1"/>
                <w:color w:val="auto"/>
              </w:rPr>
            </w:pPr>
          </w:p>
        </w:tc>
      </w:tr>
      <w:tr>
        <w:trPr>
          <w:trHeight w:val="22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9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760" w:type="dxa"/>
            <w:vAlign w:val="bottom"/>
            <w:gridSpan w:val="3"/>
          </w:tcPr>
          <w:p>
            <w:pPr>
              <w:ind w:left="700"/>
              <w:spacing w:after="0"/>
              <w:rPr>
                <w:sz w:val="20"/>
                <w:szCs w:val="20"/>
                <w:color w:val="auto"/>
              </w:rPr>
            </w:pPr>
            <w:r>
              <w:rPr>
                <w:rFonts w:ascii="Arial" w:cs="Arial" w:eastAsia="Arial" w:hAnsi="Arial"/>
                <w:sz w:val="18"/>
                <w:szCs w:val="18"/>
                <w:color w:val="auto"/>
              </w:rPr>
              <w:t>F-67</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2"/>
              </w:rPr>
              <w:t>Series A convertible redeemable preferred shares (US$0.001 par value; 2,500,000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2,476,190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US$7,393 and US$6,737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5,487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Series B convertible redeemable preferred shares (US$0.001 par value; 3,000,000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1,889,249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US$14,441 and US$14,625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C convertible redeemable preferred shares (US$0.001 par value; 1,650,000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1,599,186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US$20,636 and US$22,288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10,733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Series D convertible redeemable preferred shares (US$0.001 par value; 4,500,000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2,493,018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US$55,944 and US$58,874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43,956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E convertible redeemable preferred shares (US$0.001 par value; 1,200,000 shares authorized as of December 31, 2016;</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3"/>
              </w:rPr>
              <w:t>1,068,114 shares issued and outstanding as of December 31, 2016; redemption amount of US$20,000 as of December 31,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00" w:type="dxa"/>
            <w:vAlign w:val="bottom"/>
            <w:gridSpan w:val="2"/>
          </w:tcPr>
          <w:p>
            <w:pPr>
              <w:ind w:left="54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Redeemable ordinary shares (US$0.001 par value; 742,320 shares issued and outstanding as of December 31, 2015 and 2016,</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Total mezzanine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83,210</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Ordinary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Other shareholders’ deficit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(46,159)</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(55,929)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94,364</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5520"/>
              <w:spacing w:after="0"/>
              <w:rPr>
                <w:sz w:val="20"/>
                <w:szCs w:val="20"/>
                <w:color w:val="auto"/>
              </w:rPr>
            </w:pPr>
            <w:r>
              <w:rPr>
                <w:rFonts w:ascii="Arial" w:cs="Arial" w:eastAsia="Arial" w:hAnsi="Arial"/>
                <w:sz w:val="18"/>
                <w:szCs w:val="18"/>
                <w:color w:val="auto"/>
              </w:rPr>
              <w:t>F-68</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8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gains, net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Fair value (loss)/gain on derivative liabilities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(19,390)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subsidiaries and VIEs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(12,970)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 expense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Net loss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(2,692)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(1,982)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(44,388)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 net of tax</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(129)</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(39,843)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8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FOR THE YEARS ENDED DECEMBER 31, 2015 AND 2016</w:t>
            </w:r>
          </w:p>
        </w:tc>
        <w:tc>
          <w:tcPr>
            <w:tcW w:w="258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(86,738)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from financing activities</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(84,244)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8820" w:type="dxa"/>
            <w:vAlign w:val="bottom"/>
            <w:gridSpan w:val="2"/>
          </w:tcPr>
          <w:p>
            <w:pPr>
              <w:ind w:left="5520"/>
              <w:spacing w:after="0"/>
              <w:rPr>
                <w:sz w:val="20"/>
                <w:szCs w:val="20"/>
                <w:color w:val="auto"/>
              </w:rPr>
            </w:pPr>
            <w:r>
              <w:rPr>
                <w:rFonts w:ascii="Arial" w:cs="Arial" w:eastAsia="Arial" w:hAnsi="Arial"/>
                <w:sz w:val="18"/>
                <w:szCs w:val="18"/>
                <w:color w:val="auto"/>
              </w:rPr>
              <w:t>F-69</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OptAim Limited</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audited the accompanying consolidated financial statements of OptAim Limited (the “Company”) and its subsidiaries (the “Group”), which comprise the consolidated balance sheet as of July 23, 2015, and the related consolidated statement of comprehensive loss, consolidated statement of changes in shareholders’ equity and consolidated statement of cash flows for the period from January 1, 2015 to July 23,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OptAim Limited and its subsidiaries as of July 23, 2015, and the results of their operations and their cash flows for the period from January 1, 2015 to July 23, 2015 in accordance with accounting principles generally accepted in the United States of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US$nil as of July 23, 2015</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14,494</w:t>
            </w: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7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payable (including accounts payable of the consolidated variable interest entity (“VIE”) and its subsidiary without recourse to</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Company of US$1,096 as of July 23, 2015)</w:t>
            </w:r>
          </w:p>
        </w:tc>
        <w:tc>
          <w:tcPr>
            <w:tcW w:w="7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tcPr>
          <w:p>
            <w:pPr>
              <w:spacing w:after="0" w:line="201" w:lineRule="exact"/>
              <w:rPr>
                <w:sz w:val="20"/>
                <w:szCs w:val="20"/>
                <w:color w:val="auto"/>
              </w:rPr>
            </w:pPr>
            <w:r>
              <w:rPr>
                <w:rFonts w:ascii="Arial" w:cs="Arial" w:eastAsia="Arial" w:hAnsi="Arial"/>
                <w:sz w:val="18"/>
                <w:szCs w:val="18"/>
                <w:color w:val="auto"/>
                <w:w w:val="98"/>
              </w:rPr>
              <w:t>Customer deposits (including deferred revenue of the consolidated VIE and its subsidiary without recourse to the Company of of</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US$5,240 as of July 23, 2015)</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Accrued liabilities and other current liabilities (including accrued liabilities and other current liabilities of the consolidated VIE and its</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 without recourse to the Company of of US$521 as of July 23, 2015)</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tcPr>
          <w:p>
            <w:pPr>
              <w:spacing w:after="0" w:line="201" w:lineRule="exact"/>
              <w:rPr>
                <w:sz w:val="20"/>
                <w:szCs w:val="20"/>
                <w:color w:val="auto"/>
              </w:rPr>
            </w:pPr>
            <w:r>
              <w:rPr>
                <w:rFonts w:ascii="Arial" w:cs="Arial" w:eastAsia="Arial" w:hAnsi="Arial"/>
                <w:sz w:val="18"/>
                <w:szCs w:val="18"/>
                <w:color w:val="auto"/>
                <w:w w:val="92"/>
              </w:rPr>
              <w:t>Amount due to a related party (including amount due to a related party of the consolidated VIE and its subsidiary without recourse to the</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Company of of US$537 as of July 23, 2015)</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Income tax payable (including income tax payable of the consolidated VIE and its subsidiary without recourse to the Company of of</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US$44 as of July 23, 2015)</w:t>
            </w:r>
          </w:p>
        </w:tc>
        <w:tc>
          <w:tcPr>
            <w:tcW w:w="7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color w:val="auto"/>
              </w:rPr>
              <w:t>Note</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6"/>
              </w:rPr>
              <w:t>Series A-2 convertible redeemable preferred shares (US$0.0002 par value; 15,909,091 shares authorized as of July 23, 2015;</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15,909,091 shares 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6,734</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A-1 convertible preferred shares (US$0.0002 par value; 25,000,000 shares authorized as of July 23, 2015; 25,000,000 shares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Ordinary shares (US$0.0002 par value; 250,000,000 shares authorized as of July 23, 2015; 55,000,000 shares issued and outstanding</w:t>
            </w: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 of July 23, 2015)</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Statutory reserves</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Currency translation differences</w:t>
            </w:r>
          </w:p>
        </w:tc>
        <w:tc>
          <w:tcPr>
            <w:tcW w:w="7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7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14,578</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3120" w:type="dxa"/>
            <w:vAlign w:val="bottom"/>
          </w:tcPr>
          <w:p>
            <w:pPr>
              <w:jc w:val="right"/>
              <w:ind w:right="419"/>
              <w:spacing w:after="0"/>
              <w:rPr>
                <w:sz w:val="20"/>
                <w:szCs w:val="20"/>
                <w:color w:val="auto"/>
              </w:rPr>
            </w:pPr>
            <w:r>
              <w:rPr>
                <w:rFonts w:ascii="Arial" w:cs="Arial" w:eastAsia="Arial" w:hAnsi="Arial"/>
                <w:sz w:val="14"/>
                <w:szCs w:val="14"/>
                <w:color w:val="auto"/>
              </w:rPr>
              <w:t>Note</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revenues</w:t>
            </w:r>
          </w:p>
        </w:tc>
        <w:tc>
          <w:tcPr>
            <w:tcW w:w="3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Profit before income tax expense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Net profit attributable to OptAim Limited’s ordinary shareholders</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OptAim Limited</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color w:val="auto"/>
                <w:w w:val="93"/>
              </w:rPr>
              <w:t>Series A1 convertible preferred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60" w:type="dxa"/>
            <w:vAlign w:val="bottom"/>
            <w:gridSpan w:val="2"/>
          </w:tcPr>
          <w:p>
            <w:pPr>
              <w:jc w:val="center"/>
              <w:ind w:left="637"/>
              <w:spacing w:after="0"/>
              <w:rPr>
                <w:sz w:val="20"/>
                <w:szCs w:val="20"/>
                <w:color w:val="auto"/>
              </w:rPr>
            </w:pPr>
            <w:r>
              <w:rPr>
                <w:rFonts w:ascii="Arial" w:cs="Arial" w:eastAsia="Arial" w:hAnsi="Arial"/>
                <w:sz w:val="14"/>
                <w:szCs w:val="14"/>
                <w:color w:val="auto"/>
                <w:w w:val="85"/>
              </w:rPr>
              <w:t>shares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Ordinary shares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Currency</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Statutory</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translation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Amount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Amount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Reserve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differences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(deficit)/equity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Beneficial conversion feature of Series A-</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preferred shares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Amortization of beneficial conversion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8"/>
              </w:rPr>
              <w:t>feature of Series A-1 preferred shares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(7,125)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July 23, 2015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105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Net profit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(2,857)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media costs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(4,882)</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r>
      <w:tr>
        <w:trPr>
          <w:trHeight w:val="223"/>
        </w:trPr>
        <w:tc>
          <w:tcPr>
            <w:tcW w:w="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(2,438)</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activity</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used in investing activity</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Proceeds from issuance of Series A-2 convertible redeemable preferred shares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 due to a related party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Non-cash financing activity: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Beneficial conversion feature of Series A-1 preferred shareholder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OptAim Limited (“OptAim” or the “Company”) and its subsidiaries (collectively referred to as the “Group”) are engaged in the provision of online advertising services with a focus of mobile device in the People’s Republic of China (the “PRC”) market.</w:t>
      </w:r>
    </w:p>
    <w:p>
      <w:pPr>
        <w:spacing w:after="0" w:line="62"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iClick Interactive Asia Group Limited (“Optimix”) acquired 100% equity interest of OptAim on July 24, 2015, which is considered the effective date of the acquisition for the purpose of the accompanying consolidated financial statements. The consolidated statement of comprehensive loss, of changes in shareholders’ equity and cash flows, are prepared for the period from January 1, 2015 to July 23, 2015 (the “Period”). The accompanying consolidated financial statements include the financial statements of the legal entities and variable interest entities (“VIEs”)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 of direct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Place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or indirect</w:t>
            </w: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Date of</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incorporation/</w:t>
            </w: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Principal</w:t>
            </w:r>
          </w:p>
        </w:tc>
        <w:tc>
          <w:tcPr>
            <w:tcW w:w="0" w:type="dxa"/>
            <w:vAlign w:val="bottom"/>
          </w:tcPr>
          <w:p>
            <w:pPr>
              <w:spacing w:after="0"/>
              <w:rPr>
                <w:sz w:val="1"/>
                <w:szCs w:val="1"/>
                <w:color w:val="auto"/>
              </w:rPr>
            </w:pPr>
          </w:p>
        </w:tc>
      </w:tr>
      <w:tr>
        <w:trPr>
          <w:trHeight w:val="176"/>
        </w:trPr>
        <w:tc>
          <w:tcPr>
            <w:tcW w:w="4920" w:type="dxa"/>
            <w:vAlign w:val="bottom"/>
            <w:gridSpan w:val="2"/>
          </w:tcPr>
          <w:p>
            <w:pPr>
              <w:spacing w:after="0"/>
              <w:rPr>
                <w:sz w:val="20"/>
                <w:szCs w:val="20"/>
                <w:color w:val="auto"/>
              </w:rPr>
            </w:pPr>
            <w:r>
              <w:rPr>
                <w:rFonts w:ascii="Arial" w:cs="Arial" w:eastAsia="Arial" w:hAnsi="Arial"/>
                <w:sz w:val="14"/>
                <w:szCs w:val="14"/>
                <w:color w:val="auto"/>
              </w:rPr>
              <w:t>Name</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Relationship</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ownership</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incorporation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establishment</w:t>
            </w:r>
          </w:p>
        </w:tc>
        <w:tc>
          <w:tcPr>
            <w:tcW w:w="1360" w:type="dxa"/>
            <w:vAlign w:val="bottom"/>
          </w:tcPr>
          <w:p>
            <w:pPr>
              <w:ind w:left="420"/>
              <w:spacing w:after="0"/>
              <w:rPr>
                <w:sz w:val="20"/>
                <w:szCs w:val="20"/>
                <w:color w:val="auto"/>
              </w:rPr>
            </w:pPr>
            <w:r>
              <w:rPr>
                <w:rFonts w:ascii="Arial" w:cs="Arial" w:eastAsia="Arial" w:hAnsi="Arial"/>
                <w:sz w:val="14"/>
                <w:szCs w:val="14"/>
                <w:color w:val="auto"/>
              </w:rPr>
              <w:t>activities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OptAim (HK) Limited</w:t>
            </w:r>
          </w:p>
        </w:tc>
        <w:tc>
          <w:tcPr>
            <w:tcW w:w="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Subsidiary</w:t>
            </w:r>
          </w:p>
        </w:tc>
        <w:tc>
          <w:tcPr>
            <w:tcW w:w="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0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July 2014</w:t>
            </w:r>
          </w:p>
        </w:tc>
        <w:tc>
          <w:tcPr>
            <w:tcW w:w="10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Hong Kong</w:t>
            </w:r>
          </w:p>
        </w:tc>
        <w:tc>
          <w:tcPr>
            <w:tcW w:w="10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OptAim (Beijing) Information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Subsidiary</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November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(WFOE)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15"/>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OptAim Network Technology Co., Ltd.</w:t>
            </w: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The PRC</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Zhiyunzhong (Shanghai)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VIE’s</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September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was incorporated in the Cayman Islands in July 2014.</w:t>
      </w:r>
    </w:p>
    <w:p>
      <w:pPr>
        <w:spacing w:after="0" w:line="117"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began its operations in September 2012 through Beijing OptAim Network Technology Co., Ltd. (“OptAim VIE”), a PRC domestic company established by our founders. OptAim VIE established one wholly owned subsidiary, Zhiyun Zhong (Shanghai) Technology Co., Ltd. (“Shanghai OptAim”), in September 2014.</w:t>
      </w:r>
    </w:p>
    <w:p>
      <w:pPr>
        <w:spacing w:after="0" w:line="73"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July 2014, the Group undertook a reorganization (“Restructuring”) and established the Company under the laws of the Cayman Islands; the Company established a wholly owned Hong Kong subsidiary, OptAim (HK) Limited (“OptAim HK”), which in turn established a wholly owned subsidiary in China, OptAim (Beijing) Information Technology Co., Ltd. (“OptAim WFOE”) or a wholly foreign owned enterprise (“WFOE”) of the Company.</w:t>
      </w:r>
    </w:p>
    <w:p>
      <w:pPr>
        <w:spacing w:after="0" w:line="78" w:lineRule="exact"/>
        <w:rPr>
          <w:rFonts w:ascii="Arial" w:cs="Arial" w:eastAsia="Arial" w:hAnsi="Arial"/>
          <w:sz w:val="18"/>
          <w:szCs w:val="18"/>
          <w:b w:val="1"/>
          <w:bCs w:val="1"/>
          <w:color w:val="auto"/>
        </w:rPr>
      </w:pPr>
    </w:p>
    <w:p>
      <w:pPr>
        <w:ind w:left="460"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January 15, 2015, OptAim WFOE entered into a series of contractual agreements (“VIE agreements”) amongst OptAim VIE and OptAim VIE’s legal shareholders. The Restructuring was undertaken in order to facilitate an international financing completed in January 2015 as well as to comply with relevant government regulations and policies in the PRC. Prior to the Restructuring, the Group’s founders held 100%</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of the beneficial ownership interest in OptAim VIE. In the Restructuring, the Cayman Islands entity was established with the same beneficial ownership structure as OptAim VIE. Therefore, the Group’s founders held 100% of the beneficial ownership interests in, and maintained control of, the Group immediately before and after the Restructuring.</w:t>
      </w:r>
    </w:p>
    <w:p>
      <w:pPr>
        <w:spacing w:after="0" w:line="73"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entities included in the Restructuring were under common control and the two reorganizations have been accounted for in a manner akin to a common control transaction as if the Company, through its wholly owned subsidiaries, had been in existence and been the primary beneficiary of the VIE throughout the periods presented in the consolidated financial statements.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jc w:val="both"/>
        <w:ind w:left="46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To comply with PRC laws and regulations that prohibit or restrict foreign ownership of companies that provide online advertising services, certain of the Group’s operations are conducted through OptAim VIE and its subsidiary, Shanghai OptAim. OptAim WFOE, a wholly owned subsidiary of the Company, entered into a series of contractual agreements amongst OptAim VIE and OptAim VIE’s legal shareholders.</w:t>
      </w:r>
    </w:p>
    <w:p>
      <w:pPr>
        <w:spacing w:after="0" w:line="2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relationships with OptAim VIE and its shareholders are governed by the following contractual arrangements which were entered into on January 16, 2015:</w:t>
      </w:r>
    </w:p>
    <w:p>
      <w:pPr>
        <w:spacing w:after="0" w:line="76" w:lineRule="exact"/>
        <w:rPr>
          <w:sz w:val="20"/>
          <w:szCs w:val="20"/>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Under the cooperative agreement between OptAim WFOE and OptAim VIE, OptAim WFOE has the exclusive right to provide to OptAim VIE, among others, technical consulting, technical support, business consulting, and appointment and dismissal of employees. OptAim WFOE will collect a fee from OptAim VIE to be determined at the sole discretion of Beijing OptAim. The term of this agreement will not expire unless OptAim WFOE provides prior written notice to OptAim VIE.</w:t>
      </w:r>
    </w:p>
    <w:p>
      <w:pPr>
        <w:spacing w:after="0" w:line="92" w:lineRule="exact"/>
        <w:rPr>
          <w:sz w:val="20"/>
          <w:szCs w:val="20"/>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The parties to the purchase option agreement are OptAim WFOE, OptAim VIE and each of the shareholders of OptAim VIE. Under the purchase option agreement, each of the shareholder of OptAim VIE irrevocably granted OptAim WFOE or its designated representative(s) an exclusive option to purchase, to the extent permitted under PRC law, all or part of its equity interests in OptAim VIE. OptAim WFOE or its designated representative(s) have sole discretion as to when to exercise such options, either in part or in full. Without OptAim WFOE’s prior written consent, OptAim VIE’s shareholders shall not sell, transfer, mortgage or otherwise dispose their equity interests in OptAim VIE. The agreement will not expire until all shares of OptAim VIE are transferred to OptAim WFOE or its designated representative(s).</w:t>
      </w:r>
    </w:p>
    <w:p>
      <w:pPr>
        <w:spacing w:after="0" w:line="84" w:lineRule="exact"/>
        <w:rPr>
          <w:sz w:val="20"/>
          <w:szCs w:val="20"/>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Pursuant to the irrevocable power of attorney executed by the shareholders of OptAim VIE, the shareholders of OptAim VIE appointed OptAim WFOE as its attorney-in-fact to exercise all shareholders’ rights in OptAim VIE, including, without limitation, the power to vote on all matters of OptAim VIE requiring shareholder approval under PRC laws and regulations and the articles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association of OptAim VIE. The power of attorney will remain in force until OptAim WFOE provides prior written notice to OptAim VIE.</w:t>
      </w:r>
    </w:p>
    <w:p>
      <w:pPr>
        <w:spacing w:after="0" w:line="142" w:lineRule="exact"/>
        <w:rPr>
          <w:sz w:val="20"/>
          <w:szCs w:val="20"/>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OptAim VIE, the shareholders of OptAim VIE have pledged all of their equity interests in OptAim VIE to OptAim WFOE to guarantee the performance by OptAim VIE under the cooperative agreement, purchase option agreement, and power of attorney. If OptAim VIE and/or its shareholders breach their contractual obligations under those agreements, OptAim WFOE, as pledgee, will be entitled to certain rights, including the right to sell the pledged equity interests. Under the pledge agreement, the shareholders of OptAim VIE are not able to provide any other guarantee by pledging the shares of OptAim VIE, transfer or sell their pledged shares to other individual, increase share capital of OptAim VIE or transfer or sell the assets out of OptAim VIE.</w:t>
      </w:r>
    </w:p>
    <w:p>
      <w:pPr>
        <w:spacing w:after="0" w:line="5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Through the aforementioned contractual agreements, OptAim VIE is considered a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32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the VIEs’ results of operations, assets and liabilities have been included in the Group’s consolidated financial statements.</w:t>
      </w:r>
    </w:p>
    <w:p>
      <w:pPr>
        <w:spacing w:after="0" w:line="73"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As of July 23, 2015, the total assets of OptAim VIE and its subsidiary were US$14,227, mainly comprising cash and cash equivalents, accounts receivable, prepayments and other current assets, property and equipment. As of July 23, 2015, the total liabilities of OptAim VIE and its subsidiary were US$7,439, mainly comprising deferred revenue, accrued liabilities and other current liabilities.</w:t>
      </w:r>
    </w:p>
    <w:p>
      <w:pPr>
        <w:spacing w:after="0" w:line="73"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In accordance with the aforementioned agreements, the Company has power to direct activities of OptAim VIE, and can have assets transferred out of OptAim VIE. Therefore the Company considers that there is no asset in OptAim VIE that can be used only to settle obligations of OptAim VIE, except for registered capital and PRC statutory reserves of OptAim VIE amounting to US$2,081 as of July 23, 2015. As OptAim VIE were incorporated as limited liability company under the PRC Company Law, the creditors do not have recourse to the general credit of the Company for all the liabilities of the VIEs. Currently there is no contractual arrangement that could require the Company to provide additional financial support to OptAim VIE.</w:t>
      </w:r>
    </w:p>
    <w:p>
      <w:pPr>
        <w:spacing w:after="0" w:line="5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As the Company is conducting its PRC online advertising services business through OptAim VIE, the Company will, if needed, provide such support on a discretional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believes that the contractual arrangements among OptAim VIE,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8"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OptAim VIE also depends on the power of attorney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VIEs, determination of share-based compensation, measurement of redemption value of redeemable preferred shares and impairment assessment of long-lived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 and the VIE’s subsidiary for which the Company or its subsidiary is the primary beneficiary. All transactions and balances among the Company, its subsidiaries, its VIE and the VIE’s subsidiary have been eliminated upon consolidation.</w:t>
      </w:r>
    </w:p>
    <w:p>
      <w:pPr>
        <w:spacing w:after="0" w:line="73"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4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presented in thousands of United States dollars (“US$’000”) unless otherwise stated. The Company is a holding company engaged in capital raising and financing activities denominated in US$. As such, the Company’s functional currency has been determined to be the US$. The cash flows of the Company’s non-PRC subsidiary are denominated in US$, and its functional currency has been determined to be US$. The financial records of the Company’s PRC subsidiary, VIE and its subsidiary are maintained in their local currency, the Renminbi (“RMB”), which is their functional currency.</w:t>
      </w:r>
    </w:p>
    <w:p>
      <w:pPr>
        <w:spacing w:after="0" w:line="80" w:lineRule="exact"/>
        <w:rPr>
          <w:rFonts w:ascii="Arial" w:cs="Arial" w:eastAsia="Arial" w:hAnsi="Arial"/>
          <w:sz w:val="18"/>
          <w:szCs w:val="18"/>
          <w:b w:val="1"/>
          <w:bCs w:val="1"/>
          <w:color w:val="auto"/>
        </w:rPr>
      </w:pPr>
    </w:p>
    <w:p>
      <w:pPr>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income, net”. Assets and liabilities of the Group’s subsidiaries and VIEs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62" w:lineRule="exact"/>
        <w:rPr>
          <w:rFonts w:ascii="Arial" w:cs="Arial" w:eastAsia="Arial" w:hAnsi="Arial"/>
          <w:sz w:val="18"/>
          <w:szCs w:val="18"/>
          <w:b w:val="1"/>
          <w:bCs w:val="1"/>
          <w:color w:val="auto"/>
        </w:rPr>
      </w:pPr>
    </w:p>
    <w:p>
      <w:pPr>
        <w:ind w:left="4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00"/>
          </w:cols>
          <w:pgMar w:left="240" w:top="460" w:right="2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56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Level 3 — Unobservable inputs to the valuation methodology that are significant to the measurement of the fair value of the assets or liabilities. Observable inputs are based on market data obtained from independent sources.</w:t>
      </w:r>
    </w:p>
    <w:p>
      <w:pPr>
        <w:spacing w:after="0" w:line="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accounts receivable, prepayment and other current assets, accounts payable, accrued liabilities and other current liabilities, deferred revenue and amount due to a related party, approximate to their fair value due to the short-term nature of these instruments.</w:t>
      </w:r>
    </w:p>
    <w:p>
      <w:pPr>
        <w:spacing w:after="0" w:line="326" w:lineRule="exact"/>
        <w:rPr>
          <w:sz w:val="20"/>
          <w:szCs w:val="20"/>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are also subject to measurement at fair value on a non-recurring basis if they are deemed to be impaired as a result of an impairment review. For the period from January 1, 2015 to July 23, 2015,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debtors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04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Over the shorter of lease term or 2 – 5 years</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040" w:type="dxa"/>
            <w:vAlign w:val="bottom"/>
          </w:tcPr>
          <w:p>
            <w:pPr>
              <w:ind w:left="2440"/>
              <w:spacing w:after="0"/>
              <w:rPr>
                <w:sz w:val="20"/>
                <w:szCs w:val="20"/>
                <w:color w:val="auto"/>
              </w:rPr>
            </w:pPr>
            <w:r>
              <w:rPr>
                <w:rFonts w:ascii="Arial" w:cs="Arial" w:eastAsia="Arial" w:hAnsi="Arial"/>
                <w:sz w:val="18"/>
                <w:szCs w:val="18"/>
                <w:color w:val="auto"/>
              </w:rPr>
              <w:t>2 – 5 years</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704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3 – 5 years</w:t>
            </w:r>
          </w:p>
        </w:tc>
      </w:tr>
      <w:tr>
        <w:trPr>
          <w:trHeight w:val="365"/>
        </w:trPr>
        <w:tc>
          <w:tcPr>
            <w:tcW w:w="3460" w:type="dxa"/>
            <w:vAlign w:val="bottom"/>
          </w:tcPr>
          <w:p>
            <w:pPr>
              <w:spacing w:after="0"/>
              <w:rPr>
                <w:sz w:val="24"/>
                <w:szCs w:val="24"/>
                <w:color w:val="auto"/>
              </w:rPr>
            </w:pPr>
          </w:p>
        </w:tc>
        <w:tc>
          <w:tcPr>
            <w:tcW w:w="7040" w:type="dxa"/>
            <w:vAlign w:val="bottom"/>
          </w:tcPr>
          <w:p>
            <w:pPr>
              <w:ind w:left="1620"/>
              <w:spacing w:after="0"/>
              <w:rPr>
                <w:sz w:val="20"/>
                <w:szCs w:val="20"/>
                <w:color w:val="auto"/>
              </w:rPr>
            </w:pPr>
            <w:r>
              <w:rPr>
                <w:rFonts w:ascii="Arial" w:cs="Arial" w:eastAsia="Arial" w:hAnsi="Arial"/>
                <w:sz w:val="18"/>
                <w:szCs w:val="18"/>
                <w:color w:val="auto"/>
              </w:rPr>
              <w:t>F-81</w:t>
            </w:r>
          </w:p>
        </w:tc>
      </w:tr>
    </w:tbl>
    <w:p>
      <w:pPr>
        <w:sectPr>
          <w:pgSz w:w="11900" w:h="16838" w:orient="portrait"/>
          <w:cols w:equalWidth="0" w:num="1">
            <w:col w:w="11400"/>
          </w:cols>
          <w:pgMar w:left="240" w:top="459" w:right="2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268" w:lineRule="exact"/>
        <w:rPr>
          <w:rFonts w:ascii="Arial" w:cs="Arial" w:eastAsia="Arial" w:hAnsi="Arial"/>
          <w:sz w:val="18"/>
          <w:szCs w:val="18"/>
          <w:b w:val="1"/>
          <w:bCs w:val="1"/>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For long-lived assets including property and equipment,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Customer deposits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customer deposits and recognized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advertising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(“CPMs), cost per click (“CPC”), cost per action (“CPA”), cost per sale (“CPS”), cost per lead (“CPL”) or return on investment (“ROI”) and related campaign budgets, depending on the advertisers’ preferences and their campaigns launched.</w:t>
      </w:r>
    </w:p>
    <w:p>
      <w:pPr>
        <w:spacing w:after="0" w:line="80"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cost-plus advertisement campaigns and rebates to be earned from certain website publishers, sales are valued at the amount received and receivable. Rebates and discounts granted to advertisers, along with free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 (Continued)</w:t>
      </w:r>
    </w:p>
    <w:p>
      <w:pPr>
        <w:spacing w:after="0" w:line="130"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or extended advertising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those transactions. In determining whether the Group acts as the principal or an agent, the Group follows the accounting guidance for principal-agent considerations. The determination of whether the Group is acting as a principal or an agent in a transaction involves judgment and is based on an evaluation of the terms of each arrangement. While none of the factors individually are considered presumptive or determinative, because the Group is simply facilitating the advertisers and the publishers to purchase and to sell advertising inventory and the pricing is generally restricted by the costs incurred through purchasing the advertising inventory, the Group is not the principal in these arrangements and therefore reports revenue earned and costs incurred related to these transaction on a net basis.</w:t>
      </w:r>
    </w:p>
    <w:p>
      <w:pPr>
        <w:spacing w:after="0" w:line="2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advertisers which the Group views as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Cost of revenues consists of the costs to purchase advertising space for the online advertising operations, salaries and benefits of the relevant operations and support personnel and depreciation of relevant property and equipment depreciation. The Group becomes obligated to make payments related to website publishers in the period the advertising impressions and click-through occur. Such expenses are classified as cost of revenues in the consolidated statement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and VIEs are subjected to VAT at a rate of 6%.</w:t>
      </w:r>
    </w:p>
    <w:p>
      <w:pPr>
        <w:spacing w:after="0" w:line="333" w:lineRule="exact"/>
        <w:rPr>
          <w:rFonts w:ascii="Arial" w:cs="Arial" w:eastAsia="Arial" w:hAnsi="Arial"/>
          <w:sz w:val="18"/>
          <w:szCs w:val="18"/>
          <w:b w:val="1"/>
          <w:bCs w:val="1"/>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Prepaid media costs represent prepayments for online advertising space paid by the Group to third party publishers of websites. Upon utilization, media costs are recognized in cost of revenues when the Group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00"/>
          </w:cols>
          <w:pgMar w:left="240" w:top="459" w:right="2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determined as acting as the principal. However, when the Group is determined as acting as the agent, these costs are recognized as deduction to revenue by the Group. These prepayments are classified as current considering the corresponding online advertising spaces are expected to be purchased and utilized within twelve months from the date of payments.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period from January 1, 2015 to July 23, 2015, the Company has not capitalized any costs related to internal use software.</w:t>
      </w:r>
    </w:p>
    <w:p>
      <w:pPr>
        <w:spacing w:after="0" w:line="331"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Sales and marketing expenses consist primarily of (i) advertising and market promotion expenses, and (ii) salary and welfare for sales and marketing personnel. The sales and marketing expenses amounted to US$1,150 during the period from January 1, 2015 to July 23, 2015.</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 of operations on a straight-line basis over the lease periods. The Group had no capital leases for the period from January 1, 2015 to July 23, 2015.</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 (Continued)</w:t>
      </w:r>
    </w:p>
    <w:p>
      <w:pPr>
        <w:spacing w:after="0" w:line="134"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Uncertain tax positions</w:t>
      </w:r>
    </w:p>
    <w:p>
      <w:pPr>
        <w:spacing w:after="0" w:line="117" w:lineRule="exact"/>
        <w:rPr>
          <w:rFonts w:ascii="Arial" w:cs="Arial" w:eastAsia="Arial" w:hAnsi="Arial"/>
          <w:sz w:val="18"/>
          <w:szCs w:val="18"/>
          <w:b w:val="1"/>
          <w:bCs w:val="1"/>
          <w:color w:val="auto"/>
        </w:rPr>
      </w:pPr>
    </w:p>
    <w:p>
      <w:pPr>
        <w:ind w:left="4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 and under other expenses in its statements of operations and comprehensive income. The Group did not recognize any significant interest and penalties associated with uncertain tax positions for the period from January 1, 2015 to July 23, 2015. As of July 23, 2015, the Group did not have any significant unrecognized uncertain tax positions.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460"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Option granted to employees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options granted to employee, the compensation expense is recognized using the graded-vesting attribution approach over the requisite service period, which is generally the vesting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00"/>
          </w:cols>
          <w:pgMar w:left="240" w:top="460" w:right="2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jc w:val="both"/>
        <w:ind w:left="460" w:right="7900" w:hanging="452"/>
        <w:spacing w:after="0" w:line="463" w:lineRule="auto"/>
        <w:tabs>
          <w:tab w:leader="none" w:pos="449" w:val="left"/>
        </w:tabs>
        <w:numPr>
          <w:ilvl w:val="0"/>
          <w:numId w:val="2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(Continued) </w:t>
      </w:r>
      <w:r>
        <w:rPr>
          <w:rFonts w:ascii="Arial" w:cs="Arial" w:eastAsia="Arial" w:hAnsi="Arial"/>
          <w:sz w:val="15"/>
          <w:szCs w:val="15"/>
          <w:i w:val="1"/>
          <w:iCs w:val="1"/>
          <w:color w:val="auto"/>
        </w:rPr>
        <w:t>Option granted to employees (Continued)</w:t>
      </w:r>
    </w:p>
    <w:p>
      <w:pPr>
        <w:ind w:left="460"/>
        <w:spacing w:after="0" w:line="342" w:lineRule="auto"/>
        <w:rPr>
          <w:rFonts w:ascii="Arial" w:cs="Arial" w:eastAsia="Arial" w:hAnsi="Arial"/>
          <w:sz w:val="15"/>
          <w:szCs w:val="15"/>
          <w:b w:val="1"/>
          <w:bCs w:val="1"/>
          <w:color w:val="auto"/>
        </w:rPr>
      </w:pPr>
      <w:r>
        <w:rPr>
          <w:rFonts w:ascii="Arial" w:cs="Arial" w:eastAsia="Arial" w:hAnsi="Arial"/>
          <w:sz w:val="16"/>
          <w:szCs w:val="16"/>
          <w:color w:val="auto"/>
        </w:rPr>
        <w:t>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3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modification</w:t>
      </w:r>
    </w:p>
    <w:p>
      <w:pPr>
        <w:spacing w:after="0" w:line="117" w:lineRule="exact"/>
        <w:rPr>
          <w:rFonts w:ascii="Arial" w:cs="Arial" w:eastAsia="Arial" w:hAnsi="Arial"/>
          <w:sz w:val="15"/>
          <w:szCs w:val="15"/>
          <w:b w:val="1"/>
          <w:bCs w:val="1"/>
          <w:color w:val="auto"/>
        </w:rPr>
      </w:pPr>
    </w:p>
    <w:p>
      <w:pPr>
        <w:ind w:left="460" w:right="80"/>
        <w:spacing w:after="0" w:line="297" w:lineRule="auto"/>
        <w:rPr>
          <w:rFonts w:ascii="Arial" w:cs="Arial" w:eastAsia="Arial" w:hAnsi="Arial"/>
          <w:sz w:val="15"/>
          <w:szCs w:val="15"/>
          <w:b w:val="1"/>
          <w:bCs w:val="1"/>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granted to non-employees</w:t>
      </w:r>
    </w:p>
    <w:p>
      <w:pPr>
        <w:spacing w:after="0" w:line="117" w:lineRule="exact"/>
        <w:rPr>
          <w:rFonts w:ascii="Arial" w:cs="Arial" w:eastAsia="Arial" w:hAnsi="Arial"/>
          <w:sz w:val="15"/>
          <w:szCs w:val="15"/>
          <w:b w:val="1"/>
          <w:bCs w:val="1"/>
          <w:color w:val="auto"/>
        </w:rPr>
      </w:pPr>
    </w:p>
    <w:p>
      <w:pPr>
        <w:ind w:left="460" w:right="8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2" w:lineRule="exact"/>
        <w:rPr>
          <w:rFonts w:ascii="Arial" w:cs="Arial" w:eastAsia="Arial" w:hAnsi="Arial"/>
          <w:sz w:val="15"/>
          <w:szCs w:val="15"/>
          <w:b w:val="1"/>
          <w:bCs w:val="1"/>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5"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73" w:lineRule="exact"/>
        <w:rPr>
          <w:rFonts w:ascii="Arial" w:cs="Arial" w:eastAsia="Arial" w:hAnsi="Arial"/>
          <w:sz w:val="18"/>
          <w:szCs w:val="18"/>
          <w:b w:val="1"/>
          <w:bCs w:val="1"/>
          <w:color w:val="auto"/>
        </w:rPr>
      </w:pPr>
    </w:p>
    <w:p>
      <w:pPr>
        <w:ind w:left="46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 as statutory reserves.</w:t>
      </w:r>
    </w:p>
    <w:p>
      <w:pPr>
        <w:spacing w:after="0" w:line="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There are no legal requirements in the PRC to fund these reserves by transfer of cash to restricted accounts, and the Group does not do so.</w:t>
      </w:r>
    </w:p>
    <w:p>
      <w:pPr>
        <w:spacing w:after="0" w:line="128"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380"/>
          </w:cols>
          <w:pgMar w:left="240" w:top="460" w:right="2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Dividends are recognized when declared. No dividends were declared for the period from January 1, 2015 to July 23, 2015. The Group does not have any present plan to pay any dividends on ordinary shares in the foreseeable future. The Group currently intends to retain the available funds and any future earnings to operate and expand its business.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defined as the change in shareholders’ equity of the Company during a period arising from transactions and other events and circumstances excluding transactions resulting from investments by shareholders and distributions to shareholders.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reported in the consolidated statement of comprehensive loss. Accumulated other comprehensive losses of the Group include the foreign currency translation adjustments.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400"/>
          </w:cols>
          <w:pgMar w:left="240" w:top="460" w:right="2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rFonts w:ascii="Arial" w:cs="Arial" w:eastAsia="Arial" w:hAnsi="Arial"/>
          <w:sz w:val="18"/>
          <w:szCs w:val="18"/>
          <w:b w:val="1"/>
          <w:bCs w:val="1"/>
          <w:color w:val="auto"/>
        </w:rPr>
      </w:pPr>
    </w:p>
    <w:p>
      <w:pPr>
        <w:ind w:left="4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streams in accordance with the new revenue standard to determine the impact on the Company’s consolidated financial statements. The Company plans to continue the evaluation, analysis, and documentation of its adoption of ASU 2014-09 (includes those subsequently issued updates that clarify its provisions) throughout 2017 as the Company works towards the implementation and finalize its determination of the impact that the adoption will have on its consolidated financial statements.</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interest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Group’s consolidated financial statements.</w:t>
      </w:r>
    </w:p>
    <w:p>
      <w:pPr>
        <w:spacing w:after="0" w:line="46"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 of acquisitions or disposals of assets or businesses.</w:t>
      </w:r>
    </w:p>
    <w:p>
      <w:pPr>
        <w:spacing w:after="0" w:line="70" w:lineRule="exact"/>
        <w:rPr>
          <w:rFonts w:ascii="Arial" w:cs="Arial" w:eastAsia="Arial" w:hAnsi="Arial"/>
          <w:sz w:val="18"/>
          <w:szCs w:val="18"/>
          <w:b w:val="1"/>
          <w:bCs w:val="1"/>
          <w:color w:val="auto"/>
        </w:rPr>
      </w:pPr>
    </w:p>
    <w:p>
      <w:pPr>
        <w:ind w:left="460" w:right="1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jc w:val="both"/>
        <w:ind w:left="460" w:righ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 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380"/>
          </w:cols>
          <w:pgMar w:left="240" w:top="460" w:right="2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January 1, 2017. The Group is currently evaluating the impact of adopting this standard on its consolidated financial statements.</w:t>
      </w:r>
    </w:p>
    <w:p>
      <w:pPr>
        <w:spacing w:after="0" w:line="370"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advertising businesses through contractual arrangements in the PRC since the internet and advertising services industries remain regulated. The Company conducts certain of its operations in China through its variable interest entities,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OptAim VIE;</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imposing fines, confiscating the income of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5" w:lineRule="exact"/>
        <w:rPr>
          <w:sz w:val="20"/>
          <w:szCs w:val="20"/>
          <w:color w:val="auto"/>
        </w:rPr>
      </w:pPr>
    </w:p>
    <w:p>
      <w:pPr>
        <w:ind w:left="900" w:hanging="446"/>
        <w:spacing w:after="0"/>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w:t>
      </w:r>
    </w:p>
    <w:p>
      <w:pPr>
        <w:spacing w:after="0" w:line="70"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7" w:lineRule="exact"/>
        <w:rPr>
          <w:sz w:val="20"/>
          <w:szCs w:val="20"/>
          <w:color w:val="auto"/>
        </w:rPr>
      </w:pPr>
    </w:p>
    <w:p>
      <w:pPr>
        <w:ind w:left="460" w:right="40"/>
        <w:spacing w:after="0" w:line="293" w:lineRule="auto"/>
        <w:rPr>
          <w:sz w:val="20"/>
          <w:szCs w:val="20"/>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OptAim VIE and its subsidiary excluding the intercompany items with the Company’s subsidiaries was included in the accompanying financial statements as of and for the period from January 1, 2015 to July 23, 2015:</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7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payable</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payable</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3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profit</w:t>
            </w:r>
          </w:p>
        </w:tc>
        <w:tc>
          <w:tcPr>
            <w:tcW w:w="2640" w:type="dxa"/>
            <w:vAlign w:val="bottom"/>
            <w:gridSpan w:val="5"/>
          </w:tcPr>
          <w:p>
            <w:pPr>
              <w:jc w:val="right"/>
              <w:ind w:right="6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40" w:type="dxa"/>
            <w:vAlign w:val="bottom"/>
            <w:gridSpan w:val="5"/>
          </w:tcPr>
          <w:p>
            <w:pPr>
              <w:jc w:val="center"/>
              <w:ind w:left="1615"/>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88"/>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735"/>
              <w:spacing w:after="0"/>
              <w:rPr>
                <w:sz w:val="20"/>
                <w:szCs w:val="20"/>
                <w:color w:val="auto"/>
              </w:rPr>
            </w:pPr>
            <w:r>
              <w:rPr>
                <w:rFonts w:ascii="Arial" w:cs="Arial" w:eastAsia="Arial" w:hAnsi="Arial"/>
                <w:sz w:val="14"/>
                <w:szCs w:val="14"/>
                <w:color w:val="auto"/>
                <w:w w:val="96"/>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activity</w:t>
            </w:r>
          </w:p>
        </w:tc>
        <w:tc>
          <w:tcPr>
            <w:tcW w:w="182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the VIE arrangements, the Group has power to direct activities of OptAim VIE, and can have assets transferred out of OptAim VIE.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Group considers that there is no assets of OptAim VIE can be used only to settle their obligations.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400"/>
          </w:cols>
          <w:pgMar w:left="240" w:top="459" w:right="2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dollar functional currency entities are translated into US$ using the applicable exchange rates at the balance sheet date. Items in the statements of comprehensive income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 of shareholders’ deficit.</w:t>
      </w:r>
    </w:p>
    <w:p>
      <w:pPr>
        <w:spacing w:after="0" w:line="78" w:lineRule="exact"/>
        <w:rPr>
          <w:rFonts w:ascii="Arial" w:cs="Arial" w:eastAsia="Arial" w:hAnsi="Arial"/>
          <w:sz w:val="18"/>
          <w:szCs w:val="18"/>
          <w:b w:val="1"/>
          <w:bCs w:val="1"/>
          <w:color w:val="auto"/>
        </w:rPr>
      </w:pPr>
    </w:p>
    <w:p>
      <w:pPr>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subsidiary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240"/>
        <w:spacing w:after="0" w:line="279" w:lineRule="auto"/>
        <w:rPr>
          <w:sz w:val="20"/>
          <w:szCs w:val="20"/>
          <w:color w:val="auto"/>
        </w:rPr>
      </w:pPr>
      <w:r>
        <w:rPr>
          <w:rFonts w:ascii="Arial" w:cs="Arial" w:eastAsia="Arial" w:hAnsi="Arial"/>
          <w:sz w:val="17"/>
          <w:szCs w:val="17"/>
          <w:color w:val="auto"/>
        </w:rPr>
        <w:t>The top 10 customers accounted for 55% of the net revenues for the period from January 1, 2015 to July 23, 2015 and there was one customer with net revenues accounted for 11% of the total net revenues for the period from January 1, 2015 to July 23, 2015. Prior to entering into sales agreements, the Group performs credit assessments of its customers to assess the credit history of its customers. Further, the Group has not experienced any significant bad debts with respect to its accounts receivable.</w:t>
      </w:r>
    </w:p>
    <w:p>
      <w:pPr>
        <w:spacing w:after="0" w:line="316" w:lineRule="exact"/>
        <w:rPr>
          <w:sz w:val="20"/>
          <w:szCs w:val="20"/>
          <w:color w:val="auto"/>
        </w:rPr>
      </w:pPr>
    </w:p>
    <w:p>
      <w:pPr>
        <w:ind w:left="900" w:hanging="446"/>
        <w:spacing w:after="0"/>
        <w:tabs>
          <w:tab w:leader="none" w:pos="90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right="200"/>
        <w:spacing w:after="0" w:line="264" w:lineRule="auto"/>
        <w:rPr>
          <w:sz w:val="20"/>
          <w:szCs w:val="20"/>
          <w:color w:val="auto"/>
        </w:rPr>
      </w:pPr>
      <w:r>
        <w:rPr>
          <w:rFonts w:ascii="Arial" w:cs="Arial" w:eastAsia="Arial" w:hAnsi="Arial"/>
          <w:sz w:val="18"/>
          <w:szCs w:val="18"/>
          <w:color w:val="auto"/>
        </w:rPr>
        <w:t>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3"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As of July 23, 2015, one customer accounted for 38% of the consolidated accounts receivable. The top 10 accounts receivable accounted for 85% of the total accounts receivable as of July 23, 2015. The following table summarizes the percentage of accounts receivable from third party advertisers and third party advertising agencies with over 10% of total accounts receivable:</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July 23, 2015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Third party advertisers and third party advertising agencies</w:t>
            </w:r>
          </w:p>
        </w:tc>
        <w:tc>
          <w:tcPr>
            <w:tcW w:w="262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A1</w:t>
            </w:r>
          </w:p>
        </w:tc>
        <w:tc>
          <w:tcPr>
            <w:tcW w:w="262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A3</w:t>
            </w:r>
          </w:p>
        </w:tc>
        <w:tc>
          <w:tcPr>
            <w:tcW w:w="262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350"/>
        </w:trPr>
        <w:tc>
          <w:tcPr>
            <w:tcW w:w="6060" w:type="dxa"/>
            <w:vAlign w:val="bottom"/>
          </w:tcPr>
          <w:p>
            <w:pPr>
              <w:ind w:left="4160"/>
              <w:spacing w:after="0"/>
              <w:rPr>
                <w:sz w:val="20"/>
                <w:szCs w:val="20"/>
                <w:color w:val="auto"/>
              </w:rPr>
            </w:pPr>
            <w:r>
              <w:rPr>
                <w:rFonts w:ascii="Arial" w:cs="Arial" w:eastAsia="Arial" w:hAnsi="Arial"/>
                <w:sz w:val="18"/>
                <w:szCs w:val="18"/>
                <w:color w:val="auto"/>
              </w:rPr>
              <w:t>F-93</w:t>
            </w:r>
          </w:p>
        </w:tc>
        <w:tc>
          <w:tcPr>
            <w:tcW w:w="262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900" w:hanging="446"/>
        <w:spacing w:after="0"/>
        <w:tabs>
          <w:tab w:leader="none" w:pos="90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July 23, 2015,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period from January 1, 2015 to July 23, 2015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and cash held at bank. Cash on hand and cash held at bank balance as of July 23, 2015 primarily consist of the following currencies:</w:t>
      </w:r>
    </w:p>
    <w:p>
      <w:pPr>
        <w:spacing w:after="0" w:line="193"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As of July 23, 2015</w:t>
      </w:r>
    </w:p>
    <w:p>
      <w:pPr>
        <w:ind w:left="9440"/>
        <w:spacing w:after="0" w:line="221" w:lineRule="auto"/>
        <w:rPr>
          <w:sz w:val="20"/>
          <w:szCs w:val="20"/>
          <w:color w:val="auto"/>
        </w:rPr>
      </w:pPr>
      <w:r>
        <w:rPr>
          <w:rFonts w:ascii="Arial" w:cs="Arial" w:eastAsia="Arial" w:hAnsi="Arial"/>
          <w:sz w:val="14"/>
          <w:szCs w:val="14"/>
          <w:color w:val="auto"/>
        </w:rPr>
        <w:t>US$’000</w:t>
      </w:r>
    </w:p>
    <w:p>
      <w:pPr>
        <w:ind w:left="8340"/>
        <w:spacing w:after="0"/>
        <w:tabs>
          <w:tab w:leader="none" w:pos="9380" w:val="left"/>
        </w:tabs>
        <w:rPr>
          <w:sz w:val="20"/>
          <w:szCs w:val="20"/>
          <w:color w:val="auto"/>
        </w:rPr>
      </w:pP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equivalent</w:t>
      </w:r>
    </w:p>
    <w:p>
      <w:pPr>
        <w:spacing w:after="0" w:line="1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4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7,782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w:t>
            </w:r>
          </w:p>
        </w:tc>
        <w:tc>
          <w:tcPr>
            <w:tcW w:w="4300" w:type="dxa"/>
            <w:vAlign w:val="bottom"/>
          </w:tcPr>
          <w:p>
            <w:pPr>
              <w:jc w:val="right"/>
              <w:ind w:right="490"/>
              <w:spacing w:after="0"/>
              <w:rPr>
                <w:sz w:val="20"/>
                <w:szCs w:val="20"/>
                <w:color w:val="auto"/>
              </w:rPr>
            </w:pPr>
            <w:r>
              <w:rPr>
                <w:rFonts w:ascii="Arial" w:cs="Arial" w:eastAsia="Arial" w:hAnsi="Arial"/>
                <w:sz w:val="18"/>
                <w:szCs w:val="18"/>
                <w:color w:val="auto"/>
              </w:rPr>
              <w:t>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8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1"/>
        </w:trPr>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movement in the allowance for doubtful accounts:</w:t>
      </w:r>
    </w:p>
    <w:p>
      <w:pPr>
        <w:spacing w:after="0" w:line="247"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Period from</w:t>
      </w:r>
    </w:p>
    <w:p>
      <w:pPr>
        <w:jc w:val="center"/>
        <w:ind w:left="6760"/>
        <w:spacing w:after="0" w:line="221" w:lineRule="auto"/>
        <w:rPr>
          <w:sz w:val="20"/>
          <w:szCs w:val="20"/>
          <w:color w:val="auto"/>
        </w:rPr>
      </w:pPr>
      <w:r>
        <w:rPr>
          <w:rFonts w:ascii="Arial" w:cs="Arial" w:eastAsia="Arial" w:hAnsi="Arial"/>
          <w:sz w:val="14"/>
          <w:szCs w:val="14"/>
          <w:color w:val="auto"/>
        </w:rPr>
        <w:t>January 1,</w:t>
      </w:r>
    </w:p>
    <w:p>
      <w:pPr>
        <w:jc w:val="center"/>
        <w:ind w:left="6760"/>
        <w:spacing w:after="0" w:line="221" w:lineRule="auto"/>
        <w:rPr>
          <w:sz w:val="20"/>
          <w:szCs w:val="20"/>
          <w:color w:val="auto"/>
        </w:rPr>
      </w:pPr>
      <w:r>
        <w:rPr>
          <w:rFonts w:ascii="Arial" w:cs="Arial" w:eastAsia="Arial" w:hAnsi="Arial"/>
          <w:sz w:val="14"/>
          <w:szCs w:val="14"/>
          <w:color w:val="auto"/>
        </w:rPr>
        <w:t>2015 to</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5080</wp:posOffset>
            </wp:positionV>
            <wp:extent cx="49225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beginning of year</w:t>
      </w:r>
    </w:p>
    <w:p>
      <w:pPr>
        <w:spacing w:after="0" w:line="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for the year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receivable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end of year</w:t>
      </w:r>
    </w:p>
    <w:p>
      <w:pPr>
        <w:spacing w:after="0" w:line="212"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357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20320</wp:posOffset>
            </wp:positionV>
            <wp:extent cx="4972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49720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31750</wp:posOffset>
            </wp:positionV>
            <wp:extent cx="49720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2">
            <w:col w:w="8440" w:space="720"/>
            <w:col w:w="2260"/>
          </w:cols>
          <w:pgMar w:left="240" w:top="459" w:right="239" w:bottom="1440" w:gutter="0" w:footer="0" w:header="0"/>
          <w:type w:val="continuous"/>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right="3080"/>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VAT receivables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Advances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Rental deposits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Property and equipment, net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recognized for the period from January 1, 2015 to July 23, 2015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Sales and marketing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Customer deposits</w:t>
      </w:r>
    </w:p>
    <w:p>
      <w:pPr>
        <w:spacing w:after="0" w:line="200" w:lineRule="exact"/>
        <w:rPr>
          <w:sz w:val="20"/>
          <w:szCs w:val="20"/>
          <w:color w:val="auto"/>
        </w:rPr>
      </w:pPr>
    </w:p>
    <w:p>
      <w:pPr>
        <w:spacing w:after="0" w:line="39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Customer deposits,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As of</w:t>
      </w:r>
    </w:p>
    <w:p>
      <w:pPr>
        <w:jc w:val="center"/>
        <w:ind w:right="439"/>
        <w:spacing w:after="0"/>
        <w:rPr>
          <w:sz w:val="20"/>
          <w:szCs w:val="20"/>
          <w:color w:val="auto"/>
        </w:rPr>
      </w:pPr>
      <w:r>
        <w:rPr>
          <w:rFonts w:ascii="Arial" w:cs="Arial" w:eastAsia="Arial" w:hAnsi="Arial"/>
          <w:sz w:val="13"/>
          <w:szCs w:val="13"/>
          <w:color w:val="auto"/>
        </w:rPr>
        <w:t>July 23,</w:t>
      </w:r>
    </w:p>
    <w:p>
      <w:pPr>
        <w:jc w:val="center"/>
        <w:ind w:right="43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366</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194</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80</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5715</wp:posOffset>
            </wp:positionV>
            <wp:extent cx="29146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14605</wp:posOffset>
            </wp:positionV>
            <wp:extent cx="29146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31750</wp:posOffset>
            </wp:positionV>
            <wp:extent cx="29146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As of</w:t>
      </w:r>
    </w:p>
    <w:p>
      <w:pPr>
        <w:jc w:val="center"/>
        <w:ind w:right="559"/>
        <w:spacing w:after="0" w:line="221" w:lineRule="auto"/>
        <w:rPr>
          <w:sz w:val="20"/>
          <w:szCs w:val="20"/>
          <w:color w:val="auto"/>
        </w:rPr>
      </w:pPr>
      <w:r>
        <w:rPr>
          <w:rFonts w:ascii="Arial" w:cs="Arial" w:eastAsia="Arial" w:hAnsi="Arial"/>
          <w:sz w:val="14"/>
          <w:szCs w:val="14"/>
          <w:color w:val="auto"/>
        </w:rPr>
        <w:t>July 23,</w:t>
      </w:r>
    </w:p>
    <w:p>
      <w:pPr>
        <w:jc w:val="center"/>
        <w:ind w:right="55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5715</wp:posOffset>
            </wp:positionV>
            <wp:extent cx="29146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14605</wp:posOffset>
            </wp:positionV>
            <wp:extent cx="29146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31750</wp:posOffset>
            </wp:positionV>
            <wp:extent cx="29146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Period from</w:t>
      </w:r>
    </w:p>
    <w:p>
      <w:pPr>
        <w:jc w:val="center"/>
        <w:ind w:right="679"/>
        <w:spacing w:after="0" w:line="237" w:lineRule="auto"/>
        <w:rPr>
          <w:sz w:val="20"/>
          <w:szCs w:val="20"/>
          <w:color w:val="auto"/>
        </w:rPr>
      </w:pPr>
      <w:r>
        <w:rPr>
          <w:rFonts w:ascii="Arial" w:cs="Arial" w:eastAsia="Arial" w:hAnsi="Arial"/>
          <w:sz w:val="14"/>
          <w:szCs w:val="14"/>
          <w:color w:val="auto"/>
        </w:rPr>
        <w:t>January 1,</w:t>
      </w:r>
    </w:p>
    <w:p>
      <w:pPr>
        <w:jc w:val="center"/>
        <w:ind w:right="679"/>
        <w:spacing w:after="0" w:line="222" w:lineRule="auto"/>
        <w:rPr>
          <w:sz w:val="20"/>
          <w:szCs w:val="20"/>
          <w:color w:val="auto"/>
        </w:rPr>
      </w:pPr>
      <w:r>
        <w:rPr>
          <w:rFonts w:ascii="Arial" w:cs="Arial" w:eastAsia="Arial" w:hAnsi="Arial"/>
          <w:sz w:val="14"/>
          <w:szCs w:val="14"/>
          <w:color w:val="auto"/>
        </w:rPr>
        <w:t>2015 to</w:t>
      </w:r>
    </w:p>
    <w:p>
      <w:pPr>
        <w:jc w:val="center"/>
        <w:ind w:right="679"/>
        <w:spacing w:after="0" w:line="221" w:lineRule="auto"/>
        <w:rPr>
          <w:sz w:val="20"/>
          <w:szCs w:val="20"/>
          <w:color w:val="auto"/>
        </w:rPr>
      </w:pPr>
      <w:r>
        <w:rPr>
          <w:rFonts w:ascii="Arial" w:cs="Arial" w:eastAsia="Arial" w:hAnsi="Arial"/>
          <w:sz w:val="14"/>
          <w:szCs w:val="14"/>
          <w:color w:val="auto"/>
        </w:rPr>
        <w:t>July 23,</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57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457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4457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As of</w:t>
      </w:r>
    </w:p>
    <w:p>
      <w:pPr>
        <w:jc w:val="center"/>
        <w:ind w:right="499"/>
        <w:spacing w:after="0" w:line="221" w:lineRule="auto"/>
        <w:rPr>
          <w:sz w:val="20"/>
          <w:szCs w:val="20"/>
          <w:color w:val="auto"/>
        </w:rPr>
      </w:pPr>
      <w:r>
        <w:rPr>
          <w:rFonts w:ascii="Arial" w:cs="Arial" w:eastAsia="Arial" w:hAnsi="Arial"/>
          <w:sz w:val="14"/>
          <w:szCs w:val="14"/>
          <w:color w:val="auto"/>
        </w:rPr>
        <w:t>July 23,</w:t>
      </w:r>
    </w:p>
    <w:p>
      <w:pPr>
        <w:jc w:val="center"/>
        <w:ind w:right="49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19685</wp:posOffset>
            </wp:positionV>
            <wp:extent cx="30861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36830</wp:posOffset>
            </wp:positionV>
            <wp:extent cx="3086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ectPr>
          <w:pgSz w:w="11900" w:h="16838" w:orient="portrait"/>
          <w:cols w:equalWidth="0" w:num="2">
            <w:col w:w="8680" w:space="160"/>
            <w:col w:w="1379"/>
          </w:cols>
          <w:pgMar w:left="240" w:top="459" w:right="1440"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current liabilities</w:t>
      </w:r>
    </w:p>
    <w:p>
      <w:pPr>
        <w:spacing w:after="0" w:line="1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4660" w:type="dxa"/>
            <w:vAlign w:val="bottom"/>
          </w:tcPr>
          <w:p>
            <w:pPr>
              <w:spacing w:after="0"/>
              <w:rPr>
                <w:sz w:val="12"/>
                <w:szCs w:val="12"/>
                <w:color w:val="auto"/>
              </w:rPr>
            </w:pPr>
          </w:p>
        </w:tc>
        <w:tc>
          <w:tcPr>
            <w:tcW w:w="310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4660" w:type="dxa"/>
            <w:vAlign w:val="bottom"/>
          </w:tcPr>
          <w:p>
            <w:pPr>
              <w:spacing w:after="0"/>
              <w:rPr>
                <w:sz w:val="15"/>
                <w:szCs w:val="15"/>
                <w:color w:val="auto"/>
              </w:rPr>
            </w:pPr>
          </w:p>
        </w:tc>
        <w:tc>
          <w:tcPr>
            <w:tcW w:w="3040" w:type="dxa"/>
            <w:vAlign w:val="bottom"/>
            <w:gridSpan w:val="2"/>
          </w:tcPr>
          <w:p>
            <w:pPr>
              <w:jc w:val="center"/>
              <w:ind w:left="2497"/>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preference shares</w:t>
      </w:r>
    </w:p>
    <w:p>
      <w:pPr>
        <w:spacing w:after="0" w:line="121" w:lineRule="exact"/>
        <w:rPr>
          <w:rFonts w:ascii="Arial" w:cs="Arial" w:eastAsia="Arial" w:hAnsi="Arial"/>
          <w:sz w:val="18"/>
          <w:szCs w:val="18"/>
          <w:b w:val="1"/>
          <w:bCs w:val="1"/>
          <w:color w:val="auto"/>
        </w:rPr>
      </w:pPr>
    </w:p>
    <w:p>
      <w:pPr>
        <w:ind w:left="460" w:right="432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As of July 23, 2015, the Company had 25,000,000 Series A-1 preferred shares outstanding. The key terms of Series A-1 preferred shares are as follows: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Series A-1 preferred shares is entitled to participate in any dividend pari passu with ordinary shareholders of the Company on an as-converted basis.</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the Series A-1 preferred shares shall be entitled to such number of votes equal to the whole number of ordinary shares into which such Series A-1 preferred shares are convertible.</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the event of any liquidation, dissolution or winding up of the Company, either voluntary or involuntary, after the payment of Series A-2 Preference Amount has been made in full, the holders of the Series A-1 preferred shares shall be entitled to receive, prior and in preference to the remaining assets and funds of the Company available for distribution to the holders of ordinary shares by reason of their ownership of such shares, the amount equal to 100% of the Series A-1 preferred shares issue price for each Series A-1 preferred shares (adjusted for share splits, share dividends, combinations, recapitalizations and similar events with respect to such shares), plus all declared but unpaid dividends and distributions on such Series A-1 preferred shares (collectively, the “Series A-1 Preference Amount”). If the remaining assets and funds thus distributed to the holder of the Series A-1 preferred shares shall be insufficient to permit the payment to such holders of the full Series A-1 Preference Amount, then the entire remaining assets and funds of the Company legally available for distribution shall be distributed ratably to the holder of the Series A-1 preferred shares in proportion to the Series A-1 Preference Amount that such holder is otherwise entitled to receive.</w:t>
      </w:r>
    </w:p>
    <w:p>
      <w:pPr>
        <w:spacing w:after="0" w:line="73"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payment of Series A-2 Preference Amount and Series A-1 Preference mount have been made in full, the remaining assets and funds of the Company available for distribution shall be distributed among all holders of ordinary shares and Series A-1 preferred shares on a pro rata and as-converted basis.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360"/>
          </w:cols>
          <w:pgMar w:left="240" w:top="459" w:right="29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7680" w:hanging="452"/>
        <w:spacing w:after="0" w:line="385" w:lineRule="auto"/>
        <w:tabs>
          <w:tab w:leader="none" w:pos="449"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preference shares (Continued) </w:t>
      </w:r>
      <w:r>
        <w:rPr>
          <w:rFonts w:ascii="Arial" w:cs="Arial" w:eastAsia="Arial" w:hAnsi="Arial"/>
          <w:sz w:val="18"/>
          <w:szCs w:val="18"/>
          <w:i w:val="1"/>
          <w:iCs w:val="1"/>
          <w:color w:val="auto"/>
        </w:rPr>
        <w:t>Conversion rights</w:t>
      </w:r>
    </w:p>
    <w:p>
      <w:pPr>
        <w:spacing w:after="0" w:line="1" w:lineRule="exact"/>
        <w:rPr>
          <w:rFonts w:ascii="Arial" w:cs="Arial" w:eastAsia="Arial" w:hAnsi="Arial"/>
          <w:sz w:val="18"/>
          <w:szCs w:val="18"/>
          <w:b w:val="1"/>
          <w:bCs w:val="1"/>
          <w:color w:val="auto"/>
        </w:rPr>
      </w:pPr>
    </w:p>
    <w:p>
      <w:pPr>
        <w:ind w:left="46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A-1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A-1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73"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Series A-1 preferred shares did not contain any redemption feature, they would be classified within permanent equity. Furthermore, at the time of issuance, the Series A-1 preferred shares contained a beneficial conversion feature of US$7,125 and the amount was charged to additional paid-in capital as a deemed dividend.</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Memorandum and Articles of Association authorizes the Company to issue 250,000,000 shares of US$0.0002 par value per ordinary share as of July 23, 2015.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the Series A-1 and A-2 preferred shares representing a majority of the aggregate voting power of all outstanding shares. As of July 23, 2015, there were 55,000,000 ordinary shares outstanding, respectively.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121" w:lineRule="exact"/>
        <w:rPr>
          <w:rFonts w:ascii="Arial" w:cs="Arial" w:eastAsia="Arial" w:hAnsi="Arial"/>
          <w:sz w:val="18"/>
          <w:szCs w:val="18"/>
          <w:b w:val="1"/>
          <w:bCs w:val="1"/>
          <w:color w:val="auto"/>
        </w:rPr>
      </w:pPr>
    </w:p>
    <w:p>
      <w:pPr>
        <w:jc w:val="both"/>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January 16, 2015, the Company entered into an agreement (“Series A-2 Agreement”) to issue Series A-2 preferred shares to a third-party investor (“Investor A-2”) for a total cash consideration of US$3,500. Accordingly, the Company issued 15,909,091 Series A-2 preferred shares at US$0.22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A-2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holders of the Series A-2 are entitled to participate in any dividend pari passu with ordinary shareholders of the Company on an as-converted basis.</w:t>
      </w:r>
    </w:p>
    <w:p>
      <w:pPr>
        <w:spacing w:after="0" w:line="35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the Series A-2 preferred shares shall be entitled to such number of votes equal to the whole number of ordinary shares into which such Series A-2 preferred shares are convertible.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400"/>
          </w:cols>
          <w:pgMar w:left="240" w:top="459" w:right="2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00" w:hanging="452"/>
        <w:spacing w:after="0" w:line="385" w:lineRule="auto"/>
        <w:tabs>
          <w:tab w:leader="none" w:pos="449"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w:t>
      </w:r>
    </w:p>
    <w:p>
      <w:pPr>
        <w:spacing w:after="0" w:line="1"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of a liquidating transaction as defined in the Company’s Memorandum and Articles of Association, the holders of Series A-2 preferred shares are entitled to receive an amount equal to 120% of the issue price as defined in the Company’s Memorandum and Articles of Association (adjusted for share splits, share dividends, combinations, recapitalizations and similar events with respect to such shares), plus all declared but unpaid dividend and distributions on such Series A-2 preferred shares. If the assets of the Company shall be insufficient to make the payment of the amount in full, then the assets of the Company shall be distributed ratably to the holders of preferred shares in proportion to the amount each holder would otherwise be entitled to receive.</w:t>
      </w:r>
    </w:p>
    <w:p>
      <w:pPr>
        <w:spacing w:after="0" w:line="85"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After the full amount has been paid to holders of Series A-1 and Series A-2, any remaining funds or assets of the Company legally available for distribution shall be distributed pro rata among the holders of preferred shares on an as-converted basis together with the holders of the ordinary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A-2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addition, each share of the Series A-2 preferred shares would automatically be converted into ordinary shares of the Company (i) upon the closing of an initial public offering of the Company’s shares or (ii) upon the election of holders of at least a majority of Series A-2 preferred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Series A-2 preferred shares are redeemable at any time after the 7th anniversary of the closing of sale and purchase of the Series A-2 Agreement. The redemption price for Series A-2 shares is equal to 150% of the original issue price (plus all declared but unpaid dividends).</w:t>
      </w:r>
    </w:p>
    <w:p>
      <w:pPr>
        <w:spacing w:after="0" w:line="38"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A-2 preferred shares should be classified as mezzanine equity after considering the features of the preferred shares as described above.</w:t>
      </w:r>
    </w:p>
    <w:p>
      <w:pPr>
        <w:spacing w:after="0" w:line="62"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that conversion and redemption features embedded in the preferred shares are not required to be bifurcated and accounted for as derivatives, as the economic characteristics and risks of the embedded conversion and redemption features are clearly and closely related to that of the preferred shares. The preferred shares are not readily convertible into cash as there is not a market mechanism in place for trading of the Company’s shares.</w:t>
      </w:r>
    </w:p>
    <w:p>
      <w:pPr>
        <w:spacing w:after="0" w:line="78"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Due to the redemption features described above with respect to Series A-2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380"/>
          </w:cols>
          <w:pgMar w:left="240" w:top="460" w:right="2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720" w:hanging="452"/>
        <w:spacing w:after="0" w:line="391" w:lineRule="auto"/>
        <w:tabs>
          <w:tab w:leader="none" w:pos="449"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A-2</w:t>
      </w:r>
    </w:p>
    <w:tbl>
      <w:tblPr>
        <w:tblLayout w:type="fixed"/>
        <w:tblInd w:w="18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60" w:type="dxa"/>
            <w:vAlign w:val="bottom"/>
            <w:gridSpan w:val="3"/>
          </w:tcPr>
          <w:p>
            <w:pPr>
              <w:jc w:val="center"/>
              <w:ind w:left="2362"/>
              <w:spacing w:after="0" w:line="149" w:lineRule="exact"/>
              <w:rPr>
                <w:sz w:val="20"/>
                <w:szCs w:val="20"/>
                <w:color w:val="auto"/>
              </w:rPr>
            </w:pPr>
            <w:r>
              <w:rPr>
                <w:rFonts w:ascii="Arial" w:cs="Arial" w:eastAsia="Arial" w:hAnsi="Arial"/>
                <w:sz w:val="14"/>
                <w:szCs w:val="14"/>
                <w:color w:val="auto"/>
                <w:w w:val="96"/>
              </w:rPr>
              <w:t>Period from</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200" w:type="dxa"/>
            <w:vAlign w:val="bottom"/>
            <w:gridSpan w:val="2"/>
          </w:tcPr>
          <w:p>
            <w:pPr>
              <w:jc w:val="center"/>
              <w:ind w:left="2402"/>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Issuance of preferred shares</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The Company assessed beneficial conversion feature attributable to the Series A-2 preferred shares and determined that there was a beneficial conversion feature with an amount of US$1,973, which was bifurcated from the carrying value of Series A-2 preferred shares as a contribution to additional paid-in capital upon issuance of Series A-2 preferred shares. The discount of US$1,973 resulting from the recognition of the beneficial conversion feature will be amortized from the date of the issuance to the first redemption date of the Series A-2 preferred shares as a deemed dividend to preferred shareholders and charged against retained earnings, and in the absence of retained earnings, a charge to additional paid-in capital.</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w:t>
      </w:r>
    </w:p>
    <w:p>
      <w:pPr>
        <w:spacing w:after="0" w:line="135" w:lineRule="exact"/>
        <w:rPr>
          <w:sz w:val="20"/>
          <w:szCs w:val="20"/>
          <w:color w:val="auto"/>
        </w:rPr>
      </w:pPr>
    </w:p>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The Company’s share option plan provides for the grant of incentive share options to the Company’s employees, officers, directors or consultants. The Company’s board of directors administers the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20"/>
        <w:spacing w:after="0" w:line="264" w:lineRule="auto"/>
        <w:rPr>
          <w:rFonts w:ascii="Arial" w:cs="Arial" w:eastAsia="Arial" w:hAnsi="Arial"/>
          <w:sz w:val="18"/>
          <w:szCs w:val="18"/>
          <w:color w:val="auto"/>
        </w:rPr>
      </w:pPr>
      <w:r>
        <w:rPr>
          <w:rFonts w:ascii="Arial" w:cs="Arial" w:eastAsia="Arial" w:hAnsi="Arial"/>
          <w:sz w:val="18"/>
          <w:szCs w:val="18"/>
          <w:color w:val="auto"/>
        </w:rPr>
        <w:t>During the period from January 1, 2015 to July 23, 2015, the Company granted share options to employees, officers and directors of the Group. These options were granted with exercise prices denominated in the US$ ,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5"/>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35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5"/>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462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20"/>
                <w:szCs w:val="20"/>
                <w:color w:val="auto"/>
              </w:rPr>
            </w:pPr>
            <w:r>
              <w:rPr>
                <w:rFonts w:ascii="Arial" w:cs="Arial" w:eastAsia="Arial" w:hAnsi="Arial"/>
                <w:sz w:val="14"/>
                <w:szCs w:val="14"/>
                <w:color w:val="auto"/>
              </w:rPr>
              <w:t>Grant Date</w:t>
            </w:r>
          </w:p>
        </w:tc>
        <w:tc>
          <w:tcPr>
            <w:tcW w:w="4620" w:type="dxa"/>
            <w:vAlign w:val="bottom"/>
          </w:tcPr>
          <w:p>
            <w:pPr>
              <w:jc w:val="right"/>
              <w:ind w:right="313"/>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3"/>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5"/>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 (Note i)</w:t>
            </w:r>
          </w:p>
        </w:tc>
        <w:tc>
          <w:tcPr>
            <w:tcW w:w="4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January 16, 2015 (Note i)</w:t>
            </w:r>
          </w:p>
        </w:tc>
        <w:tc>
          <w:tcPr>
            <w:tcW w:w="4620" w:type="dxa"/>
            <w:vAlign w:val="bottom"/>
          </w:tcPr>
          <w:p>
            <w:pPr>
              <w:jc w:val="right"/>
              <w:ind w:right="113"/>
              <w:spacing w:after="0"/>
              <w:rPr>
                <w:sz w:val="20"/>
                <w:szCs w:val="20"/>
                <w:color w:val="auto"/>
              </w:rPr>
            </w:pPr>
            <w:r>
              <w:rPr>
                <w:rFonts w:ascii="Arial" w:cs="Arial" w:eastAsia="Arial" w:hAnsi="Arial"/>
                <w:sz w:val="18"/>
                <w:szCs w:val="18"/>
                <w:color w:val="auto"/>
              </w:rPr>
              <w:t>300,000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0.010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ii)</w:t>
            </w:r>
          </w:p>
        </w:tc>
        <w:tc>
          <w:tcPr>
            <w:tcW w:w="4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1,760,000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February 1, 2015 (Note iii)</w:t>
            </w:r>
          </w:p>
        </w:tc>
        <w:tc>
          <w:tcPr>
            <w:tcW w:w="4620" w:type="dxa"/>
            <w:vAlign w:val="bottom"/>
          </w:tcPr>
          <w:p>
            <w:pPr>
              <w:jc w:val="right"/>
              <w:ind w:right="113"/>
              <w:spacing w:after="0"/>
              <w:rPr>
                <w:sz w:val="20"/>
                <w:szCs w:val="20"/>
                <w:color w:val="auto"/>
              </w:rPr>
            </w:pPr>
            <w:r>
              <w:rPr>
                <w:rFonts w:ascii="Arial" w:cs="Arial" w:eastAsia="Arial" w:hAnsi="Arial"/>
                <w:sz w:val="18"/>
                <w:szCs w:val="18"/>
                <w:color w:val="auto"/>
              </w:rPr>
              <w:t>550,000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2.00</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iv)</w:t>
            </w:r>
          </w:p>
        </w:tc>
        <w:tc>
          <w:tcPr>
            <w:tcW w:w="4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February 1, 2015 (Note v)</w:t>
            </w:r>
          </w:p>
        </w:tc>
        <w:tc>
          <w:tcPr>
            <w:tcW w:w="4620" w:type="dxa"/>
            <w:vAlign w:val="bottom"/>
          </w:tcPr>
          <w:p>
            <w:pPr>
              <w:jc w:val="right"/>
              <w:ind w:right="113"/>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w:t>
            </w:r>
          </w:p>
        </w:tc>
        <w:tc>
          <w:tcPr>
            <w:tcW w:w="4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February 1, 2015 (Note vi)</w:t>
            </w:r>
          </w:p>
        </w:tc>
        <w:tc>
          <w:tcPr>
            <w:tcW w:w="4620" w:type="dxa"/>
            <w:vAlign w:val="bottom"/>
          </w:tcPr>
          <w:p>
            <w:pPr>
              <w:jc w:val="right"/>
              <w:ind w:right="113"/>
              <w:spacing w:after="0"/>
              <w:rPr>
                <w:sz w:val="20"/>
                <w:szCs w:val="20"/>
                <w:color w:val="auto"/>
              </w:rPr>
            </w:pPr>
            <w:r>
              <w:rPr>
                <w:rFonts w:ascii="Arial" w:cs="Arial" w:eastAsia="Arial" w:hAnsi="Arial"/>
                <w:sz w:val="18"/>
                <w:szCs w:val="18"/>
                <w:color w:val="auto"/>
              </w:rPr>
              <w:t>250,000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2.50</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w:t>
            </w:r>
          </w:p>
        </w:tc>
        <w:tc>
          <w:tcPr>
            <w:tcW w:w="4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February 1, 2015 (Note viii)</w:t>
            </w:r>
          </w:p>
        </w:tc>
        <w:tc>
          <w:tcPr>
            <w:tcW w:w="462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viii)</w:t>
            </w:r>
          </w:p>
        </w:tc>
        <w:tc>
          <w:tcPr>
            <w:tcW w:w="4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4620" w:type="dxa"/>
            <w:vAlign w:val="bottom"/>
          </w:tcPr>
          <w:p>
            <w:pPr>
              <w:jc w:val="right"/>
              <w:ind w:right="2673"/>
              <w:spacing w:after="0"/>
              <w:rPr>
                <w:sz w:val="20"/>
                <w:szCs w:val="20"/>
                <w:color w:val="auto"/>
              </w:rPr>
            </w:pPr>
            <w:r>
              <w:rPr>
                <w:rFonts w:ascii="Arial" w:cs="Arial" w:eastAsia="Arial" w:hAnsi="Arial"/>
                <w:sz w:val="18"/>
                <w:szCs w:val="18"/>
                <w:color w:val="auto"/>
              </w:rPr>
              <w:t>F-99</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4"/>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4"/>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4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312"/>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3"/>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4"/>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970,000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3.33</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xiv)</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3.83</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15, 2015 (Note xvi)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March 15, 2015 (Note xviii)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April 2, 2015 (Note xix)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June 1, 2015 (Note xx)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3,950,000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July 1, 2015 (Note xxi)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553,000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July 1, 2015 (Note xxii)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35,000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820" w:type="dxa"/>
            <w:vAlign w:val="bottom"/>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120" w:right="80" w:hanging="666"/>
        <w:spacing w:after="0" w:line="264" w:lineRule="auto"/>
        <w:tabs>
          <w:tab w:leader="none" w:pos="11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25% of the options were vested on January 1, 2016 and the remaining 75% of the options are vested over a 3-year period starting from January 1, 2016 to January 15, 2019. The holders of the options are entitled to exercise the vested options until the expiration date — January 15,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25% of the options were vested on February 1, 2016 and the remaining 75% of the options are vested over a 3-year period starting February 1, 2016 to January 31, 2019.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50% of the options were vested on February 1, 2015 and the remaining 50% of the options are vested over a 2-year period starting February 1, 2015 to January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180" w:hanging="666"/>
        <w:spacing w:after="0" w:line="264" w:lineRule="auto"/>
        <w:tabs>
          <w:tab w:leader="none" w:pos="11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43.75% of the options were vested on February 1, 2016 and the remaining 56.25% of the options are vested over a 2.25-year period starting February 1, 2016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20" w:hanging="666"/>
        <w:spacing w:after="0" w:line="264" w:lineRule="auto"/>
        <w:tabs>
          <w:tab w:leader="none" w:pos="11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39.6% of the options were vested on February 1, 2015 and the remaining 60.4% of the options are vested over a 2.42-year period starting February 1, 2015 to June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40" w:hanging="666"/>
        <w:spacing w:after="0" w:line="264" w:lineRule="auto"/>
        <w:tabs>
          <w:tab w:leader="none" w:pos="11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37.5% of the options were vested on February 1, 2015 and the remaining 62.5% of the options are vested over a 2.50-year period starting February 1, 2015 to July 31, 2017. The holders of the options are entitled to exercise the vested options until the expiration date — January 31,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400"/>
          </w:cols>
          <w:pgMar w:left="240" w:top="460" w:right="2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1120" w:right="240" w:hanging="666"/>
        <w:spacing w:after="0" w:line="264"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31.25% of the options were vested on February 1, 2015 and the remaining 68.75% of the options are vested over a 2.75-year period starting February 1, 2015 to October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420" w:hanging="666"/>
        <w:spacing w:after="0" w:line="264"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29.2% of the options were vested on February 1, 2015 and the remaining 70.8% of the options are vested over a 2.83-year period starting February 1, 2015 to November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440" w:hanging="666"/>
        <w:spacing w:after="0" w:line="264"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27% of the options were vested on February 1, 2015 and the remaining 73% of the options are vested over a 2.92-year period starting February 1, 2015 to December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180" w:hanging="666"/>
        <w:spacing w:after="0" w:line="264"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25% of the options were vested on April 1, 2015 and the remaining 75% of the options are vested over a 3-year period starting April 1, 2015 to March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25% of the options were vested on May 1, 2015 and the remaining 75% of the options are vested over a 3-year period starting May 1, 2015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25% of the options were vested on June 1, 2015 and the remaining 75% of the options are vested over a 3-year period starting June 1, 2015 to May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25% of the options were vested on August 1, 2015 and the remaining 75% of the options are vested over a 3-year period starting August 1, 2015 to July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320" w:hanging="666"/>
        <w:spacing w:after="0" w:line="264"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25% of the options were vested on December 1, 2015 and the remaining 75% of the options are vested over a 3-year period starting December 1, 2015 to November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43.75% of the options were vested on February 15, 2015 and the remaining 56.25% of the options are vested over a 2.25-year period starting February 15, 2015 to May 14, 2017.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25% of the options were vested on April 15, 2015 and the remaining 75% of the options are vested over a 3-year period starting April 15, 2015 to April 14, 2018.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580" w:hanging="666"/>
        <w:spacing w:after="0" w:line="264"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25% of the options were vested on October 15, 2015 and the remaining 75% of the options are vested over a 3-year period starting October 15, 2015 to October 14, 2018. The holders of the options are entitled to exercise the vested options until the expiration date — February 14,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jc w:val="both"/>
        <w:ind w:left="1120" w:right="120" w:hanging="666"/>
        <w:spacing w:after="0" w:line="264" w:lineRule="auto"/>
        <w:tabs>
          <w:tab w:leader="none" w:pos="11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25% of the options were vested on March 15, 2016 and the remaining 75% of the options are vested over a 3-year period starting March 15, 2016 to March 14, 2019. The holders of the options are entitled to exercise the vested options until the expiration date — March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25% of the options were vested on April 2, 2016 and the remaining 75% of the options are vested over a 3-year period starting April 2, 2016 to April 1, 2019. The holders of the options are entitled to exercise the vested options until the expiration date — April 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25% of the options were vested on June 1, 2016 and the remaining 75% of the options are vested over a 3-year period starting June 1, 2016 to May 31, 2019. The holders of the options are entitled to exercise the vested options until the expiration date — May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25% of the options were vested on July 1, 2016 and the remaining 75% of the options are vested over a 3-year period starting July 1, 2016 to June 30, 2019. The holders of the options are entitled to exercise the vested options until the expiration date — June 30, 2025 of the share options.</w:t>
      </w:r>
    </w:p>
    <w:p>
      <w:pPr>
        <w:spacing w:after="0" w:line="86" w:lineRule="exact"/>
        <w:rPr>
          <w:rFonts w:ascii="Arial" w:cs="Arial" w:eastAsia="Arial" w:hAnsi="Arial"/>
          <w:sz w:val="18"/>
          <w:szCs w:val="18"/>
          <w:color w:val="auto"/>
        </w:rPr>
      </w:pPr>
    </w:p>
    <w:p>
      <w:pPr>
        <w:ind w:left="1120" w:right="160" w:hanging="666"/>
        <w:spacing w:after="0" w:line="264" w:lineRule="auto"/>
        <w:tabs>
          <w:tab w:leader="none" w:pos="11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25% of the options were vested on August 1, 2016 and the remaining 75% of the options are vested over a 3-year period starting August 1, 2016 to July 31, 2019. The holders of the options are entitled to exercise the vested options until the expiration date — June 30, 2025 of the share options.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share option activity for the period from January 1, 2015 to July 23,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4"/>
              </w:rPr>
              <w:t>Weighted</w:t>
            </w:r>
          </w:p>
        </w:tc>
        <w:tc>
          <w:tcPr>
            <w:tcW w:w="92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6"/>
              </w:rPr>
              <w:t>average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grant date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exercise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fair value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price (US$)</w:t>
            </w:r>
          </w:p>
        </w:tc>
        <w:tc>
          <w:tcPr>
            <w:tcW w:w="9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0.085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0.3455</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July 23,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0.0850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0.3455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0% for employees and 0% for senior management during the period.</w:t>
      </w:r>
    </w:p>
    <w:p>
      <w:pPr>
        <w:spacing w:after="0" w:line="73"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July 23, 2015 and the exercise price.</w:t>
      </w:r>
    </w:p>
    <w:p>
      <w:pPr>
        <w:spacing w:after="0" w:line="62"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All share-based payments to employees are measured based on their grant-date fair values. Compensation expense is recognized based on the vesting schedule over the requisite service period. Total fair values of options vested and recognized as expenses as of July 23, 2015 were US$597.</w:t>
      </w:r>
    </w:p>
    <w:p>
      <w:pPr>
        <w:spacing w:after="0" w:line="16"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As of July 23, 2015, there were US$4,296 of unrecognized share-based compensation expenses related to share options, which were expected to be recognized over a weighted-average vesting period of 3.27 years. To the extent the actual forfeiture rate is different from the Company’s estimate, the actual share-based compensation related to these awards may be different from the expectation.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340"/>
          </w:cols>
          <w:pgMar w:left="240" w:top="459" w:right="31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period from January 1, 2015 to July 23, 2015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96"/>
              </w:rPr>
              <w:t>Risk-free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w w:val="99"/>
              </w:rPr>
              <w:t>Dividend</w:t>
            </w:r>
          </w:p>
        </w:tc>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Volatility</w:t>
            </w:r>
          </w:p>
        </w:tc>
        <w:tc>
          <w:tcPr>
            <w:tcW w:w="880" w:type="dxa"/>
            <w:vAlign w:val="bottom"/>
          </w:tcPr>
          <w:p>
            <w:pPr>
              <w:jc w:val="right"/>
              <w:ind w:right="117"/>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89"/>
              </w:rPr>
              <w:t>interest rate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rPr>
              <w:t>yield</w:t>
            </w:r>
          </w:p>
        </w:tc>
        <w:tc>
          <w:tcPr>
            <w:tcW w:w="1260" w:type="dxa"/>
            <w:vAlign w:val="bottom"/>
          </w:tcPr>
          <w:p>
            <w:pPr>
              <w:ind w:left="440"/>
              <w:spacing w:after="0" w:line="149" w:lineRule="exact"/>
              <w:rPr>
                <w:sz w:val="20"/>
                <w:szCs w:val="20"/>
                <w:color w:val="auto"/>
              </w:rPr>
            </w:pPr>
            <w:r>
              <w:rPr>
                <w:rFonts w:ascii="Arial" w:cs="Arial" w:eastAsia="Arial" w:hAnsi="Arial"/>
                <w:sz w:val="14"/>
                <w:szCs w:val="14"/>
                <w:color w:val="auto"/>
              </w:rPr>
              <w:t>rate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3660" w:type="dxa"/>
            <w:vAlign w:val="bottom"/>
          </w:tcPr>
          <w:p>
            <w:pPr>
              <w:spacing w:after="0"/>
              <w:rPr>
                <w:sz w:val="20"/>
                <w:szCs w:val="20"/>
                <w:color w:val="auto"/>
              </w:rPr>
            </w:pPr>
            <w:r>
              <w:rPr>
                <w:rFonts w:ascii="Arial" w:cs="Arial" w:eastAsia="Arial" w:hAnsi="Arial"/>
                <w:sz w:val="14"/>
                <w:szCs w:val="14"/>
                <w:color w:val="auto"/>
              </w:rPr>
              <w:t>Grant Date</w:t>
            </w:r>
          </w:p>
        </w:tc>
        <w:tc>
          <w:tcPr>
            <w:tcW w:w="3440" w:type="dxa"/>
            <w:vAlign w:val="bottom"/>
          </w:tcPr>
          <w:p>
            <w:pPr>
              <w:jc w:val="center"/>
              <w:ind w:left="1815"/>
              <w:spacing w:after="0"/>
              <w:rPr>
                <w:sz w:val="20"/>
                <w:szCs w:val="20"/>
                <w:color w:val="auto"/>
              </w:rPr>
            </w:pPr>
            <w:r>
              <w:rPr>
                <w:rFonts w:ascii="Arial" w:cs="Arial" w:eastAsia="Arial" w:hAnsi="Arial"/>
                <w:sz w:val="14"/>
                <w:szCs w:val="14"/>
                <w:color w:val="auto"/>
              </w:rPr>
              <w:t>(Note i)</w:t>
            </w:r>
          </w:p>
        </w:tc>
        <w:tc>
          <w:tcPr>
            <w:tcW w:w="1260" w:type="dxa"/>
            <w:vAlign w:val="bottom"/>
          </w:tcPr>
          <w:p>
            <w:pPr>
              <w:jc w:val="center"/>
              <w:ind w:right="75"/>
              <w:spacing w:after="0"/>
              <w:rPr>
                <w:sz w:val="20"/>
                <w:szCs w:val="20"/>
                <w:color w:val="auto"/>
              </w:rPr>
            </w:pPr>
            <w:r>
              <w:rPr>
                <w:rFonts w:ascii="Arial" w:cs="Arial" w:eastAsia="Arial" w:hAnsi="Arial"/>
                <w:sz w:val="14"/>
                <w:szCs w:val="14"/>
                <w:color w:val="auto"/>
              </w:rPr>
              <w:t>(Note ii)</w:t>
            </w:r>
          </w:p>
        </w:tc>
        <w:tc>
          <w:tcPr>
            <w:tcW w:w="1260" w:type="dxa"/>
            <w:vAlign w:val="bottom"/>
          </w:tcPr>
          <w:p>
            <w:pPr>
              <w:ind w:left="280"/>
              <w:spacing w:after="0"/>
              <w:rPr>
                <w:sz w:val="20"/>
                <w:szCs w:val="20"/>
                <w:color w:val="auto"/>
              </w:rPr>
            </w:pPr>
            <w:r>
              <w:rPr>
                <w:rFonts w:ascii="Arial" w:cs="Arial" w:eastAsia="Arial" w:hAnsi="Arial"/>
                <w:sz w:val="14"/>
                <w:szCs w:val="14"/>
                <w:color w:val="auto"/>
              </w:rPr>
              <w:t>(Note iii)</w:t>
            </w:r>
          </w:p>
        </w:tc>
        <w:tc>
          <w:tcPr>
            <w:tcW w:w="88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3.570%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February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3.510%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53.39%</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3.380%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March 15,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3.450%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53.31%</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April 2,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June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3.640%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52.98%</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July 1,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52.86%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00" w:right="400" w:hanging="446"/>
        <w:spacing w:after="0" w:line="250"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600" w:hanging="446"/>
        <w:spacing w:after="0" w:line="250"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3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w:t>
      </w:r>
    </w:p>
    <w:p>
      <w:pPr>
        <w:spacing w:after="0" w:line="135" w:lineRule="exact"/>
        <w:rPr>
          <w:sz w:val="20"/>
          <w:szCs w:val="20"/>
          <w:color w:val="auto"/>
        </w:rPr>
      </w:pPr>
    </w:p>
    <w:p>
      <w:pPr>
        <w:ind w:left="460" w:hanging="452"/>
        <w:spacing w:after="0"/>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period from January 1, 2015 to July 23, 2015.</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5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200"/>
        <w:spacing w:after="0" w:line="264"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320"/>
          </w:cols>
          <w:pgMar w:left="240" w:top="460" w:right="3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hanging="452"/>
        <w:spacing w:after="0"/>
        <w:tabs>
          <w:tab w:leader="none" w:pos="4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PRC Enterprise Income Tax (“EIT”) (Continued)</w:t>
      </w:r>
    </w:p>
    <w:p>
      <w:pPr>
        <w:spacing w:after="0" w:line="130" w:lineRule="exact"/>
        <w:rPr>
          <w:rFonts w:ascii="Arial" w:cs="Arial" w:eastAsia="Arial" w:hAnsi="Arial"/>
          <w:sz w:val="18"/>
          <w:szCs w:val="18"/>
          <w:color w:val="auto"/>
        </w:rPr>
      </w:pPr>
    </w:p>
    <w:p>
      <w:pPr>
        <w:jc w:val="both"/>
        <w:ind w:left="460" w:right="80"/>
        <w:spacing w:after="0" w:line="286" w:lineRule="auto"/>
        <w:rPr>
          <w:rFonts w:ascii="Arial" w:cs="Arial" w:eastAsia="Arial" w:hAnsi="Arial"/>
          <w:sz w:val="18"/>
          <w:szCs w:val="18"/>
          <w:color w:val="auto"/>
        </w:rPr>
      </w:pPr>
      <w:r>
        <w:rPr>
          <w:rFonts w:ascii="Arial" w:cs="Arial" w:eastAsia="Arial" w:hAnsi="Arial"/>
          <w:sz w:val="17"/>
          <w:szCs w:val="17"/>
          <w:color w:val="auto"/>
        </w:rPr>
        <w:t>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57" w:lineRule="exact"/>
        <w:rPr>
          <w:rFonts w:ascii="Arial" w:cs="Arial" w:eastAsia="Arial" w:hAnsi="Arial"/>
          <w:sz w:val="18"/>
          <w:szCs w:val="18"/>
          <w:color w:val="auto"/>
        </w:rPr>
      </w:pPr>
    </w:p>
    <w:p>
      <w:pPr>
        <w:ind w:left="460" w:right="80"/>
        <w:spacing w:after="0" w:line="276"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subsidiary located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July 23, 2015.</w:t>
      </w:r>
    </w:p>
    <w:p>
      <w:pPr>
        <w:spacing w:after="0" w:line="28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 of comprehensive loss are nil as of July 23, 2015 are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260" w:type="dxa"/>
            <w:vAlign w:val="bottom"/>
            <w:gridSpan w:val="3"/>
          </w:tcPr>
          <w:p>
            <w:pPr>
              <w:jc w:val="center"/>
              <w:ind w:left="2359"/>
              <w:spacing w:after="0"/>
              <w:rPr>
                <w:sz w:val="20"/>
                <w:szCs w:val="20"/>
                <w:color w:val="auto"/>
              </w:rPr>
            </w:pPr>
            <w:r>
              <w:rPr>
                <w:rFonts w:ascii="Arial" w:cs="Arial" w:eastAsia="Arial" w:hAnsi="Arial"/>
                <w:sz w:val="14"/>
                <w:szCs w:val="14"/>
                <w:color w:val="auto"/>
                <w:w w:val="96"/>
              </w:rPr>
              <w:t>Period from</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62"/>
        </w:trPr>
        <w:tc>
          <w:tcPr>
            <w:tcW w:w="4500" w:type="dxa"/>
            <w:vAlign w:val="bottom"/>
          </w:tcPr>
          <w:p>
            <w:pPr>
              <w:spacing w:after="0"/>
              <w:rPr>
                <w:sz w:val="14"/>
                <w:szCs w:val="14"/>
                <w:color w:val="auto"/>
              </w:rPr>
            </w:pPr>
          </w:p>
        </w:tc>
        <w:tc>
          <w:tcPr>
            <w:tcW w:w="3200" w:type="dxa"/>
            <w:vAlign w:val="bottom"/>
            <w:gridSpan w:val="2"/>
          </w:tcPr>
          <w:p>
            <w:pPr>
              <w:jc w:val="center"/>
              <w:ind w:left="2399"/>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4"/>
                <w:szCs w:val="14"/>
                <w:color w:val="auto"/>
              </w:rPr>
            </w:pPr>
          </w:p>
        </w:tc>
      </w:tr>
      <w:tr>
        <w:trPr>
          <w:trHeight w:val="167"/>
        </w:trPr>
        <w:tc>
          <w:tcPr>
            <w:tcW w:w="4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US$‘000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Deferred tax expense</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Deferred taxes were measured using the enacted tax rates for the periods in which they are expected to be reversed. The tax effects of temporary differences that give rise to the deferred tax asset balances as of July 23, 2015 are as follows: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Customer deposits</w:t>
      </w:r>
    </w:p>
    <w:p>
      <w:pPr>
        <w:spacing w:after="0" w:line="9" w:lineRule="exact"/>
        <w:rPr>
          <w:sz w:val="20"/>
          <w:szCs w:val="20"/>
          <w:color w:val="auto"/>
        </w:rPr>
      </w:pPr>
    </w:p>
    <w:p>
      <w:pPr>
        <w:ind w:left="920" w:right="3260"/>
        <w:spacing w:after="0" w:line="265" w:lineRule="auto"/>
        <w:rPr>
          <w:sz w:val="20"/>
          <w:szCs w:val="20"/>
          <w:color w:val="auto"/>
        </w:rPr>
      </w:pPr>
      <w:r>
        <w:rPr>
          <w:rFonts w:ascii="Arial" w:cs="Arial" w:eastAsia="Arial" w:hAnsi="Arial"/>
          <w:sz w:val="18"/>
          <w:szCs w:val="18"/>
          <w:color w:val="auto"/>
        </w:rPr>
        <w:t>Accrued expense and others not currently deductible for tax purposes Valuation allowance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-281305</wp:posOffset>
            </wp:positionV>
            <wp:extent cx="6080125"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Total 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non-current:</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 loss carried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Valuation allowance (a)</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non-current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2"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F-104</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14"/>
          <w:szCs w:val="14"/>
          <w:color w:val="auto"/>
        </w:rPr>
        <w:t>As of</w:t>
      </w:r>
    </w:p>
    <w:p>
      <w:pPr>
        <w:jc w:val="center"/>
        <w:ind w:right="1020"/>
        <w:spacing w:after="0"/>
        <w:rPr>
          <w:sz w:val="20"/>
          <w:szCs w:val="20"/>
          <w:color w:val="auto"/>
        </w:rPr>
      </w:pPr>
      <w:r>
        <w:rPr>
          <w:rFonts w:ascii="Arial" w:cs="Arial" w:eastAsia="Arial" w:hAnsi="Arial"/>
          <w:sz w:val="13"/>
          <w:szCs w:val="13"/>
          <w:color w:val="auto"/>
        </w:rPr>
        <w:t>July 23,</w:t>
      </w:r>
    </w:p>
    <w:p>
      <w:pPr>
        <w:jc w:val="center"/>
        <w:ind w:right="1020"/>
        <w:spacing w:after="0"/>
        <w:rPr>
          <w:sz w:val="20"/>
          <w:szCs w:val="20"/>
          <w:color w:val="auto"/>
        </w:rPr>
      </w:pPr>
      <w:r>
        <w:rPr>
          <w:rFonts w:ascii="Arial" w:cs="Arial" w:eastAsia="Arial" w:hAnsi="Arial"/>
          <w:sz w:val="14"/>
          <w:szCs w:val="14"/>
          <w:color w:val="auto"/>
        </w:rPr>
        <w:t>2015</w:t>
      </w:r>
    </w:p>
    <w:p>
      <w:pPr>
        <w:spacing w:after="0" w:line="2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1,310</w:t>
      </w:r>
    </w:p>
    <w:p>
      <w:pPr>
        <w:spacing w:after="0" w:line="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97</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7"/>
          <w:szCs w:val="17"/>
          <w:u w:val="single" w:color="auto"/>
          <w:color w:val="auto"/>
        </w:rPr>
        <w:t>(1,407</w:t>
      </w:r>
      <w:r>
        <w:rPr>
          <w:rFonts w:ascii="Arial" w:cs="Arial" w:eastAsia="Arial" w:hAnsi="Arial"/>
          <w:sz w:val="17"/>
          <w:szCs w:val="17"/>
          <w:color w:val="auto"/>
        </w:rPr>
        <w:t>)</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575</w:t>
      </w:r>
    </w:p>
    <w:p>
      <w:pPr>
        <w:spacing w:after="0" w:line="23"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5715</wp:posOffset>
            </wp:positionV>
            <wp:extent cx="33464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2">
            <w:col w:w="9180" w:space="720"/>
            <w:col w:w="1480"/>
          </w:cols>
          <w:pgMar w:left="240" w:top="459" w:right="279" w:bottom="1440" w:gutter="0" w:footer="0" w:header="0"/>
          <w:type w:val="continuous"/>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right="7360" w:hanging="452"/>
        <w:spacing w:after="0" w:line="431" w:lineRule="auto"/>
        <w:tabs>
          <w:tab w:leader="none" w:pos="449"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PRC Enterprise Income Tax (“EIT”) (Continued) </w:t>
      </w:r>
      <w:r>
        <w:rPr>
          <w:rFonts w:ascii="Arial" w:cs="Arial" w:eastAsia="Arial" w:hAnsi="Arial"/>
          <w:sz w:val="16"/>
          <w:szCs w:val="16"/>
          <w:i w:val="1"/>
          <w:iCs w:val="1"/>
          <w:color w:val="auto"/>
        </w:rPr>
        <w:t>Deferred tax assets and liabilities (Continued)</w:t>
      </w:r>
    </w:p>
    <w:p>
      <w:pPr>
        <w:ind w:left="900" w:right="100" w:hanging="446"/>
        <w:spacing w:after="0" w:line="273" w:lineRule="auto"/>
        <w:tabs>
          <w:tab w:leader="none" w:pos="900" w:val="left"/>
        </w:tabs>
        <w:numPr>
          <w:ilvl w:val="1"/>
          <w:numId w:val="287"/>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Additions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23, 2015, the Group had tax loss carryforwards of approximately US$2,301, which can be carried forward to offset future taxable income.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operating tax loss carry forwards will begin to expire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July 23, 2015.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360"/>
          </w:cols>
          <w:pgMar w:left="240" w:top="460" w:right="29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right="7180" w:hanging="452"/>
        <w:spacing w:after="0" w:line="431" w:lineRule="auto"/>
        <w:tabs>
          <w:tab w:leader="none" w:pos="44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PRC Enterprise Income Tax (“EIT”) (Continued) </w:t>
      </w:r>
      <w:r>
        <w:rPr>
          <w:rFonts w:ascii="Arial" w:cs="Arial" w:eastAsia="Arial" w:hAnsi="Arial"/>
          <w:sz w:val="16"/>
          <w:szCs w:val="16"/>
          <w:i w:val="1"/>
          <w:iCs w:val="1"/>
          <w:color w:val="auto"/>
        </w:rPr>
        <w:t>Tax loss carryforwards (Continued)</w:t>
      </w:r>
    </w:p>
    <w:p>
      <w:pPr>
        <w:ind w:left="460"/>
        <w:spacing w:after="0" w:line="277" w:lineRule="auto"/>
        <w:rPr>
          <w:rFonts w:ascii="Arial" w:cs="Arial" w:eastAsia="Arial" w:hAnsi="Arial"/>
          <w:sz w:val="16"/>
          <w:szCs w:val="16"/>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provision for income tax</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PRC statutory tax rate at 25%</w:t>
            </w: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tax rate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Expenses not deductible for tax purposes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Related party transactions</w:t>
            </w: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00" w:type="dxa"/>
            <w:vAlign w:val="bottom"/>
            <w:gridSpan w:val="2"/>
          </w:tcPr>
          <w:p>
            <w:pPr>
              <w:ind w:left="460"/>
              <w:spacing w:after="0"/>
              <w:rPr>
                <w:sz w:val="20"/>
                <w:szCs w:val="20"/>
                <w:color w:val="auto"/>
              </w:rPr>
            </w:pPr>
            <w:r>
              <w:rPr>
                <w:rFonts w:ascii="Arial" w:cs="Arial" w:eastAsia="Arial" w:hAnsi="Arial"/>
                <w:sz w:val="18"/>
                <w:szCs w:val="18"/>
                <w:color w:val="auto"/>
              </w:rPr>
              <w:t>As of July 23, 2015, the amount due to a related party was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ind w:left="258"/>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ind w:left="360"/>
              <w:spacing w:after="0"/>
              <w:rPr>
                <w:sz w:val="20"/>
                <w:szCs w:val="20"/>
                <w:color w:val="auto"/>
              </w:rPr>
            </w:pPr>
            <w:r>
              <w:rPr>
                <w:rFonts w:ascii="Arial" w:cs="Arial" w:eastAsia="Arial" w:hAnsi="Arial"/>
                <w:sz w:val="18"/>
                <w:szCs w:val="18"/>
                <w:color w:val="auto"/>
              </w:rPr>
              <w:t>Amount due to a director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due to a director represents cash advances from a director which was unsecured, interest-free and with no fixed repayment terms.</w:t>
      </w:r>
    </w:p>
    <w:p>
      <w:pPr>
        <w:spacing w:after="0" w:line="3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US$74 for the period from January 1, 2015 to July 23, 2015.</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180"/>
          </w:cols>
          <w:pgMar w:left="240" w:top="459" w:right="4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future minimum payments under non-cancellable operating leases for office rental consist of the following:</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As of</w:t>
            </w:r>
          </w:p>
        </w:tc>
      </w:tr>
      <w:tr>
        <w:trPr>
          <w:trHeight w:val="149"/>
        </w:trPr>
        <w:tc>
          <w:tcPr>
            <w:tcW w:w="4320" w:type="dxa"/>
            <w:vAlign w:val="bottom"/>
          </w:tcPr>
          <w:p>
            <w:pPr>
              <w:spacing w:after="0"/>
              <w:rPr>
                <w:sz w:val="12"/>
                <w:szCs w:val="12"/>
                <w:color w:val="auto"/>
              </w:rPr>
            </w:pPr>
          </w:p>
        </w:tc>
        <w:tc>
          <w:tcPr>
            <w:tcW w:w="3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July 23,</w:t>
            </w:r>
          </w:p>
        </w:tc>
      </w:tr>
      <w:tr>
        <w:trPr>
          <w:trHeight w:val="181"/>
        </w:trPr>
        <w:tc>
          <w:tcPr>
            <w:tcW w:w="432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2016</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there were no purchase commitments.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July 23, 2015, the Group is not a party to any legal or administrative proceedings which will have a material adverse effect on the Group’s business, financial condition and each of the consolidated financial statements.</w:t>
      </w:r>
    </w:p>
    <w:p>
      <w:pPr>
        <w:spacing w:after="0" w:line="326" w:lineRule="exact"/>
        <w:rPr>
          <w:sz w:val="20"/>
          <w:szCs w:val="20"/>
          <w:color w:val="auto"/>
        </w:rPr>
      </w:pPr>
    </w:p>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right="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327" w:lineRule="exact"/>
        <w:rPr>
          <w:rFonts w:ascii="Arial" w:cs="Arial" w:eastAsia="Arial" w:hAnsi="Arial"/>
          <w:sz w:val="18"/>
          <w:szCs w:val="18"/>
          <w:b w:val="1"/>
          <w:bCs w:val="1"/>
          <w:color w:val="auto"/>
        </w:rPr>
      </w:pPr>
    </w:p>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Optimix acquired 100% equity interest of the Company on July 24, 2015 at a consideration of approximately US$67,620 in the form of cash and shares of Optimix.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400"/>
          </w:cols>
          <w:pgMar w:left="240" w:top="460" w:right="2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INDEMNIFICATION OF DIRECTORS AND OFFICERS.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new articles of association that we expect to adopt to become effective upon the completion of this offering provide for indemnification of officers and directors for losses, damages, costs and expenses incurred in their capacities as such only if they acted honestly and in good faith with a view to the best interests of our company and, in the case of criminal proceedings, only if they had no reasonable cause to believe that their conduct was unlawful.</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Pursuant to the form of indemnification agreement filed as Exhibit 10.9 to this registration statement, we will agree to indemnify our directors and officers against certain liabilities and expenses incurred by such persons in connection with claims made by reason of their being such a director or officer.</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for indemnification by the underwriters of us and our officers and directors for certain liabilities.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During the past three years, we have issued the following securities. We believe that each of the following issuances was exempt from registration under the Securities Act in reliance on Regulation S under the Securities Act regarding sales by an issuer in offshore transactions or pursuant to Section 4(a)</w:t>
      </w:r>
    </w:p>
    <w:p>
      <w:pPr>
        <w:jc w:val="both"/>
        <w:ind w:firstLine="8"/>
        <w:spacing w:after="0" w:line="255" w:lineRule="auto"/>
        <w:tabs>
          <w:tab w:leader="none" w:pos="25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of the Securities Act regarding transactions not involving a public offering. No underwriters were involved in these issuances of securities. We believe that our issuances of share awards to our employees, officers and consultants were exempt from registration under the Securities Act in reliance on Rule 701 under the Securities Act.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940" w:type="dxa"/>
            <w:vAlign w:val="bottom"/>
          </w:tcPr>
          <w:p>
            <w:pPr>
              <w:ind w:left="760"/>
              <w:spacing w:after="0"/>
              <w:rPr>
                <w:sz w:val="20"/>
                <w:szCs w:val="20"/>
                <w:color w:val="auto"/>
              </w:rPr>
            </w:pPr>
            <w:r>
              <w:rPr>
                <w:rFonts w:ascii="Arial" w:cs="Arial" w:eastAsia="Arial" w:hAnsi="Arial"/>
                <w:sz w:val="14"/>
                <w:szCs w:val="14"/>
                <w:b w:val="1"/>
                <w:bCs w:val="1"/>
                <w:color w:val="auto"/>
              </w:rPr>
              <w:t>Date of</w:t>
            </w:r>
          </w:p>
        </w:tc>
        <w:tc>
          <w:tcPr>
            <w:tcW w:w="120" w:type="dxa"/>
            <w:vAlign w:val="bottom"/>
          </w:tcPr>
          <w:p>
            <w:pPr>
              <w:spacing w:after="0"/>
              <w:rPr>
                <w:sz w:val="14"/>
                <w:szCs w:val="14"/>
                <w:color w:val="auto"/>
              </w:rPr>
            </w:pPr>
          </w:p>
        </w:tc>
        <w:tc>
          <w:tcPr>
            <w:tcW w:w="2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Consideration in</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auto"/>
              </w:rPr>
              <w:t>Underwriting Discounts</w:t>
            </w:r>
          </w:p>
        </w:tc>
        <w:tc>
          <w:tcPr>
            <w:tcW w:w="0" w:type="dxa"/>
            <w:vAlign w:val="bottom"/>
          </w:tcPr>
          <w:p>
            <w:pPr>
              <w:spacing w:after="0"/>
              <w:rPr>
                <w:sz w:val="1"/>
                <w:szCs w:val="1"/>
                <w:color w:val="auto"/>
              </w:rPr>
            </w:pPr>
          </w:p>
        </w:tc>
      </w:tr>
      <w:tr>
        <w:trPr>
          <w:trHeight w:val="185"/>
        </w:trPr>
        <w:tc>
          <w:tcPr>
            <w:tcW w:w="3100" w:type="dxa"/>
            <w:vAlign w:val="bottom"/>
            <w:gridSpan w:val="2"/>
            <w:vMerge w:val="continue"/>
          </w:tcPr>
          <w:p>
            <w:pPr>
              <w:spacing w:after="0"/>
              <w:rPr>
                <w:sz w:val="16"/>
                <w:szCs w:val="16"/>
                <w:color w:val="auto"/>
              </w:rPr>
            </w:pPr>
          </w:p>
        </w:tc>
        <w:tc>
          <w:tcPr>
            <w:tcW w:w="1940" w:type="dxa"/>
            <w:vAlign w:val="bottom"/>
          </w:tcPr>
          <w:p>
            <w:pPr>
              <w:ind w:left="700"/>
              <w:spacing w:after="0"/>
              <w:rPr>
                <w:sz w:val="20"/>
                <w:szCs w:val="20"/>
                <w:color w:val="auto"/>
              </w:rPr>
            </w:pPr>
            <w:r>
              <w:rPr>
                <w:rFonts w:ascii="Arial" w:cs="Arial" w:eastAsia="Arial" w:hAnsi="Arial"/>
                <w:sz w:val="14"/>
                <w:szCs w:val="14"/>
                <w:b w:val="1"/>
                <w:bCs w:val="1"/>
                <w:color w:val="auto"/>
              </w:rPr>
              <w:t>Issuance</w:t>
            </w: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 Dollars</w:t>
            </w:r>
          </w:p>
        </w:tc>
        <w:tc>
          <w:tcPr>
            <w:tcW w:w="1940" w:type="dxa"/>
            <w:vAlign w:val="bottom"/>
          </w:tcPr>
          <w:p>
            <w:pPr>
              <w:ind w:left="440"/>
              <w:spacing w:after="0"/>
              <w:rPr>
                <w:sz w:val="20"/>
                <w:szCs w:val="20"/>
                <w:color w:val="auto"/>
              </w:rPr>
            </w:pPr>
            <w:r>
              <w:rPr>
                <w:rFonts w:ascii="Arial" w:cs="Arial" w:eastAsia="Arial" w:hAnsi="Arial"/>
                <w:sz w:val="14"/>
                <w:szCs w:val="14"/>
                <w:b w:val="1"/>
                <w:bCs w:val="1"/>
                <w:color w:val="auto"/>
              </w:rPr>
              <w:t>and Commissions</w:t>
            </w:r>
          </w:p>
        </w:tc>
        <w:tc>
          <w:tcPr>
            <w:tcW w:w="0" w:type="dxa"/>
            <w:vAlign w:val="bottom"/>
          </w:tcPr>
          <w:p>
            <w:pPr>
              <w:spacing w:after="0"/>
              <w:rPr>
                <w:sz w:val="1"/>
                <w:szCs w:val="1"/>
                <w:color w:val="auto"/>
              </w:rPr>
            </w:pPr>
          </w:p>
        </w:tc>
      </w:tr>
      <w:tr>
        <w:trPr>
          <w:trHeight w:val="210"/>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Maestro</w:t>
            </w: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Holdings Limited</w:t>
            </w: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2014</w:t>
            </w:r>
          </w:p>
        </w:tc>
        <w:tc>
          <w:tcPr>
            <w:tcW w:w="1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1,740,653 ordinary shares</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Par value</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Big Tooth Corporation</w:t>
            </w:r>
          </w:p>
        </w:tc>
        <w:tc>
          <w:tcPr>
            <w:tcW w:w="1940" w:type="dxa"/>
            <w:vAlign w:val="bottom"/>
          </w:tcPr>
          <w:p>
            <w:pPr>
              <w:spacing w:after="0"/>
              <w:rPr>
                <w:sz w:val="20"/>
                <w:szCs w:val="20"/>
                <w:color w:val="auto"/>
              </w:rPr>
            </w:pPr>
            <w:r>
              <w:rPr>
                <w:rFonts w:ascii="Arial" w:cs="Arial" w:eastAsia="Arial" w:hAnsi="Arial"/>
                <w:sz w:val="18"/>
                <w:szCs w:val="18"/>
                <w:color w:val="auto"/>
              </w:rPr>
              <w:t>December 22, 2014</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274,752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US$1.00</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December 23, 2014</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255,033 ordinary shares</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BlueFocus International Limited</w:t>
            </w:r>
          </w:p>
        </w:tc>
        <w:tc>
          <w:tcPr>
            <w:tcW w:w="1940" w:type="dxa"/>
            <w:vAlign w:val="bottom"/>
          </w:tcPr>
          <w:p>
            <w:pPr>
              <w:spacing w:after="0"/>
              <w:rPr>
                <w:sz w:val="20"/>
                <w:szCs w:val="20"/>
                <w:color w:val="auto"/>
              </w:rPr>
            </w:pPr>
            <w:r>
              <w:rPr>
                <w:rFonts w:ascii="Arial" w:cs="Arial" w:eastAsia="Arial" w:hAnsi="Arial"/>
                <w:sz w:val="18"/>
                <w:szCs w:val="18"/>
                <w:color w:val="auto"/>
              </w:rPr>
              <w:t>December 30, 2014</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742,320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US$12.0 million</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BlueFocus International Limited</w:t>
            </w:r>
          </w:p>
        </w:tc>
        <w:tc>
          <w:tcPr>
            <w:tcW w:w="1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December 30, 2014</w:t>
            </w:r>
          </w:p>
        </w:tc>
        <w:tc>
          <w:tcPr>
            <w:tcW w:w="26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2,493,018 series D preferred</w:t>
            </w:r>
          </w:p>
        </w:tc>
        <w:tc>
          <w:tcPr>
            <w:tcW w:w="180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US$48.0 million</w:t>
            </w: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22"/>
        </w:trPr>
        <w:tc>
          <w:tcPr>
            <w:tcW w:w="64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1940" w:type="dxa"/>
            <w:vAlign w:val="bottom"/>
            <w:vMerge w:val="continue"/>
            <w:shd w:val="clear" w:color="auto" w:fill="CCEEFF"/>
          </w:tcPr>
          <w:p>
            <w:pPr>
              <w:spacing w:after="0"/>
              <w:rPr>
                <w:sz w:val="10"/>
                <w:szCs w:val="10"/>
                <w:color w:val="auto"/>
              </w:rPr>
            </w:pPr>
          </w:p>
        </w:tc>
        <w:tc>
          <w:tcPr>
            <w:tcW w:w="26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4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26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Bondwa Enterprise Limited</w:t>
            </w:r>
          </w:p>
        </w:tc>
        <w:tc>
          <w:tcPr>
            <w:tcW w:w="1940" w:type="dxa"/>
            <w:vAlign w:val="bottom"/>
          </w:tcPr>
          <w:p>
            <w:pPr>
              <w:spacing w:after="0"/>
              <w:rPr>
                <w:sz w:val="20"/>
                <w:szCs w:val="20"/>
                <w:color w:val="auto"/>
              </w:rPr>
            </w:pPr>
            <w:r>
              <w:rPr>
                <w:rFonts w:ascii="Arial" w:cs="Arial" w:eastAsia="Arial" w:hAnsi="Arial"/>
                <w:sz w:val="18"/>
                <w:szCs w:val="18"/>
                <w:color w:val="auto"/>
              </w:rPr>
              <w:t>February 13,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71,076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Triwin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February 13,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71,075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Par value</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ind w:left="420"/>
              <w:spacing w:after="0"/>
              <w:rPr>
                <w:sz w:val="20"/>
                <w:szCs w:val="20"/>
                <w:color w:val="auto"/>
              </w:rPr>
            </w:pPr>
            <w:r>
              <w:rPr>
                <w:rFonts w:ascii="Arial" w:cs="Arial" w:eastAsia="Arial" w:hAnsi="Arial"/>
                <w:sz w:val="18"/>
                <w:szCs w:val="18"/>
                <w:color w:val="auto"/>
              </w:rPr>
              <w:t>II-1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940" w:type="dxa"/>
            <w:vAlign w:val="bottom"/>
          </w:tcPr>
          <w:p>
            <w:pPr>
              <w:ind w:left="760"/>
              <w:spacing w:after="0"/>
              <w:rPr>
                <w:sz w:val="20"/>
                <w:szCs w:val="20"/>
                <w:color w:val="auto"/>
              </w:rPr>
            </w:pPr>
            <w:r>
              <w:rPr>
                <w:rFonts w:ascii="Arial" w:cs="Arial" w:eastAsia="Arial" w:hAnsi="Arial"/>
                <w:sz w:val="14"/>
                <w:szCs w:val="14"/>
                <w:b w:val="1"/>
                <w:bCs w:val="1"/>
                <w:color w:val="auto"/>
              </w:rPr>
              <w:t>Date of</w:t>
            </w:r>
          </w:p>
        </w:tc>
        <w:tc>
          <w:tcPr>
            <w:tcW w:w="120" w:type="dxa"/>
            <w:vAlign w:val="bottom"/>
          </w:tcPr>
          <w:p>
            <w:pPr>
              <w:spacing w:after="0"/>
              <w:rPr>
                <w:sz w:val="14"/>
                <w:szCs w:val="14"/>
                <w:color w:val="auto"/>
              </w:rPr>
            </w:pPr>
          </w:p>
        </w:tc>
        <w:tc>
          <w:tcPr>
            <w:tcW w:w="2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Consideration in</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auto"/>
              </w:rPr>
              <w:t>Underwriting Discounts</w:t>
            </w:r>
          </w:p>
        </w:tc>
        <w:tc>
          <w:tcPr>
            <w:tcW w:w="0" w:type="dxa"/>
            <w:vAlign w:val="bottom"/>
          </w:tcPr>
          <w:p>
            <w:pPr>
              <w:spacing w:after="0"/>
              <w:rPr>
                <w:sz w:val="1"/>
                <w:szCs w:val="1"/>
                <w:color w:val="auto"/>
              </w:rPr>
            </w:pPr>
          </w:p>
        </w:tc>
      </w:tr>
      <w:tr>
        <w:trPr>
          <w:trHeight w:val="185"/>
        </w:trPr>
        <w:tc>
          <w:tcPr>
            <w:tcW w:w="3100" w:type="dxa"/>
            <w:vAlign w:val="bottom"/>
            <w:gridSpan w:val="2"/>
            <w:vMerge w:val="continue"/>
          </w:tcPr>
          <w:p>
            <w:pPr>
              <w:spacing w:after="0"/>
              <w:rPr>
                <w:sz w:val="16"/>
                <w:szCs w:val="16"/>
                <w:color w:val="auto"/>
              </w:rPr>
            </w:pPr>
          </w:p>
        </w:tc>
        <w:tc>
          <w:tcPr>
            <w:tcW w:w="1940" w:type="dxa"/>
            <w:vAlign w:val="bottom"/>
          </w:tcPr>
          <w:p>
            <w:pPr>
              <w:ind w:left="700"/>
              <w:spacing w:after="0"/>
              <w:rPr>
                <w:sz w:val="20"/>
                <w:szCs w:val="20"/>
                <w:color w:val="auto"/>
              </w:rPr>
            </w:pPr>
            <w:r>
              <w:rPr>
                <w:rFonts w:ascii="Arial" w:cs="Arial" w:eastAsia="Arial" w:hAnsi="Arial"/>
                <w:sz w:val="14"/>
                <w:szCs w:val="14"/>
                <w:b w:val="1"/>
                <w:bCs w:val="1"/>
                <w:color w:val="auto"/>
              </w:rPr>
              <w:t>Issuance</w:t>
            </w: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 Dollars</w:t>
            </w:r>
          </w:p>
        </w:tc>
        <w:tc>
          <w:tcPr>
            <w:tcW w:w="1940" w:type="dxa"/>
            <w:vAlign w:val="bottom"/>
          </w:tcPr>
          <w:p>
            <w:pPr>
              <w:ind w:left="440"/>
              <w:spacing w:after="0"/>
              <w:rPr>
                <w:sz w:val="20"/>
                <w:szCs w:val="20"/>
                <w:color w:val="auto"/>
              </w:rPr>
            </w:pPr>
            <w:r>
              <w:rPr>
                <w:rFonts w:ascii="Arial" w:cs="Arial" w:eastAsia="Arial" w:hAnsi="Arial"/>
                <w:sz w:val="14"/>
                <w:szCs w:val="14"/>
                <w:b w:val="1"/>
                <w:bCs w:val="1"/>
                <w:color w:val="auto"/>
              </w:rPr>
              <w:t>and Commissions</w:t>
            </w:r>
          </w:p>
        </w:tc>
        <w:tc>
          <w:tcPr>
            <w:tcW w:w="0" w:type="dxa"/>
            <w:vAlign w:val="bottom"/>
          </w:tcPr>
          <w:p>
            <w:pPr>
              <w:spacing w:after="0"/>
              <w:rPr>
                <w:sz w:val="1"/>
                <w:szCs w:val="1"/>
                <w:color w:val="auto"/>
              </w:rPr>
            </w:pPr>
          </w:p>
        </w:tc>
      </w:tr>
      <w:tr>
        <w:trPr>
          <w:trHeight w:val="210"/>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Igomax</w:t>
            </w: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w:t>
            </w: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24, 2015</w:t>
            </w:r>
          </w:p>
        </w:tc>
        <w:tc>
          <w:tcPr>
            <w:tcW w:w="1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1,496,399 ordinary shares</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Par value</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Zaffre Investments, Inc.</w:t>
            </w:r>
          </w:p>
        </w:tc>
        <w:tc>
          <w:tcPr>
            <w:tcW w:w="1940" w:type="dxa"/>
            <w:vAlign w:val="bottom"/>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446,604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 GmbH</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592,088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Par value</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632,581 ordinary shares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October 14,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945,663 ordinary shares</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9"/>
              </w:rPr>
              <w:t>Shenwan Hongyuan Goldspring Fund I</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December 28, 2016</w:t>
            </w:r>
          </w:p>
        </w:tc>
        <w:tc>
          <w:tcPr>
            <w:tcW w:w="2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1,068,114 series E preferred</w:t>
            </w:r>
          </w:p>
        </w:tc>
        <w:tc>
          <w:tcPr>
            <w:tcW w:w="180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US$20.0 million</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These ordinary shares were issued to Arda Holdings Limited to reserve for future grant and exercise of options under the 2010 Plan.</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Index beginning on page II-7 of this registration statement.</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78"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shown in the Consolidated Financial Statements and the Notes thereto.</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UNDERTAKINGS.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720" w:hanging="256"/>
        <w:spacing w:after="0"/>
        <w:tabs>
          <w:tab w:leader="none" w:pos="72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83" w:lineRule="exact"/>
        <w:rPr>
          <w:rFonts w:ascii="Arial" w:cs="Arial" w:eastAsia="Arial" w:hAnsi="Arial"/>
          <w:sz w:val="17"/>
          <w:szCs w:val="17"/>
          <w:color w:val="auto"/>
        </w:rPr>
      </w:pPr>
    </w:p>
    <w:p>
      <w:pPr>
        <w:ind w:right="260" w:firstLine="464"/>
        <w:spacing w:after="0" w:line="264" w:lineRule="auto"/>
        <w:tabs>
          <w:tab w:leader="none" w:pos="71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w:t>
      </w: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in Hong Kong, on</w:t>
            </w:r>
          </w:p>
        </w:tc>
        <w:tc>
          <w:tcPr>
            <w:tcW w:w="5840" w:type="dxa"/>
            <w:vAlign w:val="bottom"/>
          </w:tcPr>
          <w:p>
            <w:pPr>
              <w:ind w:left="380"/>
              <w:spacing w:after="0"/>
              <w:rPr>
                <w:sz w:val="20"/>
                <w:szCs w:val="20"/>
                <w:color w:val="auto"/>
              </w:rPr>
            </w:pPr>
            <w:r>
              <w:rPr>
                <w:rFonts w:ascii="Arial" w:cs="Arial" w:eastAsia="Arial" w:hAnsi="Arial"/>
                <w:sz w:val="18"/>
                <w:szCs w:val="18"/>
                <w:color w:val="auto"/>
              </w:rPr>
              <w:t>, 2017.</w:t>
            </w:r>
          </w:p>
        </w:tc>
        <w:tc>
          <w:tcPr>
            <w:tcW w:w="3880" w:type="dxa"/>
            <w:vAlign w:val="bottom"/>
          </w:tcPr>
          <w:p>
            <w:pPr>
              <w:spacing w:after="0"/>
              <w:rPr>
                <w:sz w:val="20"/>
                <w:szCs w:val="20"/>
                <w:color w:val="auto"/>
              </w:rPr>
            </w:pPr>
          </w:p>
        </w:tc>
      </w:tr>
      <w:tr>
        <w:trPr>
          <w:trHeight w:val="445"/>
        </w:trPr>
        <w:tc>
          <w:tcPr>
            <w:tcW w:w="1700" w:type="dxa"/>
            <w:vAlign w:val="bottom"/>
          </w:tcPr>
          <w:p>
            <w:pPr>
              <w:spacing w:after="0"/>
              <w:rPr>
                <w:sz w:val="24"/>
                <w:szCs w:val="24"/>
                <w:color w:val="auto"/>
              </w:rPr>
            </w:pPr>
          </w:p>
        </w:tc>
        <w:tc>
          <w:tcPr>
            <w:tcW w:w="9720" w:type="dxa"/>
            <w:vAlign w:val="bottom"/>
            <w:gridSpan w:val="2"/>
          </w:tcPr>
          <w:p>
            <w:pPr>
              <w:ind w:left="5160"/>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1700" w:type="dxa"/>
            <w:vAlign w:val="bottom"/>
          </w:tcPr>
          <w:p>
            <w:pPr>
              <w:spacing w:after="0"/>
              <w:rPr>
                <w:sz w:val="24"/>
                <w:szCs w:val="24"/>
                <w:color w:val="auto"/>
              </w:rPr>
            </w:pPr>
          </w:p>
        </w:tc>
        <w:tc>
          <w:tcPr>
            <w:tcW w:w="5840" w:type="dxa"/>
            <w:vAlign w:val="bottom"/>
          </w:tcPr>
          <w:p>
            <w:pPr>
              <w:ind w:left="5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4"/>
                <w:szCs w:val="24"/>
                <w:color w:val="auto"/>
              </w:rPr>
            </w:pPr>
          </w:p>
        </w:tc>
      </w:tr>
      <w:tr>
        <w:trPr>
          <w:trHeight w:val="205"/>
        </w:trPr>
        <w:tc>
          <w:tcPr>
            <w:tcW w:w="1700" w:type="dxa"/>
            <w:vAlign w:val="bottom"/>
          </w:tcPr>
          <w:p>
            <w:pPr>
              <w:spacing w:after="0"/>
              <w:rPr>
                <w:sz w:val="17"/>
                <w:szCs w:val="17"/>
                <w:color w:val="auto"/>
              </w:rPr>
            </w:pPr>
          </w:p>
        </w:tc>
        <w:tc>
          <w:tcPr>
            <w:tcW w:w="5840" w:type="dxa"/>
            <w:vAlign w:val="bottom"/>
          </w:tcPr>
          <w:p>
            <w:pPr>
              <w:ind w:left="5160"/>
              <w:spacing w:after="0" w:line="205" w:lineRule="exact"/>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1"/>
              </w:rPr>
              <w:t>Wing Hong Sammy Hsieh</w:t>
            </w:r>
          </w:p>
        </w:tc>
      </w:tr>
      <w:tr>
        <w:trPr>
          <w:trHeight w:val="216"/>
        </w:trPr>
        <w:tc>
          <w:tcPr>
            <w:tcW w:w="1700" w:type="dxa"/>
            <w:vAlign w:val="bottom"/>
          </w:tcPr>
          <w:p>
            <w:pPr>
              <w:spacing w:after="0"/>
              <w:rPr>
                <w:sz w:val="18"/>
                <w:szCs w:val="18"/>
                <w:color w:val="auto"/>
              </w:rPr>
            </w:pPr>
          </w:p>
        </w:tc>
        <w:tc>
          <w:tcPr>
            <w:tcW w:w="5840" w:type="dxa"/>
            <w:vAlign w:val="bottom"/>
          </w:tcPr>
          <w:p>
            <w:pPr>
              <w:ind w:left="5160"/>
              <w:spacing w:after="0"/>
              <w:rPr>
                <w:sz w:val="20"/>
                <w:szCs w:val="20"/>
                <w:color w:val="auto"/>
              </w:rPr>
            </w:pPr>
            <w:r>
              <w:rPr>
                <w:rFonts w:ascii="Arial" w:cs="Arial" w:eastAsia="Arial" w:hAnsi="Arial"/>
                <w:sz w:val="18"/>
                <w:szCs w:val="18"/>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 Chairman of the</w:t>
            </w:r>
          </w:p>
        </w:tc>
      </w:tr>
      <w:tr>
        <w:trPr>
          <w:trHeight w:val="234"/>
        </w:trPr>
        <w:tc>
          <w:tcPr>
            <w:tcW w:w="170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Each person whose signature appears below constitutes and appoints each of Wing Hong Sammy Hsieh and Jie Jiao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8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p>
      <w:pPr>
        <w:ind w:left="2240"/>
        <w:spacing w:after="0"/>
        <w:tabs>
          <w:tab w:leader="none" w:pos="6980" w:val="left"/>
          <w:tab w:leader="none" w:pos="102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Borders>
              <w:bottom w:val="single" w:sz="8" w:color="auto"/>
            </w:tcBorders>
          </w:tcPr>
          <w:p>
            <w:pPr>
              <w:spacing w:after="0"/>
              <w:rPr>
                <w:sz w:val="20"/>
                <w:szCs w:val="20"/>
                <w:color w:val="auto"/>
              </w:rPr>
            </w:pPr>
          </w:p>
        </w:tc>
        <w:tc>
          <w:tcPr>
            <w:tcW w:w="3960" w:type="dxa"/>
            <w:vAlign w:val="bottom"/>
          </w:tcPr>
          <w:p>
            <w:pPr>
              <w:jc w:val="center"/>
              <w:ind w:left="90"/>
              <w:spacing w:after="0"/>
              <w:rPr>
                <w:sz w:val="20"/>
                <w:szCs w:val="20"/>
                <w:color w:val="auto"/>
              </w:rPr>
            </w:pPr>
            <w:r>
              <w:rPr>
                <w:rFonts w:ascii="Arial" w:cs="Arial" w:eastAsia="Arial" w:hAnsi="Arial"/>
                <w:sz w:val="18"/>
                <w:szCs w:val="18"/>
                <w:color w:val="auto"/>
                <w:w w:val="92"/>
              </w:rPr>
              <w:t>Chief Executive Officer and Executive Chairman of</w:t>
            </w:r>
          </w:p>
        </w:tc>
      </w:tr>
      <w:tr>
        <w:trPr>
          <w:trHeight w:val="182"/>
        </w:trPr>
        <w:tc>
          <w:tcPr>
            <w:tcW w:w="5080" w:type="dxa"/>
            <w:vAlign w:val="bottom"/>
          </w:tcPr>
          <w:p>
            <w:pPr>
              <w:jc w:val="center"/>
              <w:spacing w:after="0" w:line="182" w:lineRule="exact"/>
              <w:rPr>
                <w:sz w:val="20"/>
                <w:szCs w:val="20"/>
                <w:color w:val="auto"/>
              </w:rPr>
            </w:pPr>
            <w:r>
              <w:rPr>
                <w:rFonts w:ascii="Arial" w:cs="Arial" w:eastAsia="Arial" w:hAnsi="Arial"/>
                <w:sz w:val="18"/>
                <w:szCs w:val="18"/>
                <w:color w:val="auto"/>
                <w:w w:val="91"/>
              </w:rPr>
              <w:t>Wing Hong Sammy Hsieh</w:t>
            </w:r>
          </w:p>
        </w:tc>
        <w:tc>
          <w:tcPr>
            <w:tcW w:w="3960" w:type="dxa"/>
            <w:vAlign w:val="bottom"/>
          </w:tcPr>
          <w:p>
            <w:pPr>
              <w:jc w:val="center"/>
              <w:ind w:left="90"/>
              <w:spacing w:after="0" w:line="182" w:lineRule="exact"/>
              <w:rPr>
                <w:sz w:val="20"/>
                <w:szCs w:val="20"/>
                <w:color w:val="auto"/>
              </w:rPr>
            </w:pPr>
            <w:r>
              <w:rPr>
                <w:rFonts w:ascii="Arial" w:cs="Arial" w:eastAsia="Arial" w:hAnsi="Arial"/>
                <w:sz w:val="18"/>
                <w:szCs w:val="18"/>
                <w:color w:val="auto"/>
                <w:w w:val="89"/>
              </w:rPr>
              <w:t>the Board</w:t>
            </w:r>
          </w:p>
        </w:tc>
      </w:tr>
      <w:tr>
        <w:trPr>
          <w:trHeight w:val="230"/>
        </w:trPr>
        <w:tc>
          <w:tcPr>
            <w:tcW w:w="5080" w:type="dxa"/>
            <w:vAlign w:val="bottom"/>
          </w:tcPr>
          <w:p>
            <w:pPr>
              <w:spacing w:after="0"/>
              <w:rPr>
                <w:sz w:val="20"/>
                <w:szCs w:val="20"/>
                <w:color w:val="auto"/>
              </w:rPr>
            </w:pPr>
          </w:p>
        </w:tc>
        <w:tc>
          <w:tcPr>
            <w:tcW w:w="3960" w:type="dxa"/>
            <w:vAlign w:val="bottom"/>
          </w:tcPr>
          <w:p>
            <w:pPr>
              <w:jc w:val="center"/>
              <w:ind w:left="90"/>
              <w:spacing w:after="0"/>
              <w:rPr>
                <w:sz w:val="20"/>
                <w:szCs w:val="20"/>
                <w:color w:val="auto"/>
              </w:rPr>
            </w:pPr>
            <w:r>
              <w:rPr>
                <w:rFonts w:ascii="Arial" w:cs="Arial" w:eastAsia="Arial" w:hAnsi="Arial"/>
                <w:sz w:val="18"/>
                <w:szCs w:val="18"/>
                <w:color w:val="auto"/>
                <w:w w:val="94"/>
              </w:rPr>
              <w:t>(principal executive officer)</w:t>
            </w:r>
          </w:p>
        </w:tc>
      </w:tr>
      <w:tr>
        <w:trPr>
          <w:trHeight w:val="338"/>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5"/>
              </w:rPr>
              <w:t>Jie Jiao</w:t>
            </w:r>
          </w:p>
        </w:tc>
        <w:tc>
          <w:tcPr>
            <w:tcW w:w="3960" w:type="dxa"/>
            <w:vAlign w:val="bottom"/>
          </w:tcPr>
          <w:p>
            <w:pPr>
              <w:jc w:val="center"/>
              <w:ind w:left="90"/>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5"/>
              </w:rPr>
              <w:t>Jian Tang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Yau Ping 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Francis Hun Ming Wong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Yu Long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Antares Au</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Xiangji Zhang</w:t>
            </w:r>
          </w:p>
        </w:tc>
        <w:tc>
          <w:tcPr>
            <w:tcW w:w="3960" w:type="dxa"/>
            <w:vAlign w:val="bottom"/>
          </w:tcPr>
          <w:p>
            <w:pPr>
              <w:spacing w:after="0"/>
              <w:rPr>
                <w:sz w:val="19"/>
                <w:szCs w:val="19"/>
                <w:color w:val="auto"/>
              </w:rPr>
            </w:pPr>
          </w:p>
        </w:tc>
      </w:tr>
      <w:tr>
        <w:trPr>
          <w:trHeight w:val="364"/>
        </w:trPr>
        <w:tc>
          <w:tcPr>
            <w:tcW w:w="5080" w:type="dxa"/>
            <w:vAlign w:val="bottom"/>
          </w:tcPr>
          <w:p>
            <w:pPr>
              <w:spacing w:after="0"/>
              <w:rPr>
                <w:sz w:val="24"/>
                <w:szCs w:val="24"/>
                <w:color w:val="auto"/>
              </w:rPr>
            </w:pPr>
          </w:p>
        </w:tc>
        <w:tc>
          <w:tcPr>
            <w:tcW w:w="3960" w:type="dxa"/>
            <w:vAlign w:val="bottom"/>
          </w:tcPr>
          <w:p>
            <w:pPr>
              <w:ind w:left="500"/>
              <w:spacing w:after="0"/>
              <w:rPr>
                <w:sz w:val="20"/>
                <w:szCs w:val="20"/>
                <w:color w:val="auto"/>
              </w:rPr>
            </w:pPr>
            <w:r>
              <w:rPr>
                <w:rFonts w:ascii="Arial" w:cs="Arial" w:eastAsia="Arial" w:hAnsi="Arial"/>
                <w:sz w:val="18"/>
                <w:szCs w:val="18"/>
                <w:color w:val="auto"/>
              </w:rPr>
              <w:t>II-5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90" w:hanging="90"/>
        <w:spacing w:after="0"/>
        <w:tabs>
          <w:tab w:leader="none" w:pos="9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2017</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90" w:hanging="90"/>
        <w:spacing w:after="0"/>
        <w:tabs>
          <w:tab w:leader="none" w:pos="9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2017</w:t>
      </w:r>
    </w:p>
    <w:p>
      <w:pPr>
        <w:sectPr>
          <w:pgSz w:w="11900" w:h="16838" w:orient="portrait"/>
          <w:cols w:equalWidth="0" w:num="2">
            <w:col w:w="10250" w:space="720"/>
            <w:col w:w="450"/>
          </w:cols>
          <w:pgMar w:left="240" w:top="459" w:right="239" w:bottom="1440" w:gutter="0" w:footer="0" w:header="0"/>
          <w:type w:val="continuous"/>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Securities Act of 1933, the undersigned, the duly authorized representative in the United States of iClick Interactive Asia Group</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w w:val="91"/>
              </w:rPr>
              <w:t>Limited, has signed this registration statement or amendment thereto in the</w:t>
            </w:r>
          </w:p>
        </w:tc>
        <w:tc>
          <w:tcPr>
            <w:tcW w:w="1120" w:type="dxa"/>
            <w:vAlign w:val="bottom"/>
          </w:tcPr>
          <w:p>
            <w:pPr>
              <w:ind w:left="720"/>
              <w:spacing w:after="0"/>
              <w:rPr>
                <w:sz w:val="20"/>
                <w:szCs w:val="20"/>
                <w:color w:val="auto"/>
              </w:rPr>
            </w:pPr>
            <w:r>
              <w:rPr>
                <w:rFonts w:ascii="Arial" w:cs="Arial" w:eastAsia="Arial" w:hAnsi="Arial"/>
                <w:sz w:val="18"/>
                <w:szCs w:val="18"/>
                <w:color w:val="auto"/>
              </w:rPr>
              <w:t>on</w:t>
            </w:r>
          </w:p>
        </w:tc>
        <w:tc>
          <w:tcPr>
            <w:tcW w:w="1460" w:type="dxa"/>
            <w:vAlign w:val="bottom"/>
          </w:tcPr>
          <w:p>
            <w:pPr>
              <w:ind w:left="540"/>
              <w:spacing w:after="0"/>
              <w:rPr>
                <w:sz w:val="20"/>
                <w:szCs w:val="20"/>
                <w:color w:val="auto"/>
              </w:rPr>
            </w:pPr>
            <w:r>
              <w:rPr>
                <w:rFonts w:ascii="Arial" w:cs="Arial" w:eastAsia="Arial" w:hAnsi="Arial"/>
                <w:sz w:val="18"/>
                <w:szCs w:val="18"/>
                <w:color w:val="auto"/>
              </w:rPr>
              <w:t>, 2017.</w:t>
            </w:r>
          </w:p>
        </w:tc>
        <w:tc>
          <w:tcPr>
            <w:tcW w:w="3340" w:type="dxa"/>
            <w:vAlign w:val="bottom"/>
          </w:tcPr>
          <w:p>
            <w:pPr>
              <w:spacing w:after="0"/>
              <w:rPr>
                <w:sz w:val="20"/>
                <w:szCs w:val="20"/>
                <w:color w:val="auto"/>
              </w:rPr>
            </w:pPr>
          </w:p>
        </w:tc>
      </w:tr>
      <w:tr>
        <w:trPr>
          <w:trHeight w:val="445"/>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b w:val="1"/>
                <w:bCs w:val="1"/>
                <w:color w:val="auto"/>
              </w:rPr>
              <w:t>Authorized U.S. Representative</w:t>
            </w:r>
          </w:p>
        </w:tc>
      </w:tr>
      <w:tr>
        <w:trPr>
          <w:trHeight w:val="473"/>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By:</w:t>
            </w:r>
          </w:p>
        </w:tc>
      </w:tr>
      <w:tr>
        <w:trPr>
          <w:trHeight w:val="209"/>
        </w:trPr>
        <w:tc>
          <w:tcPr>
            <w:tcW w:w="5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Name:</w:t>
            </w:r>
          </w:p>
        </w:tc>
        <w:tc>
          <w:tcPr>
            <w:tcW w:w="3340" w:type="dxa"/>
            <w:vAlign w:val="bottom"/>
            <w:tcBorders>
              <w:top w:val="single" w:sz="8" w:color="auto"/>
            </w:tcBorders>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Title:</w:t>
            </w:r>
          </w:p>
        </w:tc>
      </w:tr>
      <w:tr>
        <w:trPr>
          <w:trHeight w:val="365"/>
        </w:trPr>
        <w:tc>
          <w:tcPr>
            <w:tcW w:w="550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8"/>
                <w:szCs w:val="18"/>
                <w:color w:val="auto"/>
              </w:rPr>
              <w:t>II-6</w:t>
            </w:r>
          </w:p>
        </w:tc>
        <w:tc>
          <w:tcPr>
            <w:tcW w:w="146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307" w:name="page308"/>
    <w:bookmarkEnd w:id="3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820" w:type="dxa"/>
            <w:vAlign w:val="bottom"/>
          </w:tcPr>
          <w:p>
            <w:pPr>
              <w:spacing w:after="0"/>
              <w:rPr>
                <w:sz w:val="17"/>
                <w:szCs w:val="17"/>
                <w:color w:val="auto"/>
              </w:rPr>
            </w:pPr>
          </w:p>
        </w:tc>
      </w:tr>
      <w:tr>
        <w:trPr>
          <w:trHeight w:val="534"/>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6820" w:type="dxa"/>
            <w:vAlign w:val="bottom"/>
          </w:tcPr>
          <w:p>
            <w:pPr>
              <w:ind w:left="480"/>
              <w:spacing w:after="0"/>
              <w:rPr>
                <w:sz w:val="20"/>
                <w:szCs w:val="20"/>
                <w:color w:val="auto"/>
              </w:rPr>
            </w:pPr>
            <w:r>
              <w:rPr>
                <w:rFonts w:ascii="Arial" w:cs="Arial" w:eastAsia="Arial" w:hAnsi="Arial"/>
                <w:sz w:val="18"/>
                <w:szCs w:val="18"/>
                <w:b w:val="1"/>
                <w:bCs w:val="1"/>
                <w:color w:val="auto"/>
              </w:rPr>
              <w:t>EXHIBIT INDEX</w:t>
            </w:r>
          </w:p>
        </w:tc>
      </w:tr>
      <w:tr>
        <w:trPr>
          <w:trHeight w:val="567"/>
        </w:trPr>
        <w:tc>
          <w:tcPr>
            <w:tcW w:w="70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Form of Underwriting Agreement</w:t>
            </w:r>
          </w:p>
        </w:tc>
        <w:tc>
          <w:tcPr>
            <w:tcW w:w="6820" w:type="dxa"/>
            <w:vAlign w:val="bottom"/>
          </w:tcPr>
          <w:p>
            <w:pPr>
              <w:spacing w:after="0"/>
              <w:rPr>
                <w:sz w:val="24"/>
                <w:szCs w:val="24"/>
                <w:color w:val="auto"/>
              </w:rPr>
            </w:pP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Seventh Amended and Restated Memorandum and Articles of Association of the Registrant, as currently in effect</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w w:val="99"/>
              </w:rPr>
              <w:t>Eighth Amended and Restated Memorandum and Articles of Association of the Registrant, effective upon completion of this offering</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Registrant’s Specimen American Depositary Receipt (included in Exhibit 4.3)</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Registrant’s Specimen Certificate for Ordinary Shares</w:t>
            </w:r>
          </w:p>
        </w:tc>
      </w:tr>
      <w:tr>
        <w:trPr>
          <w:trHeight w:val="310"/>
        </w:trPr>
        <w:tc>
          <w:tcPr>
            <w:tcW w:w="70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Form of Deposit Agreement, dated as of</w:t>
            </w:r>
          </w:p>
        </w:tc>
        <w:tc>
          <w:tcPr>
            <w:tcW w:w="6820" w:type="dxa"/>
            <w:vAlign w:val="bottom"/>
          </w:tcPr>
          <w:p>
            <w:pPr>
              <w:ind w:left="60"/>
              <w:spacing w:after="0"/>
              <w:rPr>
                <w:sz w:val="20"/>
                <w:szCs w:val="20"/>
                <w:color w:val="auto"/>
              </w:rPr>
            </w:pPr>
            <w:r>
              <w:rPr>
                <w:rFonts w:ascii="Arial" w:cs="Arial" w:eastAsia="Arial" w:hAnsi="Arial"/>
                <w:sz w:val="18"/>
                <w:szCs w:val="18"/>
                <w:color w:val="auto"/>
              </w:rPr>
              <w:t>, 2017 among the Registrant, the Depositary and</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Beneficial Owners of the American Depositary Receipts</w:t>
            </w:r>
          </w:p>
        </w:tc>
      </w:tr>
      <w:tr>
        <w:trPr>
          <w:trHeight w:val="338"/>
        </w:trPr>
        <w:tc>
          <w:tcPr>
            <w:tcW w:w="700" w:type="dxa"/>
            <w:vAlign w:val="bottom"/>
          </w:tcPr>
          <w:p>
            <w:pPr>
              <w:jc w:val="right"/>
              <w:ind w:right="190"/>
              <w:spacing w:after="0"/>
              <w:rPr>
                <w:sz w:val="20"/>
                <w:szCs w:val="20"/>
                <w:color w:val="auto"/>
              </w:rPr>
            </w:pPr>
            <w:r>
              <w:rPr>
                <w:rFonts w:ascii="Arial" w:cs="Arial" w:eastAsia="Arial" w:hAnsi="Arial"/>
                <w:sz w:val="18"/>
                <w:szCs w:val="18"/>
                <w:color w:val="auto"/>
              </w:rPr>
              <w:t>5.1*</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w w:val="91"/>
              </w:rPr>
              <w:t>Opinion of Travers Thorp Alberga Attorneys at Law regarding the validity of the ordinary shares being registered and certain other legal matters</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rPr>
              <w:t>8.1*</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Opinion of Travers Thorp Alberga Attorneys at Law regarding certain Cayman Islands tax matters</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rPr>
              <w:t>8.2*</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Opinion of Jingtian &amp; Gongcheng regarding certain PRC tax matters (included in Exhibit 99.2)</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10.1*</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Series E Share Subscription Agreement dated December 19, 2016</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10.2*</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Fourth Amended and Restated Shareholders Agreement dated December 28, 2016</w:t>
            </w:r>
          </w:p>
        </w:tc>
      </w:tr>
      <w:tr>
        <w:trPr>
          <w:trHeight w:val="310"/>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10.3*</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w w:val="98"/>
              </w:rPr>
              <w:t>English translation of Exclusive Business Cooperation Agreement between OptAim Beijing, OptAim Network and Zhiyunzhong dated</w:t>
            </w:r>
          </w:p>
        </w:tc>
      </w:tr>
      <w:tr>
        <w:trPr>
          <w:trHeight w:val="230"/>
        </w:trPr>
        <w:tc>
          <w:tcPr>
            <w:tcW w:w="700" w:type="dxa"/>
            <w:vAlign w:val="bottom"/>
          </w:tcPr>
          <w:p>
            <w:pPr>
              <w:spacing w:after="0"/>
              <w:rPr>
                <w:sz w:val="20"/>
                <w:szCs w:val="20"/>
                <w:color w:val="auto"/>
              </w:rPr>
            </w:pP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January 16, 2015</w:t>
            </w:r>
          </w:p>
        </w:tc>
        <w:tc>
          <w:tcPr>
            <w:tcW w:w="6820" w:type="dxa"/>
            <w:vAlign w:val="bottom"/>
          </w:tcPr>
          <w:p>
            <w:pPr>
              <w:spacing w:after="0"/>
              <w:rPr>
                <w:sz w:val="20"/>
                <w:szCs w:val="20"/>
                <w:color w:val="auto"/>
              </w:rPr>
            </w:pPr>
          </w:p>
        </w:tc>
      </w:tr>
      <w:tr>
        <w:trPr>
          <w:trHeight w:val="310"/>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10.4*</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w w:val="91"/>
              </w:rPr>
              <w:t>English translation of Amended and Restated Exclusive Call Option Agreement among OptAim Beijing, OptAim Network and the shareholders</w:t>
            </w:r>
          </w:p>
        </w:tc>
      </w:tr>
      <w:tr>
        <w:trPr>
          <w:trHeight w:val="230"/>
        </w:trPr>
        <w:tc>
          <w:tcPr>
            <w:tcW w:w="700" w:type="dxa"/>
            <w:vAlign w:val="bottom"/>
          </w:tcPr>
          <w:p>
            <w:pPr>
              <w:spacing w:after="0"/>
              <w:rPr>
                <w:sz w:val="20"/>
                <w:szCs w:val="20"/>
                <w:color w:val="auto"/>
              </w:rPr>
            </w:pP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of OptAim Network dated July 24, 2015</w:t>
            </w:r>
          </w:p>
        </w:tc>
        <w:tc>
          <w:tcPr>
            <w:tcW w:w="6820" w:type="dxa"/>
            <w:vAlign w:val="bottom"/>
          </w:tcPr>
          <w:p>
            <w:pPr>
              <w:spacing w:after="0"/>
              <w:rPr>
                <w:sz w:val="20"/>
                <w:szCs w:val="20"/>
                <w:color w:val="auto"/>
              </w:rPr>
            </w:pPr>
          </w:p>
        </w:tc>
      </w:tr>
      <w:tr>
        <w:trPr>
          <w:trHeight w:val="310"/>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10.5*</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w w:val="95"/>
              </w:rPr>
              <w:t>English translation of Amended and Restated Equity Pledge Agreement among OptAim Beijing, OptAim Network and the shareholders of</w:t>
            </w:r>
          </w:p>
        </w:tc>
      </w:tr>
      <w:tr>
        <w:trPr>
          <w:trHeight w:val="230"/>
        </w:trPr>
        <w:tc>
          <w:tcPr>
            <w:tcW w:w="700" w:type="dxa"/>
            <w:vAlign w:val="bottom"/>
          </w:tcPr>
          <w:p>
            <w:pPr>
              <w:spacing w:after="0"/>
              <w:rPr>
                <w:sz w:val="20"/>
                <w:szCs w:val="20"/>
                <w:color w:val="auto"/>
              </w:rPr>
            </w:pP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OptAim Network dated July 24, 2015</w:t>
            </w:r>
          </w:p>
        </w:tc>
        <w:tc>
          <w:tcPr>
            <w:tcW w:w="6820" w:type="dxa"/>
            <w:vAlign w:val="bottom"/>
          </w:tcPr>
          <w:p>
            <w:pPr>
              <w:spacing w:after="0"/>
              <w:rPr>
                <w:sz w:val="20"/>
                <w:szCs w:val="20"/>
                <w:color w:val="auto"/>
              </w:rPr>
            </w:pP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10.6*</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English translation of Irrevocable Powers of Attorney granted by the Jian Tang and Jie Jiao dated July 24, 2015</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10.7*</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English translation of Spousal Consents granted by Xinyu Fan</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10.8*</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w w:val="90"/>
              </w:rPr>
              <w:t>Share Option Incentive Scheme of the Registrant</w:t>
            </w:r>
          </w:p>
        </w:tc>
        <w:tc>
          <w:tcPr>
            <w:tcW w:w="6820" w:type="dxa"/>
            <w:vAlign w:val="bottom"/>
          </w:tcPr>
          <w:p>
            <w:pPr>
              <w:spacing w:after="0"/>
              <w:rPr>
                <w:sz w:val="24"/>
                <w:szCs w:val="24"/>
                <w:color w:val="auto"/>
              </w:rPr>
            </w:pP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10.9*</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Form of Indemnification Agreement with Executive Officers and Directors</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21.1*</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List of Subsidiaries of the Registrant</w:t>
            </w:r>
          </w:p>
        </w:tc>
        <w:tc>
          <w:tcPr>
            <w:tcW w:w="6820" w:type="dxa"/>
            <w:vAlign w:val="bottom"/>
          </w:tcPr>
          <w:p>
            <w:pPr>
              <w:spacing w:after="0"/>
              <w:rPr>
                <w:sz w:val="24"/>
                <w:szCs w:val="24"/>
                <w:color w:val="auto"/>
              </w:rPr>
            </w:pP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23.1*</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Consent of PricewaterhouseCoopers</w:t>
            </w:r>
          </w:p>
        </w:tc>
        <w:tc>
          <w:tcPr>
            <w:tcW w:w="6820" w:type="dxa"/>
            <w:vAlign w:val="bottom"/>
          </w:tcPr>
          <w:p>
            <w:pPr>
              <w:spacing w:after="0"/>
              <w:rPr>
                <w:sz w:val="24"/>
                <w:szCs w:val="24"/>
                <w:color w:val="auto"/>
              </w:rPr>
            </w:pP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23.2*</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Consent of Travers Thorp Alberga Attorneys at Law</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23.3*</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Consent of Jingtian &amp; Gongcheng</w:t>
            </w:r>
          </w:p>
        </w:tc>
        <w:tc>
          <w:tcPr>
            <w:tcW w:w="6820" w:type="dxa"/>
            <w:vAlign w:val="bottom"/>
          </w:tcPr>
          <w:p>
            <w:pPr>
              <w:spacing w:after="0"/>
              <w:rPr>
                <w:sz w:val="24"/>
                <w:szCs w:val="24"/>
                <w:color w:val="auto"/>
              </w:rPr>
            </w:pP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24.1*</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Powers of Attorney (included on signature page in Part II of the registration statement)</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99.1*</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Code of Business Conduct and Ethics of the Registrant</w:t>
            </w:r>
          </w:p>
        </w:tc>
      </w:tr>
      <w:tr>
        <w:trPr>
          <w:trHeight w:val="324"/>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95"/>
              </w:rPr>
              <w:t>99.2*</w:t>
            </w:r>
          </w:p>
        </w:tc>
        <w:tc>
          <w:tcPr>
            <w:tcW w:w="10660" w:type="dxa"/>
            <w:vAlign w:val="bottom"/>
            <w:gridSpan w:val="3"/>
          </w:tcPr>
          <w:p>
            <w:pPr>
              <w:ind w:left="260"/>
              <w:spacing w:after="0"/>
              <w:rPr>
                <w:sz w:val="20"/>
                <w:szCs w:val="20"/>
                <w:color w:val="auto"/>
              </w:rPr>
            </w:pPr>
            <w:r>
              <w:rPr>
                <w:rFonts w:ascii="Arial" w:cs="Arial" w:eastAsia="Arial" w:hAnsi="Arial"/>
                <w:sz w:val="18"/>
                <w:szCs w:val="18"/>
                <w:color w:val="auto"/>
              </w:rPr>
              <w:t>Opinion of Jingtian &amp; Gongcheng regarding certain PRC law matters</w:t>
            </w:r>
          </w:p>
        </w:tc>
      </w:tr>
      <w:tr>
        <w:trPr>
          <w:trHeight w:val="324"/>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99.3</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Consent of Frost &amp; Sullivan</w:t>
            </w:r>
          </w:p>
        </w:tc>
        <w:tc>
          <w:tcPr>
            <w:tcW w:w="6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60"/>
          </w:cols>
          <w:pgMar w:left="240" w:top="446" w:right="29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18,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15/F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Consent of Frost &amp; Sullivan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understand that iClick Interactive Asia Group Limited (the “Company”) plans to file a registration statement on Form F-1 (the “Registration Statement”) with the United States Securities and Exchange Commission (the “SEC”) in connection with its proposed initial public offering (the “Proposed IPO”).</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hereby consent to the references to our name and the inclusion of information, data and statements from our research reports and amendments thereto, including but not limited to the industry research report titled “China Online Marketing Market Independent Market Research” (the “Report”), and any subsequent amendments to the Report, as well as the citation of our research report and amendments thereto, (i) in the Registration Statement and any amendments thereto, (ii) in any written correspondences with the SEC, (iii) in any other future filings with the SEC by the Company, including, without limitation, filings on Form 20-F, Form 6-K or other SEC filings (collectively, the “SEC Filings”), (iv) on the websites of the Company and its subsidiaries and affiliates, (v) in institutional and retail road shows and other activities in connection with the Proposed IPO, and in other publicity materials in connection with the Proposed IPO.</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further hereby consent to the filing of this letter as an exhibit to the Registration Statement and any amendments thereto and as an exhibit to any other SEC Filings.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giving such consent, we do not thereby admit that we come within the category of persons whose consent is required under Section 7 of the U.S. Securities Act of 1933, as amended, or the rules and regulations of the SEC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Frost &amp; Sullivan (Beijing) Inc., Shanghai Branch Co.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Neil X. Wang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Neil X. Wang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940" w:type="dxa"/>
            <w:vAlign w:val="bottom"/>
          </w:tcPr>
          <w:p>
            <w:pPr>
              <w:ind w:left="80"/>
              <w:spacing w:after="0"/>
              <w:rPr>
                <w:sz w:val="20"/>
                <w:szCs w:val="20"/>
                <w:color w:val="auto"/>
              </w:rPr>
            </w:pPr>
            <w:r>
              <w:rPr>
                <w:rFonts w:ascii="Arial" w:cs="Arial" w:eastAsia="Arial" w:hAnsi="Arial"/>
                <w:sz w:val="18"/>
                <w:szCs w:val="18"/>
                <w:color w:val="auto"/>
              </w:rPr>
              <w:t>Global Partner &amp; Managing Director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0DDE32"/>
    <w:multiLevelType w:val="hybridMultilevel"/>
    <w:lvl w:ilvl="0">
      <w:lvlJc w:val="left"/>
      <w:lvlText w:val="(%1)"/>
      <w:numFmt w:val="decimal"/>
      <w:start w:val="2"/>
    </w:lvl>
  </w:abstractNum>
  <w:abstractNum w:abstractNumId="1">
    <w:nsid w:val="65968C1C"/>
    <w:multiLevelType w:val="hybridMultilevel"/>
    <w:lvl w:ilvl="0">
      <w:lvlJc w:val="left"/>
      <w:lvlText w:val="•"/>
      <w:numFmt w:val="bullet"/>
      <w:start w:val="1"/>
    </w:lvl>
  </w:abstractNum>
  <w:abstractNum w:abstractNumId="2">
    <w:nsid w:val="46263DEC"/>
    <w:multiLevelType w:val="hybridMultilevel"/>
    <w:lvl w:ilvl="0">
      <w:lvlJc w:val="left"/>
      <w:lvlText w:val="•"/>
      <w:numFmt w:val="bullet"/>
      <w:start w:val="1"/>
    </w:lvl>
  </w:abstractNum>
  <w:abstractNum w:abstractNumId="3">
    <w:nsid w:val="260D8C4A"/>
    <w:multiLevelType w:val="hybridMultilevel"/>
    <w:lvl w:ilvl="0">
      <w:lvlJc w:val="left"/>
      <w:lvlText w:val="•"/>
      <w:numFmt w:val="bullet"/>
      <w:start w:val="1"/>
    </w:lvl>
  </w:abstractNum>
  <w:abstractNum w:abstractNumId="4">
    <w:nsid w:val="73D4D3C4"/>
    <w:multiLevelType w:val="hybridMultilevel"/>
    <w:lvl w:ilvl="0">
      <w:lvlJc w:val="left"/>
      <w:lvlText w:val="•"/>
      <w:numFmt w:val="bullet"/>
      <w:start w:val="1"/>
    </w:lvl>
  </w:abstractNum>
  <w:abstractNum w:abstractNumId="5">
    <w:nsid w:val="746F2E30"/>
    <w:multiLevelType w:val="hybridMultilevel"/>
    <w:lvl w:ilvl="0">
      <w:lvlJc w:val="left"/>
      <w:lvlText w:val="•"/>
      <w:numFmt w:val="bullet"/>
      <w:start w:val="1"/>
    </w:lvl>
  </w:abstractNum>
  <w:abstractNum w:abstractNumId="6">
    <w:nsid w:val="6FDE8AF6"/>
    <w:multiLevelType w:val="hybridMultilevel"/>
    <w:lvl w:ilvl="0">
      <w:lvlJc w:val="left"/>
      <w:lvlText w:val="(%1)"/>
      <w:numFmt w:val="decimal"/>
      <w:start w:val="1"/>
    </w:lvl>
  </w:abstractNum>
  <w:abstractNum w:abstractNumId="7">
    <w:nsid w:val="3FC32E20"/>
    <w:multiLevelType w:val="hybridMultilevel"/>
    <w:lvl w:ilvl="0">
      <w:lvlJc w:val="left"/>
      <w:lvlText w:val="•"/>
      <w:numFmt w:val="bullet"/>
      <w:start w:val="1"/>
    </w:lvl>
  </w:abstractNum>
  <w:abstractNum w:abstractNumId="8">
    <w:nsid w:val="49C0E823"/>
    <w:multiLevelType w:val="hybridMultilevel"/>
    <w:lvl w:ilvl="0">
      <w:lvlJc w:val="left"/>
      <w:lvlText w:val="•"/>
      <w:numFmt w:val="bullet"/>
      <w:start w:val="1"/>
    </w:lvl>
  </w:abstractNum>
  <w:abstractNum w:abstractNumId="9">
    <w:nsid w:val="14D53685"/>
    <w:multiLevelType w:val="hybridMultilevel"/>
    <w:lvl w:ilvl="0">
      <w:lvlJc w:val="left"/>
      <w:lvlText w:val="•"/>
      <w:numFmt w:val="bullet"/>
      <w:start w:val="1"/>
    </w:lvl>
  </w:abstractNum>
  <w:abstractNum w:abstractNumId="10">
    <w:nsid w:val="230F856C"/>
    <w:multiLevelType w:val="hybridMultilevel"/>
    <w:lvl w:ilvl="0">
      <w:lvlJc w:val="left"/>
      <w:lvlText w:val="•"/>
      <w:numFmt w:val="bullet"/>
      <w:start w:val="1"/>
    </w:lvl>
  </w:abstractNum>
  <w:abstractNum w:abstractNumId="11">
    <w:nsid w:val="6EAA85FB"/>
    <w:multiLevelType w:val="hybridMultilevel"/>
    <w:lvl w:ilvl="0">
      <w:lvlJc w:val="left"/>
      <w:lvlText w:val="•"/>
      <w:numFmt w:val="bullet"/>
      <w:start w:val="1"/>
    </w:lvl>
  </w:abstractNum>
  <w:abstractNum w:abstractNumId="12">
    <w:nsid w:val="3F06ECB2"/>
    <w:multiLevelType w:val="hybridMultilevel"/>
    <w:lvl w:ilvl="0">
      <w:lvlJc w:val="left"/>
      <w:lvlText w:val="•"/>
      <w:numFmt w:val="bullet"/>
      <w:start w:val="1"/>
    </w:lvl>
  </w:abstractNum>
  <w:abstractNum w:abstractNumId="13">
    <w:nsid w:val="3B594807"/>
    <w:multiLevelType w:val="hybridMultilevel"/>
    <w:lvl w:ilvl="0">
      <w:lvlJc w:val="left"/>
      <w:lvlText w:val="•"/>
      <w:numFmt w:val="bullet"/>
      <w:start w:val="1"/>
    </w:lvl>
  </w:abstractNum>
  <w:abstractNum w:abstractNumId="14">
    <w:nsid w:val="6CAA2304"/>
    <w:multiLevelType w:val="hybridMultilevel"/>
    <w:lvl w:ilvl="0">
      <w:lvlJc w:val="left"/>
      <w:lvlText w:val="•"/>
      <w:numFmt w:val="bullet"/>
      <w:start w:val="1"/>
    </w:lvl>
  </w:abstractNum>
  <w:abstractNum w:abstractNumId="15">
    <w:nsid w:val="3F7C2FF4"/>
    <w:multiLevelType w:val="hybridMultilevel"/>
    <w:lvl w:ilvl="0">
      <w:lvlJc w:val="left"/>
      <w:lvlText w:val="•"/>
      <w:numFmt w:val="bullet"/>
      <w:start w:val="1"/>
    </w:lvl>
  </w:abstractNum>
  <w:abstractNum w:abstractNumId="16">
    <w:nsid w:val="25413BEC"/>
    <w:multiLevelType w:val="hybridMultilevel"/>
    <w:lvl w:ilvl="0">
      <w:lvlJc w:val="left"/>
      <w:lvlText w:val="•"/>
      <w:numFmt w:val="bullet"/>
      <w:start w:val="1"/>
    </w:lvl>
  </w:abstractNum>
  <w:abstractNum w:abstractNumId="17">
    <w:nsid w:val="17180B0B"/>
    <w:multiLevelType w:val="hybridMultilevel"/>
    <w:lvl w:ilvl="0">
      <w:lvlJc w:val="left"/>
      <w:lvlText w:val="•"/>
      <w:numFmt w:val="bullet"/>
      <w:start w:val="1"/>
    </w:lvl>
  </w:abstractNum>
  <w:abstractNum w:abstractNumId="18">
    <w:nsid w:val="579328B9"/>
    <w:multiLevelType w:val="hybridMultilevel"/>
    <w:lvl w:ilvl="0">
      <w:lvlJc w:val="left"/>
      <w:lvlText w:val="•"/>
      <w:numFmt w:val="bullet"/>
      <w:start w:val="1"/>
    </w:lvl>
  </w:abstractNum>
  <w:abstractNum w:abstractNumId="19">
    <w:nsid w:val="5D205E20"/>
    <w:multiLevelType w:val="hybridMultilevel"/>
    <w:lvl w:ilvl="0">
      <w:lvlJc w:val="left"/>
      <w:lvlText w:val="•"/>
      <w:numFmt w:val="bullet"/>
      <w:start w:val="1"/>
    </w:lvl>
  </w:abstractNum>
  <w:abstractNum w:abstractNumId="20">
    <w:nsid w:val="11CCA8BA"/>
    <w:multiLevelType w:val="hybridMultilevel"/>
    <w:lvl w:ilvl="0">
      <w:lvlJc w:val="left"/>
      <w:lvlText w:val="•"/>
      <w:numFmt w:val="bullet"/>
      <w:start w:val="1"/>
    </w:lvl>
  </w:abstractNum>
  <w:abstractNum w:abstractNumId="21">
    <w:nsid w:val="4D32AB86"/>
    <w:multiLevelType w:val="hybridMultilevel"/>
    <w:lvl w:ilvl="0">
      <w:lvlJc w:val="left"/>
      <w:lvlText w:val="•"/>
      <w:numFmt w:val="bullet"/>
      <w:start w:val="1"/>
    </w:lvl>
  </w:abstractNum>
  <w:abstractNum w:abstractNumId="22">
    <w:nsid w:val="3F07ACC3"/>
    <w:multiLevelType w:val="hybridMultilevel"/>
    <w:lvl w:ilvl="0">
      <w:lvlJc w:val="left"/>
      <w:lvlText w:val="•"/>
      <w:numFmt w:val="bullet"/>
      <w:start w:val="1"/>
    </w:lvl>
  </w:abstractNum>
  <w:abstractNum w:abstractNumId="23">
    <w:nsid w:val="6B47F63E"/>
    <w:multiLevelType w:val="hybridMultilevel"/>
    <w:lvl w:ilvl="0">
      <w:lvlJc w:val="left"/>
      <w:lvlText w:val="•"/>
      <w:numFmt w:val="bullet"/>
      <w:start w:val="1"/>
    </w:lvl>
  </w:abstractNum>
  <w:abstractNum w:abstractNumId="24">
    <w:nsid w:val="5CB44A05"/>
    <w:multiLevelType w:val="hybridMultilevel"/>
    <w:lvl w:ilvl="0">
      <w:lvlJc w:val="left"/>
      <w:lvlText w:val="•"/>
      <w:numFmt w:val="bullet"/>
      <w:start w:val="1"/>
    </w:lvl>
  </w:abstractNum>
  <w:abstractNum w:abstractNumId="25">
    <w:nsid w:val="16CF80F1"/>
    <w:multiLevelType w:val="hybridMultilevel"/>
    <w:lvl w:ilvl="0">
      <w:lvlJc w:val="left"/>
      <w:lvlText w:val="•"/>
      <w:numFmt w:val="bullet"/>
      <w:start w:val="1"/>
    </w:lvl>
  </w:abstractNum>
  <w:abstractNum w:abstractNumId="26">
    <w:nsid w:val="1C695DEC"/>
    <w:multiLevelType w:val="hybridMultilevel"/>
    <w:lvl w:ilvl="0">
      <w:lvlJc w:val="left"/>
      <w:lvlText w:val="•"/>
      <w:numFmt w:val="bullet"/>
      <w:start w:val="1"/>
    </w:lvl>
  </w:abstractNum>
  <w:abstractNum w:abstractNumId="27">
    <w:nsid w:val="3FCFAED9"/>
    <w:multiLevelType w:val="hybridMultilevel"/>
    <w:lvl w:ilvl="0">
      <w:lvlJc w:val="left"/>
      <w:lvlText w:val="(%1)"/>
      <w:numFmt w:val="decimal"/>
      <w:start w:val="1"/>
    </w:lvl>
  </w:abstractNum>
  <w:abstractNum w:abstractNumId="28">
    <w:nsid w:val="F856867"/>
    <w:multiLevelType w:val="hybridMultilevel"/>
    <w:lvl w:ilvl="0">
      <w:lvlJc w:val="left"/>
      <w:lvlText w:val="(%1)"/>
      <w:numFmt w:val="decimal"/>
      <w:start w:val="1"/>
    </w:lvl>
  </w:abstractNum>
  <w:abstractNum w:abstractNumId="29">
    <w:nsid w:val="11B1CC33"/>
    <w:multiLevelType w:val="hybridMultilevel"/>
    <w:lvl w:ilvl="0">
      <w:lvlJc w:val="left"/>
      <w:lvlText w:val="(%1)"/>
      <w:numFmt w:val="decimal"/>
      <w:start w:val="1"/>
    </w:lvl>
  </w:abstractNum>
  <w:abstractNum w:abstractNumId="30">
    <w:nsid w:val="2E22FBB7"/>
    <w:multiLevelType w:val="hybridMultilevel"/>
    <w:lvl w:ilvl="0">
      <w:lvlJc w:val="left"/>
      <w:lvlText w:val="•"/>
      <w:numFmt w:val="bullet"/>
      <w:start w:val="1"/>
    </w:lvl>
  </w:abstractNum>
  <w:abstractNum w:abstractNumId="31">
    <w:nsid w:val="29934699"/>
    <w:multiLevelType w:val="hybridMultilevel"/>
    <w:lvl w:ilvl="0">
      <w:lvlJc w:val="left"/>
      <w:lvlText w:val="•"/>
      <w:numFmt w:val="bullet"/>
      <w:start w:val="1"/>
    </w:lvl>
  </w:abstractNum>
  <w:abstractNum w:abstractNumId="32">
    <w:nsid w:val="77485850"/>
    <w:multiLevelType w:val="hybridMultilevel"/>
    <w:lvl w:ilvl="0">
      <w:lvlJc w:val="left"/>
      <w:lvlText w:val="•"/>
      <w:numFmt w:val="bullet"/>
      <w:start w:val="1"/>
    </w:lvl>
  </w:abstractNum>
  <w:abstractNum w:abstractNumId="33">
    <w:nsid w:val="744939A3"/>
    <w:multiLevelType w:val="hybridMultilevel"/>
    <w:lvl w:ilvl="0">
      <w:lvlJc w:val="left"/>
      <w:lvlText w:val="•"/>
      <w:numFmt w:val="bullet"/>
      <w:start w:val="1"/>
    </w:lvl>
  </w:abstractNum>
  <w:abstractNum w:abstractNumId="34">
    <w:nsid w:val="4FA0D2E3"/>
    <w:multiLevelType w:val="hybridMultilevel"/>
    <w:lvl w:ilvl="0">
      <w:lvlJc w:val="left"/>
      <w:lvlText w:val="(%1)"/>
      <w:numFmt w:val="decimal"/>
      <w:start w:val="4"/>
    </w:lvl>
  </w:abstractNum>
  <w:abstractNum w:abstractNumId="35">
    <w:nsid w:val="6B1D2C14"/>
    <w:multiLevelType w:val="hybridMultilevel"/>
    <w:lvl w:ilvl="0">
      <w:lvlJc w:val="left"/>
      <w:lvlText w:val="•"/>
      <w:numFmt w:val="bullet"/>
      <w:start w:val="1"/>
    </w:lvl>
  </w:abstractNum>
  <w:abstractNum w:abstractNumId="36">
    <w:nsid w:val="68B867D3"/>
    <w:multiLevelType w:val="hybridMultilevel"/>
    <w:lvl w:ilvl="0">
      <w:lvlJc w:val="left"/>
      <w:lvlText w:val="(%1)"/>
      <w:numFmt w:val="decimal"/>
      <w:start w:val="1"/>
    </w:lvl>
  </w:abstractNum>
  <w:abstractNum w:abstractNumId="37">
    <w:nsid w:val="3F7F5DD9"/>
    <w:multiLevelType w:val="hybridMultilevel"/>
    <w:lvl w:ilvl="0">
      <w:lvlJc w:val="left"/>
      <w:lvlText w:val="•"/>
      <w:numFmt w:val="bullet"/>
      <w:start w:val="1"/>
    </w:lvl>
  </w:abstractNum>
  <w:abstractNum w:abstractNumId="38">
    <w:nsid w:val="2AE05A34"/>
    <w:multiLevelType w:val="hybridMultilevel"/>
    <w:lvl w:ilvl="0">
      <w:lvlJc w:val="left"/>
      <w:lvlText w:val="•"/>
      <w:numFmt w:val="bullet"/>
      <w:start w:val="1"/>
    </w:lvl>
  </w:abstractNum>
  <w:abstractNum w:abstractNumId="39">
    <w:nsid w:val="32794FF7"/>
    <w:multiLevelType w:val="hybridMultilevel"/>
    <w:lvl w:ilvl="0">
      <w:lvlJc w:val="left"/>
      <w:lvlText w:val="•"/>
      <w:numFmt w:val="bullet"/>
      <w:start w:val="1"/>
    </w:lvl>
  </w:abstractNum>
  <w:abstractNum w:abstractNumId="40">
    <w:nsid w:val="5454945E"/>
    <w:multiLevelType w:val="hybridMultilevel"/>
    <w:lvl w:ilvl="0">
      <w:lvlJc w:val="left"/>
      <w:lvlText w:val="(%1)"/>
      <w:numFmt w:val="lowerLetter"/>
      <w:start w:val="1"/>
    </w:lvl>
  </w:abstractNum>
  <w:abstractNum w:abstractNumId="41">
    <w:nsid w:val="4DEFDFA0"/>
    <w:multiLevelType w:val="hybridMultilevel"/>
    <w:lvl w:ilvl="0">
      <w:lvlJc w:val="left"/>
      <w:lvlText w:val="•"/>
      <w:numFmt w:val="bullet"/>
      <w:start w:val="1"/>
    </w:lvl>
  </w:abstractNum>
  <w:abstractNum w:abstractNumId="42">
    <w:nsid w:val="2123D5F2"/>
    <w:multiLevelType w:val="hybridMultilevel"/>
    <w:lvl w:ilvl="0">
      <w:lvlJc w:val="left"/>
      <w:lvlText w:val="•"/>
      <w:numFmt w:val="bullet"/>
      <w:start w:val="1"/>
    </w:lvl>
  </w:abstractNum>
  <w:abstractNum w:abstractNumId="43">
    <w:nsid w:val="135B8110"/>
    <w:multiLevelType w:val="hybridMultilevel"/>
    <w:lvl w:ilvl="0">
      <w:lvlJc w:val="left"/>
      <w:lvlText w:val="•"/>
      <w:numFmt w:val="bullet"/>
      <w:start w:val="1"/>
    </w:lvl>
  </w:abstractNum>
  <w:abstractNum w:abstractNumId="44">
    <w:nsid w:val="94927A8"/>
    <w:multiLevelType w:val="hybridMultilevel"/>
    <w:lvl w:ilvl="0">
      <w:lvlJc w:val="left"/>
      <w:lvlText w:val="•"/>
      <w:numFmt w:val="bullet"/>
      <w:start w:val="1"/>
    </w:lvl>
  </w:abstractNum>
  <w:abstractNum w:abstractNumId="45">
    <w:nsid w:val="DCDF8F6"/>
    <w:multiLevelType w:val="hybridMultilevel"/>
    <w:lvl w:ilvl="0">
      <w:lvlJc w:val="left"/>
      <w:lvlText w:val="•"/>
      <w:numFmt w:val="bullet"/>
      <w:start w:val="1"/>
    </w:lvl>
  </w:abstractNum>
  <w:abstractNum w:abstractNumId="46">
    <w:nsid w:val="52D7B105"/>
    <w:multiLevelType w:val="hybridMultilevel"/>
    <w:lvl w:ilvl="0">
      <w:lvlJc w:val="left"/>
      <w:lvlText w:val="•"/>
      <w:numFmt w:val="bullet"/>
      <w:start w:val="1"/>
    </w:lvl>
  </w:abstractNum>
  <w:abstractNum w:abstractNumId="47">
    <w:nsid w:val="2E8A6394"/>
    <w:multiLevelType w:val="hybridMultilevel"/>
    <w:lvl w:ilvl="0">
      <w:lvlJc w:val="left"/>
      <w:lvlText w:val="•"/>
      <w:numFmt w:val="bullet"/>
      <w:start w:val="1"/>
    </w:lvl>
  </w:abstractNum>
  <w:abstractNum w:abstractNumId="48">
    <w:nsid w:val="24E60401"/>
    <w:multiLevelType w:val="hybridMultilevel"/>
    <w:lvl w:ilvl="0">
      <w:lvlJc w:val="left"/>
      <w:lvlText w:val="•"/>
      <w:numFmt w:val="bullet"/>
      <w:start w:val="1"/>
    </w:lvl>
  </w:abstractNum>
  <w:abstractNum w:abstractNumId="49">
    <w:nsid w:val="2A6AD9BE"/>
    <w:multiLevelType w:val="hybridMultilevel"/>
    <w:lvl w:ilvl="0">
      <w:lvlJc w:val="left"/>
      <w:lvlText w:val="•"/>
      <w:numFmt w:val="bullet"/>
      <w:start w:val="1"/>
    </w:lvl>
  </w:abstractNum>
  <w:abstractNum w:abstractNumId="50">
    <w:nsid w:val="BAAC1B4"/>
    <w:multiLevelType w:val="hybridMultilevel"/>
    <w:lvl w:ilvl="0">
      <w:lvlJc w:val="left"/>
      <w:lvlText w:val="•"/>
      <w:numFmt w:val="bullet"/>
      <w:start w:val="1"/>
    </w:lvl>
  </w:abstractNum>
  <w:abstractNum w:abstractNumId="51">
    <w:nsid w:val="36B2ACBC"/>
    <w:multiLevelType w:val="hybridMultilevel"/>
    <w:lvl w:ilvl="0">
      <w:lvlJc w:val="left"/>
      <w:lvlText w:val="•"/>
      <w:numFmt w:val="bullet"/>
      <w:start w:val="1"/>
    </w:lvl>
  </w:abstractNum>
  <w:abstractNum w:abstractNumId="52">
    <w:nsid w:val="779D8544"/>
    <w:multiLevelType w:val="hybridMultilevel"/>
    <w:lvl w:ilvl="0">
      <w:lvlJc w:val="left"/>
      <w:lvlText w:val="•"/>
      <w:numFmt w:val="bullet"/>
      <w:start w:val="1"/>
    </w:lvl>
  </w:abstractNum>
  <w:abstractNum w:abstractNumId="53">
    <w:nsid w:val="4AB26E78"/>
    <w:multiLevelType w:val="hybridMultilevel"/>
    <w:lvl w:ilvl="0">
      <w:lvlJc w:val="left"/>
      <w:lvlText w:val="•"/>
      <w:numFmt w:val="bullet"/>
      <w:start w:val="1"/>
    </w:lvl>
  </w:abstractNum>
  <w:abstractNum w:abstractNumId="54">
    <w:nsid w:val="21FAA2FA"/>
    <w:multiLevelType w:val="hybridMultilevel"/>
    <w:lvl w:ilvl="0">
      <w:lvlJc w:val="left"/>
      <w:lvlText w:val="•"/>
      <w:numFmt w:val="bullet"/>
      <w:start w:val="1"/>
    </w:lvl>
  </w:abstractNum>
  <w:abstractNum w:abstractNumId="55">
    <w:nsid w:val="5451CF49"/>
    <w:multiLevelType w:val="hybridMultilevel"/>
    <w:lvl w:ilvl="0">
      <w:lvlJc w:val="left"/>
      <w:lvlText w:val="•"/>
      <w:numFmt w:val="bullet"/>
      <w:start w:val="1"/>
    </w:lvl>
  </w:abstractNum>
  <w:abstractNum w:abstractNumId="56">
    <w:nsid w:val="6181EF69"/>
    <w:multiLevelType w:val="hybridMultilevel"/>
    <w:lvl w:ilvl="0">
      <w:lvlJc w:val="left"/>
      <w:lvlText w:val="•"/>
      <w:numFmt w:val="bullet"/>
      <w:start w:val="1"/>
    </w:lvl>
  </w:abstractNum>
  <w:abstractNum w:abstractNumId="57">
    <w:nsid w:val="3E6400E6"/>
    <w:multiLevelType w:val="hybridMultilevel"/>
    <w:lvl w:ilvl="0">
      <w:lvlJc w:val="left"/>
      <w:lvlText w:val="\emdash "/>
      <w:numFmt w:val="bullet"/>
      <w:start w:val="1"/>
    </w:lvl>
  </w:abstractNum>
  <w:abstractNum w:abstractNumId="58">
    <w:nsid w:val="14217E23"/>
    <w:multiLevelType w:val="hybridMultilevel"/>
    <w:lvl w:ilvl="0">
      <w:lvlJc w:val="left"/>
      <w:lvlText w:val="(%1)"/>
      <w:numFmt w:val="lowerRoman"/>
      <w:start w:val="2"/>
    </w:lvl>
  </w:abstractNum>
  <w:abstractNum w:abstractNumId="59">
    <w:nsid w:val="710757D0"/>
    <w:multiLevelType w:val="hybridMultilevel"/>
    <w:lvl w:ilvl="0">
      <w:lvlJc w:val="left"/>
      <w:lvlText w:val="•"/>
      <w:numFmt w:val="bullet"/>
      <w:start w:val="1"/>
    </w:lvl>
  </w:abstractNum>
  <w:abstractNum w:abstractNumId="60">
    <w:nsid w:val="5015CD1A"/>
    <w:multiLevelType w:val="hybridMultilevel"/>
    <w:lvl w:ilvl="0">
      <w:lvlJc w:val="left"/>
      <w:lvlText w:val="•"/>
      <w:numFmt w:val="bullet"/>
      <w:start w:val="1"/>
    </w:lvl>
  </w:abstractNum>
  <w:abstractNum w:abstractNumId="61">
    <w:nsid w:val="424479DA"/>
    <w:multiLevelType w:val="hybridMultilevel"/>
    <w:lvl w:ilvl="0">
      <w:lvlJc w:val="left"/>
      <w:lvlText w:val="•"/>
      <w:numFmt w:val="bullet"/>
      <w:start w:val="1"/>
    </w:lvl>
  </w:abstractNum>
  <w:abstractNum w:abstractNumId="62">
    <w:nsid w:val="1A9A9E69"/>
    <w:multiLevelType w:val="hybridMultilevel"/>
    <w:lvl w:ilvl="0">
      <w:lvlJc w:val="left"/>
      <w:lvlText w:val="•"/>
      <w:numFmt w:val="bullet"/>
      <w:start w:val="1"/>
    </w:lvl>
  </w:abstractNum>
  <w:abstractNum w:abstractNumId="63">
    <w:nsid w:val="475E256A"/>
    <w:multiLevelType w:val="hybridMultilevel"/>
    <w:lvl w:ilvl="0">
      <w:lvlJc w:val="left"/>
      <w:lvlText w:val="*"/>
      <w:numFmt w:val="bullet"/>
      <w:start w:val="1"/>
    </w:lvl>
  </w:abstractNum>
  <w:abstractNum w:abstractNumId="64">
    <w:nsid w:val="368DB37E"/>
    <w:multiLevelType w:val="hybridMultilevel"/>
    <w:lvl w:ilvl="0">
      <w:lvlJc w:val="left"/>
      <w:lvlText w:val="•"/>
      <w:numFmt w:val="bullet"/>
      <w:start w:val="1"/>
    </w:lvl>
  </w:abstractNum>
  <w:abstractNum w:abstractNumId="65">
    <w:nsid w:val="6A3B714C"/>
    <w:multiLevelType w:val="hybridMultilevel"/>
    <w:lvl w:ilvl="0">
      <w:lvlJc w:val="left"/>
      <w:lvlText w:val="*"/>
      <w:numFmt w:val="bullet"/>
      <w:start w:val="1"/>
    </w:lvl>
  </w:abstractNum>
  <w:abstractNum w:abstractNumId="66">
    <w:nsid w:val="327B517E"/>
    <w:multiLevelType w:val="hybridMultilevel"/>
    <w:lvl w:ilvl="0">
      <w:lvlJc w:val="left"/>
      <w:lvlText w:val="**"/>
      <w:numFmt w:val="bullet"/>
      <w:start w:val="1"/>
    </w:lvl>
  </w:abstractNum>
  <w:abstractNum w:abstractNumId="67">
    <w:nsid w:val="1F461B51"/>
    <w:multiLevelType w:val="hybridMultilevel"/>
    <w:lvl w:ilvl="0">
      <w:lvlJc w:val="left"/>
      <w:lvlText w:val="(%1)"/>
      <w:numFmt w:val="decimal"/>
      <w:start w:val="1"/>
    </w:lvl>
  </w:abstractNum>
  <w:abstractNum w:abstractNumId="68">
    <w:nsid w:val="29BACF25"/>
    <w:multiLevelType w:val="hybridMultilevel"/>
    <w:lvl w:ilvl="0">
      <w:lvlJc w:val="left"/>
      <w:lvlText w:val="(%1)"/>
      <w:numFmt w:val="lowerLetter"/>
      <w:start w:val="1"/>
    </w:lvl>
  </w:abstractNum>
  <w:abstractNum w:abstractNumId="69">
    <w:nsid w:val="5D5BABB3"/>
    <w:multiLevelType w:val="hybridMultilevel"/>
    <w:lvl w:ilvl="0">
      <w:lvlJc w:val="left"/>
      <w:lvlText w:val="(%1)"/>
      <w:numFmt w:val="lowerLetter"/>
      <w:start w:val="2"/>
    </w:lvl>
  </w:abstractNum>
  <w:abstractNum w:abstractNumId="70">
    <w:nsid w:val="51BF6B48"/>
    <w:multiLevelType w:val="hybridMultilevel"/>
    <w:lvl w:ilvl="0">
      <w:lvlJc w:val="left"/>
      <w:lvlText w:val="•"/>
      <w:numFmt w:val="bullet"/>
      <w:start w:val="1"/>
    </w:lvl>
  </w:abstractNum>
  <w:abstractNum w:abstractNumId="71">
    <w:nsid w:val="7E0F6384"/>
    <w:multiLevelType w:val="hybridMultilevel"/>
    <w:lvl w:ilvl="0">
      <w:lvlJc w:val="left"/>
      <w:lvlText w:val="•"/>
      <w:numFmt w:val="bullet"/>
      <w:start w:val="1"/>
    </w:lvl>
  </w:abstractNum>
  <w:abstractNum w:abstractNumId="72">
    <w:nsid w:val="2B4B8B53"/>
    <w:multiLevelType w:val="hybridMultilevel"/>
    <w:lvl w:ilvl="0">
      <w:lvlJc w:val="left"/>
      <w:lvlText w:val="•"/>
      <w:numFmt w:val="bullet"/>
      <w:start w:val="1"/>
    </w:lvl>
  </w:abstractNum>
  <w:abstractNum w:abstractNumId="73">
    <w:nsid w:val="72E3413A"/>
    <w:multiLevelType w:val="hybridMultilevel"/>
    <w:lvl w:ilvl="0">
      <w:lvlJc w:val="left"/>
      <w:lvlText w:val="•"/>
      <w:numFmt w:val="bullet"/>
      <w:start w:val="1"/>
    </w:lvl>
  </w:abstractNum>
  <w:abstractNum w:abstractNumId="74">
    <w:nsid w:val="116AE494"/>
    <w:multiLevelType w:val="hybridMultilevel"/>
    <w:lvl w:ilvl="0">
      <w:lvlJc w:val="left"/>
      <w:lvlText w:val="•"/>
      <w:numFmt w:val="bullet"/>
      <w:start w:val="1"/>
    </w:lvl>
  </w:abstractNum>
  <w:abstractNum w:abstractNumId="75">
    <w:nsid w:val="3494B2FB"/>
    <w:multiLevelType w:val="hybridMultilevel"/>
    <w:lvl w:ilvl="0">
      <w:lvlJc w:val="left"/>
      <w:lvlText w:val="(%1)"/>
      <w:numFmt w:val="lowerLetter"/>
      <w:start w:val="1"/>
    </w:lvl>
  </w:abstractNum>
  <w:abstractNum w:abstractNumId="76">
    <w:nsid w:val="B13A31"/>
    <w:multiLevelType w:val="hybridMultilevel"/>
    <w:lvl w:ilvl="0">
      <w:lvlJc w:val="left"/>
      <w:lvlText w:val=","/>
      <w:numFmt w:val="bullet"/>
      <w:start w:val="1"/>
    </w:lvl>
  </w:abstractNum>
  <w:abstractNum w:abstractNumId="77">
    <w:nsid w:val="64429599"/>
    <w:multiLevelType w:val="hybridMultilevel"/>
    <w:lvl w:ilvl="0">
      <w:lvlJc w:val="left"/>
      <w:lvlText w:val="(%1)"/>
      <w:numFmt w:val="lowerRoman"/>
      <w:start w:val="1"/>
    </w:lvl>
  </w:abstractNum>
  <w:abstractNum w:abstractNumId="78">
    <w:nsid w:val="631F1690"/>
    <w:multiLevelType w:val="hybridMultilevel"/>
    <w:lvl w:ilvl="0">
      <w:lvlJc w:val="left"/>
      <w:lvlText w:val="•"/>
      <w:numFmt w:val="bullet"/>
      <w:start w:val="1"/>
    </w:lvl>
  </w:abstractNum>
  <w:abstractNum w:abstractNumId="79">
    <w:nsid w:val="25973E32"/>
    <w:multiLevelType w:val="hybridMultilevel"/>
    <w:lvl w:ilvl="0">
      <w:lvlJc w:val="left"/>
      <w:lvlText w:val="•"/>
      <w:numFmt w:val="bullet"/>
      <w:start w:val="1"/>
    </w:lvl>
  </w:abstractNum>
  <w:abstractNum w:abstractNumId="80">
    <w:nsid w:val="EAD6F57"/>
    <w:multiLevelType w:val="hybridMultilevel"/>
    <w:lvl w:ilvl="0">
      <w:lvlJc w:val="left"/>
      <w:lvlText w:val="(%1)"/>
      <w:numFmt w:val="lowerRoman"/>
      <w:start w:val="1"/>
    </w:lvl>
  </w:abstractNum>
  <w:abstractNum w:abstractNumId="81">
    <w:nsid w:val="6EC9D844"/>
    <w:multiLevelType w:val="hybridMultilevel"/>
    <w:lvl w:ilvl="0">
      <w:lvlJc w:val="left"/>
      <w:lvlText w:val="•"/>
      <w:numFmt w:val="bullet"/>
      <w:start w:val="1"/>
    </w:lvl>
  </w:abstractNum>
  <w:abstractNum w:abstractNumId="82">
    <w:nsid w:val="5C49EAEE"/>
    <w:multiLevelType w:val="hybridMultilevel"/>
    <w:lvl w:ilvl="0">
      <w:lvlJc w:val="left"/>
      <w:lvlText w:val="•"/>
      <w:numFmt w:val="bullet"/>
      <w:start w:val="1"/>
    </w:lvl>
  </w:abstractNum>
  <w:abstractNum w:abstractNumId="83">
    <w:nsid w:val="64AF49B"/>
    <w:multiLevelType w:val="hybridMultilevel"/>
    <w:lvl w:ilvl="0">
      <w:lvlJc w:val="left"/>
      <w:lvlText w:val="(%1)"/>
      <w:numFmt w:val="decimal"/>
      <w:start w:val="1"/>
    </w:lvl>
  </w:abstractNum>
  <w:abstractNum w:abstractNumId="84">
    <w:nsid w:val="397C46BC"/>
    <w:multiLevelType w:val="hybridMultilevel"/>
    <w:lvl w:ilvl="0">
      <w:lvlJc w:val="left"/>
      <w:lvlText w:val="(%1)"/>
      <w:numFmt w:val="lowerRoman"/>
      <w:start w:val="1"/>
    </w:lvl>
  </w:abstractNum>
  <w:abstractNum w:abstractNumId="85">
    <w:nsid w:val="7E448DE9"/>
    <w:multiLevelType w:val="hybridMultilevel"/>
    <w:lvl w:ilvl="0">
      <w:lvlJc w:val="left"/>
      <w:lvlText w:val="•"/>
      <w:numFmt w:val="bullet"/>
      <w:start w:val="1"/>
    </w:lvl>
  </w:abstractNum>
  <w:abstractNum w:abstractNumId="86">
    <w:nsid w:val="5A9CC3E5"/>
    <w:multiLevelType w:val="hybridMultilevel"/>
    <w:lvl w:ilvl="0">
      <w:lvlJc w:val="left"/>
      <w:lvlText w:val="(%1)"/>
      <w:numFmt w:val="lowerRoman"/>
      <w:start w:val="1"/>
    </w:lvl>
  </w:abstractNum>
  <w:abstractNum w:abstractNumId="87">
    <w:nsid w:val="1AFE3625"/>
    <w:multiLevelType w:val="hybridMultilevel"/>
    <w:lvl w:ilvl="0">
      <w:lvlJc w:val="left"/>
      <w:lvlText w:val="•"/>
      <w:numFmt w:val="bullet"/>
      <w:start w:val="1"/>
    </w:lvl>
  </w:abstractNum>
  <w:abstractNum w:abstractNumId="88">
    <w:nsid w:val="3CA88ECF"/>
    <w:multiLevelType w:val="hybridMultilevel"/>
    <w:lvl w:ilvl="0">
      <w:lvlJc w:val="left"/>
      <w:lvlText w:val="•"/>
      <w:numFmt w:val="bullet"/>
      <w:start w:val="1"/>
    </w:lvl>
  </w:abstractNum>
  <w:abstractNum w:abstractNumId="89">
    <w:nsid w:val="6EBE4208"/>
    <w:multiLevelType w:val="hybridMultilevel"/>
    <w:lvl w:ilvl="0">
      <w:lvlJc w:val="left"/>
      <w:lvlText w:val="(%1)"/>
      <w:numFmt w:val="lowerRoman"/>
      <w:start w:val="1"/>
    </w:lvl>
  </w:abstractNum>
  <w:abstractNum w:abstractNumId="90">
    <w:nsid w:val="C058DF5"/>
    <w:multiLevelType w:val="hybridMultilevel"/>
    <w:lvl w:ilvl="0">
      <w:lvlJc w:val="left"/>
      <w:lvlText w:val="•"/>
      <w:numFmt w:val="bullet"/>
      <w:start w:val="1"/>
    </w:lvl>
  </w:abstractNum>
  <w:abstractNum w:abstractNumId="91">
    <w:nsid w:val="CBE5BE9"/>
    <w:multiLevelType w:val="hybridMultilevel"/>
    <w:lvl w:ilvl="0">
      <w:lvlJc w:val="left"/>
      <w:lvlText w:val="•"/>
      <w:numFmt w:val="bullet"/>
      <w:start w:val="1"/>
    </w:lvl>
  </w:abstractNum>
  <w:abstractNum w:abstractNumId="92">
    <w:nsid w:val="3102BBE2"/>
    <w:multiLevelType w:val="hybridMultilevel"/>
    <w:lvl w:ilvl="0">
      <w:lvlJc w:val="left"/>
      <w:lvlText w:val="•"/>
      <w:numFmt w:val="bullet"/>
      <w:start w:val="1"/>
    </w:lvl>
  </w:abstractNum>
  <w:abstractNum w:abstractNumId="93">
    <w:nsid w:val="26A02C5E"/>
    <w:multiLevelType w:val="hybridMultilevel"/>
    <w:lvl w:ilvl="0">
      <w:lvlJc w:val="left"/>
      <w:lvlText w:val="•"/>
      <w:numFmt w:val="bullet"/>
      <w:start w:val="1"/>
    </w:lvl>
  </w:abstractNum>
  <w:abstractNum w:abstractNumId="94">
    <w:nsid w:val="541C8153"/>
    <w:multiLevelType w:val="hybridMultilevel"/>
    <w:lvl w:ilvl="0">
      <w:lvlJc w:val="left"/>
      <w:lvlText w:val="•"/>
      <w:numFmt w:val="bullet"/>
      <w:start w:val="1"/>
    </w:lvl>
  </w:abstractNum>
  <w:abstractNum w:abstractNumId="95">
    <w:nsid w:val="67906F60"/>
    <w:multiLevelType w:val="hybridMultilevel"/>
    <w:lvl w:ilvl="0">
      <w:lvlJc w:val="left"/>
      <w:lvlText w:val="•"/>
      <w:numFmt w:val="bullet"/>
      <w:start w:val="1"/>
    </w:lvl>
  </w:abstractNum>
  <w:abstractNum w:abstractNumId="96">
    <w:nsid w:val="10DB9DAA"/>
    <w:multiLevelType w:val="hybridMultilevel"/>
    <w:lvl w:ilvl="0">
      <w:lvlJc w:val="left"/>
      <w:lvlText w:val="•"/>
      <w:numFmt w:val="bullet"/>
      <w:start w:val="1"/>
    </w:lvl>
  </w:abstractNum>
  <w:abstractNum w:abstractNumId="97">
    <w:nsid w:val="697D2D2"/>
    <w:multiLevelType w:val="hybridMultilevel"/>
    <w:lvl w:ilvl="0">
      <w:lvlJc w:val="left"/>
      <w:lvlText w:val="•"/>
      <w:numFmt w:val="bullet"/>
      <w:start w:val="1"/>
    </w:lvl>
  </w:abstractNum>
  <w:abstractNum w:abstractNumId="98">
    <w:nsid w:val="6D68AB2"/>
    <w:multiLevelType w:val="hybridMultilevel"/>
    <w:lvl w:ilvl="0">
      <w:lvlJc w:val="left"/>
      <w:lvlText w:val="•"/>
      <w:numFmt w:val="bullet"/>
      <w:start w:val="1"/>
    </w:lvl>
  </w:abstractNum>
  <w:abstractNum w:abstractNumId="99">
    <w:nsid w:val="3A966CD0"/>
    <w:multiLevelType w:val="hybridMultilevel"/>
    <w:lvl w:ilvl="0">
      <w:lvlJc w:val="left"/>
      <w:lvlText w:val="•"/>
      <w:numFmt w:val="bullet"/>
      <w:start w:val="1"/>
    </w:lvl>
  </w:abstractNum>
  <w:abstractNum w:abstractNumId="100">
    <w:nsid w:val="63F37E85"/>
    <w:multiLevelType w:val="hybridMultilevel"/>
    <w:lvl w:ilvl="0">
      <w:lvlJc w:val="left"/>
      <w:lvlText w:val="•"/>
      <w:numFmt w:val="bullet"/>
      <w:start w:val="1"/>
    </w:lvl>
  </w:abstractNum>
  <w:abstractNum w:abstractNumId="101">
    <w:nsid w:val="5895F5FA"/>
    <w:multiLevelType w:val="hybridMultilevel"/>
    <w:lvl w:ilvl="0">
      <w:lvlJc w:val="left"/>
      <w:lvlText w:val="•"/>
      <w:numFmt w:val="bullet"/>
      <w:start w:val="1"/>
    </w:lvl>
  </w:abstractNum>
  <w:abstractNum w:abstractNumId="102">
    <w:nsid w:val="38A5D054"/>
    <w:multiLevelType w:val="hybridMultilevel"/>
    <w:lvl w:ilvl="0">
      <w:lvlJc w:val="left"/>
      <w:lvlText w:val="•"/>
      <w:numFmt w:val="bullet"/>
      <w:start w:val="1"/>
    </w:lvl>
  </w:abstractNum>
  <w:abstractNum w:abstractNumId="103">
    <w:nsid w:val="F3F09D8"/>
    <w:multiLevelType w:val="hybridMultilevel"/>
    <w:lvl w:ilvl="0">
      <w:lvlJc w:val="left"/>
      <w:lvlText w:val="•"/>
      <w:numFmt w:val="bullet"/>
      <w:start w:val="1"/>
    </w:lvl>
  </w:abstractNum>
  <w:abstractNum w:abstractNumId="104">
    <w:nsid w:val="4B793735"/>
    <w:multiLevelType w:val="hybridMultilevel"/>
    <w:lvl w:ilvl="0">
      <w:lvlJc w:val="left"/>
      <w:lvlText w:val="•"/>
      <w:numFmt w:val="bullet"/>
      <w:start w:val="1"/>
    </w:lvl>
    <w:lvl w:ilvl="1">
      <w:lvlJc w:val="left"/>
      <w:lvlText w:val="(%2)"/>
      <w:numFmt w:val="lowerRoman"/>
      <w:start w:val="1"/>
    </w:lvl>
  </w:abstractNum>
  <w:abstractNum w:abstractNumId="105">
    <w:nsid w:val="4A10B4E8"/>
    <w:multiLevelType w:val="hybridMultilevel"/>
    <w:lvl w:ilvl="0">
      <w:lvlJc w:val="left"/>
      <w:lvlText w:val="•"/>
      <w:numFmt w:val="bullet"/>
      <w:start w:val="1"/>
    </w:lvl>
  </w:abstractNum>
  <w:abstractNum w:abstractNumId="106">
    <w:nsid w:val="43D3BCD4"/>
    <w:multiLevelType w:val="hybridMultilevel"/>
    <w:lvl w:ilvl="0">
      <w:lvlJc w:val="left"/>
      <w:lvlText w:val="1"/>
      <w:numFmt w:val="bullet"/>
      <w:start w:val="1"/>
    </w:lvl>
  </w:abstractNum>
  <w:abstractNum w:abstractNumId="107">
    <w:nsid w:val="4C2A7166"/>
    <w:multiLevelType w:val="hybridMultilevel"/>
    <w:lvl w:ilvl="0">
      <w:lvlJc w:val="left"/>
      <w:lvlText w:val="(%1)"/>
      <w:numFmt w:val="lowerLetter"/>
      <w:start w:val="1"/>
    </w:lvl>
  </w:abstractNum>
  <w:abstractNum w:abstractNumId="108">
    <w:nsid w:val="2E534A82"/>
    <w:multiLevelType w:val="hybridMultilevel"/>
    <w:lvl w:ilvl="0">
      <w:lvlJc w:val="left"/>
      <w:lvlText w:val="1"/>
      <w:numFmt w:val="bullet"/>
      <w:start w:val="1"/>
    </w:lvl>
  </w:abstractNum>
  <w:abstractNum w:abstractNumId="109">
    <w:nsid w:val="26F2D364"/>
    <w:multiLevelType w:val="hybridMultilevel"/>
    <w:lvl w:ilvl="0">
      <w:lvlJc w:val="left"/>
      <w:lvlText w:val="(%1)"/>
      <w:numFmt w:val="lowerLetter"/>
      <w:start w:val="1"/>
    </w:lvl>
  </w:abstractNum>
  <w:abstractNum w:abstractNumId="110">
    <w:nsid w:val="71C1AF98"/>
    <w:multiLevelType w:val="hybridMultilevel"/>
    <w:lvl w:ilvl="0">
      <w:lvlJc w:val="left"/>
      <w:lvlText w:val="1"/>
      <w:numFmt w:val="bullet"/>
      <w:start w:val="1"/>
    </w:lvl>
  </w:abstractNum>
  <w:abstractNum w:abstractNumId="111">
    <w:nsid w:val="3D00B9D9"/>
    <w:multiLevelType w:val="hybridMultilevel"/>
    <w:lvl w:ilvl="0">
      <w:lvlJc w:val="left"/>
      <w:lvlText w:val="(%1)"/>
      <w:numFmt w:val="lowerLetter"/>
      <w:start w:val="1"/>
    </w:lvl>
  </w:abstractNum>
  <w:abstractNum w:abstractNumId="112">
    <w:nsid w:val="15BCABA8"/>
    <w:multiLevelType w:val="hybridMultilevel"/>
    <w:lvl w:ilvl="0">
      <w:lvlJc w:val="left"/>
      <w:lvlText w:val="1"/>
      <w:numFmt w:val="bullet"/>
      <w:start w:val="1"/>
    </w:lvl>
  </w:abstractNum>
  <w:abstractNum w:abstractNumId="113">
    <w:nsid w:val="4E0B9A87"/>
    <w:multiLevelType w:val="hybridMultilevel"/>
    <w:lvl w:ilvl="0">
      <w:lvlJc w:val="left"/>
      <w:lvlText w:val="(%1)"/>
      <w:numFmt w:val="lowerLetter"/>
      <w:start w:val="2"/>
    </w:lvl>
  </w:abstractNum>
  <w:abstractNum w:abstractNumId="114">
    <w:nsid w:val="434BAE75"/>
    <w:multiLevelType w:val="hybridMultilevel"/>
    <w:lvl w:ilvl="0">
      <w:lvlJc w:val="left"/>
      <w:lvlText w:val="•"/>
      <w:numFmt w:val="bullet"/>
      <w:start w:val="1"/>
    </w:lvl>
  </w:abstractNum>
  <w:abstractNum w:abstractNumId="115">
    <w:nsid w:val="4F38F265"/>
    <w:multiLevelType w:val="hybridMultilevel"/>
    <w:lvl w:ilvl="0">
      <w:lvlJc w:val="left"/>
      <w:lvlText w:val="•"/>
      <w:numFmt w:val="bullet"/>
      <w:start w:val="1"/>
    </w:lvl>
  </w:abstractNum>
  <w:abstractNum w:abstractNumId="116">
    <w:nsid w:val="4C502870"/>
    <w:multiLevelType w:val="hybridMultilevel"/>
    <w:lvl w:ilvl="0">
      <w:lvlJc w:val="left"/>
      <w:lvlText w:val="•"/>
      <w:numFmt w:val="bullet"/>
      <w:start w:val="1"/>
    </w:lvl>
  </w:abstractNum>
  <w:abstractNum w:abstractNumId="117">
    <w:nsid w:val="1DE8725A"/>
    <w:multiLevelType w:val="hybridMultilevel"/>
    <w:lvl w:ilvl="0">
      <w:lvlJc w:val="left"/>
      <w:lvlText w:val="1"/>
      <w:numFmt w:val="bullet"/>
      <w:start w:val="1"/>
    </w:lvl>
  </w:abstractNum>
  <w:abstractNum w:abstractNumId="118">
    <w:nsid w:val="6A37288A"/>
    <w:multiLevelType w:val="hybridMultilevel"/>
    <w:lvl w:ilvl="0">
      <w:lvlJc w:val="left"/>
      <w:lvlText w:val="(%1)"/>
      <w:numFmt w:val="lowerLetter"/>
      <w:start w:val="2"/>
    </w:lvl>
  </w:abstractNum>
  <w:abstractNum w:abstractNumId="119">
    <w:nsid w:val="8F8B73F"/>
    <w:multiLevelType w:val="hybridMultilevel"/>
    <w:lvl w:ilvl="0">
      <w:lvlJc w:val="left"/>
      <w:lvlText w:val="•"/>
      <w:numFmt w:val="bullet"/>
      <w:start w:val="1"/>
    </w:lvl>
  </w:abstractNum>
  <w:abstractNum w:abstractNumId="120">
    <w:nsid w:val="CA6B462"/>
    <w:multiLevelType w:val="hybridMultilevel"/>
    <w:lvl w:ilvl="0">
      <w:lvlJc w:val="left"/>
      <w:lvlText w:val="•"/>
      <w:numFmt w:val="bullet"/>
      <w:start w:val="1"/>
    </w:lvl>
  </w:abstractNum>
  <w:abstractNum w:abstractNumId="121">
    <w:nsid w:val="763CB680"/>
    <w:multiLevelType w:val="hybridMultilevel"/>
    <w:lvl w:ilvl="0">
      <w:lvlJc w:val="left"/>
      <w:lvlText w:val="1"/>
      <w:numFmt w:val="bullet"/>
      <w:start w:val="1"/>
    </w:lvl>
  </w:abstractNum>
  <w:abstractNum w:abstractNumId="122">
    <w:nsid w:val="15B71329"/>
    <w:multiLevelType w:val="hybridMultilevel"/>
    <w:lvl w:ilvl="0">
      <w:lvlJc w:val="left"/>
      <w:lvlText w:val="(%1)"/>
      <w:numFmt w:val="lowerLetter"/>
      <w:start w:val="2"/>
    </w:lvl>
  </w:abstractNum>
  <w:abstractNum w:abstractNumId="123">
    <w:nsid w:val="3DA97044"/>
    <w:multiLevelType w:val="hybridMultilevel"/>
    <w:lvl w:ilvl="0">
      <w:lvlJc w:val="left"/>
      <w:lvlText w:val="2"/>
      <w:numFmt w:val="bullet"/>
      <w:start w:val="1"/>
    </w:lvl>
  </w:abstractNum>
  <w:abstractNum w:abstractNumId="124">
    <w:nsid w:val="1CDCE2DE"/>
    <w:multiLevelType w:val="hybridMultilevel"/>
    <w:lvl w:ilvl="0">
      <w:lvlJc w:val="left"/>
      <w:lvlText w:val="(%1)"/>
      <w:numFmt w:val="lowerLetter"/>
      <w:start w:val="1"/>
    </w:lvl>
  </w:abstractNum>
  <w:abstractNum w:abstractNumId="125">
    <w:nsid w:val="69D3947C"/>
    <w:multiLevelType w:val="hybridMultilevel"/>
    <w:lvl w:ilvl="0">
      <w:lvlJc w:val="left"/>
      <w:lvlText w:val="2"/>
      <w:numFmt w:val="bullet"/>
      <w:start w:val="1"/>
    </w:lvl>
  </w:abstractNum>
  <w:abstractNum w:abstractNumId="126">
    <w:nsid w:val="2539DFA5"/>
    <w:multiLevelType w:val="hybridMultilevel"/>
    <w:lvl w:ilvl="0">
      <w:lvlJc w:val="left"/>
      <w:lvlText w:val="(%1)"/>
      <w:numFmt w:val="lowerLetter"/>
      <w:start w:val="3"/>
    </w:lvl>
  </w:abstractNum>
  <w:abstractNum w:abstractNumId="127">
    <w:nsid w:val="2DB88089"/>
    <w:multiLevelType w:val="hybridMultilevel"/>
    <w:lvl w:ilvl="0">
      <w:lvlJc w:val="left"/>
      <w:lvlText w:val="2"/>
      <w:numFmt w:val="bullet"/>
      <w:start w:val="1"/>
    </w:lvl>
  </w:abstractNum>
  <w:abstractNum w:abstractNumId="128">
    <w:nsid w:val="706B674E"/>
    <w:multiLevelType w:val="hybridMultilevel"/>
    <w:lvl w:ilvl="0">
      <w:lvlJc w:val="left"/>
      <w:lvlText w:val="(%1)"/>
      <w:numFmt w:val="lowerLetter"/>
      <w:start w:val="5"/>
    </w:lvl>
  </w:abstractNum>
  <w:abstractNum w:abstractNumId="129">
    <w:nsid w:val="2C106A57"/>
    <w:multiLevelType w:val="hybridMultilevel"/>
    <w:lvl w:ilvl="0">
      <w:lvlJc w:val="left"/>
      <w:lvlText w:val="2"/>
      <w:numFmt w:val="bullet"/>
      <w:start w:val="1"/>
    </w:lvl>
  </w:abstractNum>
  <w:abstractNum w:abstractNumId="130">
    <w:nsid w:val="684EED59"/>
    <w:multiLevelType w:val="hybridMultilevel"/>
    <w:lvl w:ilvl="0">
      <w:lvlJc w:val="left"/>
      <w:lvlText w:val="(%1)"/>
      <w:numFmt w:val="lowerLetter"/>
      <w:start w:val="9"/>
    </w:lvl>
  </w:abstractNum>
  <w:abstractNum w:abstractNumId="131">
    <w:nsid w:val="545EE5D3"/>
    <w:multiLevelType w:val="hybridMultilevel"/>
    <w:lvl w:ilvl="0">
      <w:lvlJc w:val="left"/>
      <w:lvlText w:val="2"/>
      <w:numFmt w:val="bullet"/>
      <w:start w:val="1"/>
    </w:lvl>
  </w:abstractNum>
  <w:abstractNum w:abstractNumId="132">
    <w:nsid w:val="4A66051"/>
    <w:multiLevelType w:val="hybridMultilevel"/>
    <w:lvl w:ilvl="0">
      <w:lvlJc w:val="left"/>
      <w:lvlText w:val="(%1)"/>
      <w:numFmt w:val="lowerLetter"/>
      <w:start w:val="12"/>
    </w:lvl>
  </w:abstractNum>
  <w:abstractNum w:abstractNumId="133">
    <w:nsid w:val="20F4BDAD"/>
    <w:multiLevelType w:val="hybridMultilevel"/>
    <w:lvl w:ilvl="0">
      <w:lvlJc w:val="left"/>
      <w:lvlText w:val="(%1)"/>
      <w:numFmt w:val="lowerLetter"/>
      <w:start w:val="13"/>
    </w:lvl>
  </w:abstractNum>
  <w:abstractNum w:abstractNumId="134">
    <w:nsid w:val="639DEFAC"/>
    <w:multiLevelType w:val="hybridMultilevel"/>
    <w:lvl w:ilvl="0">
      <w:lvlJc w:val="left"/>
      <w:lvlText w:val="(%1)"/>
      <w:numFmt w:val="lowerLetter"/>
      <w:start w:val="15"/>
    </w:lvl>
  </w:abstractNum>
  <w:abstractNum w:abstractNumId="135">
    <w:nsid w:val="501F9786"/>
    <w:multiLevelType w:val="hybridMultilevel"/>
    <w:lvl w:ilvl="0">
      <w:lvlJc w:val="left"/>
      <w:lvlText w:val="2"/>
      <w:numFmt w:val="bullet"/>
      <w:start w:val="1"/>
    </w:lvl>
  </w:abstractNum>
  <w:abstractNum w:abstractNumId="136">
    <w:nsid w:val="6B057295"/>
    <w:multiLevelType w:val="hybridMultilevel"/>
    <w:lvl w:ilvl="0">
      <w:lvlJc w:val="left"/>
      <w:lvlText w:val="(%1)"/>
      <w:numFmt w:val="lowerLetter"/>
      <w:start w:val="17"/>
    </w:lvl>
  </w:abstractNum>
  <w:abstractNum w:abstractNumId="137">
    <w:nsid w:val="2771AC80"/>
    <w:multiLevelType w:val="hybridMultilevel"/>
    <w:lvl w:ilvl="0">
      <w:lvlJc w:val="left"/>
      <w:lvlText w:val="2"/>
      <w:numFmt w:val="bullet"/>
      <w:start w:val="1"/>
    </w:lvl>
  </w:abstractNum>
  <w:abstractNum w:abstractNumId="138">
    <w:nsid w:val="1C4A08EC"/>
    <w:multiLevelType w:val="hybridMultilevel"/>
    <w:lvl w:ilvl="0">
      <w:lvlJc w:val="left"/>
      <w:lvlText w:val="(%1)"/>
      <w:numFmt w:val="lowerLetter"/>
      <w:start w:val="20"/>
    </w:lvl>
  </w:abstractNum>
  <w:abstractNum w:abstractNumId="139">
    <w:nsid w:val="1958BD17"/>
    <w:multiLevelType w:val="hybridMultilevel"/>
    <w:lvl w:ilvl="0">
      <w:lvlJc w:val="left"/>
      <w:lvlText w:val="2"/>
      <w:numFmt w:val="bullet"/>
      <w:start w:val="1"/>
    </w:lvl>
  </w:abstractNum>
  <w:abstractNum w:abstractNumId="140">
    <w:nsid w:val="4E647FE4"/>
    <w:multiLevelType w:val="hybridMultilevel"/>
    <w:lvl w:ilvl="0">
      <w:lvlJc w:val="left"/>
      <w:lvlText w:val="(%1)"/>
      <w:numFmt w:val="lowerLetter"/>
      <w:start w:val="21"/>
    </w:lvl>
  </w:abstractNum>
  <w:abstractNum w:abstractNumId="141">
    <w:nsid w:val="E0BB885"/>
    <w:multiLevelType w:val="hybridMultilevel"/>
    <w:lvl w:ilvl="0">
      <w:lvlJc w:val="left"/>
      <w:lvlText w:val="(%1)"/>
      <w:numFmt w:val="lowerLetter"/>
      <w:start w:val="24"/>
    </w:lvl>
  </w:abstractNum>
  <w:abstractNum w:abstractNumId="142">
    <w:nsid w:val="565976F1"/>
    <w:multiLevelType w:val="hybridMultilevel"/>
    <w:lvl w:ilvl="0">
      <w:lvlJc w:val="left"/>
      <w:lvlText w:val="2"/>
      <w:numFmt w:val="bullet"/>
      <w:start w:val="1"/>
    </w:lvl>
  </w:abstractNum>
  <w:abstractNum w:abstractNumId="143">
    <w:nsid w:val="64212B8C"/>
    <w:multiLevelType w:val="hybridMultilevel"/>
    <w:lvl w:ilvl="0">
      <w:lvlJc w:val="left"/>
      <w:lvlText w:val="(%1)"/>
      <w:numFmt w:val="lowerLetter"/>
      <w:start w:val="25"/>
    </w:lvl>
  </w:abstractNum>
  <w:abstractNum w:abstractNumId="144">
    <w:nsid w:val="5C17530C"/>
    <w:multiLevelType w:val="hybridMultilevel"/>
    <w:lvl w:ilvl="0">
      <w:lvlJc w:val="left"/>
      <w:lvlText w:val="(%1)"/>
      <w:numFmt w:val="lowerLetter"/>
      <w:start w:val="27"/>
    </w:lvl>
  </w:abstractNum>
  <w:abstractNum w:abstractNumId="145">
    <w:nsid w:val="19A52566"/>
    <w:multiLevelType w:val="hybridMultilevel"/>
    <w:lvl w:ilvl="0">
      <w:lvlJc w:val="left"/>
      <w:lvlText w:val="2"/>
      <w:numFmt w:val="bullet"/>
      <w:start w:val="1"/>
    </w:lvl>
  </w:abstractNum>
  <w:abstractNum w:abstractNumId="146">
    <w:nsid w:val="335A1DF1"/>
    <w:multiLevelType w:val="hybridMultilevel"/>
    <w:lvl w:ilvl="0">
      <w:lvlJc w:val="left"/>
      <w:lvlText w:val="2"/>
      <w:numFmt w:val="bullet"/>
      <w:start w:val="1"/>
    </w:lvl>
  </w:abstractNum>
  <w:abstractNum w:abstractNumId="147">
    <w:nsid w:val="28677B7C"/>
    <w:multiLevelType w:val="hybridMultilevel"/>
    <w:lvl w:ilvl="0">
      <w:lvlJc w:val="left"/>
      <w:lvlText w:val="2"/>
      <w:numFmt w:val="bullet"/>
      <w:start w:val="1"/>
    </w:lvl>
  </w:abstractNum>
  <w:abstractNum w:abstractNumId="148">
    <w:nsid w:val="378D97C0"/>
    <w:multiLevelType w:val="hybridMultilevel"/>
    <w:lvl w:ilvl="0">
      <w:lvlJc w:val="left"/>
      <w:lvlText w:val="2"/>
      <w:numFmt w:val="bullet"/>
      <w:start w:val="1"/>
    </w:lvl>
  </w:abstractNum>
  <w:abstractNum w:abstractNumId="149">
    <w:nsid w:val="1D91467C"/>
    <w:multiLevelType w:val="hybridMultilevel"/>
    <w:lvl w:ilvl="0">
      <w:lvlJc w:val="left"/>
      <w:lvlText w:val="(%1)"/>
      <w:numFmt w:val="lowerRoman"/>
      <w:start w:val="2"/>
    </w:lvl>
  </w:abstractNum>
  <w:abstractNum w:abstractNumId="150">
    <w:nsid w:val="316032BB"/>
    <w:multiLevelType w:val="hybridMultilevel"/>
    <w:lvl w:ilvl="0">
      <w:lvlJc w:val="left"/>
      <w:lvlText w:val="2"/>
      <w:numFmt w:val="bullet"/>
      <w:start w:val="1"/>
    </w:lvl>
  </w:abstractNum>
  <w:abstractNum w:abstractNumId="151">
    <w:nsid w:val="44344C22"/>
    <w:multiLevelType w:val="hybridMultilevel"/>
    <w:lvl w:ilvl="0">
      <w:lvlJc w:val="left"/>
      <w:lvlText w:val="3"/>
      <w:numFmt w:val="bullet"/>
      <w:start w:val="1"/>
    </w:lvl>
  </w:abstractNum>
  <w:abstractNum w:abstractNumId="152">
    <w:nsid w:val="13CDFCFC"/>
    <w:multiLevelType w:val="hybridMultilevel"/>
    <w:lvl w:ilvl="0">
      <w:lvlJc w:val="left"/>
      <w:lvlText w:val="(%1)"/>
      <w:numFmt w:val="lowerLetter"/>
      <w:start w:val="1"/>
    </w:lvl>
    <w:lvl w:ilvl="1">
      <w:lvlJc w:val="left"/>
      <w:lvlText w:val="•"/>
      <w:numFmt w:val="bullet"/>
      <w:start w:val="1"/>
    </w:lvl>
  </w:abstractNum>
  <w:abstractNum w:abstractNumId="153">
    <w:nsid w:val="471745E4"/>
    <w:multiLevelType w:val="hybridMultilevel"/>
    <w:lvl w:ilvl="0">
      <w:lvlJc w:val="left"/>
      <w:lvlText w:val="3"/>
      <w:numFmt w:val="bullet"/>
      <w:start w:val="1"/>
    </w:lvl>
  </w:abstractNum>
  <w:abstractNum w:abstractNumId="154">
    <w:nsid w:val="1DDBC66"/>
    <w:multiLevelType w:val="hybridMultilevel"/>
    <w:lvl w:ilvl="0">
      <w:lvlJc w:val="left"/>
      <w:lvlText w:val="(%1)"/>
      <w:numFmt w:val="lowerLetter"/>
      <w:start w:val="1"/>
    </w:lvl>
  </w:abstractNum>
  <w:abstractNum w:abstractNumId="155">
    <w:nsid w:val="30AADFDA"/>
    <w:multiLevelType w:val="hybridMultilevel"/>
    <w:lvl w:ilvl="0">
      <w:lvlJc w:val="left"/>
      <w:lvlText w:val="3"/>
      <w:numFmt w:val="bullet"/>
      <w:start w:val="1"/>
    </w:lvl>
  </w:abstractNum>
  <w:abstractNum w:abstractNumId="156">
    <w:nsid w:val="30EADA61"/>
    <w:multiLevelType w:val="hybridMultilevel"/>
    <w:lvl w:ilvl="0">
      <w:lvlJc w:val="left"/>
      <w:lvlText w:val="(%1)"/>
      <w:numFmt w:val="lowerLetter"/>
      <w:start w:val="1"/>
    </w:lvl>
  </w:abstractNum>
  <w:abstractNum w:abstractNumId="157">
    <w:nsid w:val="27179C0B"/>
    <w:multiLevelType w:val="hybridMultilevel"/>
    <w:lvl w:ilvl="0">
      <w:lvlJc w:val="left"/>
      <w:lvlText w:val="3"/>
      <w:numFmt w:val="bullet"/>
      <w:start w:val="1"/>
    </w:lvl>
  </w:abstractNum>
  <w:abstractNum w:abstractNumId="158">
    <w:nsid w:val="5E636063"/>
    <w:multiLevelType w:val="hybridMultilevel"/>
    <w:lvl w:ilvl="0">
      <w:lvlJc w:val="left"/>
      <w:lvlText w:val="(%1)"/>
      <w:numFmt w:val="lowerLetter"/>
      <w:start w:val="1"/>
    </w:lvl>
  </w:abstractNum>
  <w:abstractNum w:abstractNumId="159">
    <w:nsid w:val="215641AF"/>
    <w:multiLevelType w:val="hybridMultilevel"/>
    <w:lvl w:ilvl="0">
      <w:lvlJc w:val="left"/>
      <w:lvlText w:val="3"/>
      <w:numFmt w:val="bullet"/>
      <w:start w:val="1"/>
    </w:lvl>
  </w:abstractNum>
  <w:abstractNum w:abstractNumId="160">
    <w:nsid w:val="53280662"/>
    <w:multiLevelType w:val="hybridMultilevel"/>
    <w:lvl w:ilvl="0">
      <w:lvlJc w:val="left"/>
      <w:lvlText w:val="(%1)"/>
      <w:numFmt w:val="lowerLetter"/>
      <w:start w:val="3"/>
    </w:lvl>
  </w:abstractNum>
  <w:abstractNum w:abstractNumId="161">
    <w:nsid w:val="46B24DBC"/>
    <w:multiLevelType w:val="hybridMultilevel"/>
    <w:lvl w:ilvl="0">
      <w:lvlJc w:val="left"/>
      <w:lvlText w:val="(%1)"/>
      <w:numFmt w:val="lowerLetter"/>
      <w:start w:val="4"/>
    </w:lvl>
  </w:abstractNum>
  <w:abstractNum w:abstractNumId="162">
    <w:nsid w:val="75B52783"/>
    <w:multiLevelType w:val="hybridMultilevel"/>
    <w:lvl w:ilvl="0">
      <w:lvlJc w:val="left"/>
      <w:lvlText w:val="(%1)"/>
      <w:numFmt w:val="lowerRoman"/>
      <w:start w:val="1"/>
    </w:lvl>
  </w:abstractNum>
  <w:abstractNum w:abstractNumId="163">
    <w:nsid w:val="57CE66B4"/>
    <w:multiLevelType w:val="hybridMultilevel"/>
    <w:lvl w:ilvl="0">
      <w:lvlJc w:val="left"/>
      <w:lvlText w:val="(%1)"/>
      <w:numFmt w:val="lowerRoman"/>
      <w:start w:val="2"/>
    </w:lvl>
  </w:abstractNum>
  <w:abstractNum w:abstractNumId="164">
    <w:nsid w:val="67A70B69"/>
    <w:multiLevelType w:val="hybridMultilevel"/>
    <w:lvl w:ilvl="0">
      <w:lvlJc w:val="left"/>
      <w:lvlText w:val="3"/>
      <w:numFmt w:val="bullet"/>
      <w:start w:val="1"/>
    </w:lvl>
  </w:abstractNum>
  <w:abstractNum w:abstractNumId="165">
    <w:nsid w:val="5953172F"/>
    <w:multiLevelType w:val="hybridMultilevel"/>
    <w:lvl w:ilvl="0">
      <w:lvlJc w:val="left"/>
      <w:lvlText w:val="(%1)"/>
      <w:numFmt w:val="lowerLetter"/>
      <w:start w:val="4"/>
    </w:lvl>
    <w:lvl w:ilvl="1">
      <w:lvlJc w:val="left"/>
      <w:lvlText w:val="(%2)"/>
      <w:numFmt w:val="lowerLetter"/>
      <w:start w:val="35"/>
    </w:lvl>
  </w:abstractNum>
  <w:abstractNum w:abstractNumId="166">
    <w:nsid w:val="27EDFE3A"/>
    <w:multiLevelType w:val="hybridMultilevel"/>
    <w:lvl w:ilvl="0">
      <w:lvlJc w:val="left"/>
      <w:lvlText w:val="(%1)"/>
      <w:numFmt w:val="lowerRoman"/>
      <w:start w:val="2"/>
    </w:lvl>
  </w:abstractNum>
  <w:abstractNum w:abstractNumId="167">
    <w:nsid w:val="52AC7DFF"/>
    <w:multiLevelType w:val="hybridMultilevel"/>
    <w:lvl w:ilvl="0">
      <w:lvlJc w:val="left"/>
      <w:lvlText w:val="4"/>
      <w:numFmt w:val="bullet"/>
      <w:start w:val="1"/>
    </w:lvl>
  </w:abstractNum>
  <w:abstractNum w:abstractNumId="168">
    <w:nsid w:val="C4C3AF"/>
    <w:multiLevelType w:val="hybridMultilevel"/>
    <w:lvl w:ilvl="0">
      <w:lvlJc w:val="left"/>
      <w:lvlText w:val="(%1)"/>
      <w:numFmt w:val="lowerLetter"/>
      <w:start w:val="1"/>
    </w:lvl>
  </w:abstractNum>
  <w:abstractNum w:abstractNumId="169">
    <w:nsid w:val="44380727"/>
    <w:multiLevelType w:val="hybridMultilevel"/>
    <w:lvl w:ilvl="0">
      <w:lvlJc w:val="left"/>
      <w:lvlText w:val="4"/>
      <w:numFmt w:val="bullet"/>
      <w:start w:val="1"/>
    </w:lvl>
  </w:abstractNum>
  <w:abstractNum w:abstractNumId="170">
    <w:nsid w:val="6C053B16"/>
    <w:multiLevelType w:val="hybridMultilevel"/>
    <w:lvl w:ilvl="0">
      <w:lvlJc w:val="left"/>
      <w:lvlText w:val="(%1)"/>
      <w:numFmt w:val="lowerLetter"/>
      <w:start w:val="1"/>
    </w:lvl>
  </w:abstractNum>
  <w:abstractNum w:abstractNumId="171">
    <w:nsid w:val="4F294393"/>
    <w:multiLevelType w:val="hybridMultilevel"/>
    <w:lvl w:ilvl="0">
      <w:lvlJc w:val="left"/>
      <w:lvlText w:val="4"/>
      <w:numFmt w:val="bullet"/>
      <w:start w:val="1"/>
    </w:lvl>
  </w:abstractNum>
  <w:abstractNum w:abstractNumId="172">
    <w:nsid w:val="5243BFAC"/>
    <w:multiLevelType w:val="hybridMultilevel"/>
    <w:lvl w:ilvl="0">
      <w:lvlJc w:val="left"/>
      <w:lvlText w:val="(%1)"/>
      <w:numFmt w:val="lowerLetter"/>
      <w:start w:val="1"/>
    </w:lvl>
  </w:abstractNum>
  <w:abstractNum w:abstractNumId="173">
    <w:nsid w:val="425EB207"/>
    <w:multiLevelType w:val="hybridMultilevel"/>
    <w:lvl w:ilvl="0">
      <w:lvlJc w:val="left"/>
      <w:lvlText w:val="(%1)"/>
      <w:numFmt w:val="lowerLetter"/>
      <w:start w:val="2"/>
    </w:lvl>
  </w:abstractNum>
  <w:abstractNum w:abstractNumId="174">
    <w:nsid w:val="334A6F1F"/>
    <w:multiLevelType w:val="hybridMultilevel"/>
    <w:lvl w:ilvl="0">
      <w:lvlJc w:val="left"/>
      <w:lvlText w:val="4"/>
      <w:numFmt w:val="bullet"/>
      <w:start w:val="1"/>
    </w:lvl>
  </w:abstractNum>
  <w:abstractNum w:abstractNumId="175">
    <w:nsid w:val="2E5B12B8"/>
    <w:multiLevelType w:val="hybridMultilevel"/>
    <w:lvl w:ilvl="0">
      <w:lvlJc w:val="left"/>
      <w:lvlText w:val="(%1)"/>
      <w:numFmt w:val="lowerLetter"/>
      <w:start w:val="2"/>
    </w:lvl>
  </w:abstractNum>
  <w:abstractNum w:abstractNumId="176">
    <w:nsid w:val="5C03D76D"/>
    <w:multiLevelType w:val="hybridMultilevel"/>
    <w:lvl w:ilvl="0">
      <w:lvlJc w:val="left"/>
      <w:lvlText w:val="5"/>
      <w:numFmt w:val="bullet"/>
      <w:start w:val="1"/>
    </w:lvl>
  </w:abstractNum>
  <w:abstractNum w:abstractNumId="177">
    <w:nsid w:val="66A48D11"/>
    <w:multiLevelType w:val="hybridMultilevel"/>
    <w:lvl w:ilvl="0">
      <w:lvlJc w:val="left"/>
      <w:lvlText w:val="6"/>
      <w:numFmt w:val="bullet"/>
      <w:start w:val="1"/>
    </w:lvl>
  </w:abstractNum>
  <w:abstractNum w:abstractNumId="178">
    <w:nsid w:val="56C28E34"/>
    <w:multiLevelType w:val="hybridMultilevel"/>
    <w:lvl w:ilvl="0">
      <w:lvlJc w:val="left"/>
      <w:lvlText w:val="7"/>
      <w:numFmt w:val="bullet"/>
      <w:start w:val="1"/>
    </w:lvl>
  </w:abstractNum>
  <w:abstractNum w:abstractNumId="179">
    <w:nsid w:val="13916F2D"/>
    <w:multiLevelType w:val="hybridMultilevel"/>
    <w:lvl w:ilvl="0">
      <w:lvlJc w:val="left"/>
      <w:lvlText w:val="%1"/>
      <w:numFmt w:val="decimal"/>
      <w:start w:val="10"/>
    </w:lvl>
  </w:abstractNum>
  <w:abstractNum w:abstractNumId="180">
    <w:nsid w:val="435D38D"/>
    <w:multiLevelType w:val="hybridMultilevel"/>
    <w:lvl w:ilvl="0">
      <w:lvlJc w:val="left"/>
      <w:lvlText w:val="%1"/>
      <w:numFmt w:val="decimal"/>
      <w:start w:val="10"/>
    </w:lvl>
  </w:abstractNum>
  <w:abstractNum w:abstractNumId="181">
    <w:nsid w:val="822C0EF"/>
    <w:multiLevelType w:val="hybridMultilevel"/>
    <w:lvl w:ilvl="0">
      <w:lvlJc w:val="left"/>
      <w:lvlText w:val="(%1)"/>
      <w:numFmt w:val="lowerRoman"/>
      <w:start w:val="1"/>
    </w:lvl>
  </w:abstractNum>
  <w:abstractNum w:abstractNumId="182">
    <w:nsid w:val="57C5BB4F"/>
    <w:multiLevelType w:val="hybridMultilevel"/>
    <w:lvl w:ilvl="0">
      <w:lvlJc w:val="left"/>
      <w:lvlText w:val="(%1)"/>
      <w:numFmt w:val="lowerRoman"/>
      <w:start w:val="6"/>
    </w:lvl>
  </w:abstractNum>
  <w:abstractNum w:abstractNumId="183">
    <w:nsid w:val="1803D089"/>
    <w:multiLevelType w:val="hybridMultilevel"/>
    <w:lvl w:ilvl="0">
      <w:lvlJc w:val="left"/>
      <w:lvlText w:val="%1"/>
      <w:numFmt w:val="decimal"/>
      <w:start w:val="16"/>
    </w:lvl>
  </w:abstractNum>
  <w:abstractNum w:abstractNumId="184">
    <w:nsid w:val="4F3A06D4"/>
    <w:multiLevelType w:val="hybridMultilevel"/>
    <w:lvl w:ilvl="0">
      <w:lvlJc w:val="left"/>
      <w:lvlText w:val="%1"/>
      <w:numFmt w:val="decimal"/>
      <w:start w:val="16"/>
    </w:lvl>
  </w:abstractNum>
  <w:abstractNum w:abstractNumId="185">
    <w:nsid w:val="59A377B6"/>
    <w:multiLevelType w:val="hybridMultilevel"/>
    <w:lvl w:ilvl="0">
      <w:lvlJc w:val="left"/>
      <w:lvlText w:val="%1"/>
      <w:numFmt w:val="decimal"/>
      <w:start w:val="16"/>
    </w:lvl>
    <w:lvl w:ilvl="1">
      <w:lvlJc w:val="left"/>
      <w:lvlText w:val="•"/>
      <w:numFmt w:val="bullet"/>
      <w:start w:val="1"/>
    </w:lvl>
  </w:abstractNum>
  <w:abstractNum w:abstractNumId="186">
    <w:nsid w:val="48AEB063"/>
    <w:multiLevelType w:val="hybridMultilevel"/>
    <w:lvl w:ilvl="0">
      <w:lvlJc w:val="left"/>
      <w:lvlText w:val="%1"/>
      <w:numFmt w:val="decimal"/>
      <w:start w:val="16"/>
    </w:lvl>
  </w:abstractNum>
  <w:abstractNum w:abstractNumId="187">
    <w:nsid w:val="24E135"/>
    <w:multiLevelType w:val="hybridMultilevel"/>
    <w:lvl w:ilvl="0">
      <w:lvlJc w:val="left"/>
      <w:lvlText w:val="%1"/>
      <w:numFmt w:val="decimal"/>
      <w:start w:val="16"/>
    </w:lvl>
  </w:abstractNum>
  <w:abstractNum w:abstractNumId="188">
    <w:nsid w:val="BB13C1"/>
    <w:multiLevelType w:val="hybridMultilevel"/>
    <w:lvl w:ilvl="0">
      <w:lvlJc w:val="left"/>
      <w:lvlText w:val="%1"/>
      <w:numFmt w:val="decimal"/>
      <w:start w:val="16"/>
    </w:lvl>
  </w:abstractNum>
  <w:abstractNum w:abstractNumId="189">
    <w:nsid w:val="271210C7"/>
    <w:multiLevelType w:val="hybridMultilevel"/>
    <w:lvl w:ilvl="0">
      <w:lvlJc w:val="left"/>
      <w:lvlText w:val="%1"/>
      <w:numFmt w:val="decimal"/>
      <w:start w:val="16"/>
    </w:lvl>
  </w:abstractNum>
  <w:abstractNum w:abstractNumId="190">
    <w:nsid w:val="217B22E4"/>
    <w:multiLevelType w:val="hybridMultilevel"/>
    <w:lvl w:ilvl="0">
      <w:lvlJc w:val="left"/>
      <w:lvlText w:val="%1"/>
      <w:numFmt w:val="decimal"/>
      <w:start w:val="17"/>
    </w:lvl>
  </w:abstractNum>
  <w:abstractNum w:abstractNumId="191">
    <w:nsid w:val="53E31A24"/>
    <w:multiLevelType w:val="hybridMultilevel"/>
    <w:lvl w:ilvl="0">
      <w:lvlJc w:val="left"/>
      <w:lvlText w:val="%1"/>
      <w:numFmt w:val="decimal"/>
      <w:start w:val="17"/>
    </w:lvl>
  </w:abstractNum>
  <w:abstractNum w:abstractNumId="192">
    <w:nsid w:val="6DC45E83"/>
    <w:multiLevelType w:val="hybridMultilevel"/>
    <w:lvl w:ilvl="0">
      <w:lvlJc w:val="left"/>
      <w:lvlText w:val="(%1)"/>
      <w:numFmt w:val="lowerLetter"/>
      <w:start w:val="1"/>
    </w:lvl>
  </w:abstractNum>
  <w:abstractNum w:abstractNumId="193">
    <w:nsid w:val="17304A67"/>
    <w:multiLevelType w:val="hybridMultilevel"/>
    <w:lvl w:ilvl="0">
      <w:lvlJc w:val="left"/>
      <w:lvlText w:val="(%1)"/>
      <w:numFmt w:val="lowerRoman"/>
      <w:start w:val="1"/>
    </w:lvl>
  </w:abstractNum>
  <w:abstractNum w:abstractNumId="194">
    <w:nsid w:val="2BB180D8"/>
    <w:multiLevelType w:val="hybridMultilevel"/>
    <w:lvl w:ilvl="0">
      <w:lvlJc w:val="left"/>
      <w:lvlText w:val="(%1)"/>
      <w:numFmt w:val="lowerLetter"/>
      <w:start w:val="1"/>
    </w:lvl>
    <w:lvl w:ilvl="1">
      <w:lvlJc w:val="left"/>
      <w:lvlText w:val="(%2)"/>
      <w:numFmt w:val="lowerRoman"/>
      <w:start w:val="3"/>
    </w:lvl>
  </w:abstractNum>
  <w:abstractNum w:abstractNumId="195">
    <w:nsid w:val="556B69ED"/>
    <w:multiLevelType w:val="hybridMultilevel"/>
    <w:lvl w:ilvl="0">
      <w:lvlJc w:val="left"/>
      <w:lvlText w:val="(%1)"/>
      <w:numFmt w:val="lowerLetter"/>
      <w:start w:val="1"/>
    </w:lvl>
  </w:abstractNum>
  <w:abstractNum w:abstractNumId="196">
    <w:nsid w:val="70836196"/>
    <w:multiLevelType w:val="hybridMultilevel"/>
    <w:lvl w:ilvl="0">
      <w:lvlJc w:val="left"/>
      <w:lvlText w:val="(%1)"/>
      <w:numFmt w:val="lowerLetter"/>
      <w:start w:val="1"/>
    </w:lvl>
  </w:abstractNum>
  <w:abstractNum w:abstractNumId="197">
    <w:nsid w:val="539F7F12"/>
    <w:multiLevelType w:val="hybridMultilevel"/>
    <w:lvl w:ilvl="0">
      <w:lvlJc w:val="left"/>
      <w:lvlText w:val="%1"/>
      <w:numFmt w:val="lowerLetter"/>
      <w:start w:val="1"/>
    </w:lvl>
    <w:lvl w:ilvl="1">
      <w:lvlJc w:val="left"/>
      <w:lvlText w:val="(%2)"/>
      <w:numFmt w:val="lowerRoman"/>
      <w:start w:val="1"/>
    </w:lvl>
  </w:abstractNum>
  <w:abstractNum w:abstractNumId="198">
    <w:nsid w:val="2817E7EC"/>
    <w:multiLevelType w:val="hybridMultilevel"/>
    <w:lvl w:ilvl="0">
      <w:lvlJc w:val="left"/>
      <w:lvlText w:val="(%1)"/>
      <w:numFmt w:val="lowerLetter"/>
      <w:start w:val="2"/>
    </w:lvl>
    <w:lvl w:ilvl="1">
      <w:lvlJc w:val="left"/>
      <w:lvlText w:val="%2"/>
      <w:numFmt w:val="lowerRoman"/>
      <w:start w:val="1"/>
    </w:lvl>
  </w:abstractNum>
  <w:abstractNum w:abstractNumId="199">
    <w:nsid w:val="71482545"/>
    <w:multiLevelType w:val="hybridMultilevel"/>
    <w:lvl w:ilvl="0">
      <w:lvlJc w:val="left"/>
      <w:lvlText w:val="(%1)"/>
      <w:numFmt w:val="lowerLetter"/>
      <w:start w:val="3"/>
    </w:lvl>
  </w:abstractNum>
  <w:abstractNum w:abstractNumId="200">
    <w:nsid w:val="17D78639"/>
    <w:multiLevelType w:val="hybridMultilevel"/>
    <w:lvl w:ilvl="0">
      <w:lvlJc w:val="left"/>
      <w:lvlText w:val="(%1)"/>
      <w:numFmt w:val="lowerRoman"/>
      <w:start w:val="1"/>
    </w:lvl>
  </w:abstractNum>
  <w:abstractNum w:abstractNumId="201">
    <w:nsid w:val="141D2302"/>
    <w:multiLevelType w:val="hybridMultilevel"/>
    <w:lvl w:ilvl="0">
      <w:lvlJc w:val="left"/>
      <w:lvlText w:val="(%1)"/>
      <w:numFmt w:val="lowerRoman"/>
      <w:start w:val="3"/>
    </w:lvl>
  </w:abstractNum>
  <w:abstractNum w:abstractNumId="202">
    <w:nsid w:val="407168D8"/>
    <w:multiLevelType w:val="hybridMultilevel"/>
    <w:lvl w:ilvl="0">
      <w:lvlJc w:val="left"/>
      <w:lvlText w:val="%1"/>
      <w:numFmt w:val="decimal"/>
      <w:start w:val="21"/>
    </w:lvl>
    <w:lvl w:ilvl="1">
      <w:lvlJc w:val="left"/>
      <w:lvlText w:val="(%2)"/>
      <w:numFmt w:val="lowerLetter"/>
      <w:start w:val="1"/>
    </w:lvl>
  </w:abstractNum>
  <w:abstractNum w:abstractNumId="203">
    <w:nsid w:val="6A1B45E5"/>
    <w:multiLevelType w:val="hybridMultilevel"/>
    <w:lvl w:ilvl="0">
      <w:lvlJc w:val="left"/>
      <w:lvlText w:val="%1"/>
      <w:numFmt w:val="decimal"/>
      <w:start w:val="21"/>
    </w:lvl>
  </w:abstractNum>
  <w:abstractNum w:abstractNumId="204">
    <w:nsid w:val="567BD50A"/>
    <w:multiLevelType w:val="hybridMultilevel"/>
    <w:lvl w:ilvl="0">
      <w:lvlJc w:val="left"/>
      <w:lvlText w:val="(%1)"/>
      <w:numFmt w:val="lowerRoman"/>
      <w:start w:val="1"/>
    </w:lvl>
  </w:abstractNum>
  <w:abstractNum w:abstractNumId="205">
    <w:nsid w:val="73BBD7F8"/>
    <w:multiLevelType w:val="hybridMultilevel"/>
    <w:lvl w:ilvl="0">
      <w:lvlJc w:val="left"/>
      <w:lvlText w:val="%1"/>
      <w:numFmt w:val="decimal"/>
      <w:start w:val="22"/>
    </w:lvl>
  </w:abstractNum>
  <w:abstractNum w:abstractNumId="206">
    <w:nsid w:val="1876589D"/>
    <w:multiLevelType w:val="hybridMultilevel"/>
    <w:lvl w:ilvl="0">
      <w:lvlJc w:val="left"/>
      <w:lvlText w:val="%1"/>
      <w:numFmt w:val="decimal"/>
      <w:start w:val="22"/>
    </w:lvl>
  </w:abstractNum>
  <w:abstractNum w:abstractNumId="207">
    <w:nsid w:val="327FAC77"/>
    <w:multiLevelType w:val="hybridMultilevel"/>
    <w:lvl w:ilvl="0">
      <w:lvlJc w:val="left"/>
      <w:lvlText w:val="%1"/>
      <w:numFmt w:val="decimal"/>
      <w:start w:val="24"/>
    </w:lvl>
  </w:abstractNum>
  <w:abstractNum w:abstractNumId="208">
    <w:nsid w:val="5A606509"/>
    <w:multiLevelType w:val="hybridMultilevel"/>
    <w:lvl w:ilvl="0">
      <w:lvlJc w:val="left"/>
      <w:lvlText w:val="(%1)"/>
      <w:numFmt w:val="lowerLetter"/>
      <w:start w:val="1"/>
    </w:lvl>
  </w:abstractNum>
  <w:abstractNum w:abstractNumId="209">
    <w:nsid w:val="6F38E6D1"/>
    <w:multiLevelType w:val="hybridMultilevel"/>
    <w:lvl w:ilvl="0">
      <w:lvlJc w:val="left"/>
      <w:lvlText w:val="(%1)"/>
      <w:numFmt w:val="lowerLetter"/>
      <w:start w:val="2"/>
    </w:lvl>
  </w:abstractNum>
  <w:abstractNum w:abstractNumId="210">
    <w:nsid w:val="46111BA5"/>
    <w:multiLevelType w:val="hybridMultilevel"/>
    <w:lvl w:ilvl="0">
      <w:lvlJc w:val="left"/>
      <w:lvlText w:val="%1"/>
      <w:numFmt w:val="decimal"/>
      <w:start w:val="26"/>
    </w:lvl>
  </w:abstractNum>
  <w:abstractNum w:abstractNumId="211">
    <w:nsid w:val="5E963896"/>
    <w:multiLevelType w:val="hybridMultilevel"/>
    <w:lvl w:ilvl="0">
      <w:lvlJc w:val="left"/>
      <w:lvlText w:val="%1"/>
      <w:numFmt w:val="decimal"/>
      <w:start w:val="26"/>
    </w:lvl>
  </w:abstractNum>
  <w:abstractNum w:abstractNumId="212">
    <w:nsid w:val="775BA7C1"/>
    <w:multiLevelType w:val="hybridMultilevel"/>
    <w:lvl w:ilvl="0">
      <w:lvlJc w:val="left"/>
      <w:lvlText w:val="%1"/>
      <w:numFmt w:val="decimal"/>
      <w:start w:val="27"/>
    </w:lvl>
  </w:abstractNum>
  <w:abstractNum w:abstractNumId="213">
    <w:nsid w:val="1DD6D6F4"/>
    <w:multiLevelType w:val="hybridMultilevel"/>
    <w:lvl w:ilvl="0">
      <w:lvlJc w:val="left"/>
      <w:lvlText w:val="%1"/>
      <w:numFmt w:val="decimal"/>
      <w:start w:val="28"/>
    </w:lvl>
  </w:abstractNum>
  <w:abstractNum w:abstractNumId="214">
    <w:nsid w:val="769A091F"/>
    <w:multiLevelType w:val="hybridMultilevel"/>
    <w:lvl w:ilvl="0">
      <w:lvlJc w:val="left"/>
      <w:lvlText w:val="1"/>
      <w:numFmt w:val="bullet"/>
      <w:start w:val="1"/>
    </w:lvl>
  </w:abstractNum>
  <w:abstractNum w:abstractNumId="215">
    <w:nsid w:val="4695AE95"/>
    <w:multiLevelType w:val="hybridMultilevel"/>
    <w:lvl w:ilvl="0">
      <w:lvlJc w:val="left"/>
      <w:lvlText w:val="(%1)"/>
      <w:numFmt w:val="lowerLetter"/>
      <w:start w:val="1"/>
    </w:lvl>
  </w:abstractNum>
  <w:abstractNum w:abstractNumId="216">
    <w:nsid w:val="777A4EAA"/>
    <w:multiLevelType w:val="hybridMultilevel"/>
    <w:lvl w:ilvl="0">
      <w:lvlJc w:val="left"/>
      <w:lvlText w:val="(%1)"/>
      <w:numFmt w:val="lowerLetter"/>
      <w:start w:val="2"/>
    </w:lvl>
  </w:abstractNum>
  <w:abstractNum w:abstractNumId="217">
    <w:nsid w:val="3F48B982"/>
    <w:multiLevelType w:val="hybridMultilevel"/>
    <w:lvl w:ilvl="0">
      <w:lvlJc w:val="left"/>
      <w:lvlText w:val="1"/>
      <w:numFmt w:val="bullet"/>
      <w:start w:val="1"/>
    </w:lvl>
  </w:abstractNum>
  <w:abstractNum w:abstractNumId="218">
    <w:nsid w:val="46BA8FCA"/>
    <w:multiLevelType w:val="hybridMultilevel"/>
    <w:lvl w:ilvl="0">
      <w:lvlJc w:val="left"/>
      <w:lvlText w:val="(%1)"/>
      <w:numFmt w:val="lowerLetter"/>
      <w:start w:val="2"/>
    </w:lvl>
  </w:abstractNum>
  <w:abstractNum w:abstractNumId="219">
    <w:nsid w:val="7835626C"/>
    <w:multiLevelType w:val="hybridMultilevel"/>
    <w:lvl w:ilvl="0">
      <w:lvlJc w:val="left"/>
      <w:lvlText w:val="•"/>
      <w:numFmt w:val="bullet"/>
      <w:start w:val="1"/>
    </w:lvl>
  </w:abstractNum>
  <w:abstractNum w:abstractNumId="220">
    <w:nsid w:val="665ACA49"/>
    <w:multiLevelType w:val="hybridMultilevel"/>
    <w:lvl w:ilvl="0">
      <w:lvlJc w:val="left"/>
      <w:lvlText w:val="•"/>
      <w:numFmt w:val="bullet"/>
      <w:start w:val="1"/>
    </w:lvl>
  </w:abstractNum>
  <w:abstractNum w:abstractNumId="221">
    <w:nsid w:val="6835B2AE"/>
    <w:multiLevelType w:val="hybridMultilevel"/>
    <w:lvl w:ilvl="0">
      <w:lvlJc w:val="left"/>
      <w:lvlText w:val="•"/>
      <w:numFmt w:val="bullet"/>
      <w:start w:val="1"/>
    </w:lvl>
  </w:abstractNum>
  <w:abstractNum w:abstractNumId="222">
    <w:nsid w:val="4C187C90"/>
    <w:multiLevelType w:val="hybridMultilevel"/>
    <w:lvl w:ilvl="0">
      <w:lvlJc w:val="left"/>
      <w:lvlText w:val="1"/>
      <w:numFmt w:val="bullet"/>
      <w:start w:val="1"/>
    </w:lvl>
  </w:abstractNum>
  <w:abstractNum w:abstractNumId="223">
    <w:nsid w:val="541F28CD"/>
    <w:multiLevelType w:val="hybridMultilevel"/>
    <w:lvl w:ilvl="0">
      <w:lvlJc w:val="left"/>
      <w:lvlText w:val="(%1)"/>
      <w:numFmt w:val="lowerLetter"/>
      <w:start w:val="3"/>
    </w:lvl>
  </w:abstractNum>
  <w:abstractNum w:abstractNumId="224">
    <w:nsid w:val="7F65FD16"/>
    <w:multiLevelType w:val="hybridMultilevel"/>
    <w:lvl w:ilvl="0">
      <w:lvlJc w:val="left"/>
      <w:lvlText w:val="•"/>
      <w:numFmt w:val="bullet"/>
      <w:start w:val="1"/>
    </w:lvl>
  </w:abstractNum>
  <w:abstractNum w:abstractNumId="225">
    <w:nsid w:val="77C9FD68"/>
    <w:multiLevelType w:val="hybridMultilevel"/>
    <w:lvl w:ilvl="0">
      <w:lvlJc w:val="left"/>
      <w:lvlText w:val="•"/>
      <w:numFmt w:val="bullet"/>
      <w:start w:val="1"/>
    </w:lvl>
  </w:abstractNum>
  <w:abstractNum w:abstractNumId="226">
    <w:nsid w:val="298A92BA"/>
    <w:multiLevelType w:val="hybridMultilevel"/>
    <w:lvl w:ilvl="0">
      <w:lvlJc w:val="left"/>
      <w:lvlText w:val="1"/>
      <w:numFmt w:val="bullet"/>
      <w:start w:val="1"/>
    </w:lvl>
  </w:abstractNum>
  <w:abstractNum w:abstractNumId="227">
    <w:nsid w:val="6FE95EAC"/>
    <w:multiLevelType w:val="hybridMultilevel"/>
    <w:lvl w:ilvl="0">
      <w:lvlJc w:val="left"/>
      <w:lvlText w:val="(%1)"/>
      <w:numFmt w:val="lowerLetter"/>
      <w:start w:val="3"/>
    </w:lvl>
  </w:abstractNum>
  <w:abstractNum w:abstractNumId="228">
    <w:nsid w:val="4B697C7A"/>
    <w:multiLevelType w:val="hybridMultilevel"/>
    <w:lvl w:ilvl="0">
      <w:lvlJc w:val="left"/>
      <w:lvlText w:val="2"/>
      <w:numFmt w:val="bullet"/>
      <w:start w:val="1"/>
    </w:lvl>
  </w:abstractNum>
  <w:abstractNum w:abstractNumId="229">
    <w:nsid w:val="51A27AA6"/>
    <w:multiLevelType w:val="hybridMultilevel"/>
    <w:lvl w:ilvl="0">
      <w:lvlJc w:val="left"/>
      <w:lvlText w:val="(%1)"/>
      <w:numFmt w:val="lowerLetter"/>
      <w:start w:val="1"/>
    </w:lvl>
  </w:abstractNum>
  <w:abstractNum w:abstractNumId="230">
    <w:nsid w:val="613183F2"/>
    <w:multiLevelType w:val="hybridMultilevel"/>
    <w:lvl w:ilvl="0">
      <w:lvlJc w:val="left"/>
      <w:lvlText w:val="2"/>
      <w:numFmt w:val="bullet"/>
      <w:start w:val="1"/>
    </w:lvl>
  </w:abstractNum>
  <w:abstractNum w:abstractNumId="231">
    <w:nsid w:val="634102B4"/>
    <w:multiLevelType w:val="hybridMultilevel"/>
    <w:lvl w:ilvl="0">
      <w:lvlJc w:val="left"/>
      <w:lvlText w:val="(%1)"/>
      <w:numFmt w:val="lowerLetter"/>
      <w:start w:val="3"/>
    </w:lvl>
  </w:abstractNum>
  <w:abstractNum w:abstractNumId="232">
    <w:nsid w:val="65BF9DA8"/>
    <w:multiLevelType w:val="hybridMultilevel"/>
    <w:lvl w:ilvl="0">
      <w:lvlJc w:val="left"/>
      <w:lvlText w:val="2"/>
      <w:numFmt w:val="bullet"/>
      <w:start w:val="1"/>
    </w:lvl>
  </w:abstractNum>
  <w:abstractNum w:abstractNumId="233">
    <w:nsid w:val="21A2ECCA"/>
    <w:multiLevelType w:val="hybridMultilevel"/>
    <w:lvl w:ilvl="0">
      <w:lvlJc w:val="left"/>
      <w:lvlText w:val="(%1)"/>
      <w:numFmt w:val="lowerLetter"/>
      <w:start w:val="5"/>
    </w:lvl>
  </w:abstractNum>
  <w:abstractNum w:abstractNumId="234">
    <w:nsid w:val="4D5C4899"/>
    <w:multiLevelType w:val="hybridMultilevel"/>
    <w:lvl w:ilvl="0">
      <w:lvlJc w:val="left"/>
      <w:lvlText w:val="(%1)"/>
      <w:numFmt w:val="lowerLetter"/>
      <w:start w:val="5"/>
    </w:lvl>
  </w:abstractNum>
  <w:abstractNum w:abstractNumId="235">
    <w:nsid w:val="3C3B72B2"/>
    <w:multiLevelType w:val="hybridMultilevel"/>
    <w:lvl w:ilvl="0">
      <w:lvlJc w:val="left"/>
      <w:lvlText w:val="2"/>
      <w:numFmt w:val="bullet"/>
      <w:start w:val="1"/>
    </w:lvl>
  </w:abstractNum>
  <w:abstractNum w:abstractNumId="236">
    <w:nsid w:val="155EC4C2"/>
    <w:multiLevelType w:val="hybridMultilevel"/>
    <w:lvl w:ilvl="0">
      <w:lvlJc w:val="left"/>
      <w:lvlText w:val="(%1)"/>
      <w:numFmt w:val="lowerLetter"/>
      <w:start w:val="8"/>
    </w:lvl>
  </w:abstractNum>
  <w:abstractNum w:abstractNumId="237">
    <w:nsid w:val="65D2A137"/>
    <w:multiLevelType w:val="hybridMultilevel"/>
    <w:lvl w:ilvl="0">
      <w:lvlJc w:val="left"/>
      <w:lvlText w:val="2"/>
      <w:numFmt w:val="bullet"/>
      <w:start w:val="1"/>
    </w:lvl>
  </w:abstractNum>
  <w:abstractNum w:abstractNumId="238">
    <w:nsid w:val="6EBB1F2A"/>
    <w:multiLevelType w:val="hybridMultilevel"/>
    <w:lvl w:ilvl="0">
      <w:lvlJc w:val="left"/>
      <w:lvlText w:val="(%1)"/>
      <w:numFmt w:val="lowerLetter"/>
      <w:start w:val="11"/>
    </w:lvl>
  </w:abstractNum>
  <w:abstractNum w:abstractNumId="239">
    <w:nsid w:val="6FBF29CB"/>
    <w:multiLevelType w:val="hybridMultilevel"/>
    <w:lvl w:ilvl="0">
      <w:lvlJc w:val="left"/>
      <w:lvlText w:val="2"/>
      <w:numFmt w:val="bullet"/>
      <w:start w:val="1"/>
    </w:lvl>
  </w:abstractNum>
  <w:abstractNum w:abstractNumId="240">
    <w:nsid w:val="550B8808"/>
    <w:multiLevelType w:val="hybridMultilevel"/>
    <w:lvl w:ilvl="0">
      <w:lvlJc w:val="left"/>
      <w:lvlText w:val="(%1)"/>
      <w:numFmt w:val="lowerLetter"/>
      <w:start w:val="13"/>
    </w:lvl>
  </w:abstractNum>
  <w:abstractNum w:abstractNumId="241">
    <w:nsid w:val="34CC3ACF"/>
    <w:multiLevelType w:val="hybridMultilevel"/>
    <w:lvl w:ilvl="0">
      <w:lvlJc w:val="left"/>
      <w:lvlText w:val="(%1)"/>
      <w:numFmt w:val="lowerLetter"/>
      <w:start w:val="15"/>
    </w:lvl>
  </w:abstractNum>
  <w:abstractNum w:abstractNumId="242">
    <w:nsid w:val="4E556261"/>
    <w:multiLevelType w:val="hybridMultilevel"/>
    <w:lvl w:ilvl="0">
      <w:lvlJc w:val="left"/>
      <w:lvlText w:val="2"/>
      <w:numFmt w:val="bullet"/>
      <w:start w:val="1"/>
    </w:lvl>
  </w:abstractNum>
  <w:abstractNum w:abstractNumId="243">
    <w:nsid w:val="4C672FC9"/>
    <w:multiLevelType w:val="hybridMultilevel"/>
    <w:lvl w:ilvl="0">
      <w:lvlJc w:val="left"/>
      <w:lvlText w:val="(%1)"/>
      <w:numFmt w:val="lowerLetter"/>
      <w:start w:val="18"/>
    </w:lvl>
  </w:abstractNum>
  <w:abstractNum w:abstractNumId="244">
    <w:nsid w:val="52A311C3"/>
    <w:multiLevelType w:val="hybridMultilevel"/>
    <w:lvl w:ilvl="0">
      <w:lvlJc w:val="left"/>
      <w:lvlText w:val="2"/>
      <w:numFmt w:val="bullet"/>
      <w:start w:val="1"/>
    </w:lvl>
  </w:abstractNum>
  <w:abstractNum w:abstractNumId="245">
    <w:nsid w:val="44EF6B80"/>
    <w:multiLevelType w:val="hybridMultilevel"/>
    <w:lvl w:ilvl="0">
      <w:lvlJc w:val="left"/>
      <w:lvlText w:val="(%1)"/>
      <w:numFmt w:val="lowerLetter"/>
      <w:start w:val="20"/>
    </w:lvl>
  </w:abstractNum>
  <w:abstractNum w:abstractNumId="246">
    <w:nsid w:val="12FCDE5E"/>
    <w:multiLevelType w:val="hybridMultilevel"/>
    <w:lvl w:ilvl="0">
      <w:lvlJc w:val="left"/>
      <w:lvlText w:val="2"/>
      <w:numFmt w:val="bullet"/>
      <w:start w:val="1"/>
    </w:lvl>
  </w:abstractNum>
  <w:abstractNum w:abstractNumId="247">
    <w:nsid w:val="4A1D606E"/>
    <w:multiLevelType w:val="hybridMultilevel"/>
    <w:lvl w:ilvl="0">
      <w:lvlJc w:val="left"/>
      <w:lvlText w:val="(%1)"/>
      <w:numFmt w:val="lowerLetter"/>
      <w:start w:val="22"/>
    </w:lvl>
  </w:abstractNum>
  <w:abstractNum w:abstractNumId="248">
    <w:nsid w:val="4382503"/>
    <w:multiLevelType w:val="hybridMultilevel"/>
    <w:lvl w:ilvl="0">
      <w:lvlJc w:val="left"/>
      <w:lvlText w:val="2"/>
      <w:numFmt w:val="bullet"/>
      <w:start w:val="1"/>
    </w:lvl>
  </w:abstractNum>
  <w:abstractNum w:abstractNumId="249">
    <w:nsid w:val="59B76E28"/>
    <w:multiLevelType w:val="hybridMultilevel"/>
    <w:lvl w:ilvl="0">
      <w:lvlJc w:val="left"/>
      <w:lvlText w:val="(%1)"/>
      <w:numFmt w:val="lowerLetter"/>
      <w:start w:val="26"/>
    </w:lvl>
  </w:abstractNum>
  <w:abstractNum w:abstractNumId="250">
    <w:nsid w:val="4252C2DA"/>
    <w:multiLevelType w:val="hybridMultilevel"/>
    <w:lvl w:ilvl="0">
      <w:lvlJc w:val="left"/>
      <w:lvlText w:val="2"/>
      <w:numFmt w:val="bullet"/>
      <w:start w:val="1"/>
    </w:lvl>
  </w:abstractNum>
  <w:abstractNum w:abstractNumId="251">
    <w:nsid w:val="6A92EF4C"/>
    <w:multiLevelType w:val="hybridMultilevel"/>
    <w:lvl w:ilvl="0">
      <w:lvlJc w:val="left"/>
      <w:lvlText w:val="(%1)"/>
      <w:numFmt w:val="lowerLetter"/>
      <w:start w:val="26"/>
    </w:lvl>
  </w:abstractNum>
  <w:abstractNum w:abstractNumId="252">
    <w:nsid w:val="41ED20D7"/>
    <w:multiLevelType w:val="hybridMultilevel"/>
    <w:lvl w:ilvl="0">
      <w:lvlJc w:val="left"/>
      <w:lvlText w:val="2"/>
      <w:numFmt w:val="bullet"/>
      <w:start w:val="1"/>
    </w:lvl>
  </w:abstractNum>
  <w:abstractNum w:abstractNumId="253">
    <w:nsid w:val="E6B3F6A"/>
    <w:multiLevelType w:val="hybridMultilevel"/>
    <w:lvl w:ilvl="0">
      <w:lvlJc w:val="left"/>
      <w:lvlText w:val="(%1)"/>
      <w:numFmt w:val="lowerLetter"/>
      <w:start w:val="26"/>
    </w:lvl>
  </w:abstractNum>
  <w:abstractNum w:abstractNumId="254">
    <w:nsid w:val="3EB21819"/>
    <w:multiLevelType w:val="hybridMultilevel"/>
    <w:lvl w:ilvl="0">
      <w:lvlJc w:val="left"/>
      <w:lvlText w:val="3"/>
      <w:numFmt w:val="bullet"/>
      <w:start w:val="1"/>
    </w:lvl>
  </w:abstractNum>
  <w:abstractNum w:abstractNumId="255">
    <w:nsid w:val="41531DED"/>
    <w:multiLevelType w:val="hybridMultilevel"/>
    <w:lvl w:ilvl="0">
      <w:lvlJc w:val="left"/>
      <w:lvlText w:val="(%1)"/>
      <w:numFmt w:val="lowerLetter"/>
      <w:start w:val="1"/>
    </w:lvl>
    <w:lvl w:ilvl="1">
      <w:lvlJc w:val="left"/>
      <w:lvlText w:val="•"/>
      <w:numFmt w:val="bullet"/>
      <w:start w:val="1"/>
    </w:lvl>
  </w:abstractNum>
  <w:abstractNum w:abstractNumId="256">
    <w:nsid w:val="6353CD2"/>
    <w:multiLevelType w:val="hybridMultilevel"/>
    <w:lvl w:ilvl="0">
      <w:lvlJc w:val="left"/>
      <w:lvlText w:val="3"/>
      <w:numFmt w:val="bullet"/>
      <w:start w:val="1"/>
    </w:lvl>
  </w:abstractNum>
  <w:abstractNum w:abstractNumId="257">
    <w:nsid w:val="683CAAD3"/>
    <w:multiLevelType w:val="hybridMultilevel"/>
    <w:lvl w:ilvl="0">
      <w:lvlJc w:val="left"/>
      <w:lvlText w:val="(%1)"/>
      <w:numFmt w:val="lowerLetter"/>
      <w:start w:val="1"/>
    </w:lvl>
  </w:abstractNum>
  <w:abstractNum w:abstractNumId="258">
    <w:nsid w:val="313C7C99"/>
    <w:multiLevelType w:val="hybridMultilevel"/>
    <w:lvl w:ilvl="0">
      <w:lvlJc w:val="left"/>
      <w:lvlText w:val="•"/>
      <w:numFmt w:val="bullet"/>
      <w:start w:val="1"/>
    </w:lvl>
  </w:abstractNum>
  <w:abstractNum w:abstractNumId="259">
    <w:nsid w:val="519EB94C"/>
    <w:multiLevelType w:val="hybridMultilevel"/>
    <w:lvl w:ilvl="0">
      <w:lvlJc w:val="left"/>
      <w:lvlText w:val="3"/>
      <w:numFmt w:val="bullet"/>
      <w:start w:val="1"/>
    </w:lvl>
  </w:abstractNum>
  <w:abstractNum w:abstractNumId="260">
    <w:nsid w:val="39DF2579"/>
    <w:multiLevelType w:val="hybridMultilevel"/>
    <w:lvl w:ilvl="0">
      <w:lvlJc w:val="left"/>
      <w:lvlText w:val="(%1)"/>
      <w:numFmt w:val="lowerLetter"/>
      <w:start w:val="1"/>
    </w:lvl>
  </w:abstractNum>
  <w:abstractNum w:abstractNumId="261">
    <w:nsid w:val="126E008B"/>
    <w:multiLevelType w:val="hybridMultilevel"/>
    <w:lvl w:ilvl="0">
      <w:lvlJc w:val="left"/>
      <w:lvlText w:val="3"/>
      <w:numFmt w:val="bullet"/>
      <w:start w:val="1"/>
    </w:lvl>
  </w:abstractNum>
  <w:abstractNum w:abstractNumId="262">
    <w:nsid w:val="34DFBC00"/>
    <w:multiLevelType w:val="hybridMultilevel"/>
    <w:lvl w:ilvl="0">
      <w:lvlJc w:val="left"/>
      <w:lvlText w:val="(%1)"/>
      <w:numFmt w:val="lowerLetter"/>
      <w:start w:val="2"/>
    </w:lvl>
  </w:abstractNum>
  <w:abstractNum w:abstractNumId="263">
    <w:nsid w:val="1F9EC322"/>
    <w:multiLevelType w:val="hybridMultilevel"/>
    <w:lvl w:ilvl="0">
      <w:lvlJc w:val="left"/>
      <w:lvlText w:val="(%1)"/>
      <w:numFmt w:val="lowerRoman"/>
      <w:start w:val="1"/>
    </w:lvl>
  </w:abstractNum>
  <w:abstractNum w:abstractNumId="264">
    <w:nsid w:val="3410ED56"/>
    <w:multiLevelType w:val="hybridMultilevel"/>
    <w:lvl w:ilvl="0">
      <w:lvlJc w:val="left"/>
      <w:lvlText w:val="(%1)"/>
      <w:numFmt w:val="lowerRoman"/>
      <w:start w:val="2"/>
    </w:lvl>
  </w:abstractNum>
  <w:abstractNum w:abstractNumId="265">
    <w:nsid w:val="23C049A"/>
    <w:multiLevelType w:val="hybridMultilevel"/>
    <w:lvl w:ilvl="0">
      <w:lvlJc w:val="left"/>
      <w:lvlText w:val="3"/>
      <w:numFmt w:val="bullet"/>
      <w:start w:val="1"/>
    </w:lvl>
  </w:abstractNum>
  <w:abstractNum w:abstractNumId="266">
    <w:nsid w:val="5BDA35D4"/>
    <w:multiLevelType w:val="hybridMultilevel"/>
    <w:lvl w:ilvl="0">
      <w:lvlJc w:val="left"/>
      <w:lvlText w:val="(%1)"/>
      <w:numFmt w:val="lowerLetter"/>
      <w:start w:val="3"/>
    </w:lvl>
  </w:abstractNum>
  <w:abstractNum w:abstractNumId="267">
    <w:nsid w:val="496FB218"/>
    <w:multiLevelType w:val="hybridMultilevel"/>
    <w:lvl w:ilvl="0">
      <w:lvlJc w:val="left"/>
      <w:lvlText w:val="(%1)"/>
      <w:numFmt w:val="lowerRoman"/>
      <w:start w:val="2"/>
    </w:lvl>
  </w:abstractNum>
  <w:abstractNum w:abstractNumId="268">
    <w:nsid w:val="680EA5D1"/>
    <w:multiLevelType w:val="hybridMultilevel"/>
    <w:lvl w:ilvl="0">
      <w:lvlJc w:val="left"/>
      <w:lvlText w:val="4"/>
      <w:numFmt w:val="bullet"/>
      <w:start w:val="1"/>
    </w:lvl>
  </w:abstractNum>
  <w:abstractNum w:abstractNumId="269">
    <w:nsid w:val="4A9554FE"/>
    <w:multiLevelType w:val="hybridMultilevel"/>
    <w:lvl w:ilvl="0">
      <w:lvlJc w:val="left"/>
      <w:lvlText w:val="6"/>
      <w:numFmt w:val="bullet"/>
      <w:start w:val="1"/>
    </w:lvl>
  </w:abstractNum>
  <w:abstractNum w:abstractNumId="270">
    <w:nsid w:val="392EDBE4"/>
    <w:multiLevelType w:val="hybridMultilevel"/>
    <w:lvl w:ilvl="0">
      <w:lvlJc w:val="left"/>
      <w:lvlText w:val="7"/>
      <w:numFmt w:val="bullet"/>
      <w:start w:val="1"/>
    </w:lvl>
  </w:abstractNum>
  <w:abstractNum w:abstractNumId="271">
    <w:nsid w:val="3D1A2DD9"/>
    <w:multiLevelType w:val="hybridMultilevel"/>
    <w:lvl w:ilvl="0">
      <w:lvlJc w:val="left"/>
      <w:lvlText w:val="8"/>
      <w:numFmt w:val="bullet"/>
      <w:start w:val="1"/>
    </w:lvl>
  </w:abstractNum>
  <w:abstractNum w:abstractNumId="272">
    <w:nsid w:val="7F618FCD"/>
    <w:multiLevelType w:val="hybridMultilevel"/>
    <w:lvl w:ilvl="0">
      <w:lvlJc w:val="left"/>
      <w:lvlText w:val="9"/>
      <w:numFmt w:val="bullet"/>
      <w:start w:val="1"/>
    </w:lvl>
  </w:abstractNum>
  <w:abstractNum w:abstractNumId="273">
    <w:nsid w:val="7843E45"/>
    <w:multiLevelType w:val="hybridMultilevel"/>
    <w:lvl w:ilvl="0">
      <w:lvlJc w:val="left"/>
      <w:lvlText w:val="%1"/>
      <w:numFmt w:val="decimal"/>
      <w:start w:val="10"/>
    </w:lvl>
  </w:abstractNum>
  <w:abstractNum w:abstractNumId="274">
    <w:nsid w:val="9815DA3"/>
    <w:multiLevelType w:val="hybridMultilevel"/>
    <w:lvl w:ilvl="0">
      <w:lvlJc w:val="left"/>
      <w:lvlText w:val="%1"/>
      <w:numFmt w:val="decimal"/>
      <w:start w:val="10"/>
    </w:lvl>
  </w:abstractNum>
  <w:abstractNum w:abstractNumId="275">
    <w:nsid w:val="5204A191"/>
    <w:multiLevelType w:val="hybridMultilevel"/>
    <w:lvl w:ilvl="0">
      <w:lvlJc w:val="left"/>
      <w:lvlText w:val="%1"/>
      <w:numFmt w:val="decimal"/>
      <w:start w:val="12"/>
    </w:lvl>
  </w:abstractNum>
  <w:abstractNum w:abstractNumId="276">
    <w:nsid w:val="4C73A9C6"/>
    <w:multiLevelType w:val="hybridMultilevel"/>
    <w:lvl w:ilvl="0">
      <w:lvlJc w:val="left"/>
      <w:lvlText w:val="%1"/>
      <w:numFmt w:val="decimal"/>
      <w:start w:val="12"/>
    </w:lvl>
  </w:abstractNum>
  <w:abstractNum w:abstractNumId="277">
    <w:nsid w:val="1C7E3C01"/>
    <w:multiLevelType w:val="hybridMultilevel"/>
    <w:lvl w:ilvl="0">
      <w:lvlJc w:val="left"/>
      <w:lvlText w:val="(%1)"/>
      <w:numFmt w:val="lowerLetter"/>
      <w:start w:val="1"/>
    </w:lvl>
  </w:abstractNum>
  <w:abstractNum w:abstractNumId="278">
    <w:nsid w:val="1C2201FF"/>
    <w:multiLevelType w:val="hybridMultilevel"/>
    <w:lvl w:ilvl="0">
      <w:lvlJc w:val="left"/>
      <w:lvlText w:val="(%1)"/>
      <w:numFmt w:val="lowerLetter"/>
      <w:start w:val="1"/>
    </w:lvl>
  </w:abstractNum>
  <w:abstractNum w:abstractNumId="279">
    <w:nsid w:val="50ABCEC9"/>
    <w:multiLevelType w:val="hybridMultilevel"/>
    <w:lvl w:ilvl="0">
      <w:lvlJc w:val="left"/>
      <w:lvlText w:val="(%1)"/>
      <w:numFmt w:val="lowerRoman"/>
      <w:start w:val="1"/>
    </w:lvl>
  </w:abstractNum>
  <w:abstractNum w:abstractNumId="280">
    <w:nsid w:val="7635AA2A"/>
    <w:multiLevelType w:val="hybridMultilevel"/>
    <w:lvl w:ilvl="0">
      <w:lvlJc w:val="left"/>
      <w:lvlText w:val="(%1)"/>
      <w:numFmt w:val="lowerLetter"/>
      <w:start w:val="1"/>
    </w:lvl>
    <w:lvl w:ilvl="1">
      <w:lvlJc w:val="left"/>
      <w:lvlText w:val="(%2)"/>
      <w:numFmt w:val="lowerRoman"/>
      <w:start w:val="7"/>
    </w:lvl>
  </w:abstractNum>
  <w:abstractNum w:abstractNumId="281">
    <w:nsid w:val="5E74C4D9"/>
    <w:multiLevelType w:val="hybridMultilevel"/>
    <w:lvl w:ilvl="0">
      <w:lvlJc w:val="left"/>
      <w:lvlText w:val="(%1)"/>
      <w:numFmt w:val="lowerLetter"/>
      <w:start w:val="1"/>
    </w:lvl>
    <w:lvl w:ilvl="1">
      <w:lvlJc w:val="left"/>
      <w:lvlText w:val="(%2)"/>
      <w:numFmt w:val="lowerRoman"/>
      <w:start w:val="18"/>
    </w:lvl>
  </w:abstractNum>
  <w:abstractNum w:abstractNumId="282">
    <w:nsid w:val="3B3EBE15"/>
    <w:multiLevelType w:val="hybridMultilevel"/>
    <w:lvl w:ilvl="0">
      <w:lvlJc w:val="left"/>
      <w:lvlText w:val="(%1)"/>
      <w:numFmt w:val="lowerLetter"/>
      <w:start w:val="1"/>
    </w:lvl>
  </w:abstractNum>
  <w:abstractNum w:abstractNumId="283">
    <w:nsid w:val="3822CB01"/>
    <w:multiLevelType w:val="hybridMultilevel"/>
    <w:lvl w:ilvl="0">
      <w:lvlJc w:val="left"/>
      <w:lvlText w:val="(%1)"/>
      <w:numFmt w:val="lowerRoman"/>
      <w:start w:val="1"/>
    </w:lvl>
  </w:abstractNum>
  <w:abstractNum w:abstractNumId="284">
    <w:nsid w:val="6CE00443"/>
    <w:multiLevelType w:val="hybridMultilevel"/>
    <w:lvl w:ilvl="0">
      <w:lvlJc w:val="left"/>
      <w:lvlText w:val="(%1)"/>
      <w:numFmt w:val="lowerRoman"/>
      <w:start w:val="1"/>
    </w:lvl>
  </w:abstractNum>
  <w:abstractNum w:abstractNumId="285">
    <w:nsid w:val="79F0D62F"/>
    <w:multiLevelType w:val="hybridMultilevel"/>
    <w:lvl w:ilvl="0">
      <w:lvlJc w:val="left"/>
      <w:lvlText w:val="(%1)"/>
      <w:numFmt w:val="lowerRoman"/>
      <w:start w:val="3"/>
    </w:lvl>
  </w:abstractNum>
  <w:abstractNum w:abstractNumId="286">
    <w:nsid w:val="7975E8EE"/>
    <w:multiLevelType w:val="hybridMultilevel"/>
    <w:lvl w:ilvl="0">
      <w:lvlJc w:val="left"/>
      <w:lvlText w:val="(%1)"/>
      <w:numFmt w:val="lowerLetter"/>
      <w:start w:val="61"/>
    </w:lvl>
    <w:lvl w:ilvl="1">
      <w:lvlJc w:val="left"/>
      <w:lvlText w:val="(%2)"/>
      <w:numFmt w:val="lowerLetter"/>
      <w:start w:val="1"/>
    </w:lvl>
  </w:abstractNum>
  <w:abstractNum w:abstractNumId="287">
    <w:nsid w:val="73154115"/>
    <w:multiLevelType w:val="hybridMultilevel"/>
    <w:lvl w:ilvl="0">
      <w:lvlJc w:val="left"/>
      <w:lvlText w:val="(%1)"/>
      <w:numFmt w:val="lowerRoman"/>
      <w:start w:val="3"/>
    </w:lvl>
  </w:abstractNum>
  <w:abstractNum w:abstractNumId="288">
    <w:nsid w:val="622D8102"/>
    <w:multiLevelType w:val="hybridMultilevel"/>
    <w:lvl w:ilvl="0">
      <w:lvlJc w:val="left"/>
      <w:lvlText w:val="(%1)"/>
      <w:numFmt w:val="lowerLetter"/>
      <w:start w:val="1"/>
    </w:lvl>
  </w:abstractNum>
  <w:abstractNum w:abstractNumId="289">
    <w:nsid w:val="2AB26587"/>
    <w:multiLevelType w:val="hybridMultilevel"/>
    <w:lvl w:ilvl="0">
      <w:lvlJc w:val="left"/>
      <w:lvlText w:val="(%1)"/>
      <w:numFmt w:val="lowerLetter"/>
      <w:start w:val="1"/>
    </w:lvl>
  </w:abstractNum>
  <w:abstractNum w:abstractNumId="290">
    <w:nsid w:val="44B3FA61"/>
    <w:multiLevelType w:val="hybridMultilevel"/>
    <w:lvl w:ilvl="0">
      <w:lvlJc w:val="left"/>
      <w:lvlText w:val="(%1)"/>
      <w:numFmt w:val="lowerLetter"/>
      <w:start w:val="2"/>
    </w:lvl>
  </w:abstractNum>
  <w:abstractNum w:abstractNumId="291">
    <w:nsid w:val="1C0CA67C"/>
    <w:multiLevelType w:val="hybridMultilevel"/>
    <w:lvl w:ilvl="0">
      <w:lvlJc w:val="left"/>
      <w:lvlText w:val="%1"/>
      <w:numFmt w:val="decimal"/>
      <w:start w:val="17"/>
    </w:lvl>
  </w:abstractNum>
  <w:abstractNum w:abstractNumId="292">
    <w:nsid w:val="3D206613"/>
    <w:multiLevelType w:val="hybridMultilevel"/>
    <w:lvl w:ilvl="0">
      <w:lvlJc w:val="left"/>
      <w:lvlText w:val="(%1)"/>
      <w:numFmt w:val="decimal"/>
      <w:start w:val="2"/>
    </w:lvl>
  </w:abstractNum>
  <w:abstractNum w:abstractNumId="293">
    <w:nsid w:val="7993B662"/>
    <w:multiLevelType w:val="hybridMultilevel"/>
    <w:lvl w:ilvl="0">
      <w:lvlJc w:val="left"/>
      <w:lvlText w:val="*"/>
      <w:numFmt w:val="bullet"/>
      <w:start w:val="1"/>
    </w:lvl>
  </w:abstractNum>
  <w:abstractNum w:abstractNumId="294">
    <w:nsid w:val="3BAB699E"/>
    <w:multiLevelType w:val="hybridMultilevel"/>
    <w:lvl w:ilvl="0">
      <w:lvlJc w:val="left"/>
      <w:lvlText w:val="(%1)"/>
      <w:numFmt w:val="decimal"/>
      <w:start w:val="1"/>
    </w:lvl>
  </w:abstractNum>
  <w:abstractNum w:abstractNumId="295">
    <w:nsid w:val="71315369"/>
    <w:multiLevelType w:val="hybridMultilevel"/>
    <w:lvl w:ilvl="0">
      <w:lvlJc w:val="left"/>
      <w:lvlText w:val=","/>
      <w:numFmt w:val="bullet"/>
      <w:start w:val="1"/>
    </w:lvl>
  </w:abstractNum>
  <w:abstractNum w:abstractNumId="296">
    <w:nsid w:val="7BCFBAF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2019-12-08T07:51:19Z</dcterms:created>
  <dcterms:modified xsi:type="dcterms:W3CDTF">2019-12-08T07:51:19Z</dcterms:modified>
</cp:coreProperties>
</file>