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October 2021</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490"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4"/>
                <w:szCs w:val="14"/>
                <w:color w:val="auto"/>
              </w:rPr>
            </w:pPr>
          </w:p>
        </w:tc>
        <w:tc>
          <w:tcPr>
            <w:tcW w:w="940" w:type="dxa"/>
            <w:vAlign w:val="bottom"/>
            <w:tcBorders>
              <w:top w:val="single" w:sz="8" w:color="auto"/>
              <w:bottom w:val="single" w:sz="8" w:color="0000EE"/>
            </w:tcBorders>
          </w:tcPr>
          <w:p>
            <w:pPr>
              <w:ind w:left="20"/>
              <w:spacing w:after="0" w:line="169" w:lineRule="exact"/>
              <w:rPr>
                <w:rFonts w:ascii="Arial" w:cs="Arial" w:eastAsia="Arial" w:hAnsi="Arial"/>
                <w:sz w:val="18"/>
                <w:szCs w:val="18"/>
                <w:color w:val="0000EE"/>
                <w:w w:val="81"/>
              </w:rPr>
            </w:pPr>
            <w:hyperlink w:anchor="page4">
              <w:r>
                <w:rPr>
                  <w:rFonts w:ascii="Arial" w:cs="Arial" w:eastAsia="Arial" w:hAnsi="Arial"/>
                  <w:sz w:val="18"/>
                  <w:szCs w:val="18"/>
                  <w:color w:val="0000EE"/>
                  <w:w w:val="81"/>
                </w:rPr>
                <w:t>Press release</w:t>
              </w:r>
            </w:hyperlink>
          </w:p>
        </w:tc>
        <w:tc>
          <w:tcPr>
            <w:tcW w:w="906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18,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159385</wp:posOffset>
            </wp:positionV>
            <wp:extent cx="103695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369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iClick Interactive Asia Group Limited Announces Receipt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another Unsolicited Preliminary Non-Binding Indicative Offer to Acquire the Company</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 xml:space="preserve">HONG KONG, October 18, 2021 </w:t>
      </w:r>
      <w:r>
        <w:rPr>
          <w:rFonts w:ascii="Arial" w:cs="Arial" w:eastAsia="Arial" w:hAnsi="Arial"/>
          <w:sz w:val="19"/>
          <w:szCs w:val="19"/>
          <w:color w:val="auto"/>
        </w:rPr>
        <w:t>– iClick Interactive Asia Group Limited (“iClick” or the “Company”) (NASDAQ: ICLK), a leading</w:t>
      </w:r>
      <w:r>
        <w:rPr>
          <w:rFonts w:ascii="Arial" w:cs="Arial" w:eastAsia="Arial" w:hAnsi="Arial"/>
          <w:sz w:val="19"/>
          <w:szCs w:val="19"/>
          <w:b w:val="1"/>
          <w:bCs w:val="1"/>
          <w:color w:val="auto"/>
        </w:rPr>
        <w:t xml:space="preserve"> </w:t>
      </w:r>
      <w:r>
        <w:rPr>
          <w:rFonts w:ascii="Arial" w:cs="Arial" w:eastAsia="Arial" w:hAnsi="Arial"/>
          <w:sz w:val="19"/>
          <w:szCs w:val="19"/>
          <w:color w:val="auto"/>
        </w:rPr>
        <w:t>enterprise and marketing cloud platform in China that empowers worldwide brands with full-stack consumer lifecycle solutions, announced today that on October 17, 2021 its board of directors (the “Board”) received another unsolicited preliminary non-binding indicative offer dated October 13, 2021 (the “Proposal Letter”) from Infinity Equity Management Co. Ltd. and/or its affiliates, managed funds, co-invested entity and through special purpose vehicle to acquire all of the outstanding shares of the Company (other than management owned shares and those existing shareholders of the Company who elect to roll over) for US$7.50 per ADS in cash, subject to certain terms set forth in the Proposal Letter (the “Proposed Transaction”).</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Board plans to evaluate the Proposed Transaction together with the previously announced unsolicited preliminary non-binding indicative offer dated September 23, 2021 from PAG Pegasus Fund LP and Oasis Management Company Ltd (the “Prior Proposal”).</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Board cautions the Company’s shareholders and others considering trading the Company’s securities that the Board has just received the Proposal Letter and has not had an opportunity to carefully review or evaluate the proposal, or make any decision with respect to the Company’s response to the proposal. There can be no assurance that any definitive offer will be made, that any definitive agreement will be executed relating to the Proposed Transaction or the Prior Proposal or that the Proposed Transaction, the Prior Proposal or any other transaction will be approved or consummated. The Company does not undertake any obligation to provide any updates with respect to the Proposed Transaction, the Prior Proposal or any other transaction, except as required under applicable law.</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69" w:lineRule="auto"/>
        <w:rPr>
          <w:sz w:val="20"/>
          <w:szCs w:val="20"/>
          <w:color w:val="auto"/>
        </w:rPr>
      </w:pPr>
      <w:r>
        <w:rPr>
          <w:rFonts w:ascii="Arial" w:cs="Arial" w:eastAsia="Arial" w:hAnsi="Arial"/>
          <w:sz w:val="18"/>
          <w:szCs w:val="18"/>
          <w:color w:val="auto"/>
        </w:rPr>
        <w:t>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litigation and negative publicity surroundings China -based companies listed in the U.S.; effectiveness of its algorithms and data engines; its ability to collect and use data from various sources; its ability to comply with existing or future laws and regulations related to data protection or data security; ability to integrate and realize synergies from acquisitions, investments or strategic partnership; the duration of the COVID-19 outbreak, including the emergence of COVID variants,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 is as of the date of this press release, and the Company undertakes no obligation to update any forward-looking statement, except as required under applicable law.</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and media inquiries, please contact:</w:t>
      </w:r>
    </w:p>
    <w:p>
      <w:pPr>
        <w:sectPr>
          <w:pgSz w:w="11900" w:h="16838" w:orient="portrait"/>
          <w:cols w:equalWidth="0" w:num="1">
            <w:col w:w="11240"/>
          </w:cols>
          <w:pgMar w:left="320" w:top="325"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China: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Lisa Li</w:t>
      </w:r>
    </w:p>
    <w:p>
      <w:pPr>
        <w:spacing w:after="0"/>
        <w:rPr>
          <w:sz w:val="20"/>
          <w:szCs w:val="20"/>
          <w:color w:val="auto"/>
        </w:rPr>
      </w:pPr>
      <w:r>
        <w:rPr>
          <w:rFonts w:ascii="Arial" w:cs="Arial" w:eastAsia="Arial" w:hAnsi="Arial"/>
          <w:sz w:val="20"/>
          <w:szCs w:val="20"/>
          <w:color w:val="auto"/>
        </w:rPr>
        <w:t>Phone: +86-21-3230-3931 #866</w:t>
      </w:r>
    </w:p>
    <w:p>
      <w:pPr>
        <w:spacing w:after="0"/>
        <w:rPr>
          <w:sz w:val="20"/>
          <w:szCs w:val="20"/>
          <w:color w:val="auto"/>
        </w:rPr>
      </w:pPr>
      <w:r>
        <w:rPr>
          <w:rFonts w:ascii="Arial" w:cs="Arial" w:eastAsia="Arial" w:hAnsi="Arial"/>
          <w:sz w:val="20"/>
          <w:szCs w:val="20"/>
          <w:color w:val="auto"/>
        </w:rPr>
        <w:t>E-mail: ir@i-click.com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 IR</w:t>
      </w:r>
    </w:p>
    <w:p>
      <w:pPr>
        <w:spacing w:after="0"/>
        <w:rPr>
          <w:sz w:val="20"/>
          <w:szCs w:val="20"/>
          <w:color w:val="auto"/>
        </w:rPr>
      </w:pPr>
      <w:r>
        <w:rPr>
          <w:rFonts w:ascii="Arial" w:cs="Arial" w:eastAsia="Arial" w:hAnsi="Arial"/>
          <w:sz w:val="20"/>
          <w:szCs w:val="20"/>
          <w:color w:val="auto"/>
        </w:rPr>
        <w:t>Tom Caden</w:t>
      </w:r>
    </w:p>
    <w:p>
      <w:pPr>
        <w:spacing w:after="0"/>
        <w:rPr>
          <w:sz w:val="20"/>
          <w:szCs w:val="20"/>
          <w:color w:val="auto"/>
        </w:rPr>
      </w:pPr>
      <w:r>
        <w:rPr>
          <w:rFonts w:ascii="Arial" w:cs="Arial" w:eastAsia="Arial" w:hAnsi="Arial"/>
          <w:sz w:val="20"/>
          <w:szCs w:val="20"/>
          <w:color w:val="auto"/>
        </w:rPr>
        <w:t>Tel: +1-516-222-2560</w:t>
      </w:r>
    </w:p>
    <w:p>
      <w:pPr>
        <w:spacing w:after="0"/>
        <w:rPr>
          <w:sz w:val="20"/>
          <w:szCs w:val="20"/>
          <w:color w:val="auto"/>
        </w:rPr>
      </w:pPr>
      <w:r>
        <w:rPr>
          <w:rFonts w:ascii="Arial" w:cs="Arial" w:eastAsia="Arial" w:hAnsi="Arial"/>
          <w:sz w:val="18"/>
          <w:szCs w:val="18"/>
          <w:color w:val="auto"/>
        </w:rPr>
        <w:t>E-mail: tomc@coreir.com</w:t>
      </w:r>
    </w:p>
    <w:sectPr>
      <w:pgSz w:w="11900" w:h="16838" w:orient="portrait"/>
      <w:cols w:equalWidth="0" w:num="2">
        <w:col w:w="5000" w:space="720"/>
        <w:col w:w="5520"/>
      </w:cols>
      <w:pgMar w:left="320" w:top="3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2021-10-18T07:47:23Z</dcterms:created>
  <dcterms:modified xsi:type="dcterms:W3CDTF">2021-10-18T07:47:23Z</dcterms:modified>
</cp:coreProperties>
</file>