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165100</wp:posOffset>
            </wp:positionV>
            <wp:extent cx="1483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SCHEDULE 13G/A</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(Amendment No.1) *</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171450</wp:posOffset>
            </wp:positionV>
            <wp:extent cx="1483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iClick Interactive Asia Group Limited</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(Name of Issuer)</w:t>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17"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(Title of Class of Securities)</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G47048 106</w:t>
      </w:r>
    </w:p>
    <w:p>
      <w:pPr>
        <w:spacing w:after="0" w:line="17"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(CUSIP Number)</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December 31, 2019</w:t>
      </w:r>
    </w:p>
    <w:p>
      <w:pPr>
        <w:spacing w:after="0" w:line="17"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157480</wp:posOffset>
            </wp:positionV>
            <wp:extent cx="1483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21" w:lineRule="exact"/>
        <w:rPr>
          <w:sz w:val="24"/>
          <w:szCs w:val="24"/>
          <w:color w:val="auto"/>
        </w:rPr>
      </w:pPr>
    </w:p>
    <w:p>
      <w:pPr>
        <w:ind w:left="1120" w:hanging="194"/>
        <w:spacing w:after="0"/>
        <w:tabs>
          <w:tab w:leader="none" w:pos="11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w:t>
      </w:r>
    </w:p>
    <w:p>
      <w:pPr>
        <w:spacing w:after="0" w:line="234" w:lineRule="exact"/>
        <w:rPr>
          <w:rFonts w:ascii="MS PGothic" w:cs="MS PGothic" w:eastAsia="MS PGothic" w:hAnsi="MS PGothic"/>
          <w:sz w:val="16"/>
          <w:szCs w:val="16"/>
          <w:color w:val="auto"/>
        </w:rPr>
      </w:pPr>
    </w:p>
    <w:p>
      <w:pPr>
        <w:ind w:left="1120" w:hanging="194"/>
        <w:spacing w:after="0"/>
        <w:tabs>
          <w:tab w:leader="none" w:pos="11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w:t>
      </w:r>
    </w:p>
    <w:p>
      <w:pPr>
        <w:spacing w:after="0" w:line="235" w:lineRule="exact"/>
        <w:rPr>
          <w:sz w:val="24"/>
          <w:szCs w:val="24"/>
          <w:color w:val="auto"/>
        </w:rPr>
      </w:pPr>
    </w:p>
    <w:p>
      <w:pPr>
        <w:ind w:left="1120" w:hanging="194"/>
        <w:spacing w:after="0"/>
        <w:tabs>
          <w:tab w:leader="none" w:pos="11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13d-1(d)</w:t>
      </w:r>
    </w:p>
    <w:p>
      <w:pPr>
        <w:spacing w:after="0" w:line="235"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8" w:lineRule="exact"/>
        <w:rPr>
          <w:sz w:val="24"/>
          <w:szCs w:val="24"/>
          <w:color w:val="auto"/>
        </w:rPr>
      </w:pPr>
    </w:p>
    <w:p>
      <w:pPr>
        <w:ind w:right="300"/>
        <w:spacing w:after="0" w:line="258"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450850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83"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3"/>
        </w:trPr>
        <w:tc>
          <w:tcPr>
            <w:tcW w:w="1860" w:type="dxa"/>
            <w:vAlign w:val="bottom"/>
            <w:tcBorders>
              <w:right w:val="single" w:sz="8" w:color="auto"/>
            </w:tcBorders>
          </w:tcPr>
          <w:p>
            <w:pPr>
              <w:spacing w:after="0"/>
              <w:rPr>
                <w:sz w:val="24"/>
                <w:szCs w:val="24"/>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1</w:t>
            </w:r>
          </w:p>
        </w:tc>
        <w:tc>
          <w:tcPr>
            <w:tcW w:w="40" w:type="dxa"/>
            <w:vAlign w:val="bottom"/>
            <w:tcBorders>
              <w:top w:val="single" w:sz="8" w:color="auto"/>
              <w:right w:val="single" w:sz="8" w:color="auto"/>
            </w:tcBorders>
          </w:tcPr>
          <w:p>
            <w:pPr>
              <w:spacing w:after="0"/>
              <w:rPr>
                <w:sz w:val="24"/>
                <w:szCs w:val="24"/>
                <w:color w:val="auto"/>
              </w:rPr>
            </w:pPr>
          </w:p>
        </w:tc>
        <w:tc>
          <w:tcPr>
            <w:tcW w:w="746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5"/>
                <w:szCs w:val="15"/>
                <w:color w:val="auto"/>
              </w:rPr>
              <w:t>Names of Reporting Persons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Sunee Chiraseivinupraphand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860" w:type="dxa"/>
            <w:vAlign w:val="bottom"/>
            <w:tcBorders>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7460" w:type="dxa"/>
            <w:vAlign w:val="bottom"/>
            <w:tcBorders>
              <w:bottom w:val="single" w:sz="8" w:color="auto"/>
              <w:right w:val="single" w:sz="8" w:color="auto"/>
            </w:tcBorders>
            <w:gridSpan w:val="4"/>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860" w:type="dxa"/>
            <w:vAlign w:val="bottom"/>
            <w:tcBorders>
              <w:right w:val="single" w:sz="8" w:color="auto"/>
            </w:tcBorders>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2</w:t>
            </w:r>
          </w:p>
        </w:tc>
        <w:tc>
          <w:tcPr>
            <w:tcW w:w="4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Check the Appropriate Box if a Member of a Group</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540" w:type="dxa"/>
            <w:vAlign w:val="bottom"/>
          </w:tcPr>
          <w:p>
            <w:pPr>
              <w:ind w:left="40"/>
              <w:spacing w:after="0" w:line="173" w:lineRule="exact"/>
              <w:rPr>
                <w:sz w:val="20"/>
                <w:szCs w:val="20"/>
                <w:color w:val="auto"/>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tc>
        <w:tc>
          <w:tcPr>
            <w:tcW w:w="180" w:type="dxa"/>
            <w:vAlign w:val="bottom"/>
          </w:tcPr>
          <w:p>
            <w:pPr>
              <w:spacing w:after="0"/>
              <w:rPr>
                <w:sz w:val="20"/>
                <w:szCs w:val="20"/>
                <w:color w:val="auto"/>
              </w:rPr>
            </w:pPr>
          </w:p>
        </w:tc>
        <w:tc>
          <w:tcPr>
            <w:tcW w:w="6740" w:type="dxa"/>
            <w:vAlign w:val="bottom"/>
            <w:tcBorders>
              <w:right w:val="single" w:sz="8" w:color="auto"/>
            </w:tcBorders>
            <w:gridSpan w:val="2"/>
          </w:tcPr>
          <w:p>
            <w:pPr>
              <w:jc w:val="right"/>
              <w:ind w:right="6263"/>
              <w:spacing w:after="0" w:line="173" w:lineRule="exact"/>
              <w:rPr>
                <w:sz w:val="20"/>
                <w:szCs w:val="20"/>
                <w:color w:val="auto"/>
              </w:rPr>
            </w:pPr>
            <w:r>
              <w:rPr>
                <w:rFonts w:ascii="Arial" w:cs="Arial" w:eastAsia="Arial" w:hAnsi="Arial"/>
                <w:sz w:val="15"/>
                <w:szCs w:val="15"/>
                <w:color w:val="auto"/>
              </w:rPr>
              <w:t xml:space="preserve">(b) </w:t>
            </w:r>
            <w:r>
              <w:rPr>
                <w:rFonts w:ascii="MS PGothic" w:cs="MS PGothic" w:eastAsia="MS PGothic" w:hAnsi="MS PGothic"/>
                <w:sz w:val="15"/>
                <w:szCs w:val="15"/>
                <w:color w:val="auto"/>
              </w:rPr>
              <w:t>☐</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1860" w:type="dxa"/>
            <w:vAlign w:val="bottom"/>
            <w:tcBorders>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7460" w:type="dxa"/>
            <w:vAlign w:val="bottom"/>
            <w:tcBorders>
              <w:bottom w:val="single" w:sz="8" w:color="auto"/>
              <w:right w:val="single" w:sz="8" w:color="auto"/>
            </w:tcBorders>
            <w:gridSpan w:val="4"/>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1860" w:type="dxa"/>
            <w:vAlign w:val="bottom"/>
            <w:tcBorders>
              <w:right w:val="single" w:sz="8" w:color="auto"/>
            </w:tcBorders>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3</w:t>
            </w:r>
          </w:p>
        </w:tc>
        <w:tc>
          <w:tcPr>
            <w:tcW w:w="4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SEC Use Only</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86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7460" w:type="dxa"/>
            <w:vAlign w:val="bottom"/>
            <w:tcBorders>
              <w:bottom w:val="single" w:sz="8" w:color="auto"/>
              <w:right w:val="single" w:sz="8" w:color="auto"/>
            </w:tcBorders>
            <w:gridSpan w:val="4"/>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860" w:type="dxa"/>
            <w:vAlign w:val="bottom"/>
            <w:tcBorders>
              <w:right w:val="single" w:sz="8" w:color="auto"/>
            </w:tcBorders>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4</w:t>
            </w:r>
          </w:p>
        </w:tc>
        <w:tc>
          <w:tcPr>
            <w:tcW w:w="4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Citizenship or Place of Organization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5"/>
                <w:szCs w:val="15"/>
                <w:color w:val="auto"/>
              </w:rPr>
              <w:t>Thailand</w:t>
            </w:r>
          </w:p>
        </w:tc>
        <w:tc>
          <w:tcPr>
            <w:tcW w:w="100" w:type="dxa"/>
            <w:vAlign w:val="bottom"/>
          </w:tcPr>
          <w:p>
            <w:pPr>
              <w:spacing w:after="0"/>
              <w:rPr>
                <w:sz w:val="16"/>
                <w:szCs w:val="16"/>
                <w:color w:val="auto"/>
              </w:rPr>
            </w:pPr>
          </w:p>
        </w:tc>
        <w:tc>
          <w:tcPr>
            <w:tcW w:w="6640" w:type="dxa"/>
            <w:vAlign w:val="bottom"/>
            <w:tcBorders>
              <w:right w:val="single" w:sz="8" w:color="auto"/>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86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40" w:type="dxa"/>
            <w:vAlign w:val="bottom"/>
            <w:tcBorders>
              <w:bottom w:val="single" w:sz="8" w:color="auto"/>
              <w:right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8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right w:val="single" w:sz="8" w:color="auto"/>
            </w:tcBorders>
          </w:tcPr>
          <w:p>
            <w:pPr>
              <w:spacing w:after="0"/>
              <w:rPr>
                <w:sz w:val="24"/>
                <w:szCs w:val="24"/>
                <w:color w:val="auto"/>
              </w:rPr>
            </w:pPr>
          </w:p>
        </w:tc>
        <w:tc>
          <w:tcPr>
            <w:tcW w:w="66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Sole Voting Power</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6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0</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86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5"/>
                <w:szCs w:val="15"/>
                <w:color w:val="auto"/>
              </w:rPr>
              <w:t>Number of</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6640" w:type="dxa"/>
            <w:vAlign w:val="bottom"/>
            <w:tcBorders>
              <w:bottom w:val="single" w:sz="8" w:color="auto"/>
              <w:right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86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40" w:type="dxa"/>
            <w:vAlign w:val="bottom"/>
            <w:tcBorders>
              <w:right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gridSpan w:val="3"/>
          </w:tcPr>
          <w:p>
            <w:pPr>
              <w:jc w:val="center"/>
              <w:spacing w:after="0" w:line="162" w:lineRule="exact"/>
              <w:rPr>
                <w:sz w:val="20"/>
                <w:szCs w:val="20"/>
                <w:color w:val="auto"/>
              </w:rPr>
            </w:pPr>
            <w:r>
              <w:rPr>
                <w:rFonts w:ascii="Arial" w:cs="Arial" w:eastAsia="Arial" w:hAnsi="Arial"/>
                <w:sz w:val="15"/>
                <w:szCs w:val="15"/>
                <w:color w:val="auto"/>
              </w:rPr>
              <w:t>Shares</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6</w:t>
            </w:r>
          </w:p>
        </w:tc>
        <w:tc>
          <w:tcPr>
            <w:tcW w:w="100" w:type="dxa"/>
            <w:vAlign w:val="bottom"/>
            <w:tcBorders>
              <w:right w:val="single" w:sz="8" w:color="auto"/>
            </w:tcBorders>
          </w:tcPr>
          <w:p>
            <w:pPr>
              <w:spacing w:after="0"/>
              <w:rPr>
                <w:sz w:val="14"/>
                <w:szCs w:val="14"/>
                <w:color w:val="auto"/>
              </w:rPr>
            </w:pPr>
          </w:p>
        </w:tc>
        <w:tc>
          <w:tcPr>
            <w:tcW w:w="664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5"/>
                <w:szCs w:val="15"/>
                <w:color w:val="auto"/>
              </w:rPr>
              <w:t>Shared Voting Power</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gridSpan w:val="3"/>
          </w:tcPr>
          <w:p>
            <w:pPr>
              <w:jc w:val="center"/>
              <w:spacing w:after="0" w:line="162" w:lineRule="exact"/>
              <w:rPr>
                <w:sz w:val="20"/>
                <w:szCs w:val="20"/>
                <w:color w:val="auto"/>
              </w:rPr>
            </w:pPr>
            <w:r>
              <w:rPr>
                <w:rFonts w:ascii="Arial" w:cs="Arial" w:eastAsia="Arial" w:hAnsi="Arial"/>
                <w:sz w:val="15"/>
                <w:szCs w:val="15"/>
                <w:color w:val="auto"/>
              </w:rPr>
              <w:t>Beneficially</w:t>
            </w:r>
          </w:p>
        </w:tc>
        <w:tc>
          <w:tcPr>
            <w:tcW w:w="1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4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5"/>
                <w:szCs w:val="15"/>
                <w:color w:val="auto"/>
              </w:rPr>
              <w:t>1,178,489 ordinary shares. See Item 4.</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6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gridSpan w:val="3"/>
          </w:tcPr>
          <w:p>
            <w:pPr>
              <w:jc w:val="center"/>
              <w:spacing w:after="0" w:line="152" w:lineRule="exact"/>
              <w:rPr>
                <w:sz w:val="20"/>
                <w:szCs w:val="20"/>
                <w:color w:val="auto"/>
              </w:rPr>
            </w:pPr>
            <w:r>
              <w:rPr>
                <w:rFonts w:ascii="Arial" w:cs="Arial" w:eastAsia="Arial" w:hAnsi="Arial"/>
                <w:sz w:val="15"/>
                <w:szCs w:val="15"/>
                <w:color w:val="auto"/>
              </w:rPr>
              <w:t>Owned by</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6640" w:type="dxa"/>
            <w:vAlign w:val="bottom"/>
            <w:tcBorders>
              <w:bottom w:val="single" w:sz="8" w:color="auto"/>
              <w:right w:val="single" w:sz="8" w:color="auto"/>
            </w:tcBorders>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right w:val="single" w:sz="8" w:color="auto"/>
            </w:tcBorders>
            <w:gridSpan w:val="2"/>
          </w:tcPr>
          <w:p>
            <w:pPr>
              <w:jc w:val="center"/>
              <w:ind w:right="123"/>
              <w:spacing w:after="0" w:line="152" w:lineRule="exact"/>
              <w:rPr>
                <w:sz w:val="20"/>
                <w:szCs w:val="20"/>
                <w:color w:val="auto"/>
              </w:rPr>
            </w:pPr>
            <w:r>
              <w:rPr>
                <w:rFonts w:ascii="Arial" w:cs="Arial" w:eastAsia="Arial" w:hAnsi="Arial"/>
                <w:sz w:val="15"/>
                <w:szCs w:val="15"/>
                <w:color w:val="auto"/>
                <w:w w:val="99"/>
              </w:rPr>
              <w:t>Each</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right w:val="single" w:sz="8" w:color="auto"/>
            </w:tcBorders>
          </w:tcPr>
          <w:p>
            <w:pPr>
              <w:spacing w:after="0"/>
              <w:rPr>
                <w:sz w:val="13"/>
                <w:szCs w:val="13"/>
                <w:color w:val="auto"/>
              </w:rPr>
            </w:pPr>
          </w:p>
        </w:tc>
        <w:tc>
          <w:tcPr>
            <w:tcW w:w="6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Sole Dispositive Power</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5"/>
                <w:szCs w:val="15"/>
                <w:color w:val="auto"/>
              </w:rPr>
              <w:t>Reporting</w:t>
            </w:r>
          </w:p>
        </w:tc>
        <w:tc>
          <w:tcPr>
            <w:tcW w:w="1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40" w:type="dxa"/>
            <w:vAlign w:val="bottom"/>
            <w:tcBorders>
              <w:right w:val="single" w:sz="8" w:color="auto"/>
            </w:tcBorders>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6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0</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8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right w:val="single" w:sz="8" w:color="auto"/>
            </w:tcBorders>
            <w:gridSpan w:val="2"/>
          </w:tcPr>
          <w:p>
            <w:pPr>
              <w:jc w:val="center"/>
              <w:ind w:right="123"/>
              <w:spacing w:after="0" w:line="119" w:lineRule="exact"/>
              <w:rPr>
                <w:sz w:val="20"/>
                <w:szCs w:val="20"/>
                <w:color w:val="auto"/>
              </w:rPr>
            </w:pPr>
            <w:r>
              <w:rPr>
                <w:rFonts w:ascii="Arial" w:cs="Arial" w:eastAsia="Arial" w:hAnsi="Arial"/>
                <w:sz w:val="13"/>
                <w:szCs w:val="13"/>
                <w:color w:val="auto"/>
              </w:rPr>
              <w:t>With:</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6640" w:type="dxa"/>
            <w:vAlign w:val="bottom"/>
            <w:tcBorders>
              <w:bottom w:val="single" w:sz="8" w:color="auto"/>
              <w:right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8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right w:val="single" w:sz="8" w:color="auto"/>
            </w:tcBorders>
          </w:tcPr>
          <w:p>
            <w:pPr>
              <w:spacing w:after="0"/>
              <w:rPr>
                <w:sz w:val="24"/>
                <w:szCs w:val="24"/>
                <w:color w:val="auto"/>
              </w:rPr>
            </w:pPr>
          </w:p>
        </w:tc>
        <w:tc>
          <w:tcPr>
            <w:tcW w:w="66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Shared Dispositive Power</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6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1,178,489 ordinary shares. See Item 4.</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86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right w:val="single" w:sz="8" w:color="auto"/>
            </w:tcBorders>
            <w:gridSpan w:val="2"/>
          </w:tcPr>
          <w:p>
            <w:pPr>
              <w:spacing w:after="0"/>
              <w:rPr>
                <w:sz w:val="10"/>
                <w:szCs w:val="10"/>
                <w:color w:val="auto"/>
              </w:rPr>
            </w:pPr>
          </w:p>
        </w:tc>
        <w:tc>
          <w:tcPr>
            <w:tcW w:w="6640" w:type="dxa"/>
            <w:vAlign w:val="bottom"/>
            <w:tcBorders>
              <w:bottom w:val="single" w:sz="8" w:color="auto"/>
              <w:right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860" w:type="dxa"/>
            <w:vAlign w:val="bottom"/>
            <w:tcBorders>
              <w:right w:val="single" w:sz="8" w:color="auto"/>
            </w:tcBorders>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9</w:t>
            </w:r>
          </w:p>
        </w:tc>
        <w:tc>
          <w:tcPr>
            <w:tcW w:w="4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Aggregate Amount Beneficially Owned by Each Reporting Person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4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1,178,489 ordinary shares. See Item 4.</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86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6640" w:type="dxa"/>
            <w:vAlign w:val="bottom"/>
            <w:tcBorders>
              <w:bottom w:val="single" w:sz="8" w:color="auto"/>
              <w:right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860" w:type="dxa"/>
            <w:vAlign w:val="bottom"/>
            <w:tcBorders>
              <w:right w:val="single" w:sz="8" w:color="auto"/>
            </w:tcBorders>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10</w:t>
            </w:r>
          </w:p>
        </w:tc>
        <w:tc>
          <w:tcPr>
            <w:tcW w:w="4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40"/>
              <w:spacing w:after="0" w:line="173" w:lineRule="exact"/>
              <w:rPr>
                <w:sz w:val="20"/>
                <w:szCs w:val="20"/>
                <w:color w:val="auto"/>
              </w:rPr>
            </w:pPr>
            <w:r>
              <w:rPr>
                <w:rFonts w:ascii="Arial" w:cs="Arial" w:eastAsia="Arial" w:hAnsi="Arial"/>
                <w:sz w:val="15"/>
                <w:szCs w:val="15"/>
                <w:color w:val="auto"/>
              </w:rPr>
              <w:t xml:space="preserve">Check if the Aggregate Amount in Row (9) Excludes Certain Shares </w:t>
            </w:r>
            <w:r>
              <w:rPr>
                <w:rFonts w:ascii="MS PGothic" w:cs="MS PGothic" w:eastAsia="MS PGothic" w:hAnsi="MS PGothic"/>
                <w:sz w:val="15"/>
                <w:szCs w:val="15"/>
                <w:color w:val="auto"/>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860" w:type="dxa"/>
            <w:vAlign w:val="bottom"/>
            <w:tcBorders>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6640" w:type="dxa"/>
            <w:vAlign w:val="bottom"/>
            <w:tcBorders>
              <w:bottom w:val="single" w:sz="8" w:color="auto"/>
              <w:right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860" w:type="dxa"/>
            <w:vAlign w:val="bottom"/>
            <w:tcBorders>
              <w:right w:val="single" w:sz="8" w:color="auto"/>
            </w:tcBorders>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11</w:t>
            </w:r>
          </w:p>
        </w:tc>
        <w:tc>
          <w:tcPr>
            <w:tcW w:w="4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Percent of Class Represented by Amount in Row (9)</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4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4.1%. See Item 4.</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86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6640" w:type="dxa"/>
            <w:vAlign w:val="bottom"/>
            <w:tcBorders>
              <w:bottom w:val="single" w:sz="8" w:color="auto"/>
              <w:right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860" w:type="dxa"/>
            <w:vAlign w:val="bottom"/>
            <w:tcBorders>
              <w:right w:val="single" w:sz="8" w:color="auto"/>
            </w:tcBorders>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5"/>
                <w:szCs w:val="15"/>
                <w:color w:val="auto"/>
              </w:rPr>
              <w:t>12</w:t>
            </w:r>
          </w:p>
        </w:tc>
        <w:tc>
          <w:tcPr>
            <w:tcW w:w="4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40"/>
              <w:spacing w:after="0"/>
              <w:rPr>
                <w:sz w:val="20"/>
                <w:szCs w:val="20"/>
                <w:color w:val="auto"/>
              </w:rPr>
            </w:pPr>
            <w:r>
              <w:rPr>
                <w:rFonts w:ascii="Arial" w:cs="Arial" w:eastAsia="Arial" w:hAnsi="Arial"/>
                <w:sz w:val="15"/>
                <w:szCs w:val="15"/>
                <w:color w:val="auto"/>
              </w:rPr>
              <w:t>Type of Reporting Person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540" w:type="dxa"/>
            <w:vAlign w:val="bottom"/>
          </w:tcPr>
          <w:p>
            <w:pPr>
              <w:ind w:left="40"/>
              <w:spacing w:after="0"/>
              <w:rPr>
                <w:sz w:val="20"/>
                <w:szCs w:val="20"/>
                <w:color w:val="auto"/>
              </w:rPr>
            </w:pPr>
            <w:r>
              <w:rPr>
                <w:rFonts w:ascii="Arial" w:cs="Arial" w:eastAsia="Arial" w:hAnsi="Arial"/>
                <w:sz w:val="15"/>
                <w:szCs w:val="15"/>
                <w:color w:val="auto"/>
              </w:rPr>
              <w:t>IN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40" w:type="dxa"/>
            <w:vAlign w:val="bottom"/>
            <w:tcBorders>
              <w:right w:val="single" w:sz="8" w:color="auto"/>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86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40" w:type="dxa"/>
            <w:vAlign w:val="bottom"/>
            <w:tcBorders>
              <w:bottom w:val="single" w:sz="8" w:color="auto"/>
              <w:right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4"/>
        </w:trPr>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40" w:type="dxa"/>
            <w:vAlign w:val="bottom"/>
            <w:gridSpan w:val="2"/>
          </w:tcPr>
          <w:p>
            <w:pPr>
              <w:jc w:val="right"/>
              <w:ind w:right="3763"/>
              <w:spacing w:after="0"/>
              <w:rPr>
                <w:sz w:val="20"/>
                <w:szCs w:val="20"/>
                <w:color w:val="auto"/>
              </w:rPr>
            </w:pPr>
            <w:r>
              <w:rPr>
                <w:rFonts w:ascii="Arial" w:cs="Arial" w:eastAsia="Arial" w:hAnsi="Arial"/>
                <w:sz w:val="15"/>
                <w:szCs w:val="15"/>
                <w:color w:val="auto"/>
              </w:rPr>
              <w:t>2</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6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3" w:right="219" w:bottom="1440" w:gutter="0" w:footer="0" w:header="0"/>
        </w:sectPr>
      </w:pPr>
    </w:p>
    <w:bookmarkStart w:id="2" w:name="page3"/>
    <w:bookmarkEnd w:id="2"/>
    <w:p>
      <w:pPr>
        <w:ind w:left="460" w:right="8460" w:hanging="403"/>
        <w:spacing w:after="0" w:line="43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328930</wp:posOffset>
            </wp:positionH>
            <wp:positionV relativeFrom="page">
              <wp:posOffset>243205</wp:posOffset>
            </wp:positionV>
            <wp:extent cx="6911975" cy="4665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1975" cy="4665345"/>
                    </a:xfrm>
                    <a:prstGeom prst="rect">
                      <a:avLst/>
                    </a:prstGeom>
                    <a:noFill/>
                  </pic:spPr>
                </pic:pic>
              </a:graphicData>
            </a:graphic>
          </wp:anchor>
        </w:drawing>
        <w:t>Names of Reporting Persons O &amp; K Investment Limited</w:t>
      </w:r>
    </w:p>
    <w:p>
      <w:pPr>
        <w:spacing w:after="0" w:line="151" w:lineRule="exact"/>
        <w:rPr>
          <w:sz w:val="20"/>
          <w:szCs w:val="20"/>
          <w:color w:val="auto"/>
        </w:rPr>
      </w:pPr>
    </w:p>
    <w:p>
      <w:pPr>
        <w:ind w:left="460" w:hanging="403"/>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ind w:left="460"/>
        <w:spacing w:after="0" w:line="173" w:lineRule="exact"/>
        <w:tabs>
          <w:tab w:leader="none" w:pos="1140" w:val="left"/>
        </w:tabs>
        <w:rPr>
          <w:sz w:val="20"/>
          <w:szCs w:val="20"/>
          <w:color w:val="auto"/>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(b) </w:t>
      </w:r>
      <w:r>
        <w:rPr>
          <w:rFonts w:ascii="MS PGothic" w:cs="MS PGothic" w:eastAsia="MS PGothic" w:hAnsi="MS PGothic"/>
          <w:sz w:val="15"/>
          <w:szCs w:val="15"/>
          <w:color w:val="auto"/>
        </w:rPr>
        <w:t>☐</w:t>
      </w:r>
    </w:p>
    <w:p>
      <w:pPr>
        <w:spacing w:after="0" w:line="304" w:lineRule="exact"/>
        <w:rPr>
          <w:sz w:val="20"/>
          <w:szCs w:val="20"/>
          <w:color w:val="auto"/>
        </w:rPr>
      </w:pPr>
    </w:p>
    <w:p>
      <w:pPr>
        <w:ind w:left="460" w:hanging="403"/>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87" w:lineRule="exact"/>
        <w:rPr>
          <w:sz w:val="20"/>
          <w:szCs w:val="20"/>
          <w:color w:val="auto"/>
        </w:rPr>
      </w:pPr>
    </w:p>
    <w:p>
      <w:pPr>
        <w:ind w:left="460" w:right="7980" w:hanging="403"/>
        <w:spacing w:after="0" w:line="242"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or Place of Organization Hong Kong S.A.R.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1180" w:type="dxa"/>
            <w:vAlign w:val="bottom"/>
            <w:tcBorders>
              <w:top w:val="single" w:sz="8" w:color="auto"/>
              <w:right w:val="single" w:sz="8" w:color="auto"/>
            </w:tcBorders>
          </w:tcPr>
          <w:p>
            <w:pPr>
              <w:spacing w:after="0"/>
              <w:rPr>
                <w:sz w:val="24"/>
                <w:szCs w:val="24"/>
                <w:color w:val="auto"/>
              </w:rPr>
            </w:pPr>
          </w:p>
        </w:tc>
        <w:tc>
          <w:tcPr>
            <w:tcW w:w="380" w:type="dxa"/>
            <w:vAlign w:val="bottom"/>
            <w:tcBorders>
              <w:top w:val="single" w:sz="8" w:color="auto"/>
              <w:right w:val="single" w:sz="8" w:color="auto"/>
            </w:tcBorders>
          </w:tcPr>
          <w:p>
            <w:pPr>
              <w:jc w:val="right"/>
              <w:ind w:right="183"/>
              <w:spacing w:after="0"/>
              <w:rPr>
                <w:sz w:val="20"/>
                <w:szCs w:val="20"/>
                <w:color w:val="auto"/>
              </w:rPr>
            </w:pPr>
            <w:r>
              <w:rPr>
                <w:rFonts w:ascii="Arial" w:cs="Arial" w:eastAsia="Arial" w:hAnsi="Arial"/>
                <w:sz w:val="15"/>
                <w:szCs w:val="15"/>
                <w:color w:val="auto"/>
              </w:rPr>
              <w:t>5</w:t>
            </w:r>
          </w:p>
        </w:tc>
        <w:tc>
          <w:tcPr>
            <w:tcW w:w="93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184"/>
        </w:trPr>
        <w:tc>
          <w:tcPr>
            <w:tcW w:w="11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320" w:type="dxa"/>
            <w:vAlign w:val="bottom"/>
          </w:tcPr>
          <w:p>
            <w:pPr>
              <w:ind w:left="4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16"/>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Number of</w:t>
            </w:r>
          </w:p>
        </w:tc>
        <w:tc>
          <w:tcPr>
            <w:tcW w:w="380" w:type="dxa"/>
            <w:vAlign w:val="bottom"/>
            <w:tcBorders>
              <w:bottom w:val="single" w:sz="8" w:color="auto"/>
              <w:right w:val="single" w:sz="8" w:color="auto"/>
            </w:tcBorders>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vMerge w:val="continue"/>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9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Shares</w:t>
            </w:r>
          </w:p>
        </w:tc>
        <w:tc>
          <w:tcPr>
            <w:tcW w:w="380" w:type="dxa"/>
            <w:vAlign w:val="bottom"/>
            <w:tcBorders>
              <w:right w:val="single" w:sz="8" w:color="auto"/>
            </w:tcBorders>
          </w:tcPr>
          <w:p>
            <w:pPr>
              <w:jc w:val="right"/>
              <w:ind w:right="183"/>
              <w:spacing w:after="0" w:line="162" w:lineRule="exact"/>
              <w:rPr>
                <w:sz w:val="20"/>
                <w:szCs w:val="20"/>
                <w:color w:val="auto"/>
              </w:rPr>
            </w:pPr>
            <w:r>
              <w:rPr>
                <w:rFonts w:ascii="Arial" w:cs="Arial" w:eastAsia="Arial" w:hAnsi="Arial"/>
                <w:sz w:val="15"/>
                <w:szCs w:val="15"/>
                <w:color w:val="auto"/>
              </w:rPr>
              <w:t>6</w:t>
            </w:r>
          </w:p>
        </w:tc>
        <w:tc>
          <w:tcPr>
            <w:tcW w:w="9320" w:type="dxa"/>
            <w:vAlign w:val="bottom"/>
          </w:tcPr>
          <w:p>
            <w:pPr>
              <w:ind w:left="40"/>
              <w:spacing w:after="0" w:line="162" w:lineRule="exact"/>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162"/>
        </w:trPr>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Beneficially</w:t>
            </w:r>
          </w:p>
        </w:tc>
        <w:tc>
          <w:tcPr>
            <w:tcW w:w="380" w:type="dxa"/>
            <w:vAlign w:val="bottom"/>
            <w:tcBorders>
              <w:right w:val="single" w:sz="8" w:color="auto"/>
            </w:tcBorders>
          </w:tcPr>
          <w:p>
            <w:pPr>
              <w:spacing w:after="0"/>
              <w:rPr>
                <w:sz w:val="14"/>
                <w:szCs w:val="14"/>
                <w:color w:val="auto"/>
              </w:rPr>
            </w:pPr>
          </w:p>
        </w:tc>
        <w:tc>
          <w:tcPr>
            <w:tcW w:w="9320" w:type="dxa"/>
            <w:vAlign w:val="bottom"/>
          </w:tcPr>
          <w:p>
            <w:pPr>
              <w:ind w:left="40"/>
              <w:spacing w:after="0" w:line="162" w:lineRule="exact"/>
              <w:rPr>
                <w:sz w:val="20"/>
                <w:szCs w:val="20"/>
                <w:color w:val="auto"/>
              </w:rPr>
            </w:pPr>
            <w:r>
              <w:rPr>
                <w:rFonts w:ascii="Arial" w:cs="Arial" w:eastAsia="Arial" w:hAnsi="Arial"/>
                <w:sz w:val="15"/>
                <w:szCs w:val="15"/>
                <w:color w:val="auto"/>
              </w:rPr>
              <w:t>1,178,489 ordinary shares. See Item 4.</w:t>
            </w:r>
          </w:p>
        </w:tc>
        <w:tc>
          <w:tcPr>
            <w:tcW w:w="0" w:type="dxa"/>
            <w:vAlign w:val="bottom"/>
          </w:tcPr>
          <w:p>
            <w:pPr>
              <w:spacing w:after="0"/>
              <w:rPr>
                <w:sz w:val="1"/>
                <w:szCs w:val="1"/>
                <w:color w:val="auto"/>
              </w:rPr>
            </w:pPr>
          </w:p>
        </w:tc>
      </w:tr>
      <w:tr>
        <w:trPr>
          <w:trHeight w:val="152"/>
        </w:trPr>
        <w:tc>
          <w:tcPr>
            <w:tcW w:w="118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rPr>
              <w:t>Owned by</w:t>
            </w:r>
          </w:p>
        </w:tc>
        <w:tc>
          <w:tcPr>
            <w:tcW w:w="380" w:type="dxa"/>
            <w:vAlign w:val="bottom"/>
            <w:tcBorders>
              <w:bottom w:val="single" w:sz="8" w:color="auto"/>
              <w:right w:val="single" w:sz="8" w:color="auto"/>
            </w:tcBorders>
          </w:tcPr>
          <w:p>
            <w:pPr>
              <w:spacing w:after="0"/>
              <w:rPr>
                <w:sz w:val="13"/>
                <w:szCs w:val="13"/>
                <w:color w:val="auto"/>
              </w:rPr>
            </w:pPr>
          </w:p>
        </w:tc>
        <w:tc>
          <w:tcPr>
            <w:tcW w:w="9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color w:val="auto"/>
                <w:w w:val="99"/>
              </w:rPr>
              <w:t>Each</w:t>
            </w:r>
          </w:p>
        </w:tc>
        <w:tc>
          <w:tcPr>
            <w:tcW w:w="380" w:type="dxa"/>
            <w:vAlign w:val="bottom"/>
            <w:tcBorders>
              <w:right w:val="single" w:sz="8" w:color="auto"/>
            </w:tcBorders>
            <w:vMerge w:val="restart"/>
          </w:tcPr>
          <w:p>
            <w:pPr>
              <w:jc w:val="right"/>
              <w:ind w:right="183"/>
              <w:spacing w:after="0"/>
              <w:rPr>
                <w:sz w:val="20"/>
                <w:szCs w:val="20"/>
                <w:color w:val="auto"/>
              </w:rPr>
            </w:pPr>
            <w:r>
              <w:rPr>
                <w:rFonts w:ascii="Arial" w:cs="Arial" w:eastAsia="Arial" w:hAnsi="Arial"/>
                <w:sz w:val="15"/>
                <w:szCs w:val="15"/>
                <w:color w:val="auto"/>
              </w:rPr>
              <w:t>7</w:t>
            </w:r>
          </w:p>
        </w:tc>
        <w:tc>
          <w:tcPr>
            <w:tcW w:w="9320" w:type="dxa"/>
            <w:vAlign w:val="bottom"/>
            <w:vMerge w:val="restart"/>
          </w:tcPr>
          <w:p>
            <w:pPr>
              <w:ind w:left="40"/>
              <w:spacing w:after="0"/>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49"/>
        </w:trPr>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color w:val="auto"/>
              </w:rPr>
              <w:t>Reporting</w:t>
            </w:r>
          </w:p>
        </w:tc>
        <w:tc>
          <w:tcPr>
            <w:tcW w:w="380" w:type="dxa"/>
            <w:vAlign w:val="bottom"/>
            <w:tcBorders>
              <w:right w:val="single" w:sz="8" w:color="auto"/>
            </w:tcBorders>
            <w:vMerge w:val="continue"/>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Person</w:t>
            </w:r>
          </w:p>
        </w:tc>
        <w:tc>
          <w:tcPr>
            <w:tcW w:w="380" w:type="dxa"/>
            <w:vAlign w:val="bottom"/>
            <w:tcBorders>
              <w:right w:val="single" w:sz="8" w:color="auto"/>
            </w:tcBorders>
          </w:tcPr>
          <w:p>
            <w:pPr>
              <w:spacing w:after="0"/>
              <w:rPr>
                <w:sz w:val="15"/>
                <w:szCs w:val="15"/>
                <w:color w:val="auto"/>
              </w:rPr>
            </w:pPr>
          </w:p>
        </w:tc>
        <w:tc>
          <w:tcPr>
            <w:tcW w:w="9320" w:type="dxa"/>
            <w:vAlign w:val="bottom"/>
          </w:tcPr>
          <w:p>
            <w:pPr>
              <w:ind w:left="4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color w:val="auto"/>
              </w:rPr>
              <w:t>With:</w:t>
            </w:r>
          </w:p>
        </w:tc>
        <w:tc>
          <w:tcPr>
            <w:tcW w:w="380" w:type="dxa"/>
            <w:vAlign w:val="bottom"/>
            <w:tcBorders>
              <w:bottom w:val="single" w:sz="8" w:color="auto"/>
              <w:right w:val="single" w:sz="8" w:color="auto"/>
            </w:tcBorders>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180" w:type="dxa"/>
            <w:vAlign w:val="bottom"/>
            <w:tcBorders>
              <w:right w:val="single" w:sz="8" w:color="auto"/>
            </w:tcBorders>
          </w:tcPr>
          <w:p>
            <w:pPr>
              <w:spacing w:after="0"/>
              <w:rPr>
                <w:sz w:val="24"/>
                <w:szCs w:val="24"/>
                <w:color w:val="auto"/>
              </w:rPr>
            </w:pPr>
          </w:p>
        </w:tc>
        <w:tc>
          <w:tcPr>
            <w:tcW w:w="380" w:type="dxa"/>
            <w:vAlign w:val="bottom"/>
            <w:tcBorders>
              <w:right w:val="single" w:sz="8" w:color="auto"/>
            </w:tcBorders>
          </w:tcPr>
          <w:p>
            <w:pPr>
              <w:jc w:val="right"/>
              <w:ind w:right="183"/>
              <w:spacing w:after="0"/>
              <w:rPr>
                <w:sz w:val="20"/>
                <w:szCs w:val="20"/>
                <w:color w:val="auto"/>
              </w:rPr>
            </w:pPr>
            <w:r>
              <w:rPr>
                <w:rFonts w:ascii="Arial" w:cs="Arial" w:eastAsia="Arial" w:hAnsi="Arial"/>
                <w:sz w:val="15"/>
                <w:szCs w:val="15"/>
                <w:color w:val="auto"/>
              </w:rPr>
              <w:t>8</w:t>
            </w:r>
          </w:p>
        </w:tc>
        <w:tc>
          <w:tcPr>
            <w:tcW w:w="9320" w:type="dxa"/>
            <w:vAlign w:val="bottom"/>
          </w:tcPr>
          <w:p>
            <w:pPr>
              <w:ind w:left="4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r>
        <w:trPr>
          <w:trHeight w:val="184"/>
        </w:trPr>
        <w:tc>
          <w:tcPr>
            <w:tcW w:w="11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9320" w:type="dxa"/>
            <w:vAlign w:val="bottom"/>
          </w:tcPr>
          <w:p>
            <w:pPr>
              <w:ind w:left="40"/>
              <w:spacing w:after="0"/>
              <w:rPr>
                <w:sz w:val="20"/>
                <w:szCs w:val="20"/>
                <w:color w:val="auto"/>
              </w:rPr>
            </w:pPr>
            <w:r>
              <w:rPr>
                <w:rFonts w:ascii="Arial" w:cs="Arial" w:eastAsia="Arial" w:hAnsi="Arial"/>
                <w:sz w:val="15"/>
                <w:szCs w:val="15"/>
                <w:color w:val="auto"/>
              </w:rPr>
              <w:t>1,178,489 ordinary shares. See Item 4.</w:t>
            </w:r>
          </w:p>
        </w:tc>
        <w:tc>
          <w:tcPr>
            <w:tcW w:w="0" w:type="dxa"/>
            <w:vAlign w:val="bottom"/>
          </w:tcPr>
          <w:p>
            <w:pPr>
              <w:spacing w:after="0"/>
              <w:rPr>
                <w:sz w:val="1"/>
                <w:szCs w:val="1"/>
                <w:color w:val="auto"/>
              </w:rPr>
            </w:pPr>
          </w:p>
        </w:tc>
      </w:tr>
      <w:tr>
        <w:trPr>
          <w:trHeight w:val="116"/>
        </w:trPr>
        <w:tc>
          <w:tcPr>
            <w:tcW w:w="118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9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460" w:right="5980" w:hanging="403"/>
        <w:spacing w:after="0" w:line="242"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1,178,489 ordinary shares. See Item 4.</w:t>
      </w:r>
    </w:p>
    <w:p>
      <w:pPr>
        <w:spacing w:after="0" w:line="247" w:lineRule="exact"/>
        <w:rPr>
          <w:sz w:val="20"/>
          <w:szCs w:val="20"/>
          <w:color w:val="auto"/>
        </w:rPr>
      </w:pPr>
    </w:p>
    <w:p>
      <w:pPr>
        <w:ind w:left="460" w:hanging="403"/>
        <w:spacing w:after="0" w:line="173" w:lineRule="exact"/>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Check if the Aggregate Amount in Row (9) Excludes Certain Shares </w:t>
      </w:r>
      <w:r>
        <w:rPr>
          <w:rFonts w:ascii="MS PGothic" w:cs="MS PGothic" w:eastAsia="MS PGothic" w:hAnsi="MS PGothic"/>
          <w:sz w:val="15"/>
          <w:szCs w:val="15"/>
          <w:color w:val="auto"/>
        </w:rPr>
        <w:t>☐</w:t>
      </w:r>
    </w:p>
    <w:p>
      <w:pPr>
        <w:spacing w:after="0" w:line="339" w:lineRule="exact"/>
        <w:rPr>
          <w:rFonts w:ascii="Arial" w:cs="Arial" w:eastAsia="Arial" w:hAnsi="Arial"/>
          <w:sz w:val="15"/>
          <w:szCs w:val="15"/>
          <w:color w:val="auto"/>
        </w:rPr>
      </w:pPr>
    </w:p>
    <w:p>
      <w:pPr>
        <w:ind w:left="460" w:right="6860" w:hanging="403"/>
        <w:spacing w:after="0" w:line="242"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Percent of Class Represented by Amount in Row (9) 4.1%. See Item 4.</w:t>
      </w:r>
    </w:p>
    <w:p>
      <w:pPr>
        <w:spacing w:after="0" w:line="262" w:lineRule="exact"/>
        <w:rPr>
          <w:rFonts w:ascii="Arial" w:cs="Arial" w:eastAsia="Arial" w:hAnsi="Arial"/>
          <w:sz w:val="15"/>
          <w:szCs w:val="15"/>
          <w:color w:val="auto"/>
        </w:rPr>
      </w:pPr>
    </w:p>
    <w:p>
      <w:pPr>
        <w:ind w:left="460" w:hanging="403"/>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Type of Reporting Person</w:t>
      </w:r>
    </w:p>
    <w:p>
      <w:pPr>
        <w:ind w:left="460"/>
        <w:spacing w:after="0"/>
        <w:rPr>
          <w:rFonts w:ascii="Arial" w:cs="Arial" w:eastAsia="Arial" w:hAnsi="Arial"/>
          <w:sz w:val="15"/>
          <w:szCs w:val="15"/>
          <w:color w:val="auto"/>
        </w:rPr>
      </w:pPr>
      <w:r>
        <w:rPr>
          <w:rFonts w:ascii="Arial" w:cs="Arial" w:eastAsia="Arial" w:hAnsi="Arial"/>
          <w:sz w:val="15"/>
          <w:szCs w:val="15"/>
          <w:color w:val="auto"/>
        </w:rPr>
        <w:t>CO</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51435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520" w:top="541" w:right="49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color w:val="auto"/>
        </w:rPr>
        <w:t xml:space="preserve">Item 1(a). </w:t>
      </w:r>
      <w:r>
        <w:rPr>
          <w:rFonts w:ascii="Arial" w:cs="Arial" w:eastAsia="Arial" w:hAnsi="Arial"/>
          <w:sz w:val="15"/>
          <w:szCs w:val="15"/>
          <w:b w:val="1"/>
          <w:bCs w:val="1"/>
          <w:u w:val="single" w:color="auto"/>
          <w:color w:val="auto"/>
        </w:rPr>
        <w:t>Name of Issuer: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iClick Interactive Asia Group Limited (the “Issuer”)</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1(b). </w:t>
      </w:r>
      <w:r>
        <w:rPr>
          <w:rFonts w:ascii="Arial" w:cs="Arial" w:eastAsia="Arial" w:hAnsi="Arial"/>
          <w:sz w:val="15"/>
          <w:szCs w:val="15"/>
          <w:b w:val="1"/>
          <w:bCs w:val="1"/>
          <w:u w:val="single" w:color="auto"/>
          <w:color w:val="auto"/>
        </w:rPr>
        <w:t>Address of Issuer’s Principal Executive Offices: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15/F, Prosperity Millennia Plaza</w:t>
      </w:r>
    </w:p>
    <w:p>
      <w:pPr>
        <w:ind w:left="760"/>
        <w:spacing w:after="0" w:line="225" w:lineRule="auto"/>
        <w:rPr>
          <w:sz w:val="20"/>
          <w:szCs w:val="20"/>
          <w:color w:val="auto"/>
        </w:rPr>
      </w:pPr>
      <w:r>
        <w:rPr>
          <w:rFonts w:ascii="Arial" w:cs="Arial" w:eastAsia="Arial" w:hAnsi="Arial"/>
          <w:sz w:val="15"/>
          <w:szCs w:val="15"/>
          <w:color w:val="auto"/>
        </w:rPr>
        <w:t>663 King’s Road, Quarry Bay</w:t>
      </w:r>
    </w:p>
    <w:p>
      <w:pPr>
        <w:ind w:left="760"/>
        <w:spacing w:after="0"/>
        <w:rPr>
          <w:sz w:val="20"/>
          <w:szCs w:val="20"/>
          <w:color w:val="auto"/>
        </w:rPr>
      </w:pPr>
      <w:r>
        <w:rPr>
          <w:rFonts w:ascii="Arial" w:cs="Arial" w:eastAsia="Arial" w:hAnsi="Arial"/>
          <w:sz w:val="15"/>
          <w:szCs w:val="15"/>
          <w:color w:val="auto"/>
        </w:rPr>
        <w:t>Hong Kong S.A.R.</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2(a). </w:t>
      </w:r>
      <w:r>
        <w:rPr>
          <w:rFonts w:ascii="Arial" w:cs="Arial" w:eastAsia="Arial" w:hAnsi="Arial"/>
          <w:sz w:val="15"/>
          <w:szCs w:val="15"/>
          <w:b w:val="1"/>
          <w:bCs w:val="1"/>
          <w:u w:val="single" w:color="auto"/>
          <w:color w:val="auto"/>
        </w:rPr>
        <w:t>Name of Person Filing:</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Sunee Chiraseivinupraphand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 &amp; K Investment Limited</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2(b). </w:t>
      </w:r>
      <w:r>
        <w:rPr>
          <w:rFonts w:ascii="Arial" w:cs="Arial" w:eastAsia="Arial" w:hAnsi="Arial"/>
          <w:sz w:val="15"/>
          <w:szCs w:val="15"/>
          <w:b w:val="1"/>
          <w:bCs w:val="1"/>
          <w:u w:val="single" w:color="auto"/>
          <w:color w:val="auto"/>
        </w:rPr>
        <w:t>Address of Principal Business Office, or, if none, Residence:</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Sunee Chiraseivinupraphand</w:t>
      </w:r>
    </w:p>
    <w:p>
      <w:pPr>
        <w:ind w:left="760"/>
        <w:spacing w:after="0" w:line="225" w:lineRule="auto"/>
        <w:rPr>
          <w:sz w:val="20"/>
          <w:szCs w:val="20"/>
          <w:color w:val="auto"/>
        </w:rPr>
      </w:pPr>
      <w:r>
        <w:rPr>
          <w:rFonts w:ascii="Arial" w:cs="Arial" w:eastAsia="Arial" w:hAnsi="Arial"/>
          <w:sz w:val="15"/>
          <w:szCs w:val="15"/>
          <w:color w:val="auto"/>
        </w:rPr>
        <w:t>Flat 23, 16th Floor, Block A</w:t>
      </w:r>
    </w:p>
    <w:p>
      <w:pPr>
        <w:ind w:left="760"/>
        <w:spacing w:after="0" w:line="226" w:lineRule="auto"/>
        <w:rPr>
          <w:sz w:val="20"/>
          <w:szCs w:val="20"/>
          <w:color w:val="auto"/>
        </w:rPr>
      </w:pPr>
      <w:r>
        <w:rPr>
          <w:rFonts w:ascii="Arial" w:cs="Arial" w:eastAsia="Arial" w:hAnsi="Arial"/>
          <w:sz w:val="15"/>
          <w:szCs w:val="15"/>
          <w:color w:val="auto"/>
        </w:rPr>
        <w:t>Fontana Gardens</w:t>
      </w:r>
    </w:p>
    <w:p>
      <w:pPr>
        <w:ind w:left="760"/>
        <w:spacing w:after="0" w:line="225" w:lineRule="auto"/>
        <w:rPr>
          <w:sz w:val="20"/>
          <w:szCs w:val="20"/>
          <w:color w:val="auto"/>
        </w:rPr>
      </w:pPr>
      <w:r>
        <w:rPr>
          <w:rFonts w:ascii="Arial" w:cs="Arial" w:eastAsia="Arial" w:hAnsi="Arial"/>
          <w:sz w:val="15"/>
          <w:szCs w:val="15"/>
          <w:color w:val="auto"/>
        </w:rPr>
        <w:t>Ka Ning Path</w:t>
      </w:r>
    </w:p>
    <w:p>
      <w:pPr>
        <w:ind w:left="760"/>
        <w:spacing w:after="0" w:line="226" w:lineRule="auto"/>
        <w:rPr>
          <w:sz w:val="20"/>
          <w:szCs w:val="20"/>
          <w:color w:val="auto"/>
        </w:rPr>
      </w:pPr>
      <w:r>
        <w:rPr>
          <w:rFonts w:ascii="Arial" w:cs="Arial" w:eastAsia="Arial" w:hAnsi="Arial"/>
          <w:sz w:val="15"/>
          <w:szCs w:val="15"/>
          <w:color w:val="auto"/>
        </w:rPr>
        <w:t>Causeway Bay</w:t>
      </w:r>
    </w:p>
    <w:p>
      <w:pPr>
        <w:ind w:left="760"/>
        <w:spacing w:after="0"/>
        <w:rPr>
          <w:sz w:val="20"/>
          <w:szCs w:val="20"/>
          <w:color w:val="auto"/>
        </w:rPr>
      </w:pPr>
      <w:r>
        <w:rPr>
          <w:rFonts w:ascii="Arial" w:cs="Arial" w:eastAsia="Arial" w:hAnsi="Arial"/>
          <w:sz w:val="15"/>
          <w:szCs w:val="15"/>
          <w:color w:val="auto"/>
        </w:rPr>
        <w:t>Hong Kong</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 &amp; K Investment Limited</w:t>
      </w:r>
    </w:p>
    <w:p>
      <w:pPr>
        <w:ind w:left="760"/>
        <w:spacing w:after="0" w:line="225" w:lineRule="auto"/>
        <w:rPr>
          <w:sz w:val="20"/>
          <w:szCs w:val="20"/>
          <w:color w:val="auto"/>
        </w:rPr>
      </w:pPr>
      <w:r>
        <w:rPr>
          <w:rFonts w:ascii="Arial" w:cs="Arial" w:eastAsia="Arial" w:hAnsi="Arial"/>
          <w:sz w:val="15"/>
          <w:szCs w:val="15"/>
          <w:color w:val="auto"/>
        </w:rPr>
        <w:t>Flat 23, 16th Floor, Block A</w:t>
      </w:r>
    </w:p>
    <w:p>
      <w:pPr>
        <w:ind w:left="760"/>
        <w:spacing w:after="0" w:line="226" w:lineRule="auto"/>
        <w:rPr>
          <w:sz w:val="20"/>
          <w:szCs w:val="20"/>
          <w:color w:val="auto"/>
        </w:rPr>
      </w:pPr>
      <w:r>
        <w:rPr>
          <w:rFonts w:ascii="Arial" w:cs="Arial" w:eastAsia="Arial" w:hAnsi="Arial"/>
          <w:sz w:val="15"/>
          <w:szCs w:val="15"/>
          <w:color w:val="auto"/>
        </w:rPr>
        <w:t>Fontana Gardens</w:t>
      </w:r>
    </w:p>
    <w:p>
      <w:pPr>
        <w:ind w:left="760"/>
        <w:spacing w:after="0" w:line="225" w:lineRule="auto"/>
        <w:rPr>
          <w:sz w:val="20"/>
          <w:szCs w:val="20"/>
          <w:color w:val="auto"/>
        </w:rPr>
      </w:pPr>
      <w:r>
        <w:rPr>
          <w:rFonts w:ascii="Arial" w:cs="Arial" w:eastAsia="Arial" w:hAnsi="Arial"/>
          <w:sz w:val="15"/>
          <w:szCs w:val="15"/>
          <w:color w:val="auto"/>
        </w:rPr>
        <w:t>Ka Ning Path</w:t>
      </w:r>
    </w:p>
    <w:p>
      <w:pPr>
        <w:ind w:left="760"/>
        <w:spacing w:after="0" w:line="226" w:lineRule="auto"/>
        <w:rPr>
          <w:sz w:val="20"/>
          <w:szCs w:val="20"/>
          <w:color w:val="auto"/>
        </w:rPr>
      </w:pPr>
      <w:r>
        <w:rPr>
          <w:rFonts w:ascii="Arial" w:cs="Arial" w:eastAsia="Arial" w:hAnsi="Arial"/>
          <w:sz w:val="15"/>
          <w:szCs w:val="15"/>
          <w:color w:val="auto"/>
        </w:rPr>
        <w:t>Causeway Bay</w:t>
      </w:r>
    </w:p>
    <w:p>
      <w:pPr>
        <w:ind w:left="760"/>
        <w:spacing w:after="0"/>
        <w:rPr>
          <w:sz w:val="20"/>
          <w:szCs w:val="20"/>
          <w:color w:val="auto"/>
        </w:rPr>
      </w:pPr>
      <w:r>
        <w:rPr>
          <w:rFonts w:ascii="Arial" w:cs="Arial" w:eastAsia="Arial" w:hAnsi="Arial"/>
          <w:sz w:val="15"/>
          <w:szCs w:val="15"/>
          <w:color w:val="auto"/>
        </w:rPr>
        <w:t>Hong Kong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2(c). </w:t>
      </w:r>
      <w:r>
        <w:rPr>
          <w:rFonts w:ascii="Arial" w:cs="Arial" w:eastAsia="Arial" w:hAnsi="Arial"/>
          <w:sz w:val="15"/>
          <w:szCs w:val="15"/>
          <w:b w:val="1"/>
          <w:bCs w:val="1"/>
          <w:u w:val="single" w:color="auto"/>
          <w:color w:val="auto"/>
        </w:rPr>
        <w:t>Citizenship:</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Sunee Chiraseivinupraphand — Thailand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 &amp; K Investment Limited — Hong Kong S.A.R.</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2(d). </w:t>
      </w:r>
      <w:r>
        <w:rPr>
          <w:rFonts w:ascii="Arial" w:cs="Arial" w:eastAsia="Arial" w:hAnsi="Arial"/>
          <w:sz w:val="15"/>
          <w:szCs w:val="15"/>
          <w:b w:val="1"/>
          <w:bCs w:val="1"/>
          <w:u w:val="single" w:color="auto"/>
          <w:color w:val="auto"/>
        </w:rPr>
        <w:t>Title of Class of Securities: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Class A ordinary shares, par value of $0.001 per share (the “Class A Ordinary Shares”)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2(e). </w:t>
      </w:r>
      <w:r>
        <w:rPr>
          <w:rFonts w:ascii="Arial" w:cs="Arial" w:eastAsia="Arial" w:hAnsi="Arial"/>
          <w:sz w:val="15"/>
          <w:szCs w:val="15"/>
          <w:u w:val="single" w:color="auto"/>
          <w:color w:val="auto"/>
        </w:rPr>
        <w:t>CUSIP No.:</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G47048 106</w:t>
      </w:r>
    </w:p>
    <w:p>
      <w:pPr>
        <w:spacing w:after="0" w:line="134"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5"/>
          <w:szCs w:val="15"/>
          <w:b w:val="1"/>
          <w:bCs w:val="1"/>
          <w:u w:val="single" w:color="auto"/>
          <w:color w:val="auto"/>
        </w:rPr>
        <w:t>If this statement is filed pursuant to §§ 240.13d-1(b), or 240.13d -2(b) or (c), check whether the persons filing is a:</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4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4" w:name="page5"/>
    <w:bookmarkEnd w:id="4"/>
    <w:p>
      <w:pPr>
        <w:spacing w:after="0"/>
        <w:tabs>
          <w:tab w:leader="none" w:pos="700" w:val="left"/>
        </w:tabs>
        <w:rPr>
          <w:sz w:val="20"/>
          <w:szCs w:val="20"/>
          <w:color w:val="auto"/>
        </w:rPr>
      </w:pPr>
      <w:r>
        <w:rPr>
          <w:rFonts w:ascii="Arial" w:cs="Arial" w:eastAsia="Arial" w:hAnsi="Arial"/>
          <w:sz w:val="15"/>
          <w:szCs w:val="15"/>
          <w:b w:val="1"/>
          <w:bCs w:val="1"/>
          <w:color w:val="auto"/>
        </w:rPr>
        <w:t>Item 4.</w:t>
        <w:tab/>
        <w:t>Ownership</w:t>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following information with respect to the ownership of the Class A Ordinary Shares by each of the reporting persons is provided as of December 31,</w:t>
      </w:r>
    </w:p>
    <w:p>
      <w:pPr>
        <w:spacing w:after="0"/>
        <w:rPr>
          <w:sz w:val="20"/>
          <w:szCs w:val="20"/>
          <w:color w:val="auto"/>
        </w:rPr>
      </w:pPr>
      <w:r>
        <w:rPr>
          <w:rFonts w:ascii="Arial" w:cs="Arial" w:eastAsia="Arial" w:hAnsi="Arial"/>
          <w:sz w:val="15"/>
          <w:szCs w:val="15"/>
          <w:color w:val="auto"/>
        </w:rPr>
        <w:t>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Sole Power to</w:t>
            </w:r>
          </w:p>
        </w:tc>
        <w:tc>
          <w:tcPr>
            <w:tcW w:w="1460" w:type="dxa"/>
            <w:vAlign w:val="bottom"/>
            <w:gridSpan w:val="2"/>
          </w:tcPr>
          <w:p>
            <w:pPr>
              <w:jc w:val="center"/>
              <w:ind w:right="340"/>
              <w:spacing w:after="0"/>
              <w:rPr>
                <w:sz w:val="20"/>
                <w:szCs w:val="20"/>
                <w:color w:val="auto"/>
              </w:rPr>
            </w:pPr>
            <w:r>
              <w:rPr>
                <w:rFonts w:ascii="Arial" w:cs="Arial" w:eastAsia="Arial" w:hAnsi="Arial"/>
                <w:sz w:val="13"/>
                <w:szCs w:val="13"/>
                <w:color w:val="auto"/>
                <w:w w:val="97"/>
              </w:rPr>
              <w:t>Shared Power</w:t>
            </w:r>
          </w:p>
        </w:tc>
      </w:tr>
      <w:tr>
        <w:trPr>
          <w:trHeight w:val="135"/>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3"/>
              </w:rPr>
              <w:t>Amount</w:t>
            </w: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6"/>
              </w:rPr>
              <w:t>Sole Power to</w:t>
            </w:r>
          </w:p>
        </w:tc>
        <w:tc>
          <w:tcPr>
            <w:tcW w:w="1160" w:type="dxa"/>
            <w:vAlign w:val="bottom"/>
          </w:tcPr>
          <w:p>
            <w:pPr>
              <w:jc w:val="center"/>
              <w:spacing w:after="0" w:line="135" w:lineRule="exact"/>
              <w:rPr>
                <w:sz w:val="20"/>
                <w:szCs w:val="20"/>
                <w:color w:val="auto"/>
              </w:rPr>
            </w:pPr>
            <w:r>
              <w:rPr>
                <w:rFonts w:ascii="Arial" w:cs="Arial" w:eastAsia="Arial" w:hAnsi="Arial"/>
                <w:sz w:val="13"/>
                <w:szCs w:val="13"/>
                <w:color w:val="auto"/>
                <w:w w:val="97"/>
              </w:rPr>
              <w:t>Shared Power</w:t>
            </w:r>
          </w:p>
        </w:tc>
        <w:tc>
          <w:tcPr>
            <w:tcW w:w="380" w:type="dxa"/>
            <w:vAlign w:val="bottom"/>
          </w:tcPr>
          <w:p>
            <w:pPr>
              <w:spacing w:after="0"/>
              <w:rPr>
                <w:sz w:val="11"/>
                <w:szCs w:val="11"/>
                <w:color w:val="auto"/>
              </w:rPr>
            </w:pPr>
          </w:p>
        </w:tc>
        <w:tc>
          <w:tcPr>
            <w:tcW w:w="16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6"/>
              </w:rPr>
              <w:t>Dispose or to</w:t>
            </w:r>
          </w:p>
        </w:tc>
        <w:tc>
          <w:tcPr>
            <w:tcW w:w="146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96"/>
              </w:rPr>
              <w:t>to Dispose or</w:t>
            </w:r>
          </w:p>
        </w:tc>
      </w:tr>
      <w:tr>
        <w:trPr>
          <w:trHeight w:val="135"/>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7"/>
              </w:rPr>
              <w:t>Beneficially</w:t>
            </w:r>
          </w:p>
        </w:tc>
        <w:tc>
          <w:tcPr>
            <w:tcW w:w="400" w:type="dxa"/>
            <w:vAlign w:val="bottom"/>
          </w:tcPr>
          <w:p>
            <w:pPr>
              <w:spacing w:after="0"/>
              <w:rPr>
                <w:sz w:val="11"/>
                <w:szCs w:val="11"/>
                <w:color w:val="auto"/>
              </w:rPr>
            </w:pPr>
          </w:p>
        </w:tc>
        <w:tc>
          <w:tcPr>
            <w:tcW w:w="11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Percent of</w:t>
            </w:r>
          </w:p>
        </w:tc>
        <w:tc>
          <w:tcPr>
            <w:tcW w:w="15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5"/>
              </w:rPr>
              <w:t>Vote or Direct</w:t>
            </w:r>
          </w:p>
        </w:tc>
        <w:tc>
          <w:tcPr>
            <w:tcW w:w="1160" w:type="dxa"/>
            <w:vAlign w:val="bottom"/>
          </w:tcPr>
          <w:p>
            <w:pPr>
              <w:jc w:val="center"/>
              <w:spacing w:after="0" w:line="135" w:lineRule="exact"/>
              <w:rPr>
                <w:sz w:val="20"/>
                <w:szCs w:val="20"/>
                <w:color w:val="auto"/>
              </w:rPr>
            </w:pPr>
            <w:r>
              <w:rPr>
                <w:rFonts w:ascii="Arial" w:cs="Arial" w:eastAsia="Arial" w:hAnsi="Arial"/>
                <w:sz w:val="13"/>
                <w:szCs w:val="13"/>
                <w:color w:val="auto"/>
                <w:w w:val="95"/>
              </w:rPr>
              <w:t>to Vote or to</w:t>
            </w:r>
          </w:p>
        </w:tc>
        <w:tc>
          <w:tcPr>
            <w:tcW w:w="380" w:type="dxa"/>
            <w:vAlign w:val="bottom"/>
          </w:tcPr>
          <w:p>
            <w:pPr>
              <w:spacing w:after="0"/>
              <w:rPr>
                <w:sz w:val="11"/>
                <w:szCs w:val="11"/>
                <w:color w:val="auto"/>
              </w:rPr>
            </w:pPr>
          </w:p>
        </w:tc>
        <w:tc>
          <w:tcPr>
            <w:tcW w:w="16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6"/>
              </w:rPr>
              <w:t>Direct the</w:t>
            </w: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96"/>
              </w:rPr>
              <w:t>to Direct the</w:t>
            </w:r>
          </w:p>
        </w:tc>
      </w:tr>
      <w:tr>
        <w:trPr>
          <w:trHeight w:val="141"/>
        </w:trPr>
        <w:tc>
          <w:tcPr>
            <w:tcW w:w="238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Reporting Person:</w:t>
            </w:r>
          </w:p>
        </w:tc>
        <w:tc>
          <w:tcPr>
            <w:tcW w:w="20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3"/>
              </w:rPr>
              <w:t>Owned:</w:t>
            </w:r>
          </w:p>
        </w:tc>
        <w:tc>
          <w:tcPr>
            <w:tcW w:w="40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6"/>
              </w:rPr>
              <w:t>Class:(1)</w:t>
            </w:r>
          </w:p>
        </w:tc>
        <w:tc>
          <w:tcPr>
            <w:tcW w:w="220" w:type="dxa"/>
            <w:vAlign w:val="bottom"/>
            <w:tcBorders>
              <w:bottom w:val="single" w:sz="8" w:color="CFF0FC"/>
            </w:tcBorders>
          </w:tcPr>
          <w:p>
            <w:pPr>
              <w:spacing w:after="0"/>
              <w:rPr>
                <w:sz w:val="12"/>
                <w:szCs w:val="12"/>
                <w:color w:val="auto"/>
              </w:rPr>
            </w:pPr>
          </w:p>
        </w:tc>
        <w:tc>
          <w:tcPr>
            <w:tcW w:w="13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the Vote:</w:t>
            </w:r>
          </w:p>
        </w:tc>
        <w:tc>
          <w:tcPr>
            <w:tcW w:w="18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Direct the Vote:</w:t>
            </w:r>
          </w:p>
        </w:tc>
        <w:tc>
          <w:tcPr>
            <w:tcW w:w="380" w:type="dxa"/>
            <w:vAlign w:val="bottom"/>
            <w:tcBorders>
              <w:bottom w:val="single" w:sz="8" w:color="CFF0FC"/>
            </w:tcBorders>
          </w:tcPr>
          <w:p>
            <w:pPr>
              <w:spacing w:after="0"/>
              <w:rPr>
                <w:sz w:val="12"/>
                <w:szCs w:val="12"/>
                <w:color w:val="auto"/>
              </w:rPr>
            </w:pPr>
          </w:p>
        </w:tc>
        <w:tc>
          <w:tcPr>
            <w:tcW w:w="14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7"/>
              </w:rPr>
              <w:t>Disposition of:</w:t>
            </w:r>
          </w:p>
        </w:tc>
        <w:tc>
          <w:tcPr>
            <w:tcW w:w="18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Disposition of:</w:t>
            </w:r>
          </w:p>
        </w:tc>
        <w:tc>
          <w:tcPr>
            <w:tcW w:w="320" w:type="dxa"/>
            <w:vAlign w:val="bottom"/>
            <w:tcBorders>
              <w:bottom w:val="single" w:sz="8" w:color="CFF0FC"/>
            </w:tcBorders>
          </w:tcPr>
          <w:p>
            <w:pPr>
              <w:spacing w:after="0"/>
              <w:rPr>
                <w:sz w:val="12"/>
                <w:szCs w:val="12"/>
                <w:color w:val="auto"/>
              </w:rPr>
            </w:pPr>
          </w:p>
        </w:tc>
      </w:tr>
      <w:tr>
        <w:trPr>
          <w:trHeight w:val="169"/>
        </w:trPr>
        <w:tc>
          <w:tcPr>
            <w:tcW w:w="2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Sunee Chiraseivinupraphand</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1,178,489</w:t>
            </w:r>
          </w:p>
        </w:tc>
        <w:tc>
          <w:tcPr>
            <w:tcW w:w="4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w:t>
            </w:r>
          </w:p>
        </w:tc>
        <w:tc>
          <w:tcPr>
            <w:tcW w:w="9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1,178,489</w:t>
            </w:r>
          </w:p>
        </w:tc>
        <w:tc>
          <w:tcPr>
            <w:tcW w:w="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14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1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1,178,489 (2)</w:t>
            </w:r>
          </w:p>
        </w:tc>
      </w:tr>
      <w:tr>
        <w:trPr>
          <w:trHeight w:val="191"/>
        </w:trPr>
        <w:tc>
          <w:tcPr>
            <w:tcW w:w="2580" w:type="dxa"/>
            <w:vAlign w:val="bottom"/>
            <w:gridSpan w:val="2"/>
          </w:tcPr>
          <w:p>
            <w:pPr>
              <w:spacing w:after="0"/>
              <w:rPr>
                <w:sz w:val="20"/>
                <w:szCs w:val="20"/>
                <w:color w:val="auto"/>
              </w:rPr>
            </w:pPr>
            <w:r>
              <w:rPr>
                <w:rFonts w:ascii="Arial" w:cs="Arial" w:eastAsia="Arial" w:hAnsi="Arial"/>
                <w:sz w:val="14"/>
                <w:szCs w:val="14"/>
                <w:color w:val="auto"/>
              </w:rPr>
              <w:t>O &amp; K Investment Limited</w:t>
            </w:r>
          </w:p>
        </w:tc>
        <w:tc>
          <w:tcPr>
            <w:tcW w:w="1100" w:type="dxa"/>
            <w:vAlign w:val="bottom"/>
          </w:tcPr>
          <w:p>
            <w:pPr>
              <w:jc w:val="right"/>
              <w:spacing w:after="0"/>
              <w:rPr>
                <w:sz w:val="20"/>
                <w:szCs w:val="20"/>
                <w:color w:val="auto"/>
              </w:rPr>
            </w:pPr>
            <w:r>
              <w:rPr>
                <w:rFonts w:ascii="Arial" w:cs="Arial" w:eastAsia="Arial" w:hAnsi="Arial"/>
                <w:sz w:val="14"/>
                <w:szCs w:val="14"/>
                <w:color w:val="auto"/>
              </w:rPr>
              <w:t>1,178,489</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960" w:type="dxa"/>
            <w:vAlign w:val="bottom"/>
          </w:tcPr>
          <w:p>
            <w:pPr>
              <w:jc w:val="center"/>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1,178,489</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440" w:type="dxa"/>
            <w:vAlign w:val="bottom"/>
          </w:tcPr>
          <w:p>
            <w:pPr>
              <w:jc w:val="center"/>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1,178,489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311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1" w:lineRule="exact"/>
        <w:rPr>
          <w:sz w:val="20"/>
          <w:szCs w:val="20"/>
          <w:color w:val="auto"/>
        </w:rPr>
      </w:pPr>
    </w:p>
    <w:p>
      <w:pPr>
        <w:jc w:val="both"/>
        <w:ind w:left="500" w:right="20" w:hanging="492"/>
        <w:spacing w:after="0" w:line="225" w:lineRule="auto"/>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percentages set forth in this Schedule 13G are calculated based upon an aggregate of 28,584,491 ordinary shares, comprised of 23,763,883 Class A Ordinary Shares and 4,820,608 Class B Ordinary Shares, outstanding as of September 30, 2019, as reported in the Issuer’s Form 6-K filed with the Securities and Exchange Commission (the “SEC”) on November 27, 2019</w:t>
      </w:r>
    </w:p>
    <w:p>
      <w:pPr>
        <w:spacing w:after="0" w:line="1" w:lineRule="exact"/>
        <w:rPr>
          <w:rFonts w:ascii="Arial" w:cs="Arial" w:eastAsia="Arial" w:hAnsi="Arial"/>
          <w:sz w:val="15"/>
          <w:szCs w:val="15"/>
          <w:color w:val="auto"/>
        </w:rPr>
      </w:pPr>
    </w:p>
    <w:p>
      <w:pPr>
        <w:ind w:left="500" w:right="360" w:hanging="492"/>
        <w:spacing w:after="0" w:line="225" w:lineRule="auto"/>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1,178,489 Class A Ordinary Shares held by O &amp; K Investment Limited. Ms. Sunee Chiraseivinupraphand is the sole director of O &amp; K Investment Limited and spouse of Wing Hong Sammy Hsieh, who is the co-founder, chief executive officer and director of the Issuer.</w:t>
      </w:r>
    </w:p>
    <w:p>
      <w:pPr>
        <w:ind w:left="500" w:hanging="492"/>
        <w:spacing w:after="0"/>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1,178,489 Class A Ordinary Shares held by O &amp; K Investment Limited.</w:t>
      </w:r>
    </w:p>
    <w:p>
      <w:pPr>
        <w:spacing w:after="0" w:line="296"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Five Percent or Less of a Class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 applicable</w:t>
      </w:r>
    </w:p>
    <w:p>
      <w:pPr>
        <w:spacing w:after="0" w:line="296"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5"/>
          <w:szCs w:val="15"/>
          <w:b w:val="1"/>
          <w:bCs w:val="1"/>
          <w:u w:val="single" w:color="auto"/>
          <w:color w:val="auto"/>
        </w:rPr>
        <w:t>Ownership of More than Five Percent on Behalf of Another Person</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 applicable</w:t>
      </w:r>
    </w:p>
    <w:p>
      <w:pPr>
        <w:spacing w:after="0" w:line="296" w:lineRule="exact"/>
        <w:rPr>
          <w:sz w:val="20"/>
          <w:szCs w:val="20"/>
          <w:color w:val="auto"/>
        </w:rPr>
      </w:pPr>
    </w:p>
    <w:p>
      <w:pPr>
        <w:ind w:left="760" w:right="1920" w:hanging="742"/>
        <w:spacing w:after="0" w:line="286" w:lineRule="auto"/>
        <w:tabs>
          <w:tab w:leader="none" w:pos="74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5"/>
          <w:szCs w:val="15"/>
          <w:b w:val="1"/>
          <w:bCs w:val="1"/>
          <w:u w:val="single" w:color="auto"/>
          <w:color w:val="auto"/>
        </w:rPr>
        <w:t>Identification and Classification of the Subsidiary Which Acquired the Security Being Reported on By the Parent Holding Company or Control Person</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 applicable</w:t>
      </w:r>
    </w:p>
    <w:p>
      <w:pPr>
        <w:spacing w:after="0" w:line="296"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5"/>
          <w:szCs w:val="15"/>
          <w:b w:val="1"/>
          <w:bCs w:val="1"/>
          <w:u w:val="single" w:color="auto"/>
          <w:color w:val="auto"/>
        </w:rPr>
        <w:t>Identification and Classification of Members of the Group</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 applicable</w:t>
      </w:r>
    </w:p>
    <w:p>
      <w:pPr>
        <w:spacing w:after="0" w:line="296"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5"/>
          <w:szCs w:val="15"/>
          <w:b w:val="1"/>
          <w:bCs w:val="1"/>
          <w:u w:val="single" w:color="auto"/>
          <w:color w:val="auto"/>
        </w:rPr>
        <w:t>Notice of Dissolution of Group</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 applicable</w:t>
      </w:r>
    </w:p>
    <w:p>
      <w:pPr>
        <w:spacing w:after="0" w:line="296" w:lineRule="exact"/>
        <w:rPr>
          <w:sz w:val="20"/>
          <w:szCs w:val="20"/>
          <w:color w:val="auto"/>
        </w:rPr>
      </w:pPr>
    </w:p>
    <w:p>
      <w:pPr>
        <w:jc w:val="right"/>
        <w:ind w:right="9720"/>
        <w:spacing w:after="0"/>
        <w:tabs>
          <w:tab w:leader="none" w:pos="1066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5"/>
          <w:szCs w:val="15"/>
          <w:b w:val="1"/>
          <w:bCs w:val="1"/>
          <w:u w:val="single" w:color="auto"/>
          <w:color w:val="auto"/>
        </w:rPr>
        <w:t>Certifications</w:t>
      </w:r>
    </w:p>
    <w:p>
      <w:pPr>
        <w:spacing w:after="0" w:line="156" w:lineRule="exact"/>
        <w:rPr>
          <w:sz w:val="20"/>
          <w:szCs w:val="20"/>
          <w:color w:val="auto"/>
        </w:rPr>
      </w:pPr>
    </w:p>
    <w:p>
      <w:pPr>
        <w:jc w:val="right"/>
        <w:ind w:right="97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SIGNATURE</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After reasonable inquiry and to the best of my knowledge and belief, I certify that the information set forth in this statement is true, complete and </w:t>
      </w:r>
      <w:r>
        <w:rPr>
          <w:rFonts w:ascii="Arial" w:cs="Arial" w:eastAsia="Arial" w:hAnsi="Arial"/>
          <w:sz w:val="16"/>
          <w:szCs w:val="16"/>
          <w:color w:val="auto"/>
        </w:rPr>
        <w:t>correct.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20"/>
                <w:szCs w:val="20"/>
                <w:color w:val="auto"/>
              </w:rPr>
            </w:pPr>
            <w:r>
              <w:rPr>
                <w:rFonts w:ascii="Arial" w:cs="Arial" w:eastAsia="Arial" w:hAnsi="Arial"/>
                <w:sz w:val="16"/>
                <w:szCs w:val="16"/>
                <w:color w:val="auto"/>
              </w:rPr>
              <w:t>Dated: February 11, 2020</w:t>
            </w:r>
          </w:p>
        </w:tc>
        <w:tc>
          <w:tcPr>
            <w:tcW w:w="2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8"/>
        </w:trPr>
        <w:tc>
          <w:tcPr>
            <w:tcW w:w="3880" w:type="dxa"/>
            <w:vAlign w:val="bottom"/>
          </w:tcPr>
          <w:p>
            <w:pPr>
              <w:spacing w:after="0"/>
              <w:rPr>
                <w:sz w:val="20"/>
                <w:szCs w:val="20"/>
                <w:color w:val="auto"/>
              </w:rPr>
            </w:pPr>
            <w:r>
              <w:rPr>
                <w:rFonts w:ascii="Arial" w:cs="Arial" w:eastAsia="Arial" w:hAnsi="Arial"/>
                <w:sz w:val="16"/>
                <w:szCs w:val="16"/>
                <w:color w:val="auto"/>
              </w:rPr>
              <w:t>Sunee Chiraseivinupraphand</w:t>
            </w:r>
          </w:p>
        </w:tc>
        <w:tc>
          <w:tcPr>
            <w:tcW w:w="2420" w:type="dxa"/>
            <w:vAlign w:val="bottom"/>
          </w:tcPr>
          <w:p>
            <w:pPr>
              <w:spacing w:after="0"/>
              <w:rPr>
                <w:sz w:val="24"/>
                <w:szCs w:val="24"/>
                <w:color w:val="auto"/>
              </w:rPr>
            </w:pP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Sunee Chiraseivinupraphand</w:t>
            </w:r>
          </w:p>
        </w:tc>
        <w:tc>
          <w:tcPr>
            <w:tcW w:w="20" w:type="dxa"/>
            <w:vAlign w:val="bottom"/>
          </w:tcPr>
          <w:p>
            <w:pPr>
              <w:spacing w:after="0"/>
              <w:rPr>
                <w:sz w:val="24"/>
                <w:szCs w:val="24"/>
                <w:color w:val="auto"/>
              </w:rPr>
            </w:pPr>
          </w:p>
        </w:tc>
      </w:tr>
      <w:tr>
        <w:trPr>
          <w:trHeight w:val="399"/>
        </w:trPr>
        <w:tc>
          <w:tcPr>
            <w:tcW w:w="3880" w:type="dxa"/>
            <w:vAlign w:val="bottom"/>
          </w:tcPr>
          <w:p>
            <w:pPr>
              <w:spacing w:after="0"/>
              <w:rPr>
                <w:sz w:val="20"/>
                <w:szCs w:val="20"/>
                <w:color w:val="auto"/>
              </w:rPr>
            </w:pPr>
            <w:r>
              <w:rPr>
                <w:rFonts w:ascii="Arial" w:cs="Arial" w:eastAsia="Arial" w:hAnsi="Arial"/>
                <w:sz w:val="16"/>
                <w:szCs w:val="16"/>
                <w:color w:val="auto"/>
              </w:rPr>
              <w:t>O &amp; K Investment Limited</w:t>
            </w:r>
          </w:p>
        </w:tc>
        <w:tc>
          <w:tcPr>
            <w:tcW w:w="24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Sunee Chiraseivinupraphand</w:t>
            </w:r>
          </w:p>
        </w:tc>
        <w:tc>
          <w:tcPr>
            <w:tcW w:w="20" w:type="dxa"/>
            <w:vAlign w:val="bottom"/>
          </w:tcPr>
          <w:p>
            <w:pPr>
              <w:spacing w:after="0"/>
              <w:rPr>
                <w:sz w:val="24"/>
                <w:szCs w:val="24"/>
                <w:color w:val="auto"/>
              </w:rPr>
            </w:pPr>
          </w:p>
        </w:tc>
      </w:tr>
      <w:tr>
        <w:trPr>
          <w:trHeight w:val="204"/>
        </w:trPr>
        <w:tc>
          <w:tcPr>
            <w:tcW w:w="3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Name:</w:t>
            </w:r>
          </w:p>
        </w:tc>
        <w:tc>
          <w:tcPr>
            <w:tcW w:w="4440" w:type="dxa"/>
            <w:vAlign w:val="bottom"/>
          </w:tcPr>
          <w:p>
            <w:pPr>
              <w:spacing w:after="0"/>
              <w:rPr>
                <w:sz w:val="20"/>
                <w:szCs w:val="20"/>
                <w:color w:val="auto"/>
              </w:rPr>
            </w:pPr>
            <w:r>
              <w:rPr>
                <w:rFonts w:ascii="Arial" w:cs="Arial" w:eastAsia="Arial" w:hAnsi="Arial"/>
                <w:sz w:val="16"/>
                <w:szCs w:val="16"/>
                <w:color w:val="auto"/>
              </w:rPr>
              <w:t>Sunee Chiraseivinupraphand</w:t>
            </w:r>
          </w:p>
        </w:tc>
        <w:tc>
          <w:tcPr>
            <w:tcW w:w="20" w:type="dxa"/>
            <w:vAlign w:val="bottom"/>
          </w:tcPr>
          <w:p>
            <w:pPr>
              <w:spacing w:after="0"/>
              <w:rPr>
                <w:sz w:val="17"/>
                <w:szCs w:val="17"/>
                <w:color w:val="auto"/>
              </w:rPr>
            </w:pPr>
          </w:p>
        </w:tc>
      </w:tr>
      <w:tr>
        <w:trPr>
          <w:trHeight w:val="203"/>
        </w:trPr>
        <w:tc>
          <w:tcPr>
            <w:tcW w:w="3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4440" w:type="dxa"/>
            <w:vAlign w:val="bottom"/>
          </w:tcPr>
          <w:p>
            <w:pPr>
              <w:spacing w:after="0"/>
              <w:rPr>
                <w:sz w:val="20"/>
                <w:szCs w:val="20"/>
                <w:color w:val="auto"/>
              </w:rPr>
            </w:pPr>
            <w:r>
              <w:rPr>
                <w:rFonts w:ascii="Arial" w:cs="Arial" w:eastAsia="Arial" w:hAnsi="Arial"/>
                <w:sz w:val="16"/>
                <w:szCs w:val="16"/>
                <w:color w:val="auto"/>
              </w:rPr>
              <w:t>Director</w:t>
            </w:r>
          </w:p>
        </w:tc>
        <w:tc>
          <w:tcPr>
            <w:tcW w:w="20" w:type="dxa"/>
            <w:vAlign w:val="bottom"/>
          </w:tcPr>
          <w:p>
            <w:pPr>
              <w:spacing w:after="0"/>
              <w:rPr>
                <w:sz w:val="17"/>
                <w:szCs w:val="17"/>
                <w:color w:val="auto"/>
              </w:rPr>
            </w:pPr>
          </w:p>
        </w:tc>
      </w:tr>
      <w:tr>
        <w:trPr>
          <w:trHeight w:val="565"/>
        </w:trPr>
        <w:tc>
          <w:tcPr>
            <w:tcW w:w="3880" w:type="dxa"/>
            <w:vAlign w:val="bottom"/>
          </w:tcPr>
          <w:p>
            <w:pPr>
              <w:spacing w:after="0"/>
              <w:rPr>
                <w:sz w:val="24"/>
                <w:szCs w:val="24"/>
                <w:color w:val="auto"/>
              </w:rPr>
            </w:pPr>
          </w:p>
        </w:tc>
        <w:tc>
          <w:tcPr>
            <w:tcW w:w="2420" w:type="dxa"/>
            <w:vAlign w:val="bottom"/>
          </w:tcPr>
          <w:p>
            <w:pPr>
              <w:jc w:val="right"/>
              <w:ind w:right="463"/>
              <w:spacing w:after="0"/>
              <w:rPr>
                <w:sz w:val="20"/>
                <w:szCs w:val="20"/>
                <w:color w:val="auto"/>
              </w:rPr>
            </w:pPr>
            <w:r>
              <w:rPr>
                <w:rFonts w:ascii="Arial" w:cs="Arial" w:eastAsia="Arial" w:hAnsi="Arial"/>
                <w:sz w:val="15"/>
                <w:szCs w:val="15"/>
                <w:color w:val="auto"/>
              </w:rPr>
              <w:t>6</w:t>
            </w:r>
          </w:p>
        </w:tc>
        <w:tc>
          <w:tcPr>
            <w:tcW w:w="6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388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4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p>
      <w:pPr>
        <w:jc w:val="right"/>
        <w:ind w:right="3799"/>
        <w:spacing w:after="0"/>
        <w:rPr>
          <w:sz w:val="20"/>
          <w:szCs w:val="20"/>
          <w:color w:val="auto"/>
        </w:rPr>
      </w:pPr>
      <w:r>
        <w:rPr>
          <w:rFonts w:ascii="Arial" w:cs="Arial" w:eastAsia="Arial" w:hAnsi="Arial"/>
          <w:sz w:val="16"/>
          <w:szCs w:val="16"/>
          <w:b w:val="1"/>
          <w:bCs w:val="1"/>
          <w:color w:val="auto"/>
        </w:rPr>
        <w:t>LIST OF EXHIBITS</w:t>
      </w:r>
    </w:p>
    <w:p>
      <w:pPr>
        <w:spacing w:after="0" w:line="26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Exhibit 99.1 — </w:t>
      </w:r>
      <w:hyperlink w:anchor="page8">
        <w:r>
          <w:rPr>
            <w:rFonts w:ascii="Arial" w:cs="Arial" w:eastAsia="Arial" w:hAnsi="Arial"/>
            <w:sz w:val="16"/>
            <w:szCs w:val="16"/>
            <w:u w:val="single" w:color="auto"/>
            <w:color w:val="0000EE"/>
          </w:rPr>
          <w:t>Joint Filing Agreement</w:t>
        </w:r>
      </w:hyperlink>
    </w:p>
    <w:p>
      <w:pPr>
        <w:spacing w:after="0" w:line="200" w:lineRule="exact"/>
        <w:rPr>
          <w:sz w:val="20"/>
          <w:szCs w:val="20"/>
          <w:color w:val="auto"/>
        </w:rPr>
      </w:pPr>
    </w:p>
    <w:p>
      <w:pPr>
        <w:spacing w:after="0" w:line="205"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219"/>
          </w:cols>
          <w:pgMar w:left="240" w:top="12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JOINT FILING AGREEMENT</w:t>
      </w:r>
    </w:p>
    <w:p>
      <w:pPr>
        <w:spacing w:after="0" w:line="194" w:lineRule="exact"/>
        <w:rPr>
          <w:sz w:val="20"/>
          <w:szCs w:val="20"/>
          <w:color w:val="auto"/>
        </w:rPr>
      </w:pPr>
    </w:p>
    <w:p>
      <w:pPr>
        <w:jc w:val="both"/>
        <w:ind w:firstLine="893"/>
        <w:spacing w:after="0" w:line="285" w:lineRule="auto"/>
        <w:rPr>
          <w:sz w:val="20"/>
          <w:szCs w:val="20"/>
          <w:color w:val="auto"/>
        </w:rPr>
      </w:pPr>
      <w:r>
        <w:rPr>
          <w:rFonts w:ascii="Arial" w:cs="Arial" w:eastAsia="Arial" w:hAnsi="Arial"/>
          <w:sz w:val="16"/>
          <w:szCs w:val="16"/>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5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WITNESS WHEREOF, the undersigned hereby execute this Agreement as of February 11,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80" w:type="dxa"/>
            <w:vAlign w:val="bottom"/>
          </w:tcPr>
          <w:p>
            <w:pPr>
              <w:spacing w:after="0"/>
              <w:rPr>
                <w:sz w:val="20"/>
                <w:szCs w:val="20"/>
                <w:color w:val="auto"/>
              </w:rPr>
            </w:pPr>
            <w:r>
              <w:rPr>
                <w:rFonts w:ascii="Arial" w:cs="Arial" w:eastAsia="Arial" w:hAnsi="Arial"/>
                <w:sz w:val="16"/>
                <w:szCs w:val="16"/>
                <w:color w:val="auto"/>
              </w:rPr>
              <w:t>Sunee Chiraseivinupraphand</w:t>
            </w: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Sunee Chiraseivinupraphand</w:t>
            </w:r>
          </w:p>
        </w:tc>
      </w:tr>
      <w:tr>
        <w:trPr>
          <w:trHeight w:val="210"/>
        </w:trPr>
        <w:tc>
          <w:tcPr>
            <w:tcW w:w="7380" w:type="dxa"/>
            <w:vAlign w:val="bottom"/>
          </w:tcPr>
          <w:p>
            <w:pPr>
              <w:spacing w:after="0"/>
              <w:rPr>
                <w:sz w:val="20"/>
                <w:szCs w:val="20"/>
                <w:color w:val="auto"/>
              </w:rPr>
            </w:pPr>
            <w:r>
              <w:rPr>
                <w:rFonts w:ascii="Arial" w:cs="Arial" w:eastAsia="Arial" w:hAnsi="Arial"/>
                <w:sz w:val="16"/>
                <w:szCs w:val="16"/>
                <w:color w:val="auto"/>
              </w:rPr>
              <w:t>O &amp; K Investment Limited</w:t>
            </w:r>
          </w:p>
        </w:tc>
        <w:tc>
          <w:tcPr>
            <w:tcW w:w="680" w:type="dxa"/>
            <w:vAlign w:val="bottom"/>
          </w:tcPr>
          <w:p>
            <w:pPr>
              <w:spacing w:after="0"/>
              <w:rPr>
                <w:sz w:val="20"/>
                <w:szCs w:val="20"/>
                <w:color w:val="auto"/>
              </w:rPr>
            </w:pPr>
            <w:r>
              <w:rPr>
                <w:rFonts w:ascii="Arial" w:cs="Arial" w:eastAsia="Arial" w:hAnsi="Arial"/>
                <w:sz w:val="16"/>
                <w:szCs w:val="16"/>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Sunee Chiraseivinupraphand</w:t>
            </w:r>
          </w:p>
        </w:tc>
      </w:tr>
      <w:tr>
        <w:trPr>
          <w:trHeight w:val="207"/>
        </w:trPr>
        <w:tc>
          <w:tcPr>
            <w:tcW w:w="738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Name:</w:t>
            </w:r>
          </w:p>
        </w:tc>
        <w:tc>
          <w:tcPr>
            <w:tcW w:w="3360" w:type="dxa"/>
            <w:vAlign w:val="bottom"/>
          </w:tcPr>
          <w:p>
            <w:pPr>
              <w:spacing w:after="0"/>
              <w:rPr>
                <w:sz w:val="20"/>
                <w:szCs w:val="20"/>
                <w:color w:val="auto"/>
              </w:rPr>
            </w:pPr>
            <w:r>
              <w:rPr>
                <w:rFonts w:ascii="Arial" w:cs="Arial" w:eastAsia="Arial" w:hAnsi="Arial"/>
                <w:sz w:val="16"/>
                <w:szCs w:val="16"/>
                <w:color w:val="auto"/>
              </w:rPr>
              <w:t>Sunee Chiraseivinupraphand</w:t>
            </w:r>
          </w:p>
        </w:tc>
      </w:tr>
      <w:tr>
        <w:trPr>
          <w:trHeight w:val="216"/>
        </w:trPr>
        <w:tc>
          <w:tcPr>
            <w:tcW w:w="73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3360" w:type="dxa"/>
            <w:vAlign w:val="bottom"/>
          </w:tcPr>
          <w:p>
            <w:pPr>
              <w:spacing w:after="0"/>
              <w:rPr>
                <w:sz w:val="20"/>
                <w:szCs w:val="20"/>
                <w:color w:val="auto"/>
              </w:rPr>
            </w:pPr>
            <w:r>
              <w:rPr>
                <w:rFonts w:ascii="Arial" w:cs="Arial" w:eastAsia="Arial" w:hAnsi="Arial"/>
                <w:sz w:val="16"/>
                <w:szCs w:val="16"/>
                <w:color w:val="auto"/>
              </w:rPr>
              <w:t>Director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0"/>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2020-02-11T08:58:08Z</dcterms:created>
  <dcterms:modified xsi:type="dcterms:W3CDTF">2020-02-11T08:58:08Z</dcterms:modified>
</cp:coreProperties>
</file>