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59055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4860" w:right="1460" w:hanging="4852"/>
        <w:spacing w:after="0" w:line="329" w:lineRule="auto"/>
        <w:tabs>
          <w:tab w:leader="none" w:pos="49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REGISTRATION STATEMENT PURSUANT TO SECTION 12(b) OR 12(g) OF THE SECURITIES EXCHANGE ACT OF 1934 OR</w:t>
      </w:r>
    </w:p>
    <w:p>
      <w:pPr>
        <w:spacing w:after="0" w:line="16" w:lineRule="exact"/>
        <w:rPr>
          <w:rFonts w:ascii="MS PGothic" w:cs="MS PGothic" w:eastAsia="MS PGothic" w:hAnsi="MS PGothic"/>
          <w:sz w:val="14"/>
          <w:szCs w:val="1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transition period from July 1, 2024 to December 31, 2024</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3460" w:right="1760" w:hanging="3452"/>
        <w:spacing w:after="0" w:line="405" w:lineRule="auto"/>
        <w:tabs>
          <w:tab w:leader="none" w:pos="50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SHELL COMPANY REPORT PURSUANT TO SECTION 13 OR 15(d) OF THE SECURITIES EXCHANGE ACT OF 1934 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-20320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 001-38313</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Amber International Holding Limited</w:t>
      </w:r>
    </w:p>
    <w:p>
      <w:pPr>
        <w:spacing w:after="0" w:line="97"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color w:val="auto"/>
        </w:rPr>
        <w:t>N/A</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Cayman Islands</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 Wallich Street, #30-02 Guoco Tower,</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Singapore 078881 Tel: +65 60220228</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Wayne Huo, Chief Executive Officer and Director</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 Wallich Street, #30-02 Guoco Tower,</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Singapore 078881 Tel: +65 60220228</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E-mail: wayne.huo@ambr.io</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Title of each class</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Trading Symbol</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19"/>
        </w:trPr>
        <w:tc>
          <w:tcPr>
            <w:tcW w:w="37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American Depositary Shares, one representing five Class A</w:t>
            </w:r>
          </w:p>
        </w:tc>
        <w:tc>
          <w:tcPr>
            <w:tcW w:w="200" w:type="dxa"/>
            <w:vAlign w:val="bottom"/>
          </w:tcPr>
          <w:p>
            <w:pPr>
              <w:spacing w:after="0"/>
              <w:rPr>
                <w:sz w:val="10"/>
                <w:szCs w:val="10"/>
                <w:color w:val="auto"/>
              </w:rPr>
            </w:pPr>
          </w:p>
        </w:tc>
        <w:tc>
          <w:tcPr>
            <w:tcW w:w="18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AMBR</w:t>
            </w:r>
          </w:p>
        </w:tc>
        <w:tc>
          <w:tcPr>
            <w:tcW w:w="180" w:type="dxa"/>
            <w:vAlign w:val="bottom"/>
          </w:tcPr>
          <w:p>
            <w:pPr>
              <w:spacing w:after="0"/>
              <w:rPr>
                <w:sz w:val="10"/>
                <w:szCs w:val="10"/>
                <w:color w:val="auto"/>
              </w:rPr>
            </w:pPr>
          </w:p>
        </w:tc>
        <w:tc>
          <w:tcPr>
            <w:tcW w:w="396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Nasdaq Global Market</w:t>
            </w:r>
          </w:p>
        </w:tc>
      </w:tr>
      <w:tr>
        <w:trPr>
          <w:trHeight w:val="149"/>
        </w:trPr>
        <w:tc>
          <w:tcPr>
            <w:tcW w:w="3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ordinary shares, par value US$0.001 per share*</w:t>
            </w: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60" w:type="dxa"/>
            <w:vAlign w:val="bottom"/>
          </w:tcPr>
          <w:p>
            <w:pPr>
              <w:spacing w:after="0"/>
              <w:rPr>
                <w:sz w:val="12"/>
                <w:szCs w:val="12"/>
                <w:color w:val="auto"/>
              </w:rPr>
            </w:pPr>
          </w:p>
        </w:tc>
      </w:tr>
      <w:tr>
        <w:trPr>
          <w:trHeight w:val="148"/>
        </w:trPr>
        <w:tc>
          <w:tcPr>
            <w:tcW w:w="3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*Not for trading, but only in connection with the listing on the</w:t>
            </w: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60" w:type="dxa"/>
            <w:vAlign w:val="bottom"/>
          </w:tcPr>
          <w:p>
            <w:pPr>
              <w:spacing w:after="0"/>
              <w:rPr>
                <w:sz w:val="12"/>
                <w:szCs w:val="12"/>
                <w:color w:val="auto"/>
              </w:rPr>
            </w:pPr>
          </w:p>
        </w:tc>
      </w:tr>
      <w:tr>
        <w:trPr>
          <w:trHeight w:val="188"/>
        </w:trPr>
        <w:tc>
          <w:tcPr>
            <w:tcW w:w="3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Nasdaq Global Market of American depositary shares.</w:t>
            </w: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960" w:type="dxa"/>
            <w:vAlign w:val="bottom"/>
          </w:tcPr>
          <w:p>
            <w:pPr>
              <w:spacing w:after="0"/>
              <w:rPr>
                <w:sz w:val="16"/>
                <w:szCs w:val="16"/>
                <w:color w:val="auto"/>
              </w:rPr>
            </w:pPr>
          </w:p>
        </w:tc>
      </w:tr>
    </w:tbl>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or to be registered pursuant to Section 12(g) of the Act:</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None</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Class)</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for which there is a reporting obligation pursuant to Section 15(d) of the Act:</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None</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109220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transition report.</w:t>
      </w:r>
    </w:p>
    <w:p>
      <w:pPr>
        <w:spacing w:after="0" w:line="69" w:lineRule="exact"/>
        <w:rPr>
          <w:sz w:val="24"/>
          <w:szCs w:val="24"/>
          <w:color w:val="auto"/>
        </w:rPr>
      </w:pPr>
    </w:p>
    <w:p>
      <w:pPr>
        <w:ind w:right="740"/>
        <w:spacing w:after="0" w:line="261" w:lineRule="auto"/>
        <w:rPr>
          <w:sz w:val="20"/>
          <w:szCs w:val="20"/>
          <w:color w:val="auto"/>
        </w:rPr>
      </w:pPr>
      <w:r>
        <w:rPr>
          <w:rFonts w:ascii="Times New Roman" w:cs="Times New Roman" w:eastAsia="Times New Roman" w:hAnsi="Times New Roman"/>
          <w:sz w:val="14"/>
          <w:szCs w:val="14"/>
          <w:color w:val="auto"/>
        </w:rPr>
        <w:t>As of December 31, 2024, there were 47,390,657 ordinary shares outstanding, par value $0.001 per share, being the sum of 42,356,230 Class A ordinary shares and 5,034,427 Class B ordinary shares.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43" w:lineRule="exact"/>
        <w:rPr>
          <w:sz w:val="24"/>
          <w:szCs w:val="24"/>
          <w:color w:val="auto"/>
        </w:rPr>
      </w:pPr>
    </w:p>
    <w:p>
      <w:pPr>
        <w:ind w:left="45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520065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w:t>
      </w:r>
    </w:p>
    <w:p>
      <w:pPr>
        <w:spacing w:after="0" w:line="1" w:lineRule="exact"/>
        <w:rPr>
          <w:sz w:val="20"/>
          <w:szCs w:val="20"/>
          <w:color w:val="auto"/>
        </w:rPr>
      </w:pPr>
    </w:p>
    <w:p>
      <w:pPr>
        <w:ind w:left="4740" w:hanging="179"/>
        <w:spacing w:after="0" w:line="161" w:lineRule="exact"/>
        <w:tabs>
          <w:tab w:leader="none" w:pos="474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0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Note – Checking the box above will not relieve any registrant required to file reports pursuant to Section 13 or 15(d) of the Securities Exchange Act of 1934 from their obligations under those Sections.</w:t>
      </w:r>
    </w:p>
    <w:p>
      <w:pPr>
        <w:spacing w:after="0" w:line="28" w:lineRule="exact"/>
        <w:rPr>
          <w:sz w:val="20"/>
          <w:szCs w:val="20"/>
          <w:color w:val="auto"/>
        </w:rPr>
      </w:pPr>
    </w:p>
    <w:p>
      <w:pPr>
        <w:jc w:val="both"/>
        <w:ind w:right="34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 w:lineRule="exact"/>
        <w:rPr>
          <w:sz w:val="20"/>
          <w:szCs w:val="20"/>
          <w:color w:val="auto"/>
        </w:rPr>
      </w:pPr>
    </w:p>
    <w:p>
      <w:pPr>
        <w:ind w:left="4740" w:hanging="179"/>
        <w:spacing w:after="0" w:line="161" w:lineRule="exact"/>
        <w:tabs>
          <w:tab w:leader="none" w:pos="474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0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0" w:lineRule="exact"/>
        <w:rPr>
          <w:sz w:val="20"/>
          <w:szCs w:val="20"/>
          <w:color w:val="auto"/>
        </w:rPr>
      </w:pPr>
    </w:p>
    <w:p>
      <w:pPr>
        <w:ind w:left="4740" w:hanging="179"/>
        <w:spacing w:after="0" w:line="161" w:lineRule="exact"/>
        <w:tabs>
          <w:tab w:leader="none" w:pos="474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00"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0" w:lineRule="exact"/>
        <w:rPr>
          <w:sz w:val="20"/>
          <w:szCs w:val="20"/>
          <w:color w:val="auto"/>
        </w:rPr>
      </w:pPr>
    </w:p>
    <w:p>
      <w:pPr>
        <w:ind w:left="700"/>
        <w:spacing w:after="0" w:line="161" w:lineRule="exact"/>
        <w:tabs>
          <w:tab w:leader="none" w:pos="3500" w:val="left"/>
          <w:tab w:leader="none" w:pos="5560" w:val="left"/>
          <w:tab w:leader="none" w:pos="78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13" w:lineRule="exact"/>
        <w:rPr>
          <w:sz w:val="20"/>
          <w:szCs w:val="20"/>
          <w:color w:val="auto"/>
        </w:rPr>
      </w:pPr>
    </w:p>
    <w:p>
      <w:pPr>
        <w:ind w:right="2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p>
    <w:p>
      <w:pPr>
        <w:ind w:right="560" w:firstLine="8"/>
        <w:spacing w:after="0" w:line="261" w:lineRule="auto"/>
        <w:tabs>
          <w:tab w:leader="none" w:pos="10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14" w:lineRule="exact"/>
        <w:rPr>
          <w:sz w:val="20"/>
          <w:szCs w:val="20"/>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0"/>
          <w:szCs w:val="20"/>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0"/>
          <w:szCs w:val="20"/>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64" w:lineRule="exact"/>
        <w:rPr>
          <w:sz w:val="20"/>
          <w:szCs w:val="20"/>
          <w:color w:val="auto"/>
        </w:rPr>
      </w:pPr>
    </w:p>
    <w:p>
      <w:pPr>
        <w:ind w:left="880"/>
        <w:spacing w:after="0" w:line="161" w:lineRule="exact"/>
        <w:tabs>
          <w:tab w:leader="none" w:pos="3320" w:val="left"/>
          <w:tab w:leader="none" w:pos="8260" w:val="left"/>
        </w:tabs>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International Financial Reporting Standards as issued</w:t>
      </w:r>
      <w:r>
        <w:rPr>
          <w:sz w:val="20"/>
          <w:szCs w:val="20"/>
          <w:color w:val="auto"/>
        </w:rPr>
        <w:tab/>
      </w: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p>
      <w:pPr>
        <w:spacing w:after="0" w:line="30" w:lineRule="exact"/>
        <w:rPr>
          <w:sz w:val="20"/>
          <w:szCs w:val="20"/>
          <w:color w:val="auto"/>
        </w:rPr>
      </w:pPr>
    </w:p>
    <w:p>
      <w:pPr>
        <w:jc w:val="center"/>
        <w:ind w:right="60"/>
        <w:spacing w:after="0" w:line="161" w:lineRule="exact"/>
        <w:rPr>
          <w:sz w:val="20"/>
          <w:szCs w:val="20"/>
          <w:color w:val="auto"/>
        </w:rPr>
      </w:pPr>
      <w:r>
        <w:rPr>
          <w:rFonts w:ascii="Times New Roman" w:cs="Times New Roman" w:eastAsia="Times New Roman" w:hAnsi="Times New Roman"/>
          <w:sz w:val="14"/>
          <w:szCs w:val="14"/>
          <w:color w:val="auto"/>
        </w:rPr>
        <w:t xml:space="preserve">by the International Accounting Standards Board </w:t>
      </w:r>
      <w:r>
        <w:rPr>
          <w:rFonts w:ascii="MS PGothic" w:cs="MS PGothic" w:eastAsia="MS PGothic" w:hAnsi="MS PGothic"/>
          <w:sz w:val="14"/>
          <w:szCs w:val="14"/>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37" w:lineRule="exact"/>
        <w:rPr>
          <w:sz w:val="20"/>
          <w:szCs w:val="20"/>
          <w:color w:val="auto"/>
        </w:rPr>
      </w:pPr>
    </w:p>
    <w:p>
      <w:pPr>
        <w:ind w:left="4480" w:hanging="170"/>
        <w:spacing w:after="0" w:line="161" w:lineRule="exact"/>
        <w:tabs>
          <w:tab w:leader="none" w:pos="4480" w:val="left"/>
        </w:tabs>
        <w:numPr>
          <w:ilvl w:val="0"/>
          <w:numId w:val="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51" w:lineRule="exact"/>
        <w:rPr>
          <w:sz w:val="20"/>
          <w:szCs w:val="20"/>
          <w:color w:val="auto"/>
        </w:rPr>
      </w:pPr>
    </w:p>
    <w:p>
      <w:pPr>
        <w:ind w:left="4740" w:hanging="179"/>
        <w:spacing w:after="0" w:line="161" w:lineRule="exact"/>
        <w:tabs>
          <w:tab w:leader="none" w:pos="4740" w:val="left"/>
        </w:tabs>
        <w:numPr>
          <w:ilvl w:val="0"/>
          <w:numId w:val="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(APPLICABLE ONLY TO ISSUERS INVOLVED IN BANKRUPTCY PROCEEDINGS DURING THE PAST FIVE YEARS)</w:t>
      </w:r>
    </w:p>
    <w:p>
      <w:pPr>
        <w:spacing w:after="0" w:line="5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0" w:lineRule="exact"/>
        <w:rPr>
          <w:sz w:val="20"/>
          <w:szCs w:val="20"/>
          <w:color w:val="auto"/>
        </w:rPr>
      </w:pPr>
    </w:p>
    <w:p>
      <w:pPr>
        <w:jc w:val="center"/>
        <w:ind w:right="-139"/>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806450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249555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292100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129540</wp:posOffset>
            </wp:positionV>
            <wp:extent cx="1577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800"/>
          </w:cols>
          <w:pgMar w:left="980" w:top="513" w:right="11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9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24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0" w:type="dxa"/>
            <w:vAlign w:val="bottom"/>
            <w:shd w:val="clear" w:color="auto" w:fill="CCEEFF"/>
          </w:tcPr>
          <w:p>
            <w:pPr>
              <w:spacing w:after="0"/>
              <w:rPr>
                <w:sz w:val="17"/>
                <w:szCs w:val="17"/>
                <w:color w:val="auto"/>
              </w:rPr>
            </w:pPr>
          </w:p>
        </w:tc>
        <w:tc>
          <w:tcPr>
            <w:tcW w:w="8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80" w:type="dxa"/>
            <w:vAlign w:val="bottom"/>
            <w:tcBorders>
              <w:top w:val="single" w:sz="8" w:color="0000EE"/>
            </w:tcBorders>
            <w:gridSpan w:val="6"/>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5.A.</w:t>
            </w:r>
          </w:p>
        </w:tc>
        <w:tc>
          <w:tcPr>
            <w:tcW w:w="370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OPERATING RESULTS</w:t>
            </w:r>
          </w:p>
        </w:tc>
        <w:tc>
          <w:tcPr>
            <w:tcW w:w="3640" w:type="dxa"/>
            <w:vAlign w:val="bottom"/>
            <w:tcBorders>
              <w:top w:val="single" w:sz="8" w:color="CCEEFF"/>
            </w:tcBorders>
            <w:gridSpan w:val="4"/>
          </w:tcPr>
          <w:p>
            <w:pPr>
              <w:spacing w:after="0"/>
              <w:rPr>
                <w:sz w:val="15"/>
                <w:szCs w:val="15"/>
                <w:color w:val="auto"/>
              </w:rPr>
            </w:pPr>
          </w:p>
        </w:tc>
        <w:tc>
          <w:tcPr>
            <w:tcW w:w="6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320" w:type="dxa"/>
            <w:vAlign w:val="bottom"/>
            <w:gridSpan w:val="1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5.B.  LIQUIDITY AND CAPITAL RESOURCES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320" w:type="dxa"/>
            <w:vAlign w:val="bottom"/>
            <w:gridSpan w:val="1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5.C.  RESEARCH &amp; DEVELOPMENT, PATENTS AND LICENSES</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5.D.</w:t>
            </w:r>
          </w:p>
        </w:tc>
        <w:tc>
          <w:tcPr>
            <w:tcW w:w="73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TREND INFORMATION</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320" w:type="dxa"/>
            <w:vAlign w:val="bottom"/>
            <w:gridSpan w:val="19"/>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5.E.  CRITICAL ACCOUNTING ESTIMATES</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8.A.7 FINANCIAL INFORMATION – LEGAL PROCEEDINGS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24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13.</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3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8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16K.  CYBERSECURITY</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8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1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24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7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17.</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6160" w:type="dxa"/>
            <w:vAlign w:val="bottom"/>
            <w:tcBorders>
              <w:bottom w:val="single" w:sz="8" w:color="CCEEFF"/>
            </w:tcBorders>
            <w:gridSpan w:val="10"/>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70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6160" w:type="dxa"/>
            <w:vAlign w:val="bottom"/>
            <w:gridSpan w:val="10"/>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12, 2025, iClick Interactive Asia Group Limited (“iClick”) consummated a merger (the “Merger”) with Amber DWM Holding Limited (“Amber DWM”), with Amber DWM continuing as the surviving entity and becoming a wholly-owned subsidiary of iClick, and iClick being renamed Amber International Holding Limited (“we,” “us,” or the “Company”). The Merger is accounted for as a reverse acquisition for accounting purposes. Accordingly, the Merger is treated as the equivalent of Amber DWM issuing shares for the acquisition of iClick, accompanied by a recapitalization. In connection with the Merger, Amber DWM changed its fiscal year end from June 30 to December 31, effective for the fiscal year beginning January 1, 2025, to align with the fiscal year end of Amber International Holding Limited (previously known as iClick). As a result, the Company is required to file this transition report on Form 20-F for the transition period of six months from July 1, 2024 to December 31, 2024 with the Securities and Exchange Commission (the “SEC”). A period-to-period comparison of Amber DWM’s operating results for the six months ended December 31, 2024 and 2023 has been included within Item 5.A.</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filing the transition report, the Company’s next annual report will be for the 12-month period ending December 31, 2025. A period-to-period comparison of Amber DWM’s operating results for the six months ended December 31, 2024 and 2023 has been included within Item 5.A.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information presented in this transition report on Form 20-F is for the six months ended December 31, 2024 and 2023. Financial information presented in this Form 20-F for the six-month period ended December 31, 2023 has not been audited and is presented for comparative purposes only. This transition report on Form 20-F is filed pursuant to Rule 13a-10(g)(4) of the Securities Exchange Act of 1934, as amended (the “Exchange Act”), which permits the Company to respond to only Items 5, 8.A.7., 13, 14 and 18 of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transition report on Form 20-F contains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3" w:lineRule="exact"/>
        <w:rPr>
          <w:sz w:val="20"/>
          <w:szCs w:val="20"/>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our industry;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services and solutions;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crypto reserve strategy;</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 in jurisdictions where we operate; and</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transition report and the documents that we refer to in this transition report completely and with the understanding that our actual future results may be materially different from what we expect. Other sections of this transition report discuss factors which could adversely impact our business and financial performance. Moreover, we operate in an evolving environment. We qualify all of our forward-looking statements by these cautionary statements.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made in this transition report relate only to events or information as of the date on which the statements are made in this transition report. The forward-looking statements are not historical facts, and are based upon our current expectations, beliefs, estimates and projections, and various assumptions, many of which, by their nature, are inherently uncertain and beyond our control. Our expectations, beliefs, estimates and projections are expressed in good faith and we believe there is a reasonable basis for them. However, there can be no assurance that management’s expectations, beliefs, estimates and projections will result or be achieved and actual results may vary materially from what is expressed in or indicated by the forward-looking statements. There are a number of risks, uncertainties and other important factors, many of which are beyond our control, that could cause our actual results to differ materially from the forward-looking statements contained in this transition report. The principal risks, uncertainties and other important factors that have affected or may affect our business and that have caused or could cause our actual results to differ materially include the following, as well as the other risks detailed in the “Risk Factors” section contained in the annual report on Form 20-F filed by the Company with the SEC on April 29, 2025.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is intended to provide investors with an understanding of the historical financial performance and financial condition of Amber DWM and its subsidiaries (“Amber DWM” or the “Group”). This discussion and analysis presents the factors that had a material effect on the results of operations of Amber DWM for the interim period from July 1, 2024 to December 31, 2024. The following should be read in conjunction with Amber DWM’s audited and unaudited consolidated financial statements and the notes thereto included elsewhere in this transition report. The following discussion and analysis contains forward-looking statements based upon current expectations that involve risks and uncertainties. See “Forward-looking Statements” in this transition report. Amber DWM’s actual results may differ materially from those anticipated in these forward-looking statements as a result of various factors, including those set forth under “Item 3. Key Information—D. Risk Factors” of the Company’s annual report for the fiscal year ended December 31, 2024 on Form 20-F.</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5A.</w:t>
      </w:r>
      <w:r>
        <w:rPr>
          <w:sz w:val="20"/>
          <w:szCs w:val="20"/>
          <w:color w:val="auto"/>
        </w:rPr>
        <w:tab/>
      </w:r>
      <w:r>
        <w:rPr>
          <w:rFonts w:ascii="Times New Roman" w:cs="Times New Roman" w:eastAsia="Times New Roman" w:hAnsi="Times New Roman"/>
          <w:sz w:val="17"/>
          <w:szCs w:val="17"/>
          <w:b w:val="1"/>
          <w:bCs w:val="1"/>
          <w:color w:val="auto"/>
        </w:rPr>
        <w:t>OPERATING RESULTS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12, 2025, iClick consummated the Merger with Amber DWM, with Amber DWM continuing as the surviving entity and becoming a wholly-owned subsidiary of iClick, and iClick being renamed Amber International Holding Limited. The Merger is accounted for as a reverse acquisition for accounting purposes. Accordingly, the Merger is treated as the equivalent of Amber DWM issuing shares for the acquisition of iClick, accompanied by a recapitalization. In connection with the Merger, Amber DWM changed its fiscal year end from June 30 to December 31, effective for the fiscal year beginning January 1, 2025, to align with the fiscal year end of Amber International Holding Limited (previously known as iClick).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Amber DWM is a leading digital asset wealth management platform, operating under the brand name “Amber Premium”, strategically positioned within the rapidly expanding digital asset market. Amber DWM acts as the institutional gateway to crypto finance, providing market access, execution infrastructure, and investment solutions for institutional investors and high-net-worth individuals (HNWIs).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institutions and HNWIs increasingly explore opportunities in the digital asset sector, their initial participation is often through familiar traditional financial instruments, such as such as exchange-traded funds (ETFs) and direct exposure to Bitcoin. As their engagement deepens, these investors increasingly recognize that the digital asset landscape encompasses a broader range of opportunities, including blockchain-based innovations, decentralized finance (DeFi) applications, and tokenized financial products. Amber DWM seeks to address these evolving needs by offering institutional-grade execution services, comprehensive suite of investment products, and integrated crypto payment solutions that extend beyond traditional financial (TradFi) instruments. Leveraging its market expertise, proprietary technologies, and institutional-level risk management practices, Amber DWM enables clients to effectively navigate the complexities of the digital asset ecosystem, optimize portfolio strategies, and identify new opportunities for growth within this emerging asset class.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By seamlessly merging traditional finance and decentralized finance, Amber DWM provides the following major products to meet its clients’ evolving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Wealth Management Solutions</w:t>
      </w:r>
    </w:p>
    <w:p>
      <w:pPr>
        <w:spacing w:after="0" w:line="225" w:lineRule="exact"/>
        <w:rPr>
          <w:sz w:val="20"/>
          <w:szCs w:val="20"/>
          <w:color w:val="auto"/>
        </w:rPr>
      </w:pPr>
    </w:p>
    <w:p>
      <w:pPr>
        <w:jc w:val="both"/>
        <w:ind w:left="1000" w:hanging="317"/>
        <w:spacing w:after="0" w:line="26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Structured Investment Products </w:t>
      </w:r>
      <w:r>
        <w:rPr>
          <w:rFonts w:ascii="Times New Roman" w:cs="Times New Roman" w:eastAsia="Times New Roman" w:hAnsi="Times New Roman"/>
          <w:sz w:val="18"/>
          <w:szCs w:val="18"/>
          <w:color w:val="auto"/>
        </w:rPr>
        <w:t>– Amber DWM offers a range of products with option structures, including dual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cryptocurrency instruments and accumulator/decumulator products, which are designed to support systematic asset accumulation and manage exposure in a risk-adjusted manner.</w:t>
      </w:r>
    </w:p>
    <w:p>
      <w:pPr>
        <w:spacing w:after="0" w:line="170" w:lineRule="exact"/>
        <w:rPr>
          <w:rFonts w:ascii="Times New Roman" w:cs="Times New Roman" w:eastAsia="Times New Roman" w:hAnsi="Times New Roman"/>
          <w:sz w:val="18"/>
          <w:szCs w:val="18"/>
          <w:color w:val="auto"/>
        </w:rPr>
      </w:pPr>
    </w:p>
    <w:p>
      <w:pPr>
        <w:ind w:left="1000" w:hanging="317"/>
        <w:spacing w:after="0" w:line="28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Yield &amp; DeFi Solutions </w:t>
      </w:r>
      <w:r>
        <w:rPr>
          <w:rFonts w:ascii="Times New Roman" w:cs="Times New Roman" w:eastAsia="Times New Roman" w:hAnsi="Times New Roman"/>
          <w:sz w:val="18"/>
          <w:szCs w:val="18"/>
          <w:color w:val="auto"/>
        </w:rPr>
        <w:t>– Amber DWM offers earn programs, staking rewards, and DeFi yield-related products,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structured to enhance capital efficiency while maintaining effective risk management.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1000" w:hanging="317"/>
        <w:spacing w:after="0" w:line="26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Collateralized Lending </w:t>
      </w:r>
      <w:r>
        <w:rPr>
          <w:rFonts w:ascii="Times New Roman" w:cs="Times New Roman" w:eastAsia="Times New Roman" w:hAnsi="Times New Roman"/>
          <w:sz w:val="18"/>
          <w:szCs w:val="18"/>
          <w:color w:val="auto"/>
        </w:rPr>
        <w:t>– Amber DWM offers crypto-backed financing solutions that allow clients to obtain liquidity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against their digital asset holdings. These services include configurable loan terms and automated position monitoring mechanisms designed to reduce the risk of forced liquidation.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Full-Stack Execution Solutions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DWM’s execution solutions provide direct access to over 2,000 trading pairs across more than 100 centralized exchanges (CEXs), decentralized exchanges (DEXs), and over-the-counter (OTC) markets. The platform’s connectivity to a broad network of liquidity sources enables trade execution across a wide range of digital assets.</w:t>
      </w:r>
    </w:p>
    <w:p>
      <w:pPr>
        <w:spacing w:after="0" w:line="172" w:lineRule="exact"/>
        <w:rPr>
          <w:sz w:val="20"/>
          <w:szCs w:val="20"/>
          <w:color w:val="auto"/>
        </w:rPr>
      </w:pPr>
    </w:p>
    <w:p>
      <w:pPr>
        <w:jc w:val="both"/>
        <w:ind w:left="1000" w:hanging="317"/>
        <w:spacing w:after="0" w:line="26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Automated Execution </w:t>
      </w:r>
      <w:r>
        <w:rPr>
          <w:rFonts w:ascii="Times New Roman" w:cs="Times New Roman" w:eastAsia="Times New Roman" w:hAnsi="Times New Roman"/>
          <w:sz w:val="18"/>
          <w:szCs w:val="18"/>
          <w:color w:val="auto"/>
        </w:rPr>
        <w:t>– Amber DWM’s execution services are backed by a high-performance trading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supporting automated strategies and advanced order execution methods, such as Volume Weighted Average Price (VWAP) and Time Weighted Average Price (TWAP), and Iceberg strategies for optimized trading.</w:t>
      </w:r>
    </w:p>
    <w:p>
      <w:pPr>
        <w:spacing w:after="0" w:line="170" w:lineRule="exact"/>
        <w:rPr>
          <w:rFonts w:ascii="Times New Roman" w:cs="Times New Roman" w:eastAsia="Times New Roman" w:hAnsi="Times New Roman"/>
          <w:sz w:val="18"/>
          <w:szCs w:val="18"/>
          <w:color w:val="auto"/>
        </w:rPr>
      </w:pPr>
    </w:p>
    <w:p>
      <w:pPr>
        <w:jc w:val="both"/>
        <w:ind w:left="1000" w:hanging="317"/>
        <w:spacing w:after="0" w:line="26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OTC Trading </w:t>
      </w:r>
      <w:r>
        <w:rPr>
          <w:rFonts w:ascii="Times New Roman" w:cs="Times New Roman" w:eastAsia="Times New Roman" w:hAnsi="Times New Roman"/>
          <w:sz w:val="18"/>
          <w:szCs w:val="18"/>
          <w:color w:val="auto"/>
        </w:rPr>
        <w:t>– Amber DWM offers over-the-counter trading solutions through a 24/7 institutional OTC desk to facilitate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large-order execution through bilateral transactions. The solutions are tailored to institutional clients and are designed to minimize market impact.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Seamless Crypto Payment Solutions</w:t>
      </w:r>
    </w:p>
    <w:p>
      <w:pPr>
        <w:spacing w:after="0" w:line="225" w:lineRule="exact"/>
        <w:rPr>
          <w:sz w:val="20"/>
          <w:szCs w:val="20"/>
          <w:color w:val="auto"/>
        </w:rPr>
      </w:pPr>
    </w:p>
    <w:p>
      <w:pPr>
        <w:ind w:left="1000" w:right="20" w:hanging="317"/>
        <w:spacing w:after="0" w:line="28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Fiat On/Off-Ramp </w:t>
      </w:r>
      <w:r>
        <w:rPr>
          <w:rFonts w:ascii="Times New Roman" w:cs="Times New Roman" w:eastAsia="Times New Roman" w:hAnsi="Times New Roman"/>
          <w:sz w:val="18"/>
          <w:szCs w:val="18"/>
          <w:color w:val="auto"/>
        </w:rPr>
        <w:t>– Amber DWM provides crypto-to-fiat and fiat-to-crypto conversion services through regulated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channels, enabling clients to transact between digital assets and traditional currencies in a secure and compliant manner.</w:t>
      </w:r>
    </w:p>
    <w:p>
      <w:pPr>
        <w:spacing w:after="0" w:line="154" w:lineRule="exact"/>
        <w:rPr>
          <w:rFonts w:ascii="Times New Roman" w:cs="Times New Roman" w:eastAsia="Times New Roman" w:hAnsi="Times New Roman"/>
          <w:sz w:val="18"/>
          <w:szCs w:val="18"/>
          <w:color w:val="auto"/>
        </w:rPr>
      </w:pPr>
    </w:p>
    <w:p>
      <w:pPr>
        <w:jc w:val="both"/>
        <w:ind w:left="1000" w:hanging="317"/>
        <w:spacing w:after="0" w:line="259"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Amber Premium Crypto Card </w:t>
      </w:r>
      <w:r>
        <w:rPr>
          <w:rFonts w:ascii="Times New Roman" w:cs="Times New Roman" w:eastAsia="Times New Roman" w:hAnsi="Times New Roman"/>
          <w:sz w:val="18"/>
          <w:szCs w:val="18"/>
          <w:color w:val="auto"/>
        </w:rPr>
        <w:t>– Amber Premium Crypto Card is a virtual payment solution designed to seamlessly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integrate digital assets with traditional financial systems. This card enables users to directly spend a broad range of cryptocurrencies—including yield-generating digital assets—at merchants worldwide, with real-time transaction settlement. The Amber Premium Crypto Card aims to enhance the utility of digital assets by facilitating instantaneous and secure payments across the global merchant network.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Amber DWM’s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key factors affecting Amber DWM’s financial condition and results of operations include the followings: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Demand for Digital Asset Management Products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market demand for digital asset management products is affected by a variety of factors related to market conditions and overall sentiment towards digital assets. Developments within the cryptoeconomy—such as regulatory changes, technological advancements, or notable actions by major companies—can rapidly alter perceptions and adoption rates. For instance, if leading firms successfully implement fiat on/off ramp services or enhance OTC trading and execution capabilities, this could bolster confidence in digital assets as viable mediums of exchange or stores of value. While occasional challenges like security concerns or regulatory adjustments may arise, they are part of the dynamic landscape influencing user and investor confidence, affecting clients’ demand for these products. Additionally, evolving social media trends and market speculation may sway consumer preferences, impacting which digital assets are perceived as valuable.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the ability of digital assets to meet user demands and provide tangible utility is crucial. As consumers seek products that integrate seamlessly into their financial lives, the functionality of digital assets and their ecosystems becomes paramount. These economic fluctuations can further influence these trends, reducing purchasing power and investment willingness at times. On the other hand, they also present opportunities for innovation and adaptability. This interplay of market sentiment, functionality, regulatory landscape, and economic conditions creates a dynamic environment for demand, driving the need for agility and innovation in responding to evolving consumer needs and perceptions in the cryptoeconomy.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of Digital Assets and Transaction Volume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Amber DWM earns conversion fees when clients transfer or withdraw funds and/or digital assets from its platform, and performs conversion between fiat currencies and digital assets. Amber DWM also earns finance income mainly from premiums earned on structured products as well as interest earned from digital asset lending arrangements. Depending on product type, Amber DWM either charges a flat fee or a percentage of the value of each transaction. Therefore, Amber DWM’s operating results are dependent on the prices of digital assets, transaction volumes, and market liquidity for digital assets.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 May 2025, we announced the crypto reserve plan of up to US$100 million. The reserve strategy will initially focus on high-conviction digital assets, such as Binance Coin (BNB), Solana (SOL), Sui (SUI), Ripple (XRP), Bitcoin (BTC), and Ethereum (ETH) — with flexibility to expand into other ecosystem-aligned tokens as well as allocate funds for stablecoins such as World Liberty Financial USD (USD1). As a result, Amber DWM’s financial conditions and results of operation are affected by the fluctuations in the market price of these digital assets and any associated unrealized gains or losses. Such gains or losses may be recognized in its financial statements as a result of a changes in the market price of these digital assets relative to the carrying values recorded on our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Effectiveness of Innovative “1+N” Premium Servicing Model and Client Support and Servicing Capabilities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Central to Amber DWM’s offering is the innovative “1+N” premium service model. This client-first approach pairs each client with a dedicated relationship manager (the “1”) supported by a team of domain experts (the “N”), delivering tailored services across the entire digital asset wealth management lifecycle, including fiat on/off ramp services, OTC trading and execution services, standard earn/structured products and DeFi yield-enhanced products. The effectiveness of the “1+N” model may be affected during periods of market volatility, where rapid decisions and responses are crucial, potentially impacting the quality of client engagement and service delivery. In addition, this model requires seamless collaboration between the relationship manager and experts. In addition, Amber DWM’s ability to cross-sell its products (e.g., transitioning clients from OTC trading to structured products) could materially affect its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Competitively Price Products and Services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Amber DWM’s operating results depend on its ability to competitively price its products and services. Similar to the industry peers, as the industry evolves, Amber DWM anticipates some fee pressure. Amber DWM’s strategy is to maintain its position as a trusted brand while developing new products and services to enhance its customer value proposition and offset the effects of any future fee pressure. Maintaining and growing client trust in Amber DWM’s brand is critical. In addition, Amber DWM’s ability to capture value through the development of new and existing products and services may also affect its operating results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regulatory environment for digital assets is complex and evolving, presenting both challenges and opportunities that could affect Amber DWM’s financial performance. While Amber DWM is committed to designing products and services that adhere to legal requirements, changes in laws and regulations may influence Amber DWM’s ability to onboard customers and offer products across various regions.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Amber DWM’s financial prospects and growth depend significantly on its ability to continue to operate in compliance with these regulations. Amber DWM designs its products and services to ensure legal compliance. Amber DWM maintains operations and holds licenses in multiple jurisdictions, each subject to its own legal framework. Amber DWM expects to continue to invest significant resources to comply with these regulatory requirements.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of Amber DWM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a summary of Amber DWM’s consolidated results of operations for the six months ended December 31, 2024 and 2023. This information should be read together with Amber DWM’s consolidated financial statements and related notes included elsewhere in this transition report. The operating results in any period are not necessarily indicative of the results that may be expected for any future period and the period-to-period comparisons discussed below may not be meaningful and are not indicative of Amber DWM’s future trends.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860" w:type="dxa"/>
            <w:vAlign w:val="bottom"/>
            <w:tcBorders>
              <w:bottom w:val="single" w:sz="8" w:color="auto"/>
            </w:tcBorders>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122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1220" w:type="dxa"/>
            <w:vAlign w:val="bottom"/>
            <w:gridSpan w:val="3"/>
          </w:tcPr>
          <w:p>
            <w:pPr>
              <w:jc w:val="right"/>
              <w:ind w:right="64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86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42"/>
        </w:trPr>
        <w:tc>
          <w:tcPr>
            <w:tcW w:w="5840" w:type="dxa"/>
            <w:vAlign w:val="bottom"/>
          </w:tcPr>
          <w:p>
            <w:pPr>
              <w:spacing w:after="0"/>
              <w:rPr>
                <w:sz w:val="12"/>
                <w:szCs w:val="12"/>
                <w:color w:val="auto"/>
              </w:rPr>
            </w:pPr>
          </w:p>
        </w:tc>
        <w:tc>
          <w:tcPr>
            <w:tcW w:w="90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i w:val="1"/>
                <w:iCs w:val="1"/>
                <w:color w:val="auto"/>
              </w:rPr>
              <w:t>(Audited)</w:t>
            </w: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5,596,799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(856,768)</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(3,852,025)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r>
      <w:tr>
        <w:trPr>
          <w:trHeight w:val="209"/>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813,241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1,744,774</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205,576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 expenses</w:t>
            </w:r>
          </w:p>
        </w:tc>
        <w:tc>
          <w:tcPr>
            <w:tcW w:w="10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(195,720)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(294,403)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(2,164)</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(2,176,000)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(130.3)</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(4,219,116)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(59,184)</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(24,690)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(2,433,068)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(145.7)</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(4,613,431)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w:t>
            </w:r>
          </w:p>
        </w:tc>
      </w:tr>
      <w:tr>
        <w:trPr>
          <w:trHeight w:val="209"/>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(1,570,727)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(2,663,081)</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on derivative contract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Realized fair value changes of digital assets</w:t>
            </w: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(54,607)</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(212,581)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98"/>
        </w:trPr>
        <w:tc>
          <w:tcPr>
            <w:tcW w:w="5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fair value changes of digital assets on loan from related parties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denominated in digital assets</w:t>
            </w:r>
          </w:p>
        </w:tc>
        <w:tc>
          <w:tcPr>
            <w:tcW w:w="10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(426,801)</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fair value changes of digital assets on loan from related parties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denominated in digital assets</w:t>
            </w: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(3,782,355)</w:t>
            </w: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(226.5)</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(10,034,795)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fair value changes of digital assets</w:t>
            </w: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(4,237,845)</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(253.7)</w:t>
            </w:r>
          </w:p>
        </w:tc>
        <w:tc>
          <w:tcPr>
            <w:tcW w:w="16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(10,268,962)</w:t>
            </w:r>
          </w:p>
        </w:tc>
        <w:tc>
          <w:tcPr>
            <w:tcW w:w="1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(183.5)</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(5,808,572)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(347.8)</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(12,932,043)</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(231.1)</w:t>
            </w:r>
          </w:p>
        </w:tc>
      </w:tr>
      <w:tr>
        <w:trPr>
          <w:trHeight w:val="210"/>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 representing total comprehensive loss for the period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(5,808,572)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(347.8)</w:t>
            </w:r>
          </w:p>
        </w:tc>
        <w:tc>
          <w:tcPr>
            <w:tcW w:w="1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(12,932,043)</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(231.1)</w:t>
            </w: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owners of the Company Basic and diluted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Basic and diluted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 of Amber DWM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Amber DWM generates revenue from wealth management solutions, execution solutions and payment solutions. Wealth management solutions revenue is mainly generated from finance income, premiums earned on structured products and agency fees. Execution solutions revenue mainly includes the transaction fees from execution services. Payment solutions revenue is generated from the conversion fee of our fiat on/off-ramp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breakdown of Amber DWM’s total revenue, both in absolute amounts and as percentages of its total revenue for the periods presented.</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640" w:type="dxa"/>
            <w:vAlign w:val="bottom"/>
            <w:tcBorders>
              <w:bottom w:val="single" w:sz="8" w:color="auto"/>
            </w:tcBorders>
            <w:gridSpan w:val="7"/>
          </w:tcPr>
          <w:p>
            <w:pPr>
              <w:ind w:left="5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480" w:type="dxa"/>
            <w:vAlign w:val="bottom"/>
            <w:tcBorders>
              <w:bottom w:val="single" w:sz="8" w:color="auto"/>
            </w:tcBorders>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82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28"/>
        </w:trPr>
        <w:tc>
          <w:tcPr>
            <w:tcW w:w="482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left="398"/>
              <w:spacing w:after="0" w:line="129" w:lineRule="exact"/>
              <w:rPr>
                <w:sz w:val="20"/>
                <w:szCs w:val="20"/>
                <w:color w:val="auto"/>
              </w:rPr>
            </w:pPr>
            <w:r>
              <w:rPr>
                <w:rFonts w:ascii="Times New Roman" w:cs="Times New Roman" w:eastAsia="Times New Roman" w:hAnsi="Times New Roman"/>
                <w:sz w:val="14"/>
                <w:szCs w:val="14"/>
                <w:i w:val="1"/>
                <w:iCs w:val="1"/>
                <w:color w:val="auto"/>
                <w:w w:val="94"/>
              </w:rPr>
              <w:t>(Audited)</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 solutions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814,526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4,996,257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Execution solutions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267,266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solutions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799,812</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333,276</w:t>
            </w: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1,670,009</w:t>
            </w:r>
          </w:p>
        </w:tc>
        <w:tc>
          <w:tcPr>
            <w:tcW w:w="14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5,596,799</w:t>
            </w:r>
          </w:p>
        </w:tc>
        <w:tc>
          <w:tcPr>
            <w:tcW w:w="1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DWM’s cost of revenue mainly consists of interests and premium costs paid to clients, the premium costs associated with managing the risks of the underlying assets of Amber DWM’s structured products when acting on a principal basis, and customer referral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Amber DWM’s total operating expenses consist of technology and development expenses, sales and marketing expenses, general and administrative expenses and finance costs.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Amber DWM’s operating expenses, both in absolute amount and as a percentage of its net revenues, for the periods presented.</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82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500" w:type="dxa"/>
            <w:vAlign w:val="bottom"/>
            <w:tcBorders>
              <w:bottom w:val="single" w:sz="8" w:color="auto"/>
            </w:tcBorders>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1040" w:type="dxa"/>
            <w:vAlign w:val="bottom"/>
            <w:tcBorders>
              <w:bottom w:val="single" w:sz="8" w:color="auto"/>
            </w:tcBorders>
            <w:gridSpan w:val="2"/>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1040" w:type="dxa"/>
            <w:vAlign w:val="bottom"/>
            <w:gridSpan w:val="2"/>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8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42"/>
        </w:trPr>
        <w:tc>
          <w:tcPr>
            <w:tcW w:w="4620" w:type="dxa"/>
            <w:vAlign w:val="bottom"/>
          </w:tcPr>
          <w:p>
            <w:pPr>
              <w:spacing w:after="0"/>
              <w:rPr>
                <w:sz w:val="12"/>
                <w:szCs w:val="12"/>
                <w:color w:val="auto"/>
              </w:rPr>
            </w:pPr>
          </w:p>
        </w:tc>
        <w:tc>
          <w:tcPr>
            <w:tcW w:w="90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i w:val="1"/>
                <w:iCs w:val="1"/>
                <w:color w:val="auto"/>
              </w:rPr>
              <w:t>(Audited)</w:t>
            </w: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 expenses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(195,720)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(294,403)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(75,222)</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(2,176,000)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(4,219,116)</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(59,184)</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bl>
    <w:p>
      <w:pPr>
        <w:spacing w:after="0" w:line="1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Technology and development expenses. </w:t>
      </w:r>
      <w:r>
        <w:rPr>
          <w:rFonts w:ascii="Times New Roman" w:cs="Times New Roman" w:eastAsia="Times New Roman" w:hAnsi="Times New Roman"/>
          <w:sz w:val="18"/>
          <w:szCs w:val="18"/>
          <w:color w:val="auto"/>
        </w:rPr>
        <w:t>Amber DWM’s technology and development expenses primarily consist of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expenses, software services expenses incurred in operating, maintaining, and enhancing its platform and in developing new products and services.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Amber DWM’s sales and marketing expenses primarily consist of branding and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Amber DWM’s general and administrative expenses primarily consist of personnel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legal and professional fee, depreciation and amortization, office supplies and maintenance, and other corporate related expenses.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Finance costs. </w:t>
      </w:r>
      <w:r>
        <w:rPr>
          <w:rFonts w:ascii="Times New Roman" w:cs="Times New Roman" w:eastAsia="Times New Roman" w:hAnsi="Times New Roman"/>
          <w:sz w:val="18"/>
          <w:szCs w:val="18"/>
          <w:color w:val="auto"/>
        </w:rPr>
        <w:t>Amber DWM’s finance costs consist of interest expense on lease liabilities and related parties.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Amber DWM’s total other expenses mainly consist of realized and unrealized fair value changes of digital assets.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DWM’s total realized fair value changes of digital assets represents changes in the prices of digital assets traded in Amber DWM’s ordinary course of business and changes in the prices of BTC and ETH borrowed from or repaid to related parties by Amber DWM.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DWM’s total unrealized fair value changes of digital assets mainly represents changes in the prices of BTC and ETH loaned to Amber DWM by Amber Global Limited (“Amber Group”) in connection with the acquisition of Sparrow Holdings Pte. Ltd. in 2022, which has been waived by Amber Group as of the date of this transition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 is incorporated in the Cayman Islands. The Cayman Islands currently levies no taxes on individuals or corporations based upon profits, income, gains or appreciation and there is no taxation in the nature of inheritance tax or estate duty. The Cayman Islands does not impose a withholding tax on payments of dividends to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DWM’s subsidiaries incorporated in the British Virgin Islands are not subject to income or capital gains taxes, estate duty, inheritance tax or gift tax. In addition, payment of dividends to the shareholders of Amber DWM’s subsidiaries in the British Virgin Islands are not subject to withholding tax in the British Virgin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current Hong Kong Inland Revenue Ordinance, Amber DWM’s subsidiary incorporated in Hong Kong is subject to 16.5% income tax on their taxable income generated from operations in Hong Kong before April 1, 2018. Starting from the financial year commencing on April 1, 2018, the two- tiered profits tax regime took effect, under which the tax rate is 8.25% for assessable profits on the first HK$2 million and 16.5% for any assessable profits in excess of HK$2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the current Inland Revenue Authority of Singapore, Amber DWM’s subsidiaries incorporated in Singapore are subject to a statutory tax rate of 17% (2023: 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Dubai</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current Dubai Ministry of Finance, Amber DWM’s subsidiary incorporated in Dubai is subject to UAE corporate tax on their taxable income generated from operations in Dubai. As per Ministry of Finance, corporate rates are: 0% for taxable income up to AED375,000 and 9% for taxable income above AED375,000.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December 31, 2024 Compared to Six Months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Amber DWM’s revenue increased from US$1.7 million for the six months ended December 31, 2023 to US$5.6 million for the six months ended December 31, 2024, as a result of robust market growth in digital asset industry and strategic partnerships.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DWM’s revenue from wealth management solutions increased from US$0.8 million for the six months ended December 31, 2023 to US$5.0 million for the six months ended December 31, 2024, primarily due to strong demand on our diverse investment products, such as structured products which we recorded a significant increase on client asset amount on platform during the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DWM’s revenue from execution solutions increased from US$56 thousand for the six months ended December 31, 2023 to US$0.3 million for the six months ended December 31, 2024, primarily due to improvement in average execution fee rate resulting from strategic partnerships, as well as increase in execution trading volume due to favorable market conditions.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DWM’s revenue from payment solutions decreased from US$0.8 million for the six months ended December 31, 2023 to US$0.3 million for the six months ended December 31, 2024, primarily due to lower crypto to fiat conversion volumes as clients chose to maintain their digital assets.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Amber DWM’s cost of revenue increased from US$0.9 million for the six months ended December 31, 2023 to US$3.9 million for the six months ended December 31, 2024, primarily driven by the growth in wealth management solutions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Profit Margin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above, Amber DWM’s gross profit was more than doubled, increasing from US$0.8 million for the six months ended December 31, 2023 to US$1.7 million for the six months ended December 31, 2024. Amber DWM’s gross profit margin changed from 48.7% to 31.2% during the same periods, primarily because of the increase in customer referral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Amber DWM’s other income mainly consists of interest income, government grants, service income, and others.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DWM’s other income increased from US$49 thousand for the six months ended December 31, 2023 to US$0.2 million for the six months ended December 31, 2024, primarily due to interest income generated from bank deposits during the period and service income from related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Amber DWM’s total operating expenses increased from US$2.4 million for the six months ended December 31, 2023 to US$4.6 million for the six months ended December 31,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DWM’s technology and development expenses increased from US$0.2 million for the six months ended December 31, 2023 to US$0.3 million for the six months ended December 31, 2024, primarily attributable to the increase of IT and related services fee for business expansion.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DWM’s sales and marketing expenses increased from US$2 thousand for the six months ended December 31, 2023 to US$75 thousand for the six months ended December 31, 2024, primary because Amber DWM held more promotional events during the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DWM’s general and administrative expenses increased from US$2.2 million for the six months ended December 31, 2023 to US$4.2 million for the six months ended December 31, 2024, primarily related to personnel expenses, legal and professional fee for business expansion.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Amber DWM’s finance costs was US$59 thousand for the six months ended December 31, 2023, compared to US$25 thousand for the six months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Amber DWM’s total other expenses increased from US$4.2 million for the six months ended December 31, 2023 to US$10.3 million for the six months ended December 31, 2024.</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Amber DWM’s unrealized fair value loss of digital assets on loan from related parties denominated in digital assets increased from US$3.8 million for the six months ended December 31, 2023 to US$10.0 million for the six months ended December 31, 2024. Realized fair value loss of digital assets was US$55 thousand for the six months ended December 31, 2023, compared to US$0.2 million for the six months ended December 31, 2024. Fair value changes on derivative contract was US$0.1 million loss for the six months ended December 31, 2024, compared to US$26 thousand gain for the six months ended December 31, 2023. These changes are primarily due to the increase in BTC and ETH prices. The effect was partially offset by a decrease in realized fair value loss of digital assets on loan from related parties denominated in digital assets amounting to US$0.4 million, which resulted from the repayment of BTC and ETH to related parties in the six months ended December 31, 2023, while no additional borrowing or repayment of digital assets occurred in the six months ended December 31, 2024.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Amber DWM was still in accumulated loss position and incurred nil current income tax expense for the six months ended December 31, 2023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Amber DWM incurred a net loss of US$12.9 million for the six months ended December 31, 2024, as compared to a net loss of US$5.8 million for the six months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Changes in Accounting Policies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detailed discussion on the recent changes in accounting policies, see Note 2.2 to Amber DWM’s consolidated financial statements included elsewhere in this transition report.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5B.</w:t>
      </w:r>
      <w:r>
        <w:rPr>
          <w:sz w:val="20"/>
          <w:szCs w:val="20"/>
          <w:color w:val="auto"/>
        </w:rPr>
        <w:tab/>
      </w:r>
      <w:r>
        <w:rPr>
          <w:rFonts w:ascii="Times New Roman" w:cs="Times New Roman" w:eastAsia="Times New Roman" w:hAnsi="Times New Roman"/>
          <w:sz w:val="17"/>
          <w:szCs w:val="17"/>
          <w:b w:val="1"/>
          <w:bCs w:val="1"/>
          <w:color w:val="auto"/>
        </w:rPr>
        <w:t>LIQUDITY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reporting period, Amber DWM’s principal sources of liquidity have been cash generated from its operating activities and advances from the ultimate holding company, Amber Group, and related companies. As of December 31, 2024, Amber DWM had US$6.3 million in cash and cash equivalents and primarily consisted of bank balances which are readily convertible to known amounts of cash and subject to insignificant risk of changes in value, and pledged deposits of US$3.0 million. Amber DWM closely monitors its cash balance and future payments obligations by preparing monthly management account and regular fund reports to provide a timely overview of its overall cash position and liquidity and risk control measurements. Such reports will be reviewed by the management. In addition, Amber DWM has adopted a stringent cash management policy. Amber DWM also regularly monitors its current and expected liquidity requirements to ensure that it maintains sufficient cash balances to meet its liquidity needs.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Amber DWM’s cash flows for the periods indicated:</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i w:val="1"/>
                <w:iCs w:val="1"/>
                <w:color w:val="auto"/>
              </w:rPr>
              <w:t>(Audited)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Data:</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(1,143,113)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(1,732,305)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1,524,027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380,914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2,510,386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98,162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479,076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6,276,733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US$1.7 million in the six months ended December 31, 2024, which was mainly attributable to net loss of US$12.9 million, partially offset by non-cash items of US$10.4 million and a net increase in working capital of US$0.8 million. The non-cash items of US$10.4 million mainly consisted of unrealized fair value loss on amount due to related parties denominated in digital assets of US$10.0 million, amount received from related parties in digital assets of US$1.9 million, partially offset by net income settled in digital assets of US$1.7 million. The net increase in working capital was primarily attributable to increase of trade and other payables during the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US$1.1 million in the six months ended December 31, 2023, which was mainly attributable to net loss of US$5.8 million, partially offset by non-cash items of US$4.3 million and a net increase in working capital of US$0.3 million. The non-cash items of US$4.3 million mainly consisted of unrealized fair value loss on amount due to related parties denominated in digital assets of US$3.8 million, and depreciation and amortization expenses of US$0.3 million. The net increase in working capital was primarily attributable to increase in trade and other payables of US$0.3 million during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US$59 thousand in the six months ended December 31, 2024, which was mainly attributable to purchase of computer software of US$76 thousand and increase of pledged deposits of US$49 thousand during the period, partially offset by interest received of US$66 thousand.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 was nil in the six months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generated from financing activities was US$4.3 million in the six months ended December 31, 2024, mainly attributable to proceeds from related parties of US$6.5 million, partially offset by proceeds paid to related parties amounting to US$2.2 million during the period.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generated from financing activities was US$1.5 million in the six months ended December 31, 2023, mainly attributable to proceeds from related parties amounting to US$1.7 million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Amber DWM did not have any credit facilities, significant capital and other commitments, long-term obligations, or guarantees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 made capital expenditures of US$76 thousand in the six months ended December 31, 2024, which was used for purchase of computer software. The capital expenditure was nil in the six months ended December 31, 2023. Amber DWM will continue to make capital expenditures to support its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Amber DWM did not have material cash requirements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29, 2024, Amber DWM entered into a definitive agreement and plan of merger (the “Merger Agreement”) with iClick and Overload Merger Sub Ltd., a Cayman Islands exempted company and a direct, wholly owned subsidiary of iClick. Pursuant to the Merger Agreement, Overload Merger Sub will merge with Amber DWM, with Amber DWM continuing as the surviving entity and becoming a wholly-owned subsidiary of iClick, and the shareholders of Amber DWM will exchange all of its issued and outstanding share capital for a mixture of newly issued Class A and Class B ordinary shares of iClick on the terms and conditions set forth therein in a transaction exempt from the registration requirements under the Securities Act of 1933.</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Merger was closed on March 12, 2025. In connection with the Merger, the Company changed its name from “iClick Interactive Asia Group Limited” to “Amber International Holding Limited”. In addition, ADSs began trading under the new ticker symbol “AMBR” on the Nasdaq effective on March 13,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the Merger, on March 12, 2025, we entered into intercompany services agreements with certain wholly owned subsidiaries of Amber Group. These agreements would afford us with substantially the same economic benefits as the transactions contemplated under the Merger Agreement signed in connection with the Merger, pending certain regulatory approvals for DWM Asset Restructuring contemplated under the Merger Agreement. This includes our entitlement to 100% of the consolidated net income generated from certain contracts associated with WhaleFin Technologies Limited (“WFTL”) effective from January 1, 2025, and 100% consolidated net income of Sparrow Tech effective from March 12, 2025. On March 12, 2025, Amber DWM transferred all of its shares in Sparrow Holdings Pte. Ltd. (a subsidiary of Amber DWM and holds 100% shares in Sparrow Tech) to Amber Group.</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2025, Sparrow Tech has received the necessary approvals to become a wholly-owned subsidiary of the Company, and has been rebranded to Amber Premium Singapore. On the same date, Amber Group transferred its shares in Sparrow Holdings Pte. Ltd. to Amber DWM and Sparrow Tech has become a wholly-owned subsidiary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Amber International Holding Limited is a Cayman Islands exempted limited liability company, used as a holding company with no material operations of its own. We conduct our operations primarily through our wholly-owned subsidiaries and other consolidated entities in Hong Kong, Singapore, Dubai and the PRC. As a result, our ability to pay dividends depends upon dividends paid by our subsidiaries. If our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the accounting standards and regulations of Hong Kong, Singapore, Dubai and the PRC.</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counsel as to Singapore law, has advised us that the governing legislation for the distribution of dividends in Singapore is the Companies Act 1967 of Singapore (the “Companies Act”). Under Section 403(1) of the Companies Act, a Singapore company is only allowed to pay dividends out of profits and there are certain restrictions on the use of profits for the purposes of dividend declaration. Firstly, pursuant to Section 403(1A) of the Companies Act, any profits of a company applied towards the purchase or acquisition of its own shares pursuant to the share buyback provisions under the Companies Act cannot be payable as dividends to the shareholders. However, under Section 403(1B) of the Companies Act the foregoing restriction does not apply to any part of the proceeds received by the company as consideration for a sale or disposal of its treasury shares which the company has applied towards the profits of the company. Further, pursuant to Section 403(1C) of the Companies Act, any gains derived from the sale of or disposal of treasury shares cannot be payable as dividends to the shareholders of the company. In addition to complying with the Companies Act, the payment of dividends must also be in accordance with the company’s constitution and the generally acceptable accounting principles in Singapore.</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counsel as to Hong Kong law, has advised us that under the current practice of the Inland Revenue Department of Hong Kong, no tax is payable in Hong Kong in respect of dividends paid by us as a company incorporated in Cayman Islands. There are no restrictions or limitations under the laws of Hong Kong imposed on the conversion of HK dollar into foreign currencies and the remittance of currencies out of Hong Kong. A Hong Kong company is, however, subject to the requirement under the Companies Ordinance of Hong Kong that it may only make a distribution out of profits available for distribution or other distributable reserves.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Amber DWM’s activities expose it to a variety of financial risks from its operation. The key financial risks include credit risk, liquidity risk and market risk (including foreign currency risk, digital asset price risk, risks associated with the storage and protection of digital assets and investment risk related to trading of digital assets). For the descriptions of credit risk and liquidity risk, see “Notes to The Consolidated Financial Statements – Note 24. Financial risk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Foreign currency risk arises from cash flows from transactions denominated in foreign currencies. Amber DWM has transactional currency exposures arising from sales or purchases that are denominated in a currency other than the functional currency, primarily Singapore Dollar (“SGD”). If the U.S. dollar appreciates against the SGD by 5%, Amber DWM’s profit would decrease by approximately US$23,000 in the six months ended December 31, 2024. Amber DWM does not have any formal policy for hedging against currency risk. The value of the SGD against the U.S. dollar and other currencies may fluctuate and is affected by, among other things, changes in economic conditions in Singapore and U.S. and by Singapore’s foreign exchange policies.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SGD for our operations, appreciation of SGD against the U.S. dollar would reduce the SGD amount we receive from the conversion. Conversely, if we decide to convert SGD into U.S. dollars for the purpose of making payments for dividends on our ordinary shares or ADSs, servicing our outstanding debts, or for other business purposes, appreciation of the U.S. dollar against the SGD would reduce the U.S. dollar amounts available to us.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of our operating activities are transacted in Hong Kong dollars. We consider the foreign exchange risk in relation to transactions denominated in Hong Kong dollars with respect to U.S. dollars is not significant as HK dollar is pegged to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 Price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Crypto asset risk is the risk that future profit and financial position will fluctuate because of changes in the price of crypto assets. Digital assets that Amber DWM deals with in its trading activities are digital assets such as BTC and ETH which can be traded in a number of public exchanges.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Amber DWM’s exposure to price risk arises from digital assets and digital assets payables which are both measured on a fair value basis. In particular, Amber DWM’s operating result may depend upon the market price of BTC and ETH, as well as other digital assets. If the price of BTC and ETH rise by 30%, Amber DWM’s profit would increase by approximately US$31,000 and US$6,000 in the six months ended December 31, 2024, respectively. Digital asset prices have fluctuated significantly from time to time. There is no assurance that digital asset prices will reflect historical trends.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price risk of digital assets arising from trading of digital assets business is partially offset by remeasurement of digital assets payables representing the obligations to deliver digital assets held by Amber DWM in the customers’ accounts to the customers under the respective trading arrangements with Amber DWM.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more quantitative analysis of the foreign currency risk and digital assets price risk, see “Notes to The Consolidated Financial Statements – Note 24. Financial risk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Storage and Protection of Digital Assets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Amber DWM primarily stores its digital assets with cryptocurrency custodians to facilitate customers deposits and withdrawals. Due to the lack of an insurance policy for its digital assets, any disruptions or closures of cryptocurrency custodians, as well as potential cyber-attacks or thefts, could result in substantial losses for Amber DWM.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 Related to Trading of Digital Assets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follow a fully hedged strategy for structured products. Each user-facing structured product is quoted by a related party and a spread is added before it is quoted to clients. Therefore, there is no exposure to structured products.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5C. RESEARCH AND DEVELOPMENT, PATENTS AND LICENSES, ETC.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this transition report, we do not have intellectual property rights that are material to our business.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require license to operate our business in Singapore. Sparrow Tech, our wholly-owned subsidiary, holds a Major Payment Institution (MPI) License issued by the Monetary Authority of Singapore to provide Digital Payment Token services in Singapore under the Payment Services Act.</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5D. TREND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transition report, we are not aware of any trends, uncertainties, demands, commitments or events that are reasonably likely to have a material effect on our revenue, income, profitability, liquidity or capital resources, or that would cause reported consolidated financial information not necessarily to be indicative of future operating results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5E. Critical Accounting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discussion and analysis of Amber DWM’s financial condition and results of operations relates to Amber DWM’s consolidated financial statements, which have been prepared in accordance with the International Financial Reporting Standards (“IFRS”) issued by the International Accounting Standards Board. The preparation of these financial statements requires Amber DWM to make estimates and judgments that affect the reported amounts of assets, liabilities, revenues, costs and expenses, and related disclosures. On an on-going basis, Amber DWM evaluates its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accounting estimates are considered critical if: (i) the accounting estimate requires Amber DWM to make assumptions about matters that were highly uncertain at the time the accounting estimate was made, and (ii) changes in the estimate that are reasonably likely to occur from period to period or use of different estimates that Amber DWM reasonably could have used in the current period, would have a material impact on Amber DWM’s financial condition or results of operations. Changes in estimates used in these and other items could have a material impact on Amber DWM’s financial statements.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detailed discussion of the significant accounting policies and related judgments, see “Notes to The Consolidated Financial Statements – Note 2. Summary of significant accounting policies”.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accounting estimates relate to the significant areas involving management’s judgments and estimates in the preparation of Amber DWM’s financial statements, and are those that management believes are the most critical to aid the understanding and evaluation of this management discussion and analysis: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Financial Instruments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measured at fair value at initial recognition and designated to be measured subsequently at fair value through profit or loss. Amber DWM had applied Black-Scholes model to estimate the fair value of the derivative financial instrument. The key inputs contributing to the estimation uncertainty include annualized volatility and risk-free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Amber DWM tests goodwill for impairment at least on an annual basis. Determining whether goodwill is impaired requires an estimation of the value-in-use of the cash-generating units (“CGU”) to which goodwill has been allocated. The value-in-use calculation requires the entity to estimate the future cash flows expected to arise from the CGU and a suitable discount rate in order to calculate present value. No impairment loss was recognised during the financial period/year ended December 31 and June 30, 2024.</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9"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Statements and Other Financial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16K.</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implemented processes for assessing, identifying and managing material risks from cybersecurity threats. These processes mainly include:</w:t>
      </w:r>
    </w:p>
    <w:p>
      <w:pPr>
        <w:spacing w:after="0" w:line="162" w:lineRule="exact"/>
        <w:rPr>
          <w:sz w:val="20"/>
          <w:szCs w:val="20"/>
          <w:color w:val="auto"/>
        </w:rPr>
      </w:pPr>
    </w:p>
    <w:p>
      <w:pPr>
        <w:ind w:left="10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risk assessments to identify material cybersecurity risks to our critical systems, information, products and services, as well as broader enterprise IT environment;</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risk-based action plans to manage identified vulnerabilities and implementing new protocols and infrastructure improvements;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cybersecurity incidents, if any;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cybersecurity threats to sensitive data and unauthorized access to our systems;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secure access control measures to our critical IT systems, equipment, and devices to prevent unauthorized access; and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severity of the cybersecurity risk and the potential impact of such risk on our business operations, developing and executing protocols to promptly report material cybersecurity incidents to our board of directors.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also integrated cybersecurity risk management into our overall enterprise risk management system. In addition, we hold cybersecurity, information security and threat awareness training on a regular basis.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handle the assessment, identification, and management of cybersecurity risks in-house. Meanwhile, we have also engaged third-party cybersecurity assessment service providers to conduct risk assessments on our core systems, including vulnerability scanning, penetration testing, and code reviews. In 2024, we did not have any cybersecurity incidents that have materially affected or are reasonably likely to materially affect our business, results of operations, or financial condition. Our subsidiaries, Sparrow Tech Private Limited (“Sparrow Tech”) and Sparrow Digital Pte. Ltd., have obtained ISO 27001 certifications, demonstrating our commitment to internationally recognized information security standards. However, despite our efforts, we cannot eliminate all risks from cybersecurity threats, or provide assurances that we have not experienced an undetected cybersecurity incident.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oversees our cybersecurity risk profile and exposures. Specifically, our board of directors (i) maintains oversight of the disclosure related to cybersecurity matters in our current reports or periodic reports (including annual reports on Form 20-F); (ii) reviews and approves material cybersecurity policies, and (iii) reviews updates to the status of any material cybersecurity incidents or material risks from cybersecurity threats, and the disclosure issues, if any, presented by our IT department.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delegates its authorities and powers in managing risks associated with cybersecurity threats to our IT department.</w:t>
      </w:r>
    </w:p>
    <w:p>
      <w:pPr>
        <w:spacing w:after="0" w:line="162" w:lineRule="exact"/>
        <w:rPr>
          <w:sz w:val="20"/>
          <w:szCs w:val="20"/>
          <w:color w:val="auto"/>
        </w:rPr>
      </w:pPr>
    </w:p>
    <w:p>
      <w:pPr>
        <w:jc w:val="both"/>
        <w:ind w:left="1000" w:hanging="317"/>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IT department currently consists of 37 members, who have relevant experience in information security, compliance and risk management. Our IT department is responsible for the daily operation and maintenance of our information systems and monitoring and coordinating our cybersecurity risk management processes, including preparing internal policies and remediation plans with respect to cybersecurity risk assessment and management, and promptly reporting material cybersecurity risk or incidents to our board of directors.</w:t>
      </w:r>
    </w:p>
    <w:p>
      <w:pPr>
        <w:spacing w:after="0" w:line="183"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our IT department is responsible for implementing our cybersecurity risk management plans, regularly monitoring the prevention, detection, mitigation, and remediation of cybersecurity incidents, and reporting information about our cybersecurity risk and assessments results to the head of the IT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have elected to provide financial statements pursuant to “Item 18. Financial Statements.”.</w:t>
      </w:r>
    </w:p>
    <w:p>
      <w:pPr>
        <w:spacing w:after="0" w:line="23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pages beginning on page F-1 in this transition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transition report on this Form 20-F on its behalf.</w:t>
      </w:r>
    </w:p>
    <w:p>
      <w:pPr>
        <w:spacing w:after="0" w:line="1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280"/>
        <w:spacing w:after="0"/>
        <w:tabs>
          <w:tab w:leader="none" w:pos="5740" w:val="left"/>
        </w:tabs>
        <w:rPr>
          <w:sz w:val="20"/>
          <w:szCs w:val="20"/>
          <w:color w:val="auto"/>
        </w:rPr>
      </w:pPr>
      <w:r>
        <w:rPr>
          <w:rFonts w:ascii="Times New Roman" w:cs="Times New Roman" w:eastAsia="Times New Roman" w:hAnsi="Times New Roman"/>
          <w:sz w:val="18"/>
          <w:szCs w:val="18"/>
          <w:color w:val="auto"/>
        </w:rPr>
        <w:t>By:</w:t>
        <w:tab/>
        <w:t>/s/ Wayne Huo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3657600</wp:posOffset>
            </wp:positionH>
            <wp:positionV relativeFrom="paragraph">
              <wp:posOffset>17145</wp:posOffset>
            </wp:positionV>
            <wp:extent cx="26403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Name:Wayne Huo</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Chief Executive Officer, Director</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Date: June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950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220" w:type="dxa"/>
            <w:vAlign w:val="bottom"/>
            <w:gridSpan w:val="7"/>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AMBER DWM HOLDING LIMITED AND ITS SUBSIDIARIES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20" w:type="dxa"/>
            <w:vAlign w:val="bottom"/>
            <w:gridSpan w:val="7"/>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80" w:type="dxa"/>
            <w:vAlign w:val="bottom"/>
            <w:tcBorders>
              <w:top w:val="single" w:sz="8" w:color="CCEEFF"/>
            </w:tcBorders>
            <w:gridSpan w:val="10"/>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420" w:type="dxa"/>
            <w:vAlign w:val="bottom"/>
            <w:tcBorders>
              <w:top w:val="single" w:sz="8" w:color="auto"/>
            </w:tcBorders>
            <w:shd w:val="clear" w:color="auto" w:fill="CCEEFF"/>
          </w:tcPr>
          <w:p>
            <w:pPr>
              <w:ind w:left="160"/>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Financial Position as of December 31, 2024 and June 30, 2024</w:t>
            </w:r>
          </w:p>
        </w:tc>
        <w:tc>
          <w:tcPr>
            <w:tcW w:w="4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w w:val="95"/>
              </w:rPr>
              <w:t>F-3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Profit or Loss and Other Comprehensive Income for the Six Months Ended December 31, 2024</w:t>
            </w: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gridSpan w:val="10"/>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(Audited) and December 31, 2023 (Unaudited)</w:t>
            </w:r>
          </w:p>
        </w:tc>
        <w:tc>
          <w:tcPr>
            <w:tcW w:w="42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 in Equity for the Six Months Ended December 31, 2024 (Audited) and December 31, 2023</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tcBorders>
              <w:top w:val="single" w:sz="8" w:color="0000EE"/>
            </w:tcBorders>
            <w:gridSpan w:val="9"/>
          </w:tcPr>
          <w:p>
            <w:pPr>
              <w:ind w:left="12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20" w:type="dxa"/>
            <w:vAlign w:val="bottom"/>
          </w:tcPr>
          <w:p>
            <w:pPr>
              <w:spacing w:after="0"/>
              <w:rPr>
                <w:sz w:val="17"/>
                <w:szCs w:val="17"/>
                <w:color w:val="auto"/>
              </w:rPr>
            </w:pPr>
          </w:p>
        </w:tc>
        <w:tc>
          <w:tcPr>
            <w:tcW w:w="4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Six Months Ended December 31, 2024 (Audited) and 2023 (Unaudited)</w:t>
            </w:r>
          </w:p>
        </w:tc>
        <w:tc>
          <w:tcPr>
            <w:tcW w:w="42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w w:val="95"/>
              </w:rPr>
              <w:t>F-6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3140" w:type="dxa"/>
            <w:vAlign w:val="bottom"/>
            <w:tcBorders>
              <w:top w:val="single" w:sz="8" w:color="0000EE"/>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440" w:type="dxa"/>
            <w:vAlign w:val="bottom"/>
            <w:tcBorders>
              <w:top w:val="single" w:sz="8" w:color="0000EE"/>
            </w:tcBorders>
            <w:gridSpan w:val="4"/>
          </w:tcPr>
          <w:p>
            <w:pPr>
              <w:spacing w:after="0"/>
              <w:rPr>
                <w:sz w:val="15"/>
                <w:szCs w:val="15"/>
                <w:color w:val="auto"/>
              </w:rPr>
            </w:pPr>
          </w:p>
        </w:tc>
        <w:tc>
          <w:tcPr>
            <w:tcW w:w="900" w:type="dxa"/>
            <w:vAlign w:val="bottom"/>
            <w:tcBorders>
              <w:top w:val="single" w:sz="8" w:color="CCEEFF"/>
            </w:tcBorders>
            <w:gridSpan w:val="2"/>
          </w:tcPr>
          <w:p>
            <w:pPr>
              <w:spacing w:after="0"/>
              <w:rPr>
                <w:sz w:val="15"/>
                <w:szCs w:val="15"/>
                <w:color w:val="auto"/>
              </w:rPr>
            </w:pPr>
          </w:p>
        </w:tc>
        <w:tc>
          <w:tcPr>
            <w:tcW w:w="420" w:type="dxa"/>
            <w:vAlign w:val="bottom"/>
            <w:tcBorders>
              <w:top w:val="single" w:sz="8" w:color="CCEEFF"/>
            </w:tcBorders>
          </w:tcPr>
          <w:p>
            <w:pPr>
              <w:ind w:left="160"/>
              <w:spacing w:after="0" w:line="176" w:lineRule="exact"/>
              <w:rPr>
                <w:sz w:val="20"/>
                <w:szCs w:val="20"/>
                <w:color w:val="auto"/>
              </w:rPr>
            </w:pPr>
            <w:r>
              <w:rPr>
                <w:rFonts w:ascii="Times New Roman" w:cs="Times New Roman" w:eastAsia="Times New Roman" w:hAnsi="Times New Roman"/>
                <w:sz w:val="18"/>
                <w:szCs w:val="18"/>
                <w:color w:val="auto"/>
                <w:w w:val="95"/>
              </w:rPr>
              <w:t>F-8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5160645" cy="908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064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and Shareholder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Amber DWM Holding Limited</w:t>
      </w:r>
    </w:p>
    <w:p>
      <w:pPr>
        <w:spacing w:after="0" w:line="149" w:lineRule="exact"/>
        <w:rPr>
          <w:sz w:val="20"/>
          <w:szCs w:val="20"/>
          <w:color w:val="auto"/>
        </w:rPr>
      </w:pPr>
    </w:p>
    <w:p>
      <w:pPr>
        <w:sectPr>
          <w:pgSz w:w="11900" w:h="16838" w:orient="portrait"/>
          <w:cols w:equalWidth="0" w:num="2">
            <w:col w:w="240" w:space="420"/>
            <w:col w:w="9260"/>
          </w:cols>
          <w:pgMar w:left="980" w:top="513"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 of financial position of Amber DWM Holding Limited and its subsidiaries (the “Company”) as of December 31, 2024, and the related consolidated statement of profit or loss and other comprehensive loss, changes in equity, and cash flows for the six-month period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six-month period ended December 31, 2024, in conformity with International Financial Reporting Standards as issued by the International Accounting Standards Board.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SAB 122:</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method of accounting for assets related to custodian digital assets of customers and liabilities related to custodian digital assets of customers in 2024 due to the adoption of SAB 122.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WWC,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WWC,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No. 1171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12, 2025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42"/>
        </w:trPr>
        <w:tc>
          <w:tcPr>
            <w:tcW w:w="6440" w:type="dxa"/>
            <w:vAlign w:val="bottom"/>
            <w:gridSpan w:val="2"/>
            <w:vMerge w:val="continue"/>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2"/>
                <w:szCs w:val="12"/>
                <w:color w:val="auto"/>
              </w:rPr>
            </w:pPr>
          </w:p>
        </w:tc>
        <w:tc>
          <w:tcPr>
            <w:tcW w:w="1160" w:type="dxa"/>
            <w:vAlign w:val="bottom"/>
            <w:tcBorders>
              <w:top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704,082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16,895,051</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17,599,133</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16,983,846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profits or loss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263,890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355,149</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receivables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14,414,065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3,004,821</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USDC</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1,826,816</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11,532,911</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69,934,232</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21,075,160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1,576,395</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Pledged deposits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3,049,339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6,276,733</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112,234,351</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40,603,965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129,833,484</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57,587,811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1,840,803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Collateral payables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14,414,065</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due to customers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71,523,031</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Payable to related parties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9,979,742</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39,908,903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1,576,395</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230,310</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99,564,346</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61,972,119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484,574</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484,574</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100,048,920</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61,972,119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(36,890,413)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Reserve</w:t>
            </w:r>
          </w:p>
        </w:tc>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53,174,977</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29,784,564</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(4,384,308)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129,833,484</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57,587,811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AMBER DWM HOLDING LIMITED AND ITS SUBSIDIARIES CONSOLIDATED STATEMENTS OF PROFIT OR LOSS AND OTHER COMPREHENSIVE LOSS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80" w:type="dxa"/>
            <w:vAlign w:val="bottom"/>
          </w:tcPr>
          <w:p>
            <w:pPr>
              <w:spacing w:after="0"/>
              <w:rPr>
                <w:sz w:val="10"/>
                <w:szCs w:val="10"/>
                <w:color w:val="auto"/>
              </w:rPr>
            </w:pPr>
          </w:p>
        </w:tc>
        <w:tc>
          <w:tcPr>
            <w:tcW w:w="1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5,596,799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(3,852,025)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1,744,774</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205,576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 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(294,403)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(75,222)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(4,219,116)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(24,690)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(4,613,431)</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(2,663,081)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(1,570,727)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on derivative contract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(94,963)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Realized fair value changes of digital assets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(212,581)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fair value changes of digital assets on loan from related parties denominated</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 digital assets</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Unrealized fair value changes of digital assets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73,377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fair value changes of digital assets on loan from related parties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denominated in digital assets</w:t>
            </w: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(10,034,795)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(3,782,355)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expenses</w:t>
            </w:r>
          </w:p>
        </w:tc>
        <w:tc>
          <w:tcPr>
            <w:tcW w:w="7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(10,268,962)</w:t>
            </w:r>
          </w:p>
        </w:tc>
        <w:tc>
          <w:tcPr>
            <w:tcW w:w="18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(12,932,043)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(5,808,572)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 representing total comprehensive loss for the period</w:t>
            </w: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(12,932,043)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(5,808,572)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20"/>
          </w:cols>
          <w:pgMar w:left="980" w:top="513" w:right="999" w:bottom="1440" w:gutter="0" w:footer="0" w:header="0"/>
        </w:sectPr>
      </w:pPr>
    </w:p>
    <w:p>
      <w:pPr>
        <w:ind w:right="3120"/>
        <w:spacing w:after="0" w:line="276" w:lineRule="auto"/>
        <w:rPr>
          <w:sz w:val="20"/>
          <w:szCs w:val="20"/>
          <w:color w:val="auto"/>
        </w:rPr>
      </w:pPr>
      <w:r>
        <w:rPr>
          <w:rFonts w:ascii="Times New Roman" w:cs="Times New Roman" w:eastAsia="Times New Roman" w:hAnsi="Times New Roman"/>
          <w:sz w:val="18"/>
          <w:szCs w:val="18"/>
          <w:b w:val="1"/>
          <w:bCs w:val="1"/>
          <w:color w:val="auto"/>
        </w:rPr>
        <w:t>Loss per share attributable to owners of the Company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-164465</wp:posOffset>
            </wp:positionV>
            <wp:extent cx="629221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629221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44450</wp:posOffset>
            </wp:positionV>
            <wp:extent cx="7454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19685</wp:posOffset>
            </wp:positionV>
            <wp:extent cx="745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549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wp:posOffset>
            </wp:positionH>
            <wp:positionV relativeFrom="paragraph">
              <wp:posOffset>36830</wp:posOffset>
            </wp:positionV>
            <wp:extent cx="7454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44450</wp:posOffset>
            </wp:positionV>
            <wp:extent cx="7543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19685</wp:posOffset>
            </wp:positionV>
            <wp:extent cx="7543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36830</wp:posOffset>
            </wp:positionV>
            <wp:extent cx="7543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7280" w:space="720"/>
            <w:col w:w="640" w:space="720"/>
            <w:col w:w="560"/>
          </w:cols>
          <w:pgMar w:left="980" w:top="513" w:right="999" w:bottom="1440" w:gutter="0" w:footer="0" w:header="0"/>
          <w:type w:val="continuous"/>
        </w:sectPr>
      </w:pP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0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60" w:type="dxa"/>
            <w:vAlign w:val="bottom"/>
            <w:gridSpan w:val="2"/>
            <w:vMerge w:val="continue"/>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92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1, 2024 (Audited)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13,500,000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6,074,062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(23,958,370)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(4,384,308)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Waiver of related party balances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47,100,915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47,100,915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 representing total comprehensive loss for the period</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(12,932,043)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(12,932,043)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 (Audited)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13,500,000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53,174,977</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(36,890,413)</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29,784,564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July 1, 2023 (Audited)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3,000,000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6,069,058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(7,808,822)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1,260,236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 representing total comprehensive loss for the period</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(5,808,572)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(5,808,572)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 (Unaudited)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3,000,000</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6,069,058</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(13,617,394)</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(4,548,336)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80" w:type="dxa"/>
            <w:vAlign w:val="bottom"/>
          </w:tcPr>
          <w:p>
            <w:pPr>
              <w:spacing w:after="0"/>
              <w:rPr>
                <w:sz w:val="10"/>
                <w:szCs w:val="10"/>
                <w:color w:val="auto"/>
              </w:rPr>
            </w:pPr>
          </w:p>
        </w:tc>
        <w:tc>
          <w:tcPr>
            <w:tcW w:w="11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9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(12,932,043)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96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164,299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gain on financial asset</w:t>
            </w:r>
          </w:p>
        </w:tc>
        <w:tc>
          <w:tcPr>
            <w:tcW w:w="96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(16,064)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Unrealized fair value changes on derivative contract</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12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fair value changes on digital assets</w:t>
            </w:r>
          </w:p>
        </w:tc>
        <w:tc>
          <w:tcPr>
            <w:tcW w:w="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(73,377)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fair value changes on amount due to related parties denominated in digital</w:t>
            </w: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10,034,795</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3,782,355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20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(76,850)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Lease modification</w:t>
            </w:r>
          </w:p>
        </w:tc>
        <w:tc>
          <w:tcPr>
            <w:tcW w:w="9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received or settled in digital assets</w:t>
            </w:r>
          </w:p>
        </w:tc>
        <w:tc>
          <w:tcPr>
            <w:tcW w:w="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(1,689,774)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 due from/to related parties in digital asset-trade</w:t>
            </w:r>
          </w:p>
        </w:tc>
        <w:tc>
          <w:tcPr>
            <w:tcW w:w="96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1,902,575</w:t>
            </w:r>
          </w:p>
        </w:tc>
        <w:tc>
          <w:tcPr>
            <w:tcW w:w="18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before working capital changes</w:t>
            </w:r>
          </w:p>
        </w:tc>
        <w:tc>
          <w:tcPr>
            <w:tcW w:w="9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(2,552,136)</w:t>
            </w:r>
          </w:p>
        </w:tc>
        <w:tc>
          <w:tcPr>
            <w:tcW w:w="1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9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(73,136)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9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892,967</w:t>
            </w:r>
          </w:p>
        </w:tc>
        <w:tc>
          <w:tcPr>
            <w:tcW w:w="1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in)/generated from operating activities</w:t>
            </w:r>
          </w:p>
        </w:tc>
        <w:tc>
          <w:tcPr>
            <w:tcW w:w="9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(1,732,305)</w:t>
            </w: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Change in fixed deposit</w:t>
            </w:r>
          </w:p>
        </w:tc>
        <w:tc>
          <w:tcPr>
            <w:tcW w:w="9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(49,339)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6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rPr>
              <w:t>5</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(75,600)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6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(59,020)</w:t>
            </w:r>
          </w:p>
        </w:tc>
        <w:tc>
          <w:tcPr>
            <w:tcW w:w="18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 paid to related parties, net</w:t>
            </w:r>
          </w:p>
        </w:tc>
        <w:tc>
          <w:tcPr>
            <w:tcW w:w="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(2,235,802)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Proceed received from related parties, net</w:t>
            </w:r>
          </w:p>
        </w:tc>
        <w:tc>
          <w:tcPr>
            <w:tcW w:w="9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6,548,274</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repayment</w:t>
            </w:r>
          </w:p>
        </w:tc>
        <w:tc>
          <w:tcPr>
            <w:tcW w:w="96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99"/>
              </w:rPr>
              <w:t>15</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(10,761)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from/(used in) financing activities</w:t>
            </w:r>
          </w:p>
        </w:tc>
        <w:tc>
          <w:tcPr>
            <w:tcW w:w="96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4,301,711</w:t>
            </w:r>
          </w:p>
        </w:tc>
        <w:tc>
          <w:tcPr>
            <w:tcW w:w="18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9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2,510,386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96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3,766,347</w:t>
            </w:r>
          </w:p>
        </w:tc>
        <w:tc>
          <w:tcPr>
            <w:tcW w:w="1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11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6,276,733</w:t>
            </w:r>
          </w:p>
        </w:tc>
        <w:tc>
          <w:tcPr>
            <w:tcW w:w="1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liabilities arising from financing activities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due 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As at July 1, 2024</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39,908,903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Non-cash movement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 expense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 Addition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723,640</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Unrealized fair value loss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10,034,795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 Waiver of related parties loan</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(47,105,919)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Amount due from/to related parties in digital asset-trade</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movement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 Rental payment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(10,761)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Financing cash flow - Proceed received from related parties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at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As at July 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284,038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24,669,407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Non-cash movement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Interest expense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 Written off</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(158,217)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Unrealized fair value loss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movement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 Repayment of principal</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(129,176)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Operating cash flow - Repayment to related parties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 Investing cash flow - Advance from related parties</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Financing cash flow - Proceed received from related parties</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December 31,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26,874,620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Amber DWM Holding Limited (the “Company”) was incorporated in the Cayman Islands on November 28, 2023 and its registered office at Maples Corporate Services Limited, PO Box 309, Ugland House, Grand Cayman, KY1-1104, Cayman Islands. The principal place of business of the Company is 1 Wallich Street, #30-02, Guoco Tower, Singapore 078881.</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consolidated financial statements comprise the Company and its subsidiaries (the “Group”).</w:t>
      </w:r>
    </w:p>
    <w:p>
      <w:pPr>
        <w:spacing w:after="0" w:line="22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activity of the Company is investment holding. The principal activities of the subsidiaries are disclosed below. The details of its subsidiaries are as follows: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effective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 held by the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(Country of incorporation and</w:t>
            </w:r>
          </w:p>
        </w:tc>
        <w:tc>
          <w:tcPr>
            <w:tcW w:w="37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8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29"/>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principal place of business)</w:t>
            </w:r>
          </w:p>
        </w:tc>
        <w:tc>
          <w:tcPr>
            <w:tcW w:w="3740" w:type="dxa"/>
            <w:vAlign w:val="bottom"/>
            <w:gridSpan w:val="3"/>
            <w:vMerge w:val="continue"/>
          </w:tcPr>
          <w:p>
            <w:pPr>
              <w:spacing w:after="0"/>
              <w:rPr>
                <w:sz w:val="15"/>
                <w:szCs w:val="15"/>
                <w:color w:val="auto"/>
              </w:rPr>
            </w:pP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Sparrow Holdings Pte. Ltd. (Singapore)</w:t>
            </w:r>
          </w:p>
        </w:tc>
        <w:tc>
          <w:tcPr>
            <w:tcW w:w="200" w:type="dxa"/>
            <w:vAlign w:val="bottom"/>
            <w:tcBorders>
              <w:top w:val="single" w:sz="8" w:color="CCEEFF"/>
            </w:tcBorders>
            <w:shd w:val="clear" w:color="auto" w:fill="CCEEFF"/>
          </w:tcPr>
          <w:p>
            <w:pPr>
              <w:spacing w:after="0"/>
              <w:rPr>
                <w:sz w:val="12"/>
                <w:szCs w:val="12"/>
                <w:color w:val="auto"/>
              </w:rPr>
            </w:pPr>
          </w:p>
        </w:tc>
        <w:tc>
          <w:tcPr>
            <w:tcW w:w="33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Investment holding</w:t>
            </w: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73"/>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6"/>
        </w:trPr>
        <w:tc>
          <w:tcPr>
            <w:tcW w:w="2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Sparrow Tech Private Limited (Singapore)</w:t>
            </w:r>
          </w:p>
        </w:tc>
        <w:tc>
          <w:tcPr>
            <w:tcW w:w="3740" w:type="dxa"/>
            <w:vAlign w:val="bottom"/>
            <w:gridSpan w:val="3"/>
          </w:tcPr>
          <w:p>
            <w:pPr>
              <w:ind w:left="200"/>
              <w:spacing w:after="0" w:line="126" w:lineRule="exact"/>
              <w:rPr>
                <w:sz w:val="20"/>
                <w:szCs w:val="20"/>
                <w:color w:val="auto"/>
              </w:rPr>
            </w:pPr>
            <w:r>
              <w:rPr>
                <w:rFonts w:ascii="Times New Roman" w:cs="Times New Roman" w:eastAsia="Times New Roman" w:hAnsi="Times New Roman"/>
                <w:sz w:val="14"/>
                <w:szCs w:val="14"/>
                <w:color w:val="auto"/>
              </w:rPr>
              <w:t>Develop digital asset platform to provide digital asset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374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products/solutions</w:t>
            </w:r>
          </w:p>
        </w:tc>
        <w:tc>
          <w:tcPr>
            <w:tcW w:w="86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Sparrow Digital Pte. Ltd. (Singapore)</w:t>
            </w:r>
          </w:p>
        </w:tc>
        <w:tc>
          <w:tcPr>
            <w:tcW w:w="3740" w:type="dxa"/>
            <w:vAlign w:val="bottom"/>
            <w:gridSpan w:val="3"/>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Develop digital asset platform to provide digital asset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60" w:type="dxa"/>
            <w:vAlign w:val="bottom"/>
            <w:shd w:val="clear" w:color="auto" w:fill="CCEEFF"/>
          </w:tcPr>
          <w:p>
            <w:pPr>
              <w:spacing w:after="0"/>
              <w:rPr>
                <w:sz w:val="14"/>
                <w:szCs w:val="14"/>
                <w:color w:val="auto"/>
              </w:rPr>
            </w:pPr>
          </w:p>
        </w:tc>
        <w:tc>
          <w:tcPr>
            <w:tcW w:w="37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products/solutions</w:t>
            </w:r>
          </w:p>
        </w:tc>
        <w:tc>
          <w:tcPr>
            <w:tcW w:w="860" w:type="dxa"/>
            <w:vAlign w:val="bottom"/>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Sparrow Operations Private Limited (Singapore)</w:t>
            </w:r>
          </w:p>
        </w:tc>
        <w:tc>
          <w:tcPr>
            <w:tcW w:w="374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business support services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Sparrow Fund Management Pte. Ltd. (Singapore)</w:t>
            </w:r>
          </w:p>
        </w:tc>
        <w:tc>
          <w:tcPr>
            <w:tcW w:w="374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Fund management activities</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Amber DWM Limited (Hong Kong)</w:t>
            </w:r>
          </w:p>
        </w:tc>
        <w:tc>
          <w:tcPr>
            <w:tcW w:w="374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Cost centre</w:t>
            </w:r>
          </w:p>
        </w:tc>
        <w:tc>
          <w:tcPr>
            <w:tcW w:w="10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9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Amber Premium FZE (Dubai)</w:t>
            </w:r>
          </w:p>
        </w:tc>
        <w:tc>
          <w:tcPr>
            <w:tcW w:w="374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VATP license application</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Amber Match Limited (BVI)</w:t>
            </w:r>
          </w:p>
        </w:tc>
        <w:tc>
          <w:tcPr>
            <w:tcW w:w="374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color w:val="auto"/>
              </w:rPr>
              <w:t>Business support services</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Amber Trading Alfa Limited (BVI)</w:t>
            </w:r>
          </w:p>
        </w:tc>
        <w:tc>
          <w:tcPr>
            <w:tcW w:w="374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Inactive</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Reorganization</w:t>
      </w:r>
    </w:p>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preparation of its business combination with iClick Interactive Asia Group Limited (“iClick Asia”), a company incorporated in Cayman Islands and listed on Nasdaq Capital Market, the Company underwent a series of reorganization arrangements and the following transactions were undertaken to reorganize the legal structure.</w:t>
      </w:r>
    </w:p>
    <w:p>
      <w:pPr>
        <w:spacing w:after="0" w:line="135" w:lineRule="exact"/>
        <w:rPr>
          <w:sz w:val="20"/>
          <w:szCs w:val="20"/>
          <w:color w:val="auto"/>
        </w:rPr>
      </w:pPr>
    </w:p>
    <w:p>
      <w:pPr>
        <w:ind w:left="10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DWM Holding Limited was incorporated in the Cayman Islands on November 28, 2023, and is a wholly-owned subsidiary of Amber Global Limited.</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Sparrow Holdings Pte. Ltd., Sparrow Tech Private Limited, Sparrow Digital Pte. Ltd., Sparrow Operations Private Limited, and Sparrow Fund Management Pte. Ltd. (collectively known as “Sparrow Group), these entities were incorporated in Singapore and acquired by Amber Global Limited on November 29, 2022. As part of the preparation for the business combination, Amber Global Limited transfers the entire issued and paid-up capital of Sparrow Group to Amber DWM Holding Limited, a wholly-owned subsidiary of Amber Global Limited on July 18, 2024. As a result of the transfer, Sparrow Group became a wholly-owned subsidiary of Amber DWM Holding Limited.</w:t>
      </w:r>
    </w:p>
    <w:p>
      <w:pPr>
        <w:spacing w:after="0" w:line="160"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DWM Limited was incorporated in Hong Kong on January 29, 2024 and is a wholly-owned subsidiary of Amber DWM Holding Limited.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7260" w:hanging="652"/>
        <w:spacing w:after="0" w:line="532" w:lineRule="auto"/>
        <w:tabs>
          <w:tab w:leader="none" w:pos="66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Overview (Continued) </w:t>
      </w:r>
      <w:r>
        <w:rPr>
          <w:rFonts w:ascii="Times New Roman" w:cs="Times New Roman" w:eastAsia="Times New Roman" w:hAnsi="Times New Roman"/>
          <w:sz w:val="17"/>
          <w:szCs w:val="17"/>
          <w:u w:val="single" w:color="auto"/>
          <w:color w:val="auto"/>
        </w:rPr>
        <w:t>Reorganization</w:t>
      </w:r>
      <w:r>
        <w:rPr>
          <w:rFonts w:ascii="Times New Roman" w:cs="Times New Roman" w:eastAsia="Times New Roman" w:hAnsi="Times New Roman"/>
          <w:sz w:val="17"/>
          <w:szCs w:val="17"/>
          <w:color w:val="auto"/>
        </w:rPr>
        <w:t xml:space="preserve"> (Continued)</w:t>
      </w:r>
    </w:p>
    <w:p>
      <w:pPr>
        <w:spacing w:after="0" w:line="1" w:lineRule="exact"/>
        <w:rPr>
          <w:rFonts w:ascii="Times New Roman" w:cs="Times New Roman" w:eastAsia="Times New Roman" w:hAnsi="Times New Roman"/>
          <w:sz w:val="17"/>
          <w:szCs w:val="17"/>
          <w:b w:val="1"/>
          <w:bCs w:val="1"/>
          <w:color w:val="auto"/>
        </w:rPr>
      </w:pPr>
    </w:p>
    <w:p>
      <w:pPr>
        <w:jc w:val="both"/>
        <w:ind w:left="1000" w:hanging="317"/>
        <w:spacing w:after="0" w:line="256" w:lineRule="auto"/>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Trading Alfa Limited was incorporated in the British Virgin Islands on April 8, 2022 as a wholly-owned subsidiary of Amber Technologies Limited, a subsidiary of Amber Global Limited. As part of the preparation for the business combination, Amber Technologies Limited transfers the entire issued and paid-up capital of Amber Trading Alfa Limited to Amber DWM Holding Limited on June 27, 2024. As a result of the transfer, Amber Trading Alfa Limited became a wholly-owned subsidiary of Amber DWM Holding Limited. However, this entity was disposed of by Amber DWM Holding Limited on November 29, 2024.</w:t>
      </w:r>
    </w:p>
    <w:p>
      <w:pPr>
        <w:spacing w:after="0" w:line="160"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Premium FZE was incorporated in Dubai on September 24, 2024 and is a wholly-owned subsidiary of Amber DWM Holding Limited.</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Match Limited was incorporated in the British Virgin Islands on May 6, 2022 as a wholly-owned subsidiary of Amber Global Limited. As part of the preparation for the business combination, Amber Global Limited transfers the entire issued capital of Amber Match Limited to Amber DWM Holding Limited on January 23, 2025. As a result of the transfer, Amber Match Limited became a wholly-owned subsidiary of Amber DWM Holding Limited.</w:t>
      </w:r>
    </w:p>
    <w:p>
      <w:pPr>
        <w:spacing w:after="0" w:line="13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After a series of reorganization arrangements, Amber DWM Holding Limited became the holding company for all the subsidiaries. Since all entities involved in the reorganization arrangements are under common control before and after the reorganization, the reorganization is accounted for in a manner similar to a pooling of interests with the assets and liabilities of the parties to the reorganization carried over at their historical amount. Therefore, the accompanying consolidated financial statements were prepared as if the corporate structure of Amber DWM Holding Limited had been in existence since the beginning of the periods presented.</w:t>
      </w:r>
    </w:p>
    <w:p>
      <w:pPr>
        <w:spacing w:after="0" w:line="183"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Basis of preparation</w:t>
      </w:r>
    </w:p>
    <w:p>
      <w:pPr>
        <w:spacing w:after="0" w:line="18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International Financial Reporting Standards (“IFRS”) as issued by the International Accounting Standards Board (“IASB”) under the historical cost convention, except as disclosed in the accounting policies below.</w:t>
      </w:r>
    </w:p>
    <w:p>
      <w:pPr>
        <w:spacing w:after="0" w:line="13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IFRS requires management to exercise its judgement in the process of applying the Group’s accounting policies. It also requires the use of certain critical accounting estimates and assumptions. The areas involving a higher degree of judgement or complexity, or areas where assumptions and estimates are significant to the financial statements are disclosed in Note 3.</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2.1Basis of preparation (Continued)</w:t>
      </w:r>
    </w:p>
    <w:p>
      <w:pPr>
        <w:spacing w:after="0" w:line="229"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In the current year, the Group has adopted all the new and revised IFRS and Interpretations of IFRS that are relevant to its operations and effective for annual periods beginning on or after July 1, 2024. Changes to the Group’s accounting policies have been made as required, in accordance with the transitional provisions in the respective IFRS and Interpretations of IFRS. The adoption of these new or amended IFRS and Interpretations of IFRS did not result in substantial changes to the Group’s accounting policies and had no material effect on the amounts reported for the current or prior financial years.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IFRS and Interpretations of IFRS issued but not yet effective</w:t>
      </w:r>
    </w:p>
    <w:p>
      <w:pPr>
        <w:spacing w:after="0" w:line="22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Effective for</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annual periods</w:t>
            </w:r>
          </w:p>
        </w:tc>
        <w:tc>
          <w:tcPr>
            <w:tcW w:w="0" w:type="dxa"/>
            <w:vAlign w:val="bottom"/>
          </w:tcPr>
          <w:p>
            <w:pPr>
              <w:spacing w:after="0"/>
              <w:rPr>
                <w:sz w:val="1"/>
                <w:szCs w:val="1"/>
                <w:color w:val="auto"/>
              </w:rPr>
            </w:pPr>
          </w:p>
        </w:tc>
      </w:tr>
      <w:tr>
        <w:trPr>
          <w:trHeight w:val="148"/>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on or</w:t>
            </w:r>
          </w:p>
        </w:tc>
        <w:tc>
          <w:tcPr>
            <w:tcW w:w="0" w:type="dxa"/>
            <w:vAlign w:val="bottom"/>
          </w:tcPr>
          <w:p>
            <w:pPr>
              <w:spacing w:after="0"/>
              <w:rPr>
                <w:sz w:val="1"/>
                <w:szCs w:val="1"/>
                <w:color w:val="auto"/>
              </w:rPr>
            </w:pPr>
          </w:p>
        </w:tc>
      </w:tr>
      <w:tr>
        <w:trPr>
          <w:trHeight w:val="173"/>
        </w:trPr>
        <w:tc>
          <w:tcPr>
            <w:tcW w:w="6140" w:type="dxa"/>
            <w:vAlign w:val="bottom"/>
            <w:gridSpan w:val="2"/>
            <w:vMerge w:val="continue"/>
          </w:tcPr>
          <w:p>
            <w:pPr>
              <w:spacing w:after="0"/>
              <w:rPr>
                <w:sz w:val="15"/>
                <w:szCs w:val="15"/>
                <w:color w:val="auto"/>
              </w:rPr>
            </w:pP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after</w:t>
            </w:r>
          </w:p>
        </w:tc>
        <w:tc>
          <w:tcPr>
            <w:tcW w:w="0" w:type="dxa"/>
            <w:vAlign w:val="bottom"/>
          </w:tcPr>
          <w:p>
            <w:pPr>
              <w:spacing w:after="0"/>
              <w:rPr>
                <w:sz w:val="1"/>
                <w:szCs w:val="1"/>
                <w:color w:val="auto"/>
              </w:rPr>
            </w:pPr>
          </w:p>
        </w:tc>
      </w:tr>
      <w:tr>
        <w:trPr>
          <w:trHeight w:val="209"/>
        </w:trPr>
        <w:tc>
          <w:tcPr>
            <w:tcW w:w="6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Amendments to IAS 21: Lack of Exchangeability</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Amendments to IFRS 9 and IFRS 7: Amendments to the Classification and</w:t>
            </w:r>
          </w:p>
        </w:tc>
        <w:tc>
          <w:tcPr>
            <w:tcW w:w="1200" w:type="dxa"/>
            <w:vAlign w:val="bottom"/>
            <w:gridSpan w:val="2"/>
          </w:tcPr>
          <w:p>
            <w:pPr>
              <w:jc w:val="center"/>
              <w:ind w:right="20"/>
              <w:spacing w:after="0" w:line="195" w:lineRule="exact"/>
              <w:rPr>
                <w:sz w:val="20"/>
                <w:szCs w:val="20"/>
                <w:color w:val="auto"/>
              </w:rPr>
            </w:pPr>
            <w:r>
              <w:rPr>
                <w:rFonts w:ascii="Times New Roman" w:cs="Times New Roman" w:eastAsia="Times New Roman" w:hAnsi="Times New Roman"/>
                <w:sz w:val="18"/>
                <w:szCs w:val="18"/>
                <w:color w:val="auto"/>
                <w:w w:val="99"/>
              </w:rPr>
              <w:t>January 1, 2026</w:t>
            </w:r>
          </w:p>
        </w:tc>
        <w:tc>
          <w:tcPr>
            <w:tcW w:w="0" w:type="dxa"/>
            <w:vAlign w:val="bottom"/>
          </w:tcPr>
          <w:p>
            <w:pPr>
              <w:spacing w:after="0"/>
              <w:rPr>
                <w:sz w:val="1"/>
                <w:szCs w:val="1"/>
                <w:color w:val="auto"/>
              </w:rPr>
            </w:pPr>
          </w:p>
        </w:tc>
      </w:tr>
      <w:tr>
        <w:trPr>
          <w:trHeight w:val="236"/>
        </w:trPr>
        <w:tc>
          <w:tcPr>
            <w:tcW w:w="61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Measurement of Financial Instruments</w:t>
            </w: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1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Amendments to IFRS 9 and IFRS 7: Contracts referencing Nature-dependent</w:t>
            </w:r>
          </w:p>
        </w:tc>
        <w:tc>
          <w:tcPr>
            <w:tcW w:w="1200" w:type="dxa"/>
            <w:vAlign w:val="bottom"/>
            <w:gridSpan w:val="2"/>
            <w:shd w:val="clear" w:color="auto" w:fill="CCEEFF"/>
          </w:tcPr>
          <w:p>
            <w:pPr>
              <w:jc w:val="center"/>
              <w:ind w:right="20"/>
              <w:spacing w:after="0" w:line="195" w:lineRule="exact"/>
              <w:rPr>
                <w:sz w:val="20"/>
                <w:szCs w:val="20"/>
                <w:color w:val="auto"/>
              </w:rPr>
            </w:pPr>
            <w:r>
              <w:rPr>
                <w:rFonts w:ascii="Times New Roman" w:cs="Times New Roman" w:eastAsia="Times New Roman" w:hAnsi="Times New Roman"/>
                <w:sz w:val="18"/>
                <w:szCs w:val="18"/>
                <w:color w:val="auto"/>
                <w:w w:val="99"/>
              </w:rPr>
              <w:t>January 1, 2026</w:t>
            </w:r>
          </w:p>
        </w:tc>
        <w:tc>
          <w:tcPr>
            <w:tcW w:w="0" w:type="dxa"/>
            <w:vAlign w:val="bottom"/>
          </w:tcPr>
          <w:p>
            <w:pPr>
              <w:spacing w:after="0"/>
              <w:rPr>
                <w:sz w:val="1"/>
                <w:szCs w:val="1"/>
                <w:color w:val="auto"/>
              </w:rPr>
            </w:pPr>
          </w:p>
        </w:tc>
      </w:tr>
      <w:tr>
        <w:trPr>
          <w:trHeight w:val="236"/>
        </w:trPr>
        <w:tc>
          <w:tcPr>
            <w:tcW w:w="6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Electricity</w:t>
            </w:r>
          </w:p>
        </w:tc>
        <w:tc>
          <w:tcPr>
            <w:tcW w:w="1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Annual Improvements to IFRS Accounting Standards—Volume 11</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January 1, 2026</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IFRS 18: Presentation and Disclosure in Financial Statements</w:t>
            </w:r>
          </w:p>
        </w:tc>
        <w:tc>
          <w:tcPr>
            <w:tcW w:w="12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January 1, 2027</w:t>
            </w:r>
          </w:p>
        </w:tc>
        <w:tc>
          <w:tcPr>
            <w:tcW w:w="0" w:type="dxa"/>
            <w:vAlign w:val="bottom"/>
          </w:tcPr>
          <w:p>
            <w:pPr>
              <w:spacing w:after="0"/>
              <w:rPr>
                <w:sz w:val="1"/>
                <w:szCs w:val="1"/>
                <w:color w:val="auto"/>
              </w:rPr>
            </w:pPr>
          </w:p>
        </w:tc>
      </w:tr>
      <w:tr>
        <w:trPr>
          <w:trHeight w:val="23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IFRS 19: Subsidiaries without Public Accountability: Disclosures</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January 1, 2027</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At the date of authorisation of these financial statements, certain IFRS and Interpretations of IFRS were issued but not yet effective. Consequential amendments were also made to various standards as a result of these new/revised standards.</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Group does not intend to early adopt any of the above new/revised standards, interpretations and amendments to the existing standards. Management anticipates that the adoption of the aforementioned revised/new standards will not have a material impact on the financial statements of the Group and Company in the period of their initial adoption.</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Change in accounting policy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Assets related to custodian digital assets of customers and liabilities related to custodian digital assets of customers:</w:t>
      </w:r>
    </w:p>
    <w:p>
      <w:pPr>
        <w:spacing w:after="0" w:line="225"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On January 30, 2025, the Securities and Exchange Commission (the “SEC”) issued Staff Accounting Bulletin (“SAB”) No. 122 (“SAB 122”). SAB 122 rescinds the previously issued interpretative guidance included within SAB 121 with respect to accounting for obligations to safeguard cryptoassets that an entity holds for its users. SAB 122 directs an entity to apply International Accounting Standard (“IAS”) 37, Provisions, Contingent Liabilities and Contingent Assets, to determine whether an entity has a liability related to risk of loss from an obligation to safeguard cryptoassets for users. The Company has adopted SAB 122 as of December 31, 2024 on a retrospective basis. As a result of the adoption of SAB 122, the Company has derecognized the assets related to custodian digital assets of customers and liabilities related to custodian digital assets of customers, previously recognized in the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2.2Change in accounting policy (Continued)</w:t>
      </w:r>
    </w:p>
    <w:p>
      <w:pPr>
        <w:spacing w:after="0" w:line="22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In accordance with IFRS, the periods presented have been retrospectively adjusted to reflect this change, with no impact on the statements of profit or loss and other comprehensive income, or any other components of equity or net assets. The following table shows the changes in presentation in the statements of financial position upon the Company’s change in accounting principle to reflect the derecognition of assets related to custodian digital assets of customers and liabilities related to custodian digital assets of customers:</w:t>
      </w:r>
    </w:p>
    <w:p>
      <w:pPr>
        <w:spacing w:after="0" w:line="191"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As previously</w:t>
            </w:r>
          </w:p>
        </w:tc>
        <w:tc>
          <w:tcPr>
            <w:tcW w:w="160" w:type="dxa"/>
            <w:vAlign w:val="bottom"/>
          </w:tcPr>
          <w:p>
            <w:pPr>
              <w:spacing w:after="0"/>
              <w:rPr>
                <w:sz w:val="10"/>
                <w:szCs w:val="10"/>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related to custodian digital assets of customers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20,892,932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(20,892,932)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related to custodian digital assets of customers</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20,892,932</w:t>
            </w:r>
          </w:p>
        </w:tc>
        <w:tc>
          <w:tcPr>
            <w:tcW w:w="1080" w:type="dxa"/>
            <w:vAlign w:val="bottom"/>
            <w:gridSpan w:val="2"/>
          </w:tcPr>
          <w:p>
            <w:pPr>
              <w:jc w:val="center"/>
              <w:ind w:left="79"/>
              <w:spacing w:after="0"/>
              <w:rPr>
                <w:sz w:val="20"/>
                <w:szCs w:val="20"/>
                <w:color w:val="auto"/>
              </w:rPr>
            </w:pPr>
            <w:r>
              <w:rPr>
                <w:rFonts w:ascii="Times New Roman" w:cs="Times New Roman" w:eastAsia="Times New Roman" w:hAnsi="Times New Roman"/>
                <w:sz w:val="18"/>
                <w:szCs w:val="18"/>
                <w:color w:val="auto"/>
                <w:w w:val="98"/>
              </w:rPr>
              <w:t>(20,892,932)</w:t>
            </w:r>
          </w:p>
        </w:tc>
        <w:tc>
          <w:tcPr>
            <w:tcW w:w="160" w:type="dxa"/>
            <w:vAlign w:val="bottom"/>
          </w:tcPr>
          <w:p>
            <w:pPr>
              <w:spacing w:after="0"/>
              <w:rPr>
                <w:sz w:val="20"/>
                <w:szCs w:val="20"/>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Revenue is measured at the fair value of the consideration received or receivable. Revenue is recognised when services are rendered to the customer. Depending on the terms of the contract and the laws that apply to the contract, service may be provided over time or at a point in time.</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Service is provided over time if the Company’s performance: (1) provides all of the benefits received and consumed simultaneously by the customer; or (2) creates and enhances an asset that the customer controls as the Company performs.</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If service transfers over time, revenue is recognised over the period of the contract by reference to the progress towards complete satisfaction of that performance obligation. Otherwise, revenue is recognised at a point in time when the customer obtains control of the service.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Specifically, the Group uses a five-step approach to recognise revenue:</w:t>
      </w:r>
    </w:p>
    <w:p>
      <w:pPr>
        <w:spacing w:after="0" w:line="225" w:lineRule="exact"/>
        <w:rPr>
          <w:sz w:val="20"/>
          <w:szCs w:val="20"/>
          <w:color w:val="auto"/>
        </w:rPr>
      </w:pPr>
    </w:p>
    <w:p>
      <w:pPr>
        <w:ind w:left="1660" w:hanging="329"/>
        <w:spacing w:after="0"/>
        <w:tabs>
          <w:tab w:leader="none" w:pos="1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contract(s) with a client</w:t>
      </w:r>
    </w:p>
    <w:p>
      <w:pPr>
        <w:spacing w:after="0" w:line="27"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9"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(or as) the Company satisfies a performance obligation</w:t>
      </w:r>
    </w:p>
    <w:p>
      <w:pPr>
        <w:spacing w:after="0" w:line="207"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The Group recognises revenue when a performance obligation is satisfied, i.e., when “control” of the goods underlying the particular performance obligations is transferred to customers.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is a description of the accounting policy for the principal revenue streams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Revenue (Continued)</w:t>
      </w:r>
    </w:p>
    <w:p>
      <w:pPr>
        <w:spacing w:after="0" w:line="18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On March 12, 2025, the Company completed its business combination with iClick Interactive Asia Group Limited and consolidating its operations under the Amber Premium brand and driving continuous business expansion. Following the merger, Amber Premium will report revenue under the following:</w:t>
      </w:r>
    </w:p>
    <w:p>
      <w:pPr>
        <w:spacing w:after="0" w:line="135" w:lineRule="exact"/>
        <w:rPr>
          <w:sz w:val="20"/>
          <w:szCs w:val="20"/>
          <w:color w:val="auto"/>
        </w:rPr>
      </w:pPr>
    </w:p>
    <w:p>
      <w:pPr>
        <w:ind w:left="1980" w:right="20" w:hanging="325"/>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management solutions - revenue is mainly generated from finance income, premiums earned on structured products and agency fees.</w:t>
      </w:r>
    </w:p>
    <w:p>
      <w:pPr>
        <w:spacing w:after="0" w:line="134" w:lineRule="exact"/>
        <w:rPr>
          <w:rFonts w:ascii="Times New Roman" w:cs="Times New Roman" w:eastAsia="Times New Roman" w:hAnsi="Times New Roman"/>
          <w:sz w:val="18"/>
          <w:szCs w:val="18"/>
          <w:color w:val="auto"/>
        </w:rPr>
      </w:pPr>
    </w:p>
    <w:p>
      <w:pPr>
        <w:ind w:left="1980" w:right="20" w:hanging="325"/>
        <w:spacing w:after="0" w:line="282" w:lineRule="auto"/>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solutions - revenue mainly includes the transaction fees from execution services as buying and selling cryptocurrencies according to the client’s instructions.</w:t>
      </w:r>
    </w:p>
    <w:p>
      <w:pPr>
        <w:spacing w:after="0" w:line="121" w:lineRule="exact"/>
        <w:rPr>
          <w:rFonts w:ascii="Times New Roman" w:cs="Times New Roman" w:eastAsia="Times New Roman" w:hAnsi="Times New Roman"/>
          <w:sz w:val="18"/>
          <w:szCs w:val="18"/>
          <w:color w:val="auto"/>
        </w:rPr>
      </w:pPr>
    </w:p>
    <w:p>
      <w:pPr>
        <w:ind w:left="1980" w:hanging="325"/>
        <w:spacing w:after="0"/>
        <w:tabs>
          <w:tab w:leader="none" w:pos="1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solutions - revenue is generated from the conversion fee of fiat on/off-ramp services.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Wealth management solutions (formerly classified as finance income, trading income and advisory fee)</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Finance income</w:t>
      </w:r>
    </w:p>
    <w:p>
      <w:pPr>
        <w:spacing w:after="0" w:line="185"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The Group enters into arrangements with related parties to purchase cryptocurrency-denoted products which represent fixed interest cryptocurrency deposit at related parties. The deposit is not protected by any insurance and is non-secured, hence the Group may lose some or all of the amount deposited with related parties in extreme market conditions. Upon maturity, the Group receives the same type of cryptocurrency in the same quantity, in principal plus additional interest returns in cryptocurrency. The deposit can be withdrawn on demand and is generally delivered to the Group within 3 working days upon maturity. The nature of the product in essence, is a cryptocurrency lending arrangement. Financing income derived from cryptocurrency lending arrangement is denominated in units of the specific cryptocurrency to related parties and is recognised based on the gross carrying amount over the term of the cryptocurrency lending arrangement using effective interest rate. The term of the cryptocurrency lending arrangement varies from 30 days to 250 days.</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Premium – structured cryptocurrency products</w:t>
      </w:r>
    </w:p>
    <w:p>
      <w:pPr>
        <w:spacing w:after="0" w:line="198"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The Group generates premium through structured cryptocurrency products offered to clients, including options and “accumulator” / “decumulator” contracts. Revenue arises from premiums received from counterparties and realized gains/losses upon contract exercise or settlement. Under IFRS 15, the Group recognizes premium income at the inception of the contract when the performance obligation is created, as the premiums represent consideration for making the derivative instruments available to clients. Gains or losses arising from contract exercise or settlement are recognized at the point of settlement, measured as the difference between the contractual strike price and the prevailing market price of the underlying cryptocurrency. Revenue is presented gross, reflecting the Group’s role as principal in these transactions.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Agency fee</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Agency fee is recognised at a point in time for consultancy service rendered and accepted by customers.</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Execution solutions (formerly classified as conversion fees)</w:t>
      </w:r>
    </w:p>
    <w:p>
      <w:pPr>
        <w:spacing w:after="0" w:line="18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Group earns a transaction fee when customers change or convert digital assets, according to the customers’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b w:val="1"/>
          <w:bCs w:val="1"/>
          <w:color w:val="auto"/>
        </w:rPr>
        <w:t>Revenue (Continued)</w:t>
      </w:r>
    </w:p>
    <w:p>
      <w:pPr>
        <w:spacing w:after="0" w:line="189"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The Group will charge the customer a predetermined conversion fee, which is based on a fixed percentage of the contract price for each transaction. The conversion fee is a fixed price contract, and the conversion fee is indicated on the contract with customers. Management determined there is only one performance obligation related to conversion fee and revenue is recognised at a point in time upon conversion service is rendered and (1) accepted and acknowledgement by customers indicating acceptance of service or (2) objective evidence of transfer of cryptocurrency into designated wallet specified by the customer or counterparty. Customers typically make payments together with the transaction price i.e. conversion fee will be charged together or deducted from the transaction price. The Group is an agent as the Group provides facilitation services for the transaction entered by the customers.</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Payment solutions (formerly classified as conversion fees)</w:t>
      </w:r>
    </w:p>
    <w:p>
      <w:pPr>
        <w:spacing w:after="0" w:line="198"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Group earns a fee when customers transfer or withdraw funds from its proprietary platform, and conversion between fiat currencies and digital assets, according to the customers’ requirements.</w:t>
      </w:r>
    </w:p>
    <w:p>
      <w:pPr>
        <w:spacing w:after="0" w:line="121"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The Group will charge the customer a predetermined conversion fee, which is based on a fixed percentage of the contract price for each transaction. The conversion fee is a fixed price contract, and the conversion fee is indicated on the contract with customers. Management determined there is only one performance obligation related to conversion fee and revenue is recognised at a point in time upon conversion service is rendered and (1) accepted and acknowledgement by customers indicating acceptance of service or (2) objective evidence of transfer of cryptocurrency into designated wallet specified by the customer or counterparty. Customers typically make payments together with the transaction price i.e. conversion fee will be charged together or deducted from the transaction price. The Group is an agent to as the Group provides facilitation services for the transaction entered by the customers.</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Government grants</w:t>
      </w:r>
    </w:p>
    <w:p>
      <w:pPr>
        <w:spacing w:after="0" w:line="202"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Grants from the government are recognised as a receivable at their fair value when there is reasonable assurance that the grant will be received and the Group will comply with all the attached conditions.</w:t>
      </w:r>
    </w:p>
    <w:p>
      <w:pPr>
        <w:spacing w:after="0" w:line="121"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Government grants receivable are recognised as income over the periods necessary to match them with the related costs which they are intended to compensate for, on a systematic basis. Government grants relating to expenses are shown separately as “other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7"/>
          <w:szCs w:val="17"/>
          <w:b w:val="1"/>
          <w:bCs w:val="1"/>
          <w:color w:val="auto"/>
        </w:rPr>
        <w:t>Basis of consolidation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Consolidation</w:t>
      </w:r>
    </w:p>
    <w:p>
      <w:pPr>
        <w:spacing w:after="0" w:line="225" w:lineRule="exact"/>
        <w:rPr>
          <w:sz w:val="20"/>
          <w:szCs w:val="20"/>
          <w:color w:val="auto"/>
        </w:rPr>
      </w:pPr>
    </w:p>
    <w:p>
      <w:pPr>
        <w:jc w:val="both"/>
        <w:ind w:left="1300" w:right="20"/>
        <w:spacing w:after="0" w:line="261" w:lineRule="auto"/>
        <w:rPr>
          <w:sz w:val="20"/>
          <w:szCs w:val="20"/>
          <w:color w:val="auto"/>
        </w:rPr>
      </w:pPr>
      <w:r>
        <w:rPr>
          <w:rFonts w:ascii="Times New Roman" w:cs="Times New Roman" w:eastAsia="Times New Roman" w:hAnsi="Times New Roman"/>
          <w:sz w:val="18"/>
          <w:szCs w:val="18"/>
          <w:color w:val="auto"/>
        </w:rPr>
        <w:t>Subsidiaries are all entities (including structured entities) over which the Group has control. The Group controls an entity when the Group is exposed to, or has rights to, variable returns from its involvement with the entity and has the ability to affect those returns through its power over the entity. Subsidiaries are fully consolidated from the date on which control is transferred to the Group. They are deconsolidated from the date on that control ceases.</w:t>
      </w:r>
    </w:p>
    <w:p>
      <w:pPr>
        <w:spacing w:after="0" w:line="180"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transactions, balances and unrealised gains on transactions between group entities are eliminated. Unrealised losses are also eliminated unless the transaction provides evidence of an impairment indicator of the transferred asset. Accounting policies of subsidiaries have been changed, where necessary, to ensure consistency with the policies adopted by the Group.</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Common control</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Acquisition of entities under an internal reorganization scheme does not result in any change in economic substance. Accordingly, the consolidated financial statements of the Group are a continuation of the acquired entities and is accounted for as follows:</w:t>
      </w:r>
    </w:p>
    <w:p>
      <w:pPr>
        <w:spacing w:after="0" w:line="176" w:lineRule="exact"/>
        <w:rPr>
          <w:sz w:val="20"/>
          <w:szCs w:val="20"/>
          <w:color w:val="auto"/>
        </w:rPr>
      </w:pPr>
    </w:p>
    <w:p>
      <w:pPr>
        <w:ind w:left="1660" w:right="20" w:hanging="329"/>
        <w:spacing w:after="0" w:line="282" w:lineRule="auto"/>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entities are presented as if the internal reorganization occurred from the beginning of the earliest period presented in the financial statements;</w:t>
      </w:r>
    </w:p>
    <w:p>
      <w:pPr>
        <w:spacing w:after="0" w:line="161" w:lineRule="exact"/>
        <w:rPr>
          <w:rFonts w:ascii="Times New Roman" w:cs="Times New Roman" w:eastAsia="Times New Roman" w:hAnsi="Times New Roman"/>
          <w:sz w:val="18"/>
          <w:szCs w:val="18"/>
          <w:color w:val="auto"/>
        </w:rPr>
      </w:pPr>
    </w:p>
    <w:p>
      <w:pPr>
        <w:jc w:val="both"/>
        <w:ind w:left="1660" w:hanging="329"/>
        <w:spacing w:after="0" w:line="266" w:lineRule="auto"/>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will consolidate the assets and liabilities of the acquired entities at the pre-combination carrying amounts. No adjustments are made to reflect fair values, or recognize any new assets or liabilities, at the date of the internal reorganization that would otherwise be done under the acquisition method; and</w:t>
      </w:r>
    </w:p>
    <w:p>
      <w:pPr>
        <w:spacing w:after="0" w:line="175" w:lineRule="exact"/>
        <w:rPr>
          <w:rFonts w:ascii="Times New Roman" w:cs="Times New Roman" w:eastAsia="Times New Roman" w:hAnsi="Times New Roman"/>
          <w:sz w:val="18"/>
          <w:szCs w:val="18"/>
          <w:color w:val="auto"/>
        </w:rPr>
      </w:pPr>
    </w:p>
    <w:p>
      <w:pPr>
        <w:jc w:val="both"/>
        <w:ind w:left="1660" w:hanging="329"/>
        <w:spacing w:after="0" w:line="266" w:lineRule="auto"/>
        <w:tabs>
          <w:tab w:leader="none" w:pos="1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goodwill is recognized as a result of the internal reorganization. The only goodwill that is recognized is the existing goodwill relating to the combining entities. Any difference between the consideration paid/transferred and the equity acquired is reflected within equity as a merger reserve.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Acquisition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acquisition method of accounting is used to account for business combinations entered by the Group.</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consideration transferred for the acquisition of a subsidiary or business comprises the fair value of the assets transferred, the liabilities incurred and the equity interests issued by the Group. The consideration transferred also includes any contingent consideration arrangement and any pre- existing equity interest in the subsidiary measured at their fair values at the acquisition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Acquisition-related costs are expensed as incurred.</w:t>
      </w:r>
    </w:p>
    <w:p>
      <w:pPr>
        <w:spacing w:after="0" w:line="225"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Identifiable assets acquired and liabilities and contingent liabilities assumed in a business combination are, with limited exceptions, measured initially at their fair values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2.5Basis of consolidation (Continued)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On an acquisition-by-acquisition basis, the Group recognises any non-controlling interest in the acquiree at the date of acquisition either at fair value or at the non-controlling interest’s proportionate share of the acquiree’s identifiable net assets.</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excess of (a) the consideration transferred, the amount of any non-controlling interest in the acquiree and the acquisition-date fair value of any previous equity interest in the acquiree over the (b) fair value of the identifiable net assets acquired is recorded as goodwill.</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Disposals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When a change in the Group’s ownership interest in a subsidiary results in a loss of control over the subsidiary, the assets and liabilities of the subsidiary including any goodwill are derecognised. Amounts previously recognised in other comprehensive income in respect of that entity are also reclassified to profit or loss or transferred directly to retained earnings if required by a specific standard.</w:t>
      </w:r>
    </w:p>
    <w:p>
      <w:pPr>
        <w:spacing w:after="0" w:line="180"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Any retained equity interest in the entity is remeasured at fair value. The difference between the carrying amount of the retained interest at the date when control is lost and its fair value is recognised in profit or loss.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Subsidiaries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Investment in subsidiaries are carried at cost less accumulated impairment losses in the Company’s statement of financial position. On disposal of such investment, the difference between disposal proceeds and the carrying amount of the investment is recognised in profit or loss.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All items of property, plant and equipment are initially recorded at cost. Subsequent to recognition, property, plant and equipment are measured at cost less accumulated depreciation and any accumulated impairment losses. The cost of property, plant and equipment includes its purchase price and any costs directly attributable to bringing the asset to the location and condition necessary for it to be capable of operating in the manner intended by management. Dismantlement, removal or restoration costs are included as part of the cost of property, plant and equipment if the obligation for dismantlement, removal or restoration is incurred as a consequence of acquiring or using the property, plant and equipment.</w:t>
      </w:r>
    </w:p>
    <w:p>
      <w:pPr>
        <w:spacing w:after="0" w:line="18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projected cost of dismantlement, removal or restoration is also recognised as part of the cost of property, plant and equipment if the obligation for the dismantlement, removal or restoration is incurred as a consequence of either acquiring the asset or using the asset for purpose other than to produce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17"/>
          <w:szCs w:val="17"/>
          <w:b w:val="1"/>
          <w:bCs w:val="1"/>
          <w:color w:val="auto"/>
        </w:rPr>
        <w:t>Property, plant and equipment (Continued)</w:t>
      </w:r>
    </w:p>
    <w:p>
      <w:pPr>
        <w:spacing w:after="0" w:line="229"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Depreciation is calculated using the straight-line method to allocate depreciable amounts over their estimated useful lives. The estimated useful lives are as follows:</w:t>
      </w:r>
    </w:p>
    <w:p>
      <w:pPr>
        <w:spacing w:after="0" w:line="193"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38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fittings</w:t>
            </w:r>
          </w:p>
        </w:tc>
        <w:tc>
          <w:tcPr>
            <w:tcW w:w="33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338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33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Over lease term</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premise</w:t>
            </w:r>
          </w:p>
        </w:tc>
        <w:tc>
          <w:tcPr>
            <w:tcW w:w="338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Over lease term</w:t>
            </w: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Fully depreciated property, plant and equipment are retained in the financial statements until they are no longer in use.</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residual values, useful lives and depreciation method are reviewed at the end of each reporting period, and adjusted prospectively, if appropriate.</w:t>
      </w:r>
    </w:p>
    <w:p>
      <w:pPr>
        <w:spacing w:after="0" w:line="162" w:lineRule="exact"/>
        <w:rPr>
          <w:sz w:val="20"/>
          <w:szCs w:val="20"/>
          <w:color w:val="auto"/>
        </w:rPr>
      </w:pPr>
    </w:p>
    <w:p>
      <w:pPr>
        <w:jc w:val="both"/>
        <w:ind w:left="1300" w:right="20"/>
        <w:spacing w:after="0" w:line="266" w:lineRule="auto"/>
        <w:rPr>
          <w:sz w:val="20"/>
          <w:szCs w:val="20"/>
          <w:color w:val="auto"/>
        </w:rPr>
      </w:pPr>
      <w:r>
        <w:rPr>
          <w:rFonts w:ascii="Times New Roman" w:cs="Times New Roman" w:eastAsia="Times New Roman" w:hAnsi="Times New Roman"/>
          <w:sz w:val="18"/>
          <w:szCs w:val="18"/>
          <w:color w:val="auto"/>
        </w:rPr>
        <w:t>An item of property, plant and equipment is derecognised upon disposal or when no future economic benefits are expected from its use or disposal. Any gain or loss on derecognition of the asset is included in profit or loss in the year the asset is derecognised.</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Acquired intangible assets are initially measured at cost. The cost of intangible assets acquired in a business combination is initially measured at their fair value at the acquisition date. Subsequent to initial recognition, the intangible assets are reported at cost less accumulated amortisation and accumulated impairment losses.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Intangible assets with finite useful life are amortised over its useful life, using its straight-line method.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Computer software</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Acquired computer software is initially capitalised on the basis of the costs incurred to acquire and prepare the software for its intended use. Direct expenditure which enhances or extends the performance of computer software beyond its specifications and which can be reliably measured is added to the cost of the software. Costs associated with maintaining computer software are recognised as an expense as incurred.</w:t>
      </w:r>
    </w:p>
    <w:p>
      <w:pPr>
        <w:spacing w:after="0" w:line="180"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Computer software licences are subsequently carried at cost less accumulated amortisation and accumulated impairment losses. These costs are amortised to profit or loss over their estimated useful lives of 3 years.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Trademark</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Trademark is stated at cost less accumulated amortisation and accumulated impairment losses. The cost is amortised over 10 years, which is the shorter of their estimated useful lives and periods of contractual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2.8Intangible assets (Continued)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left="1300" w:right="20"/>
        <w:spacing w:after="0" w:line="261" w:lineRule="auto"/>
        <w:rPr>
          <w:sz w:val="20"/>
          <w:szCs w:val="20"/>
          <w:color w:val="auto"/>
        </w:rPr>
      </w:pPr>
      <w:r>
        <w:rPr>
          <w:rFonts w:ascii="Times New Roman" w:cs="Times New Roman" w:eastAsia="Times New Roman" w:hAnsi="Times New Roman"/>
          <w:sz w:val="18"/>
          <w:szCs w:val="18"/>
          <w:color w:val="auto"/>
        </w:rPr>
        <w:t>Goodwill on acquisitions of subsidiaries is included in intangible assets. Goodwill is not amortised, but it is tested for impairment annually, or more frequently if events or changes in circumstances indicate that it might be impaired, and is carried at cost less accumulated impairment losses. Gains and losses on the disposal of an entity include the carrying amount of goodwill relating to the entity sold.</w:t>
      </w:r>
    </w:p>
    <w:p>
      <w:pPr>
        <w:spacing w:after="0" w:line="180"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amortisation period and amortisation method of intangible assets other than goodwill are reviewed at least at the end of each reporting period. The effects of any revision are recognised in profit or loss when the changes arise.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8"/>
          <w:szCs w:val="18"/>
          <w:b w:val="1"/>
          <w:bCs w:val="1"/>
          <w:color w:val="auto"/>
        </w:rPr>
        <w:t>Impairment of non-financial assets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Group assesses at each reporting date whether there is an indication that an asset may be impaired. If any indication exists, (or, where applicable, when an annual impairment testing for an asset is required), the Group makes an estimate of the asset’s recoverable amount.</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An asset’s recoverable amount is the higher of an asset’s or cash-generating unit’s fair value less costs of disposal and its value in use and is determined for an individual asset, unless the asset does not generate cash inflows that are largely independent of those from other assets or group of assets. Where the carrying amount of an asset or cash-generating unit exceeds its recoverable amount, the asset is considered impaired and is written down to its recoverable amount.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Impairment losses are recognised in profit or loss.</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A previously recognised impairment loss is reversed only if there has been a change in the estimates used to determine the asset’s recoverable amount since the last impairment loss was recognised. If that is the case, the carrying amount of the asset is increased to its recoverable amount. That increase cannot exceed the carrying amount that would have been determined, net of depreciation, had no impairment loss been recognised previously. Such reversal is recognised in profit or loss.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Financial assets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Initial recognition and measurement</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Financial assets are recognised when, and only when the entity becomes party to the contractual provisions of the instruments.</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5000" w:hanging="652"/>
        <w:spacing w:after="0" w:line="503" w:lineRule="auto"/>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2.10 Financial instruments (Continued)</w:t>
      </w:r>
    </w:p>
    <w:p>
      <w:pPr>
        <w:ind w:left="1300"/>
        <w:spacing w:after="0"/>
        <w:rPr>
          <w:sz w:val="20"/>
          <w:szCs w:val="20"/>
          <w:color w:val="auto"/>
        </w:rPr>
      </w:pPr>
      <w:r>
        <w:rPr>
          <w:rFonts w:ascii="Times New Roman" w:cs="Times New Roman" w:eastAsia="Times New Roman" w:hAnsi="Times New Roman"/>
          <w:sz w:val="18"/>
          <w:szCs w:val="18"/>
          <w:u w:val="single" w:color="auto"/>
          <w:color w:val="auto"/>
        </w:rPr>
        <w:t>Financial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Initial recognition and measurement</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Trade receivables are measured at the amount of consideration to which the Group expects to be entitled in exchange for transferring promised goods or services to a customer, excluding amounts collected on behalf of a third party, if the trade receivables do not contain a significant financing component at initial recognition.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Subsequent measurement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Debt instruments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Subsequent measurement of debt instruments depends on the Group’s business model for managing the asset and the contractual cash flow characteristics of the asset. The three measurement categories for classification of debt instruments are amortised cost, fair value through other comprehensive income (“FVOCI”) and FVPL.</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At amortised cost</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Financial assets that are held for the collection of contractual cash flows where those cash flows represent solely payments of principal and interest are measured at amortised cost. Financial assets are measured at amortised cost using the effective interest method, less impairment. Gains and losses are recognised in profit or loss when the assets are derecognised or impaired, and through the amortisation process.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At fair value through other comprehensive income</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Financial assets that are held for collection of contractual cash flows and for selling the financial assets, where the assets’ cash flows represent solely payments of principal and interest, are measured at FVOCI. Financial assets measured at FVOCI are subsequently measured at fair value. Any gains or losses from changes in fair value of the financial assets are recognised in other comprehensive income, except for impairment losses, foreign exchange gains and losses and interest calculated using the effective interest method are recognised in profit or loss. The cumulative gain or loss previously recognised in other comprehensive income is reclassified from equity to profit or loss as a reclassification adjustment when the financial asset is derecognised.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At fair value through profit or loss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Assets that do not meet the criteria for amortised cost or FVOCI are measured at FVPL. A gain or loss on a debt instrument that is subsequently measured at FVPL and is not part of a hedging relationship is recognised in profit or loss in the period in which it arises.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jc w:val="center"/>
        <w:ind w:right="5300"/>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Financial instruments (Continued)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Financial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Impairment</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Group recognises an allowance for expected credit losses (“ECLs”) for all debt instruments not held at FVPL.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83"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ECLs are recognised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recognised for credit losses expected over the remaining life of the exposure, irrespective of timing of the default (a lifetime ECL).</w:t>
      </w:r>
    </w:p>
    <w:p>
      <w:pPr>
        <w:spacing w:after="0" w:line="183"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For trade receivables, the Group applies a simplified approach in calculating ECLs. Therefore, the Group does not track changes in credit risk, but instead recognises a loss allowance based on lifetime ECLs at each reporting date. The Group has established a provision matrix that is based on its historical credit loss experience, adjusted for forward-looking factors specific to the debtors and the economic environment which could affect debtors’ ability to pay.</w:t>
      </w:r>
    </w:p>
    <w:p>
      <w:pPr>
        <w:spacing w:after="0" w:line="180"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Group considers a financial asset in default when contractual payments are 60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Derecognition</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A financial asset is derecognised where the contractual right to receive cash flows from the asset has expired. On derecognition of a financial asset in its entirety, the difference between the carrying amount and the sum of the consideration received and any cumulative gain or loss that had been recognised in other comprehensive income for debt instruments is recognised in profit or loss.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Derivatives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 derivative financial instrument is initially recognised at its fair value on the date the contract is entered into and is subsequently carried at its fair value. Fair value changes on derivatives that are not designated or do not qualify for hedge accounting are recognised in profit or loss when the changes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5000" w:hanging="652"/>
        <w:spacing w:after="0" w:line="424"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 2.10 Financial instruments (Continued)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Financial liabilities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Initial recognition and measurement</w:t>
      </w:r>
    </w:p>
    <w:p>
      <w:pPr>
        <w:spacing w:after="0" w:line="158"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Financial liabilities are recognised when, and only when, the Group becomes a party to the contractual provisions of the financial instrument. The Group determines the classification of its financial liabilities at initial recognition.</w:t>
      </w:r>
    </w:p>
    <w:p>
      <w:pPr>
        <w:spacing w:after="0" w:line="94"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All financial liabilities are recognised initially at fair value plus in the case of financial liabilities not at FVPL, net of directly attributable transaction costs.</w:t>
      </w:r>
    </w:p>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Subsequent measurement</w:t>
      </w:r>
    </w:p>
    <w:p>
      <w:pPr>
        <w:spacing w:after="0" w:line="158"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After initial recognition, financial liabilities that are not carried at FVPL are subsequently measured at amortised cost using the effective interest method. Gains and losses are recognised in profit or loss when the liabilities are derecognised, and through the amortisation process.</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Derecognition</w:t>
      </w:r>
    </w:p>
    <w:p>
      <w:pPr>
        <w:spacing w:after="0" w:line="144"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 financial liability is derecognised when the obligation under the liability is discharged or cancelled or expires. On derecognition, the difference between the carrying amounts and the consideration paid is recognised in profit or loss.</w:t>
      </w:r>
    </w:p>
    <w:p>
      <w:pPr>
        <w:spacing w:after="0" w:line="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Offsetting of financial instruments</w:t>
      </w:r>
    </w:p>
    <w:p>
      <w:pPr>
        <w:spacing w:after="0" w:line="158"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offset and the net amount reported in the statements of financial position when there is a legally enforceable right to offset and there is an intention to settle on a net basis or realise the asset and settle the liability simultaneously.</w:t>
      </w:r>
    </w:p>
    <w:p>
      <w:pPr>
        <w:spacing w:after="0" w:line="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Collateral receivables and collateral payables</w:t>
      </w:r>
    </w:p>
    <w:p>
      <w:pPr>
        <w:spacing w:after="0" w:line="16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The Group enters into structured product arrangements with customers that require the customers to pledge crypto assets as collateral. Collateral received from customers are held either in the third-party trust accounts or third-party custodian platforms, which are recorded under “collateral receivables” in the statement of financial position. Crypto assets pledged as collateral are initially measured at fair value on the date of receipt and subsequently re-measured at each reporting date, with changes in fair value recognized in the financial statements. The Group maintains operational control over these assets, including private key access for third-party trust account collateral and monitoring rights for third-party custodian platforms collateral. Under the contract terms, customers retain legal ownership of the collateral, and the Group is obligated to return the same type and quantity of crypto assets upon contract settlement, assuming no default.</w:t>
      </w:r>
    </w:p>
    <w:p>
      <w:pPr>
        <w:spacing w:after="0" w:line="121"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Crypto assets received from customers is the Company’s obligation to return, such obligations are recorded under “collateral payables” at fair value. Changes in the fair value of this liability are recognized in net income. The Group offsets these fair value adjustments against corresponding changes in “collateral receivables” where applicable, given the back-to-back nature of customer contracts and hedging arrangements.</w:t>
      </w:r>
    </w:p>
    <w:p>
      <w:pPr>
        <w:spacing w:after="0" w:line="9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162"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Group’s digital asset portfolio mainly comprises cryptocurrencies and since the Group actively trades cryptocurrencies, acquiring them with a view to their resale in the near future for the ordinary course of business. The Group applies the guidance in IAS 2 Inventories for commodity broker-traders and measures the digital assets at fair value less costs to sell. The Company considers there are no significant “costs to sell” digital assets and hence measurement of digital assets is based on their fair values with changes in fair values recognized in profit or loss in the period of the changes.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Digital assets (Continued)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Digital assets held for customers or placed with counterparties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Digital assets are recognised as the Group’s assets when the Group has present rights to the digital assets and the right to an economic benefit and control others’ access to the benefit. If it is determined that the Group has the control over the digital asset, the Group recognises digital assets held for customers as its asset and recognises a corresponding liability due to its customer for the digital assets in its financial statements.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USD Coin (“USDC”)</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USDC is a type of cryptocurrency that is backed by reserve assets in the traditional financial system, such as cash and cash equivalents, or securities. USDC is a stable coin redeemable on a one-to-one basis for United States dollars. Thus, it is accounted as a financial instrument amortized at cost recorded in consolidated financial position of the Group.</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8"/>
          <w:szCs w:val="18"/>
          <w:b w:val="1"/>
          <w:bCs w:val="1"/>
          <w:color w:val="auto"/>
        </w:rPr>
        <w:t>Derivative contracts</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Group enters into arrangements that result in obtaining the right to receive or obligation to deliver a fixed amount of crypto assets in the future. These are hybrid instruments, consisting of a receivable or debt host contract that is initially measured at the fair value of the underlying crypto assets and is subsequently carried at amortized cost, and an embedded forward feature based on the changes in the fair value of the underlying crypto asset.</w:t>
      </w:r>
    </w:p>
    <w:p>
      <w:pPr>
        <w:spacing w:after="0" w:line="180"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These derivative contracts mainly derive their value from underlying asset prices. Derivative contracts are recognized as assets in the statements of financial position at fair value, with the corresponding liabilities recognized in “liabilities due to customers”. To manage the risk exposure from fluctuations arising from fair value of crypto assets, the Group enters into similar contracts with both customers and a related company, such that the exposure to volatility in crypto assets can be mitigated.</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When the Group is the lessee</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At the inception of the contract, the Group assesses if the contract contains a lease. A contract contains a lease if the contract conveys the right to control the use of an identified asset for a period of time in exchange for consideration. Reassessment is only required when the terms and conditions of the contract are changed.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Right-of-use assets</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Group recognises a right-of-use asset and lease liability at the date which the underlying asset is available for use. Right-of-use assets are measured at cost which comprises the initial measurement of lease liabilities adjusted for any lease payments made at or before the commencement date and lease incentives received. Any initial direct costs that would not have been incurred if the lease had not been obtained are added to the carrying amount of the right-of-use assets.</w:t>
      </w:r>
    </w:p>
    <w:p>
      <w:pPr>
        <w:spacing w:after="0" w:line="183"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These right-of-use assets are subsequently depreciated using the straight-line method from the commencement date to the earlier of the end of the useful life of the right-of-use asset or the end of the lease term.</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Right-of-use assets are presented within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Leases (Continued)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Lease liabilities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initial measurement of a lease liability is measured at the present value of the lease payments discounted using the interest rate implicit in the lease, if the rate can be readily determined. If that rate cannot be readily determined, the Group shall use its incremental borrowing rate.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Lease payments include the following:</w:t>
      </w:r>
    </w:p>
    <w:p>
      <w:pPr>
        <w:spacing w:after="0" w:line="225" w:lineRule="exact"/>
        <w:rPr>
          <w:sz w:val="20"/>
          <w:szCs w:val="20"/>
          <w:color w:val="auto"/>
        </w:rPr>
      </w:pPr>
    </w:p>
    <w:p>
      <w:pPr>
        <w:ind w:left="1660" w:hanging="329"/>
        <w:spacing w:after="0"/>
        <w:tabs>
          <w:tab w:leader="none" w:pos="1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 less any lease incentives receivable;</w:t>
      </w:r>
    </w:p>
    <w:p>
      <w:pPr>
        <w:spacing w:after="0" w:line="225" w:lineRule="exact"/>
        <w:rPr>
          <w:rFonts w:ascii="Times New Roman" w:cs="Times New Roman" w:eastAsia="Times New Roman" w:hAnsi="Times New Roman"/>
          <w:sz w:val="18"/>
          <w:szCs w:val="18"/>
          <w:color w:val="auto"/>
        </w:rPr>
      </w:pPr>
    </w:p>
    <w:p>
      <w:pPr>
        <w:ind w:left="1660" w:hanging="329"/>
        <w:spacing w:after="0" w:line="282" w:lineRule="auto"/>
        <w:tabs>
          <w:tab w:leader="none" w:pos="1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are based on an index or rate, initially measured using the index or rate as at the commencement date;</w:t>
      </w:r>
    </w:p>
    <w:p>
      <w:pPr>
        <w:spacing w:after="0" w:line="161"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under residual value guarantees;</w:t>
      </w:r>
    </w:p>
    <w:p>
      <w:pPr>
        <w:spacing w:after="0" w:line="225"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purchase option if the Group is reasonably certain to exercise the option; and</w:t>
      </w:r>
    </w:p>
    <w:p>
      <w:pPr>
        <w:spacing w:after="0" w:line="225"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penalties for terminating the lease, if the lease term reflects the Group exercising that option.</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For a contract that contains both lease and non-lease components, the Group allocates the consideration to each lease component on the basis of the relative stand-alone prices of the lease and non-lease components. The Group has elected to not separate lease and non-lease components for property leases and account these as one single lease component.</w:t>
      </w:r>
    </w:p>
    <w:p>
      <w:pPr>
        <w:spacing w:after="0" w:line="180"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Lease liabilities are measured at amortised cost using the effective interest method. Lease liabilities shall be remeasured when:</w:t>
      </w:r>
    </w:p>
    <w:p>
      <w:pPr>
        <w:spacing w:after="0" w:line="162" w:lineRule="exact"/>
        <w:rPr>
          <w:sz w:val="20"/>
          <w:szCs w:val="20"/>
          <w:color w:val="auto"/>
        </w:rPr>
      </w:pPr>
    </w:p>
    <w:p>
      <w:pPr>
        <w:ind w:left="1660" w:hanging="329"/>
        <w:spacing w:after="0"/>
        <w:tabs>
          <w:tab w:leader="none" w:pos="1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future lease payments arising from changes in an index or rate;</w:t>
      </w:r>
    </w:p>
    <w:p>
      <w:pPr>
        <w:spacing w:after="0" w:line="225"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the Group’s assessment of whether it will exercise an extension option; or</w:t>
      </w:r>
    </w:p>
    <w:p>
      <w:pPr>
        <w:spacing w:after="0" w:line="225"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modification in the scope or the consideration of the lease that was not part of the original term.</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Lease liabilities are remeasured with a corresponding adjustment to the right-of-use asset, or is recorded in profit or loss if the carrying amount of the right-of-use asset has been reduced to zero.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Short-term and low-value leases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Group has elected to not recognise right-of-use assets and lease liabilities for short-term leases that have lease terms of 12 months or less and leases of low-value leases, except for sublease arrangements. Lease payments relating to these leases are expensed to profit or loss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Current income tax for current and prior periods is recognised at the amount expected to be paid to or recovered from the tax authorities, using the tax rates and tax laws that have been enacted or substantively enacted by the end of the reporting period. Management periodically evaluates positions taken in tax returns with respect to situations in which applicable tax regulation is subject to interpretation and considers whether it is probable that a tax authority will accept an uncertain tax treatment. The Group measures its tax balances either based on the most likely amount or the expected value, depending on which method provides a better prediction of the resolution of the uncertainty.</w:t>
      </w:r>
    </w:p>
    <w:p>
      <w:pPr>
        <w:spacing w:after="0" w:line="187"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Deferred income tax is recognised for all temporary differences arising between the tax bases of assets and liabilities and their carrying amounts in the financial statements except when the deferred income tax arises from the initial recognition of goodwill or an asset or liability in a transaction that is not a business combination and affects neither accounting nor taxable profit or loss at the time of the transaction.</w:t>
      </w:r>
    </w:p>
    <w:p>
      <w:pPr>
        <w:spacing w:after="0" w:line="180"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 deferred income tax liability is recognised on temporary differences arising on investments in subsidiaries, except where the Group is able to control the timing of the reversal of the temporary difference and it is probable that the temporary difference will not reverse in the foreseeable future.</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 deferred income tax asset is recognised to the extent that it is probable that future taxable profit will be available against which the deductible temporary differences and tax losses can be utilised.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Deferred income tax is measured:</w:t>
      </w:r>
    </w:p>
    <w:p>
      <w:pPr>
        <w:spacing w:after="0" w:line="225" w:lineRule="exact"/>
        <w:rPr>
          <w:sz w:val="20"/>
          <w:szCs w:val="20"/>
          <w:color w:val="auto"/>
        </w:rPr>
      </w:pPr>
    </w:p>
    <w:p>
      <w:pPr>
        <w:jc w:val="both"/>
        <w:ind w:left="1660" w:hanging="329"/>
        <w:spacing w:after="0" w:line="266" w:lineRule="auto"/>
        <w:tabs>
          <w:tab w:leader="none" w:pos="1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tax rates that are expected to apply when the related deferred income tax asset is realized or the deferred income tax liability is settled, based on tax rates and tax laws that have been enacted or substantively enacted by the balance sheet date; and</w:t>
      </w:r>
    </w:p>
    <w:p>
      <w:pPr>
        <w:spacing w:after="0" w:line="175" w:lineRule="exact"/>
        <w:rPr>
          <w:rFonts w:ascii="Times New Roman" w:cs="Times New Roman" w:eastAsia="Times New Roman" w:hAnsi="Times New Roman"/>
          <w:sz w:val="18"/>
          <w:szCs w:val="18"/>
          <w:color w:val="auto"/>
        </w:rPr>
      </w:pPr>
    </w:p>
    <w:p>
      <w:pPr>
        <w:ind w:left="1660" w:hanging="329"/>
        <w:spacing w:after="0" w:line="282" w:lineRule="auto"/>
        <w:tabs>
          <w:tab w:leader="none" w:pos="1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tax consequence that will follow from the manner in which the Group expects, at the end of the reporting period, to recover or settle the carrying amounts of its assets and liabilities.</w:t>
      </w:r>
    </w:p>
    <w:p>
      <w:pPr>
        <w:spacing w:after="0" w:line="16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Current and deferred income taxes are recognised as income or expense in profit or loss, except to the extent that the tax arises from a business combination or a transaction which is recognised directly in equity. Deferred tax arising from a business combination is adjusted against goodwill on acquisition.</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Group accounts for investment tax credits (for example, productivity and innovation credit) similar to accounting for other tax credits where a deferred tax asset is recognised for unused tax credits to the extent that it is probable that future taxable profit will be available against which the unused tax credits can be utilised.</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Provisions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Provisions are recognised when the Company has a present obligation (legal or constructive) as a result of a past event, it is probable that an outflow of resources embodying economic benefits will be required to settle the obligation and the amount of the obligation can be estimated reliably.</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Group recognises the estimated costs of dismantlement, removal or restoration of items of property, plant and equipment arising from the acquisition or use of assets. This provision is estimated based on the best estimate of the expenditure required to settle the obligation, taking into consideration time value of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Employee benefits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Defined contribution plans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Defined contribution plans are post-employment benefit plans under which the Group pays fixed contributions into separate entities such as the Central Provident Fund in Singapore on a mandatory, contractual or voluntary basis. The Group has no further payment obligations once the contributions have been paid.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Short-term employee benefits</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Short-term employee benefit obligations are measured on an undiscounted basis and are expensed as the related service is provided. A liability is recognised for the amount expected to be paid if the Group has a present legal or constructive obligation to pay this amount as a result of past service provided by the employee, and the obligation can be estimated reliably.</w:t>
      </w:r>
    </w:p>
    <w:p>
      <w:pPr>
        <w:spacing w:after="0" w:line="176" w:lineRule="exact"/>
        <w:rPr>
          <w:sz w:val="20"/>
          <w:szCs w:val="20"/>
          <w:color w:val="auto"/>
        </w:rPr>
      </w:pPr>
    </w:p>
    <w:p>
      <w:pPr>
        <w:jc w:val="center"/>
        <w:ind w:right="4640"/>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Foreign currency translations and balances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Functional and presentation currency</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Items included in the financial statements of each entity in the Group are measured using the currency of the primary economic environment in which the entity operates (“functional currency”). The functional currency of the Company is United States Dollar and the financial statements are presented in United States Dollar (“USS”).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Transactions and balances</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Transactions in a currency other than the functional currency (“foreign currency”) are translated into the functional currency using the exchange rates at the dates of the transactions. Currency exchange differences resulting from the settlement of such transactions and from the translation of monetary assets and liabilities denominated in foreign currencies at the closing rates at the balance sheet date are recognised in profit or loss. Monetary items include primarily financial assets (other than equity investments), contract assets and financial liabilities.</w:t>
      </w:r>
    </w:p>
    <w:p>
      <w:pPr>
        <w:spacing w:after="0" w:line="183"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Non-monetary items measured at fair value in foreign currencies are translated using the exchange rates at the date when the fair values are determined.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Translation of Group entities’ financial statements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results and financial position of all the Group entities (none of which has the currency of a hyperinflationary economy) that have a functional currency different from the presentation currency are translated into the presentation currency as follows:</w:t>
      </w:r>
    </w:p>
    <w:p>
      <w:pPr>
        <w:spacing w:after="0" w:line="176" w:lineRule="exact"/>
        <w:rPr>
          <w:sz w:val="20"/>
          <w:szCs w:val="20"/>
          <w:color w:val="auto"/>
        </w:rPr>
      </w:pPr>
    </w:p>
    <w:p>
      <w:pPr>
        <w:ind w:left="1660" w:hanging="329"/>
        <w:spacing w:after="0"/>
        <w:tabs>
          <w:tab w:leader="none" w:pos="1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and liabilities are translated at the closing exchange rates at the reporting date;</w:t>
      </w:r>
    </w:p>
    <w:p>
      <w:pPr>
        <w:spacing w:after="0" w:line="225" w:lineRule="exact"/>
        <w:rPr>
          <w:rFonts w:ascii="Times New Roman" w:cs="Times New Roman" w:eastAsia="Times New Roman" w:hAnsi="Times New Roman"/>
          <w:sz w:val="18"/>
          <w:szCs w:val="18"/>
          <w:color w:val="auto"/>
        </w:rPr>
      </w:pPr>
    </w:p>
    <w:p>
      <w:pPr>
        <w:jc w:val="both"/>
        <w:ind w:left="1660" w:hanging="329"/>
        <w:spacing w:after="0" w:line="266" w:lineRule="auto"/>
        <w:tabs>
          <w:tab w:leader="none" w:pos="1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expenses are translated at average exchange rates (unless the average is not a reasonable approximation of the cumulative effect of the rates prevailing on the transaction dates, in which case income and expenses are translated using the exchange rates at the dates of the transactions);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1300" w:right="4080" w:hanging="648"/>
        <w:spacing w:after="0" w:line="50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2.18 Foreign currency translations and balances (Continued) </w:t>
      </w:r>
      <w:r>
        <w:rPr>
          <w:rFonts w:ascii="Times New Roman" w:cs="Times New Roman" w:eastAsia="Times New Roman" w:hAnsi="Times New Roman"/>
          <w:sz w:val="18"/>
          <w:szCs w:val="18"/>
          <w:u w:val="single" w:color="auto"/>
          <w:color w:val="auto"/>
        </w:rPr>
        <w:t>Translation of Group entities’ financial statements</w:t>
      </w:r>
      <w:r>
        <w:rPr>
          <w:rFonts w:ascii="Times New Roman" w:cs="Times New Roman" w:eastAsia="Times New Roman" w:hAnsi="Times New Roman"/>
          <w:sz w:val="18"/>
          <w:szCs w:val="18"/>
          <w:color w:val="auto"/>
        </w:rPr>
        <w:t xml:space="preserve"> (Continued)</w:t>
      </w:r>
    </w:p>
    <w:p>
      <w:pPr>
        <w:jc w:val="both"/>
        <w:ind w:left="1660" w:right="20" w:hanging="329"/>
        <w:spacing w:after="0" w:line="266" w:lineRule="auto"/>
        <w:tabs>
          <w:tab w:leader="none" w:pos="1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resulting currency translation differences are recognized in other comprehensive income and accumulated in the currency translation reserve. These currency translation differences are reclassified to profit or loss on disposal or partial disposal with loss of control of the foreign operation.</w:t>
      </w:r>
    </w:p>
    <w:p>
      <w:pPr>
        <w:spacing w:after="0" w:line="176"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Goodwill and fair value adjustments arising on the acquisition of foreign operations are treated as assets and liabilities of the foreign operations and translated at the closing rates at the reporting date.</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Cash and cash equivalents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Cash and bank balances in the consolidated statements of financial position comprise cash on hand, bank balances and pledged deposits which are readily convertible to known amounts of cash and subject to insignificant risk of changes in value.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the purposes of consolidated statements of cash flows, cash and cash equivalents exclude any pledged deposits.</w:t>
      </w:r>
    </w:p>
    <w:p>
      <w:pPr>
        <w:spacing w:after="0" w:line="22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2.20</w:t>
      </w:r>
      <w:r>
        <w:rPr>
          <w:sz w:val="20"/>
          <w:szCs w:val="20"/>
          <w:color w:val="auto"/>
        </w:rPr>
        <w:tab/>
      </w: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Ordinary shares</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Ordinary shares are classified as equity. Incremental costs directly attributable to the issuance of new ordinary shares are deducted against the share capital account.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Convertible preference shares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Company’s convertible preference shares are classified as equity instruments when there is no contractual obligation to deliver cash or another financial asset, and do not require settlement in a variable number of the Company’s equity instruments.</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Preference shares that are classified as equity are initially recognized at the fair value of the consideration received, net of any directly attributable transaction costs. Dividends are recognized as distributions within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(Continued)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Group presents basic and diluted earnings per share data for its ordinary shares. Basic earnings per share is calculated by dividing the profit or loss attributable to owners of the Company by the weighted-average number of ordinary shares outstanding during the year, adjusted for own shares held, if any.</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Diluted earnings per share is determined by adjusting the profit or loss attributable to the owner of the Company and the weighted-average number of ordinary shares outstanding, adjusted for own shares held, if any, for the effects of all dilutive potential ordinary shares.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29"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Operating segment is reported in a manner consistent with the internal reporting provided to the executive committee whose members are responsible for allocating resources and assessing performance of the operating segment.</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8"/>
          <w:szCs w:val="18"/>
          <w:b w:val="1"/>
          <w:bCs w:val="1"/>
          <w:color w:val="auto"/>
        </w:rPr>
        <w:t>Related party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related party is defined as follows:</w:t>
      </w:r>
    </w:p>
    <w:p>
      <w:pPr>
        <w:spacing w:after="0" w:line="225" w:lineRule="exact"/>
        <w:rPr>
          <w:sz w:val="20"/>
          <w:szCs w:val="20"/>
          <w:color w:val="auto"/>
        </w:rPr>
      </w:pPr>
    </w:p>
    <w:p>
      <w:pPr>
        <w:ind w:left="1900" w:hanging="326"/>
        <w:spacing w:after="0"/>
        <w:tabs>
          <w:tab w:leader="none" w:pos="1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member of that person’s family is related to the Group if that person:</w:t>
      </w:r>
    </w:p>
    <w:p>
      <w:pPr>
        <w:spacing w:after="0" w:line="225" w:lineRule="exact"/>
        <w:rPr>
          <w:rFonts w:ascii="Times New Roman" w:cs="Times New Roman" w:eastAsia="Times New Roman" w:hAnsi="Times New Roman"/>
          <w:sz w:val="18"/>
          <w:szCs w:val="18"/>
          <w:color w:val="auto"/>
        </w:rPr>
      </w:pPr>
    </w:p>
    <w:p>
      <w:pPr>
        <w:ind w:left="2280" w:hanging="368"/>
        <w:spacing w:after="0"/>
        <w:tabs>
          <w:tab w:leader="none" w:pos="2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Group;</w:t>
      </w:r>
    </w:p>
    <w:p>
      <w:pPr>
        <w:spacing w:after="0" w:line="27" w:lineRule="exact"/>
        <w:rPr>
          <w:rFonts w:ascii="Times New Roman" w:cs="Times New Roman" w:eastAsia="Times New Roman" w:hAnsi="Times New Roman"/>
          <w:sz w:val="18"/>
          <w:szCs w:val="18"/>
          <w:color w:val="auto"/>
        </w:rPr>
      </w:pPr>
    </w:p>
    <w:p>
      <w:pPr>
        <w:ind w:left="2280" w:hanging="368"/>
        <w:spacing w:after="0"/>
        <w:tabs>
          <w:tab w:leader="none" w:pos="2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Group; or</w:t>
      </w:r>
    </w:p>
    <w:p>
      <w:pPr>
        <w:spacing w:after="0" w:line="9" w:lineRule="exact"/>
        <w:rPr>
          <w:rFonts w:ascii="Times New Roman" w:cs="Times New Roman" w:eastAsia="Times New Roman" w:hAnsi="Times New Roman"/>
          <w:sz w:val="18"/>
          <w:szCs w:val="18"/>
          <w:color w:val="auto"/>
        </w:rPr>
      </w:pPr>
    </w:p>
    <w:p>
      <w:pPr>
        <w:ind w:left="2280" w:hanging="368"/>
        <w:spacing w:after="0"/>
        <w:tabs>
          <w:tab w:leader="none" w:pos="2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the key management personnel of the Group or of a parent of the Company.</w:t>
      </w:r>
    </w:p>
    <w:p>
      <w:pPr>
        <w:spacing w:after="0" w:line="206" w:lineRule="exact"/>
        <w:rPr>
          <w:rFonts w:ascii="Times New Roman" w:cs="Times New Roman" w:eastAsia="Times New Roman" w:hAnsi="Times New Roman"/>
          <w:sz w:val="18"/>
          <w:szCs w:val="18"/>
          <w:color w:val="auto"/>
        </w:rPr>
      </w:pPr>
    </w:p>
    <w:p>
      <w:pPr>
        <w:ind w:left="1900" w:hanging="326"/>
        <w:spacing w:after="0"/>
        <w:tabs>
          <w:tab w:leader="none" w:pos="1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is related to the Group if any of the following conditions apply:</w:t>
      </w:r>
    </w:p>
    <w:p>
      <w:pPr>
        <w:spacing w:after="0" w:line="225" w:lineRule="exact"/>
        <w:rPr>
          <w:rFonts w:ascii="Times New Roman" w:cs="Times New Roman" w:eastAsia="Times New Roman" w:hAnsi="Times New Roman"/>
          <w:sz w:val="18"/>
          <w:szCs w:val="18"/>
          <w:color w:val="auto"/>
        </w:rPr>
      </w:pPr>
    </w:p>
    <w:p>
      <w:pPr>
        <w:ind w:left="2280" w:right="20" w:hanging="368"/>
        <w:spacing w:after="0" w:line="261" w:lineRule="auto"/>
        <w:tabs>
          <w:tab w:leader="none" w:pos="2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members of the same group (which means that each parent, subsidiary and fellow subsidiary is related to the others).</w:t>
      </w:r>
    </w:p>
    <w:p>
      <w:pPr>
        <w:ind w:left="2280" w:hanging="368"/>
        <w:spacing w:after="0" w:line="250" w:lineRule="auto"/>
        <w:tabs>
          <w:tab w:leader="none" w:pos="2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an associate or joint venture of a member of a group of which the other entity is a member).</w:t>
      </w:r>
    </w:p>
    <w:p>
      <w:pPr>
        <w:ind w:left="2280" w:hanging="368"/>
        <w:spacing w:after="0"/>
        <w:tabs>
          <w:tab w:leader="none" w:pos="2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entities are joint ventures of the same third party.</w:t>
      </w:r>
    </w:p>
    <w:p>
      <w:pPr>
        <w:spacing w:after="0" w:line="9" w:lineRule="exact"/>
        <w:rPr>
          <w:rFonts w:ascii="Times New Roman" w:cs="Times New Roman" w:eastAsia="Times New Roman" w:hAnsi="Times New Roman"/>
          <w:sz w:val="18"/>
          <w:szCs w:val="18"/>
          <w:color w:val="auto"/>
        </w:rPr>
      </w:pPr>
    </w:p>
    <w:p>
      <w:pPr>
        <w:ind w:left="2280" w:hanging="368"/>
        <w:spacing w:after="0"/>
        <w:tabs>
          <w:tab w:leader="none" w:pos="2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9" w:lineRule="exact"/>
        <w:rPr>
          <w:rFonts w:ascii="Times New Roman" w:cs="Times New Roman" w:eastAsia="Times New Roman" w:hAnsi="Times New Roman"/>
          <w:sz w:val="18"/>
          <w:szCs w:val="18"/>
          <w:color w:val="auto"/>
        </w:rPr>
      </w:pPr>
    </w:p>
    <w:p>
      <w:pPr>
        <w:jc w:val="both"/>
        <w:ind w:left="2280" w:hanging="368"/>
        <w:spacing w:after="0" w:line="250" w:lineRule="auto"/>
        <w:tabs>
          <w:tab w:leader="none" w:pos="2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employees of either the Group or an entity related to the Group. If the Group is itself such a plan, the sponsoring employers are also related to the Group.</w:t>
      </w:r>
    </w:p>
    <w:p>
      <w:pPr>
        <w:spacing w:after="0" w:line="1" w:lineRule="exact"/>
        <w:rPr>
          <w:rFonts w:ascii="Times New Roman" w:cs="Times New Roman" w:eastAsia="Times New Roman" w:hAnsi="Times New Roman"/>
          <w:sz w:val="18"/>
          <w:szCs w:val="18"/>
          <w:color w:val="auto"/>
        </w:rPr>
      </w:pPr>
    </w:p>
    <w:p>
      <w:pPr>
        <w:ind w:left="2280" w:hanging="368"/>
        <w:spacing w:after="0"/>
        <w:tabs>
          <w:tab w:leader="none" w:pos="2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9" w:lineRule="exact"/>
        <w:rPr>
          <w:rFonts w:ascii="Times New Roman" w:cs="Times New Roman" w:eastAsia="Times New Roman" w:hAnsi="Times New Roman"/>
          <w:sz w:val="18"/>
          <w:szCs w:val="18"/>
          <w:color w:val="auto"/>
        </w:rPr>
      </w:pPr>
    </w:p>
    <w:p>
      <w:pPr>
        <w:ind w:left="2280" w:right="20" w:hanging="368"/>
        <w:spacing w:after="0" w:line="260" w:lineRule="auto"/>
        <w:tabs>
          <w:tab w:leader="none" w:pos="2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 (i) has significant influence over the entity or is a member of the key management personnel of the entity (or of a parent of the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judgements and estimates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consolidated financial statements in conformity with IFRS requires management to exercise its judgement in the process of applying the Group’s accounting policies. It also requires the use of accounting estimates and assumptions that affect the reported amounts of assets and liabilities at the balance sheet date and revenues and expenses during the reporting periods.</w:t>
      </w:r>
    </w:p>
    <w:p>
      <w:pPr>
        <w:spacing w:after="0" w:line="18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Information about estimation uncertainties that have a significant risk of resulting in a material adjustment within the next financial year are included in the following notes: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8"/>
          <w:szCs w:val="18"/>
          <w:b w:val="1"/>
          <w:bCs w:val="1"/>
          <w:color w:val="auto"/>
        </w:rPr>
        <w:t>Judgements made in applying accounting policies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Accounting of digital assets transactions and balances</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Management notes that the topic of digital assets and the accounting for digital assets continues to be considered by IASB and continues to monitor new comments and interpretations released by the Board and other standard setters from around the world. In line with this, the Group has considered its position for the year ended 31 December and 30 June 2024 and had to make judgement that the most applicable standard would be IAS 2 Inventories, based on the Group’s understanding of the characteristics of the assets as these digital assets are mainly held for the purpose of providing a service to customer in converting different type of digital asset and lending arrangement with a related party, which can be denominated in different type of digital asset.</w:t>
      </w:r>
    </w:p>
    <w:p>
      <w:pPr>
        <w:spacing w:after="0" w:line="189"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Management treatment continues to be to measure crypto assets at fair value (unless otherwise disclosed and provided certain conditions are met) under the respective accounting standards.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7"/>
          <w:szCs w:val="17"/>
          <w:b w:val="1"/>
          <w:bCs w:val="1"/>
          <w:color w:val="auto"/>
        </w:rPr>
        <w:t>Key sources of estimation uncertainty</w:t>
      </w:r>
    </w:p>
    <w:p>
      <w:pPr>
        <w:spacing w:after="0" w:line="22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key assumptions concerning the future and other key sources of estimation uncertainty at the end of the reporting period are discussed below. The Group based its assumptions and estimates on parameters available when the financial statements were prepared. Existing circumstances and assumptions about future developments, however, may change due to market changes or circumstances arising beyond the control of the Group. Such changes are reflected in the assumptions when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judgements and estimates (Continued)</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b w:val="1"/>
          <w:bCs w:val="1"/>
          <w:color w:val="auto"/>
        </w:rPr>
        <w:t>Key sources of estimation uncertainty (Continued)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Fair value of derivative financial instruments</w:t>
      </w:r>
    </w:p>
    <w:p>
      <w:pPr>
        <w:spacing w:after="0" w:line="18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Derivative financial instruments are measured at fair value at initial recognition and designated to be measured subsequently at fair value through profit or loss. The Group had applied Black-Scholes model to estimate the fair value of the derivative financial instrument. The key inputs contributing to the estimation uncertainty include annualized volatility and risk-free rate.</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Impairment of goodwill</w:t>
      </w:r>
    </w:p>
    <w:p>
      <w:pPr>
        <w:spacing w:after="0" w:line="18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The Group tests goodwill for impairment at least on an annual basis. Determining whether goodwill is impaired requires an estimation of the value- in-use of the cash-generating units (“CGU”) to which goodwill has been allocated. The value-in-use calculation requires the entity to estimate the future cash flows expected to arise from the CGU and a suitable discount rate in order to calculate present value. No impairment loss was recognised during the financial period/year ended December 31 and June 30, 2024. The carrying amount of goodwill as at December 31 and June 30, 2024 was US$16,735,211 (Note 5).</w:t>
      </w:r>
    </w:p>
    <w:p>
      <w:pPr>
        <w:spacing w:after="0" w:line="183"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Furniture</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Office</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Leased</w:t>
            </w:r>
          </w:p>
        </w:tc>
        <w:tc>
          <w:tcPr>
            <w:tcW w:w="7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 fitting</w:t>
            </w: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improvement</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premise</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July 1,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116,514</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657,216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Written-off</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(657,216)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(741,986)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June 30,2024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116,514</w:t>
            </w:r>
          </w:p>
        </w:tc>
        <w:tc>
          <w:tcPr>
            <w:tcW w:w="1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723,640</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116,514</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723,640</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2023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383,378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Written-off</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(456,402)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(541,172)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116,514</w:t>
            </w:r>
          </w:p>
        </w:tc>
        <w:tc>
          <w:tcPr>
            <w:tcW w:w="16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19,719</w:t>
            </w:r>
          </w:p>
        </w:tc>
        <w:tc>
          <w:tcPr>
            <w:tcW w:w="14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116,514</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159,291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gridSpan w:val="2"/>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704,082</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704,082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Right-of-use assets acquired under leasing arrangements are presented together with the owned assets of the same class. Details of such leased assets are disclosed in Note 15.</w:t>
      </w:r>
    </w:p>
    <w:p>
      <w:pPr>
        <w:spacing w:after="0" w:line="121" w:lineRule="exact"/>
        <w:rPr>
          <w:sz w:val="20"/>
          <w:szCs w:val="20"/>
          <w:color w:val="auto"/>
        </w:rPr>
      </w:pPr>
    </w:p>
    <w:p>
      <w:pPr>
        <w:ind w:left="660" w:right="20" w:firstLine="26"/>
        <w:spacing w:after="0" w:line="282" w:lineRule="auto"/>
        <w:rPr>
          <w:sz w:val="20"/>
          <w:szCs w:val="20"/>
          <w:color w:val="auto"/>
        </w:rPr>
      </w:pPr>
      <w:r>
        <w:rPr>
          <w:rFonts w:ascii="Times New Roman" w:cs="Times New Roman" w:eastAsia="Times New Roman" w:hAnsi="Times New Roman"/>
          <w:sz w:val="18"/>
          <w:szCs w:val="18"/>
          <w:color w:val="auto"/>
        </w:rPr>
        <w:t>In prior year, the Company terminated its existing tenancy agreement for its Singapore office premises due to moving to a new office premise.</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 December 2024, the Company entered into a new lease for its Hong Kong office premises.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Trademark</w:t>
            </w:r>
          </w:p>
        </w:tc>
        <w:tc>
          <w:tcPr>
            <w:tcW w:w="140" w:type="dxa"/>
            <w:vAlign w:val="bottom"/>
          </w:tcPr>
          <w:p>
            <w:pPr>
              <w:spacing w:after="0"/>
              <w:rPr>
                <w:sz w:val="24"/>
                <w:szCs w:val="24"/>
                <w:color w:val="auto"/>
              </w:rPr>
            </w:pPr>
          </w:p>
        </w:tc>
        <w:tc>
          <w:tcPr>
            <w:tcW w:w="8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5"/>
                <w:szCs w:val="15"/>
                <w:color w:val="auto"/>
              </w:rPr>
            </w:pP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5"/>
                <w:szCs w:val="15"/>
                <w:color w:val="auto"/>
              </w:rPr>
            </w:pPr>
          </w:p>
        </w:tc>
        <w:tc>
          <w:tcPr>
            <w:tcW w:w="8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July 1, 2023 and June 30,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16,735,211</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3,645,232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20,381,836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75,600</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16,735,211</w:t>
            </w:r>
          </w:p>
        </w:tc>
        <w:tc>
          <w:tcPr>
            <w:tcW w:w="1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3,720,832</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20,457,436</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0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1, 2023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2,939,968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2,940,630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457,317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457,456</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3,397,285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3,398,086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164,299</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3,561,514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3,562,385</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0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8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60" w:type="dxa"/>
            <w:vAlign w:val="bottom"/>
          </w:tcPr>
          <w:p>
            <w:pPr>
              <w:spacing w:after="0"/>
              <w:rPr>
                <w:sz w:val="21"/>
                <w:szCs w:val="21"/>
                <w:color w:val="auto"/>
              </w:rPr>
            </w:pPr>
          </w:p>
        </w:tc>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Balance at June 30, 2024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16,735,211</w:t>
            </w:r>
          </w:p>
        </w:tc>
        <w:tc>
          <w:tcPr>
            <w:tcW w:w="140" w:type="dxa"/>
            <w:vAlign w:val="bottom"/>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247,947</w:t>
            </w:r>
          </w:p>
        </w:tc>
        <w:tc>
          <w:tcPr>
            <w:tcW w:w="16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16,983,750</w:t>
            </w: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2024</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16,735,211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159,318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16,895,051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Goodwill</w:t>
      </w:r>
    </w:p>
    <w:p>
      <w:pPr>
        <w:spacing w:after="0" w:line="208" w:lineRule="exact"/>
        <w:rPr>
          <w:sz w:val="20"/>
          <w:szCs w:val="20"/>
          <w:color w:val="auto"/>
        </w:rPr>
      </w:pPr>
    </w:p>
    <w:p>
      <w:pPr>
        <w:ind w:left="660" w:right="280"/>
        <w:spacing w:after="0" w:line="298" w:lineRule="auto"/>
        <w:rPr>
          <w:sz w:val="20"/>
          <w:szCs w:val="20"/>
          <w:color w:val="auto"/>
        </w:rPr>
      </w:pPr>
      <w:r>
        <w:rPr>
          <w:rFonts w:ascii="Times New Roman" w:cs="Times New Roman" w:eastAsia="Times New Roman" w:hAnsi="Times New Roman"/>
          <w:sz w:val="16"/>
          <w:szCs w:val="16"/>
          <w:color w:val="auto"/>
        </w:rPr>
        <w:t>Goodwill acquired in a business combination is allocated to the cash-generating unit (“CGU”) that is expected to benefit from the business combination. The goodwill arises from the acquisition of Sparrow Group (Note 1).</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Gr</w:t>
      </w:r>
      <w:r>
        <w:rPr>
          <w:rFonts w:ascii="Times New Roman" w:cs="Times New Roman" w:eastAsia="Times New Roman" w:hAnsi="Times New Roman"/>
          <w:sz w:val="17"/>
          <w:szCs w:val="17"/>
          <w:color w:val="auto"/>
        </w:rPr>
        <w:t>oup has only one CGU for the period/year ended December 31, 2024 and June 30, 2024.</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tests CGU for impairment annually, or more frequently when there is an indication for impairment.</w:t>
      </w:r>
    </w:p>
    <w:p>
      <w:pPr>
        <w:spacing w:after="0" w:line="198" w:lineRule="exact"/>
        <w:rPr>
          <w:sz w:val="20"/>
          <w:szCs w:val="20"/>
          <w:color w:val="auto"/>
        </w:rPr>
      </w:pPr>
    </w:p>
    <w:p>
      <w:pPr>
        <w:ind w:left="660" w:right="480"/>
        <w:spacing w:after="0" w:line="282" w:lineRule="auto"/>
        <w:rPr>
          <w:sz w:val="20"/>
          <w:szCs w:val="20"/>
          <w:color w:val="auto"/>
        </w:rPr>
      </w:pPr>
      <w:r>
        <w:rPr>
          <w:rFonts w:ascii="Times New Roman" w:cs="Times New Roman" w:eastAsia="Times New Roman" w:hAnsi="Times New Roman"/>
          <w:sz w:val="18"/>
          <w:szCs w:val="18"/>
          <w:color w:val="auto"/>
        </w:rPr>
        <w:t>The Group has measured the recoverable amount of the CGU based on a value in use calculation using 5-years cash flows projections approved by the directors.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assumptions used for value-in-use calculations:</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9"/>
        </w:trPr>
        <w:tc>
          <w:tcPr>
            <w:tcW w:w="6420" w:type="dxa"/>
            <w:vAlign w:val="bottom"/>
          </w:tcPr>
          <w:p>
            <w:pPr>
              <w:spacing w:after="0"/>
              <w:rPr>
                <w:sz w:val="12"/>
                <w:szCs w:val="12"/>
                <w:color w:val="auto"/>
              </w:rPr>
            </w:pPr>
          </w:p>
        </w:tc>
        <w:tc>
          <w:tcPr>
            <w:tcW w:w="980" w:type="dxa"/>
            <w:vAlign w:val="bottom"/>
          </w:tcPr>
          <w:p>
            <w:pPr>
              <w:jc w:val="right"/>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20" w:type="dxa"/>
            <w:vAlign w:val="bottom"/>
          </w:tcPr>
          <w:p>
            <w:pPr>
              <w:jc w:val="right"/>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64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growth</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5.0 - 69.0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7.0 - 41.0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Long-term growth rate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Management determined budgeted gross margin based on past performance and its expectation of market developments. The weighted average growth rates used were consistent with forecasts included in industry reports. The discount rate was pre-tax and reflected specific risk relating to the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assets at fair value through profits or loss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8"/>
        </w:trPr>
        <w:tc>
          <w:tcPr>
            <w:tcW w:w="65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65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the beginning of financial period/year</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247,826</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259,114</w:t>
            </w: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gain in profit or loss (Note 19)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(11,288)</w:t>
            </w: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the end of financial period/year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263,890</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247,826</w:t>
            </w: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investment in Signum Capital Investment VVC-Sub Fund is designated and measured at FVPL because its performance is monitored and managed on a fair value basis.</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fair value measurement has been categorized as Level 3 fair value based on inputs to the valuation techniques used. Fair value measurement will be performed on a quarterly basis.</w:t>
      </w:r>
    </w:p>
    <w:p>
      <w:pPr>
        <w:spacing w:after="0" w:line="158"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and other receivables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8"/>
        </w:trPr>
        <w:tc>
          <w:tcPr>
            <w:tcW w:w="65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65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w:t>
            </w: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 Third parties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Non-trade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147,437</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112,016</w:t>
            </w: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receivables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w:t>
            </w: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355,149</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271,082</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Trade receivables are non-interest bearing and are generally on 30 days (June 30, 2024:30 days) credit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currency profile of the Group’s trade and other receivables at the end of the reporting date are as follows: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9"/>
        </w:trPr>
        <w:tc>
          <w:tcPr>
            <w:tcW w:w="65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65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Dollar</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99,855</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65,754</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Singapore Dollar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159,175</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 Dollar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32,397</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44,857</w:t>
            </w:r>
          </w:p>
        </w:tc>
      </w:tr>
      <w:tr>
        <w:trPr>
          <w:trHeight w:val="210"/>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355,149</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271,082</w:t>
            </w:r>
          </w:p>
        </w:tc>
      </w:tr>
      <w:tr>
        <w:trPr>
          <w:trHeight w:val="20"/>
        </w:trPr>
        <w:tc>
          <w:tcPr>
            <w:tcW w:w="6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Collateral receivables and collateral payables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offers cryptocurrency “Accumulator” and “Decumulator” structured product arrangements with customers, which are structured derivatives that allow customers to systematically accumulate or reduce positions specific cryptocurrency at predetermined prices. These structured products involve bilateral collateral arrangements: client-posted collateral is recorded as collateral receivables, while obligations to return collateral are recognized as collateral payables. Both balances receivables and payables are measured at fair value. The Group maintains operational control over custodial assets but does not assume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Collateral receivables and collateral payables (Continued)</w:t>
      </w:r>
    </w:p>
    <w:p>
      <w:pPr>
        <w:spacing w:after="0" w:line="161" w:lineRule="exact"/>
        <w:rPr>
          <w:rFonts w:ascii="Times New Roman" w:cs="Times New Roman" w:eastAsia="Times New Roman" w:hAnsi="Times New Roman"/>
          <w:sz w:val="18"/>
          <w:szCs w:val="18"/>
          <w:b w:val="1"/>
          <w:bCs w:val="1"/>
          <w:color w:val="auto"/>
        </w:rPr>
      </w:pPr>
    </w:p>
    <w:p>
      <w:pPr>
        <w:ind w:left="660" w:right="520"/>
        <w:spacing w:after="0" w:line="41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table sets forth the fair values of collateral receivables and payables as the end of the financial period/year: </w:t>
      </w:r>
      <w:r>
        <w:rPr>
          <w:rFonts w:ascii="Times New Roman" w:cs="Times New Roman" w:eastAsia="Times New Roman" w:hAnsi="Times New Roman"/>
          <w:sz w:val="18"/>
          <w:szCs w:val="18"/>
          <w:u w:val="single" w:color="auto"/>
          <w:color w:val="auto"/>
        </w:rPr>
        <w:t>Collateral receivables</w:t>
      </w:r>
    </w:p>
    <w:tbl>
      <w:tblPr>
        <w:tblLayout w:type="fixed"/>
        <w:tblInd w:w="0" w:type="dxa"/>
        <w:tblCellMar>
          <w:top w:w="0" w:type="dxa"/>
          <w:left w:w="0" w:type="dxa"/>
          <w:bottom w:w="0" w:type="dxa"/>
          <w:right w:w="0" w:type="dxa"/>
        </w:tblCellMar>
      </w:tblPr>
      <w:tr>
        <w:trPr>
          <w:trHeight w:val="150"/>
        </w:trPr>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120" w:type="dxa"/>
            <w:vAlign w:val="bottom"/>
            <w:gridSpan w:val="2"/>
          </w:tcPr>
          <w:p>
            <w:pPr>
              <w:jc w:val="center"/>
              <w:ind w:right="200"/>
              <w:spacing w:after="0" w:line="150"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2,289,055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USDC</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12,125,010</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14,414,065</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80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color w:val="auto"/>
              </w:rPr>
              <w:t>Collateral payables</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0" w:type="dxa"/>
            <w:vAlign w:val="bottom"/>
          </w:tcPr>
          <w:p>
            <w:pPr>
              <w:spacing w:after="0"/>
              <w:rPr>
                <w:sz w:val="24"/>
                <w:szCs w:val="24"/>
                <w:color w:val="auto"/>
              </w:rPr>
            </w:pPr>
          </w:p>
        </w:tc>
        <w:tc>
          <w:tcPr>
            <w:tcW w:w="6800" w:type="dxa"/>
            <w:vAlign w:val="bottom"/>
            <w:gridSpan w:val="4"/>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2,289,055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USDC</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12,125,010</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14,414,065</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6800" w:type="dxa"/>
            <w:vAlign w:val="bottom"/>
            <w:gridSpan w:val="4"/>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Digital assets</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 w:type="dxa"/>
            <w:vAlign w:val="bottom"/>
            <w:vMerge w:val="continue"/>
          </w:tcPr>
          <w:p>
            <w:pPr>
              <w:spacing w:after="0"/>
              <w:rPr>
                <w:sz w:val="24"/>
                <w:szCs w:val="24"/>
                <w:color w:val="auto"/>
              </w:rPr>
            </w:pPr>
          </w:p>
        </w:tc>
        <w:tc>
          <w:tcPr>
            <w:tcW w:w="6800" w:type="dxa"/>
            <w:vAlign w:val="bottom"/>
            <w:gridSpan w:val="4"/>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Held in related parties’ platform</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 held on exchange institution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4,831,637</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4,831,637</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fair values of digital assets held by the Group as the end of the financial period/year:</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 (“BTC”)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2,063,704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Ethereum (“ETH”)</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742,519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Tether (“USDT”)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USDC</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1,826,816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Others</w:t>
            </w:r>
            <w:r>
              <w:rPr>
                <w:rFonts w:ascii="Times New Roman" w:cs="Times New Roman" w:eastAsia="Times New Roman" w:hAnsi="Times New Roman"/>
                <w:sz w:val="25"/>
                <w:szCs w:val="25"/>
                <w:color w:val="auto"/>
                <w:vertAlign w:val="superscript"/>
              </w:rPr>
              <w:t>(2)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188,015</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4,831,637</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00" w:hanging="317"/>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mainly consist of “XRP”, “ADA”, “BCH”, “ADA”, “DOT”, “BNB”, “TRX” and “SOL”, no other crypto asset individually representing more than 3% of the total.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52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24"/>
                <w:szCs w:val="2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8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Buy</w:t>
            </w:r>
          </w:p>
        </w:tc>
        <w:tc>
          <w:tcPr>
            <w:tcW w:w="1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Sell</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carried at fair value: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Crypto structured products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4"/>
              </w:rPr>
              <w:t>To customers</w:t>
            </w:r>
          </w:p>
        </w:tc>
        <w:tc>
          <w:tcPr>
            <w:tcW w:w="410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Call option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34,140,615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1,553,537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3,872,890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To related party</w:t>
            </w:r>
          </w:p>
        </w:tc>
        <w:tc>
          <w:tcPr>
            <w:tcW w:w="39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Call option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34,140,615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1,553,537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3,872,890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9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4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76,027,010</w:t>
            </w:r>
          </w:p>
        </w:tc>
        <w:tc>
          <w:tcPr>
            <w:tcW w:w="1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1,576,395</w:t>
            </w:r>
          </w:p>
        </w:tc>
        <w:tc>
          <w:tcPr>
            <w:tcW w:w="14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1,576,395</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2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4"/>
              </w:rPr>
              <w:t>To customers</w:t>
            </w:r>
          </w:p>
        </w:tc>
        <w:tc>
          <w:tcPr>
            <w:tcW w:w="410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Call option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2,356,139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1,698,009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To related party</w:t>
            </w:r>
          </w:p>
        </w:tc>
        <w:tc>
          <w:tcPr>
            <w:tcW w:w="39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Call option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2,356,139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1,698,009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242,000</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8,108,296</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entered into BTC and ETH options with its customers, and as part of the Group’s risk management strategy, the Group also entered into bought identical similar back-to-back put and call BTC and ETH options with its related parties. Management has no intention to hold these derivatives for more than one year and option varies from 3 days – 178 days (year ended June 30, 2024: 3 days – 73 days) till maturity.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8"/>
        </w:trPr>
        <w:tc>
          <w:tcPr>
            <w:tcW w:w="65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65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deposits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3,049,339</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3,000,000</w:t>
            </w: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6,276,733</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3,766,347</w:t>
            </w:r>
          </w:p>
        </w:tc>
      </w:tr>
      <w:tr>
        <w:trPr>
          <w:trHeight w:val="209"/>
        </w:trPr>
        <w:tc>
          <w:tcPr>
            <w:tcW w:w="6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9,326,072</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6,766,347</w:t>
            </w:r>
          </w:p>
        </w:tc>
      </w:tr>
      <w:tr>
        <w:trPr>
          <w:trHeight w:val="20"/>
        </w:trPr>
        <w:tc>
          <w:tcPr>
            <w:tcW w:w="6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Fixed deposit bears interest at 4.35% to 5.00% per annum (June 30, 2024: 3.90% to 4.67% per annum) and for tenure of 30 days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(June 30, 2024: 30 days).</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Group placed a deposit of US$3,049,339 (June 30, 2024: US$3,000,000) with a bank in accordance with Hong Kong VATP guidelines for an affiliate, WhaleFin Markets Limited.</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For the purpose of presenting the statement of cash flows, and cash and cash equivalents comprise the following at the end of the financial period/year:</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8"/>
        </w:trPr>
        <w:tc>
          <w:tcPr>
            <w:tcW w:w="65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65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short-term deposit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9,326,072</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6,766,347</w:t>
            </w: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Restricted deposit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(3,049,339)</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09"/>
        </w:trPr>
        <w:tc>
          <w:tcPr>
            <w:tcW w:w="65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6,276,733</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3,766,347</w:t>
            </w: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currency profiles of the Group’s cash and bank balances as at the end of each reporting period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3"/>
                <w:szCs w:val="13"/>
                <w:color w:val="auto"/>
              </w:rPr>
            </w:pPr>
          </w:p>
        </w:tc>
        <w:tc>
          <w:tcPr>
            <w:tcW w:w="8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5"/>
                <w:szCs w:val="15"/>
                <w:color w:val="auto"/>
              </w:rPr>
            </w:pPr>
          </w:p>
        </w:tc>
        <w:tc>
          <w:tcPr>
            <w:tcW w:w="8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Dollar</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9,047,212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6,579,951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Singapore Dollar</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167,380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118,618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 Dollar</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103,792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63,972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4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9,326,072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6,766,347</w:t>
            </w:r>
          </w:p>
        </w:tc>
        <w:tc>
          <w:tcPr>
            <w:tcW w:w="0" w:type="dxa"/>
            <w:vAlign w:val="bottom"/>
          </w:tcPr>
          <w:p>
            <w:pPr>
              <w:spacing w:after="0"/>
              <w:rPr>
                <w:sz w:val="1"/>
                <w:szCs w:val="1"/>
                <w:color w:val="auto"/>
              </w:rPr>
            </w:pPr>
          </w:p>
        </w:tc>
      </w:tr>
      <w:tr>
        <w:trPr>
          <w:trHeight w:val="453"/>
        </w:trPr>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12.</w:t>
            </w:r>
          </w:p>
        </w:tc>
        <w:tc>
          <w:tcPr>
            <w:tcW w:w="29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Derivative contracts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Initial net</w:t>
            </w:r>
          </w:p>
        </w:tc>
        <w:tc>
          <w:tcPr>
            <w:tcW w:w="160" w:type="dxa"/>
            <w:vAlign w:val="bottom"/>
          </w:tcPr>
          <w:p>
            <w:pPr>
              <w:spacing w:after="0"/>
              <w:rPr>
                <w:sz w:val="10"/>
                <w:szCs w:val="10"/>
                <w:color w:val="auto"/>
              </w:rPr>
            </w:pPr>
          </w:p>
        </w:tc>
        <w:tc>
          <w:tcPr>
            <w:tcW w:w="7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2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0"/>
                <w:szCs w:val="10"/>
                <w:color w:val="auto"/>
              </w:rPr>
            </w:pPr>
          </w:p>
        </w:tc>
        <w:tc>
          <w:tcPr>
            <w:tcW w:w="8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Initial net</w:t>
            </w:r>
          </w:p>
        </w:tc>
        <w:tc>
          <w:tcPr>
            <w:tcW w:w="140" w:type="dxa"/>
            <w:vAlign w:val="bottom"/>
          </w:tcPr>
          <w:p>
            <w:pPr>
              <w:spacing w:after="0"/>
              <w:rPr>
                <w:sz w:val="10"/>
                <w:szCs w:val="10"/>
                <w:color w:val="auto"/>
              </w:rPr>
            </w:pPr>
          </w:p>
        </w:tc>
        <w:tc>
          <w:tcPr>
            <w:tcW w:w="70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changes</w:t>
            </w:r>
          </w:p>
        </w:tc>
        <w:tc>
          <w:tcPr>
            <w:tcW w:w="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changes</w:t>
            </w:r>
          </w:p>
        </w:tc>
        <w:tc>
          <w:tcPr>
            <w:tcW w:w="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40" w:type="dxa"/>
            <w:vAlign w:val="bottom"/>
          </w:tcPr>
          <w:p>
            <w:pPr>
              <w:spacing w:after="0"/>
              <w:rPr>
                <w:sz w:val="15"/>
                <w:szCs w:val="15"/>
                <w:color w:val="auto"/>
              </w:rPr>
            </w:pPr>
          </w:p>
        </w:tc>
        <w:tc>
          <w:tcPr>
            <w:tcW w:w="7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2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Financial structured product</w:t>
            </w: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denominated in digital assets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70,029,195</w:t>
            </w:r>
          </w:p>
        </w:tc>
        <w:tc>
          <w:tcPr>
            <w:tcW w:w="780" w:type="dxa"/>
            <w:vAlign w:val="bottom"/>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8"/>
                <w:szCs w:val="18"/>
                <w:color w:val="auto"/>
                <w:w w:val="97"/>
              </w:rPr>
              <w:t>(94,963)</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69,934,232</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21,075,160</w:t>
            </w:r>
          </w:p>
        </w:tc>
        <w:tc>
          <w:tcPr>
            <w:tcW w:w="14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21,075,160</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70,029,195</w:t>
            </w:r>
          </w:p>
        </w:tc>
        <w:tc>
          <w:tcPr>
            <w:tcW w:w="780" w:type="dxa"/>
            <w:vAlign w:val="bottom"/>
            <w:gridSpan w:val="2"/>
          </w:tcPr>
          <w:p>
            <w:pPr>
              <w:jc w:val="center"/>
              <w:ind w:left="99"/>
              <w:spacing w:after="0"/>
              <w:rPr>
                <w:sz w:val="20"/>
                <w:szCs w:val="20"/>
                <w:color w:val="auto"/>
              </w:rPr>
            </w:pPr>
            <w:r>
              <w:rPr>
                <w:rFonts w:ascii="Times New Roman" w:cs="Times New Roman" w:eastAsia="Times New Roman" w:hAnsi="Times New Roman"/>
                <w:sz w:val="18"/>
                <w:szCs w:val="18"/>
                <w:color w:val="auto"/>
                <w:w w:val="97"/>
              </w:rPr>
              <w:t>(94,963)</w:t>
            </w: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69,934,232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21,075,160</w:t>
            </w:r>
          </w:p>
        </w:tc>
        <w:tc>
          <w:tcPr>
            <w:tcW w:w="140" w:type="dxa"/>
            <w:vAlign w:val="bottom"/>
          </w:tcPr>
          <w:p>
            <w:pPr>
              <w:spacing w:after="0"/>
              <w:rPr>
                <w:sz w:val="20"/>
                <w:szCs w:val="20"/>
                <w:color w:val="auto"/>
              </w:rPr>
            </w:pPr>
          </w:p>
        </w:tc>
        <w:tc>
          <w:tcPr>
            <w:tcW w:w="7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21,075,160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580" w:hanging="545"/>
        <w:spacing w:after="0"/>
        <w:tabs>
          <w:tab w:leader="none" w:pos="5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contracts (Continued)</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sets forth the fair values of derivative contracts by the Group as the end of the financial period/year:</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8"/>
        </w:trPr>
        <w:tc>
          <w:tcPr>
            <w:tcW w:w="24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24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6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43,618,221</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12,254,284</w:t>
            </w: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ETH</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3,098,877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3,984,126</w:t>
            </w:r>
          </w:p>
        </w:tc>
      </w:tr>
      <w:tr>
        <w:trPr>
          <w:trHeight w:val="216"/>
        </w:trPr>
        <w:tc>
          <w:tcPr>
            <w:tcW w:w="65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USDS </w:t>
            </w:r>
            <w:r>
              <w:rPr>
                <w:rFonts w:ascii="Times New Roman" w:cs="Times New Roman" w:eastAsia="Times New Roman" w:hAnsi="Times New Roman"/>
                <w:sz w:val="25"/>
                <w:szCs w:val="25"/>
                <w:color w:val="auto"/>
                <w:vertAlign w:val="superscript"/>
              </w:rPr>
              <w:t>(1)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7,533,455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4,156,217</w:t>
            </w: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USDC</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181,803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225,222</w:t>
            </w: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15,501,876</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455,311</w:t>
            </w:r>
          </w:p>
        </w:tc>
      </w:tr>
      <w:tr>
        <w:trPr>
          <w:trHeight w:val="209"/>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69,934,232</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21,075,160</w:t>
            </w:r>
          </w:p>
        </w:tc>
      </w:tr>
      <w:tr>
        <w:trPr>
          <w:trHeight w:val="20"/>
        </w:trPr>
        <w:tc>
          <w:tcPr>
            <w:tcW w:w="2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96"/>
        </w:trPr>
        <w:tc>
          <w:tcPr>
            <w:tcW w:w="246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r>
    </w:tbl>
    <w:p>
      <w:pPr>
        <w:spacing w:after="0" w:line="63" w:lineRule="exact"/>
        <w:rPr>
          <w:sz w:val="20"/>
          <w:szCs w:val="20"/>
          <w:color w:val="auto"/>
        </w:rPr>
      </w:pPr>
    </w:p>
    <w:p>
      <w:pPr>
        <w:ind w:left="1000" w:hanging="317"/>
        <w:spacing w:after="0" w:line="282" w:lineRule="auto"/>
        <w:tabs>
          <w:tab w:leader="none" w:pos="10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USDS is a cryptographic blockchain-based digital information unit token issued by the Group and only used in Group’s platform. Each USDS is equivalent to US$1.</w:t>
      </w:r>
    </w:p>
    <w:p>
      <w:pPr>
        <w:spacing w:after="0" w:line="157" w:lineRule="exact"/>
        <w:rPr>
          <w:rFonts w:ascii="Times New Roman" w:cs="Times New Roman" w:eastAsia="Times New Roman" w:hAnsi="Times New Roman"/>
          <w:sz w:val="18"/>
          <w:szCs w:val="18"/>
          <w:color w:val="auto"/>
        </w:rPr>
      </w:pPr>
    </w:p>
    <w:p>
      <w:pPr>
        <w:ind w:left="580" w:hanging="545"/>
        <w:spacing w:after="0"/>
        <w:tabs>
          <w:tab w:leader="none" w:pos="5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and other payables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Trade</w:t>
            </w: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 Third parties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762,950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Non-trade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Third parties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1,002,875</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1,840,803</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947,836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Trade payables are non-interest bearing and are generally on 30 (June 30, 2024: 30) days’ credit terms.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currency profiles of the Group’s trade and other payables as at the end of each reporting period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8"/>
        </w:trPr>
        <w:tc>
          <w:tcPr>
            <w:tcW w:w="6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660" w:type="dxa"/>
            <w:vAlign w:val="bottom"/>
            <w:gridSpan w:val="2"/>
          </w:tcPr>
          <w:p>
            <w:pPr>
              <w:jc w:val="center"/>
              <w:ind w:left="3655"/>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2"/>
                <w:szCs w:val="12"/>
                <w:color w:val="auto"/>
              </w:rPr>
            </w:pPr>
          </w:p>
        </w:tc>
      </w:tr>
      <w:tr>
        <w:trPr>
          <w:trHeight w:val="173"/>
        </w:trPr>
        <w:tc>
          <w:tcPr>
            <w:tcW w:w="6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66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Dollar</w:t>
            </w:r>
          </w:p>
        </w:tc>
        <w:tc>
          <w:tcPr>
            <w:tcW w:w="37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1,004,554</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436,694</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Singapore Dollar</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835,532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461,018</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 Dollar</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50,124</w:t>
            </w:r>
          </w:p>
        </w:tc>
        <w:tc>
          <w:tcPr>
            <w:tcW w:w="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1,840,803</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947,836</w:t>
            </w:r>
          </w:p>
        </w:tc>
        <w:tc>
          <w:tcPr>
            <w:tcW w:w="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F-34</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Liabilities due to customers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8"/>
        </w:trPr>
        <w:tc>
          <w:tcPr>
            <w:tcW w:w="65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65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products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71,370,346</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21,077,444</w:t>
            </w: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152,685</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15,541</w:t>
            </w:r>
          </w:p>
        </w:tc>
      </w:tr>
      <w:tr>
        <w:trPr>
          <w:trHeight w:val="209"/>
        </w:trPr>
        <w:tc>
          <w:tcPr>
            <w:tcW w:w="6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71,523,031</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21,092,985</w:t>
            </w:r>
          </w:p>
        </w:tc>
      </w:tr>
      <w:tr>
        <w:trPr>
          <w:trHeight w:val="20"/>
        </w:trPr>
        <w:tc>
          <w:tcPr>
            <w:tcW w:w="6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Liabilities due to customers mainly related to proceeds received from customers who purchased cryptocurrency-denoted products, which represent fixed/variable interest cryptocurrency deposited in “Sparrow” platform operated by the Group.</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These deposits are not protected by any insurance and unsecured. Upon maturity of the cryptocurrency-denoted products, the customers receive the same type of cryptocurrency in the same quantity plus additional interest returns. The deposit and interest will be deposited to customers’ accounts on the same date upon maturity of cryptocurrency-denoted products, and customers will be able to withdraw on demand.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fair values of liabilities due to customers as the end of the financial period/year:</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8"/>
        </w:trPr>
        <w:tc>
          <w:tcPr>
            <w:tcW w:w="24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24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6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44,446,410</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13,500,282</w:t>
            </w: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ETH</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3,443,643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4,123,677</w:t>
            </w: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2,049,063</w:t>
            </w: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15,417,869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783,549</w:t>
            </w: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USDC</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7,648,337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609,864</w:t>
            </w:r>
          </w:p>
        </w:tc>
      </w:tr>
      <w:tr>
        <w:trPr>
          <w:trHeight w:val="216"/>
        </w:trPr>
        <w:tc>
          <w:tcPr>
            <w:tcW w:w="65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XSGD</w:t>
            </w:r>
            <w:r>
              <w:rPr>
                <w:rFonts w:ascii="Times New Roman" w:cs="Times New Roman" w:eastAsia="Times New Roman" w:hAnsi="Times New Roman"/>
                <w:sz w:val="25"/>
                <w:szCs w:val="25"/>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566,772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r>
      <w:tr>
        <w:trPr>
          <w:trHeight w:val="210"/>
        </w:trPr>
        <w:tc>
          <w:tcPr>
            <w:tcW w:w="24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71,523,031</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21,092,985</w:t>
            </w:r>
          </w:p>
        </w:tc>
      </w:tr>
      <w:tr>
        <w:trPr>
          <w:trHeight w:val="108"/>
        </w:trPr>
        <w:tc>
          <w:tcPr>
            <w:tcW w:w="2460" w:type="dxa"/>
            <w:vAlign w:val="bottom"/>
            <w:tcBorders>
              <w:bottom w:val="single" w:sz="8" w:color="auto"/>
            </w:tcBorders>
          </w:tcPr>
          <w:p>
            <w:pPr>
              <w:spacing w:after="0"/>
              <w:rPr>
                <w:sz w:val="9"/>
                <w:szCs w:val="9"/>
                <w:color w:val="auto"/>
              </w:rPr>
            </w:pPr>
          </w:p>
        </w:tc>
        <w:tc>
          <w:tcPr>
            <w:tcW w:w="4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63" w:lineRule="exact"/>
        <w:rPr>
          <w:sz w:val="20"/>
          <w:szCs w:val="20"/>
          <w:color w:val="auto"/>
        </w:rPr>
      </w:pPr>
    </w:p>
    <w:p>
      <w:pPr>
        <w:ind w:left="1000" w:right="20" w:hanging="317"/>
        <w:spacing w:after="0" w:line="282" w:lineRule="auto"/>
        <w:tabs>
          <w:tab w:leader="none" w:pos="10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XSGD (Singapore Dollar Stablecoin) is Singapore’s stablecoin, pegged to the Singapore Dollar (SGD) on a 1:1 basis and fully backed by reserve assets.</w:t>
      </w:r>
    </w:p>
    <w:p>
      <w:pPr>
        <w:spacing w:after="0" w:line="157" w:lineRule="exact"/>
        <w:rPr>
          <w:rFonts w:ascii="Times New Roman" w:cs="Times New Roman" w:eastAsia="Times New Roman" w:hAnsi="Times New Roman"/>
          <w:sz w:val="18"/>
          <w:szCs w:val="18"/>
          <w:color w:val="auto"/>
        </w:rPr>
      </w:pPr>
    </w:p>
    <w:p>
      <w:pPr>
        <w:ind w:left="660" w:right="8000" w:hanging="652"/>
        <w:spacing w:after="0" w:line="503" w:lineRule="auto"/>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 liabilities </w:t>
      </w:r>
      <w:r>
        <w:rPr>
          <w:rFonts w:ascii="Times New Roman" w:cs="Times New Roman" w:eastAsia="Times New Roman" w:hAnsi="Times New Roman"/>
          <w:sz w:val="18"/>
          <w:szCs w:val="18"/>
          <w:u w:val="single" w:color="auto"/>
          <w:color w:val="auto"/>
        </w:rPr>
        <w:t>Group as a lessee</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lease contracts for leasehold offices. The Group’s obligations under these leases are secured by the lessor’s title to the leased assets. The Group is restricted from assigning and subletting the leased assets.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Carrying amount of lease right-of-use assets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7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Leasehold</w:t>
            </w:r>
          </w:p>
        </w:tc>
      </w:tr>
      <w:tr>
        <w:trPr>
          <w:trHeight w:val="149"/>
        </w:trPr>
        <w:tc>
          <w:tcPr>
            <w:tcW w:w="6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72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office</w:t>
            </w:r>
          </w:p>
        </w:tc>
      </w:tr>
      <w:tr>
        <w:trPr>
          <w:trHeight w:val="173"/>
        </w:trPr>
        <w:tc>
          <w:tcPr>
            <w:tcW w:w="6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7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10"/>
        </w:trPr>
        <w:tc>
          <w:tcPr>
            <w:tcW w:w="66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at July 1, 2023</w:t>
            </w:r>
          </w:p>
        </w:tc>
        <w:tc>
          <w:tcPr>
            <w:tcW w:w="46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273,838</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(73,024)</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off</w:t>
            </w:r>
          </w:p>
        </w:tc>
        <w:tc>
          <w:tcPr>
            <w:tcW w:w="5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(200,814)</w:t>
            </w:r>
          </w:p>
        </w:tc>
        <w:tc>
          <w:tcPr>
            <w:tcW w:w="64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As at June 30, 2024</w:t>
            </w:r>
          </w:p>
        </w:tc>
        <w:tc>
          <w:tcPr>
            <w:tcW w:w="46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w:t>
            </w:r>
          </w:p>
        </w:tc>
        <w:tc>
          <w:tcPr>
            <w:tcW w:w="5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723,640</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5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2024</w:t>
            </w:r>
          </w:p>
        </w:tc>
        <w:tc>
          <w:tcPr>
            <w:tcW w:w="466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704,082</w:t>
            </w:r>
          </w:p>
        </w:tc>
        <w:tc>
          <w:tcPr>
            <w:tcW w:w="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844"/>
        </w:trPr>
        <w:tc>
          <w:tcPr>
            <w:tcW w:w="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38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F-35</w:t>
            </w:r>
          </w:p>
        </w:tc>
      </w:tr>
      <w:tr>
        <w:trPr>
          <w:trHeight w:val="560"/>
        </w:trPr>
        <w:tc>
          <w:tcPr>
            <w:tcW w:w="6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7100" w:hanging="652"/>
        <w:spacing w:after="0" w:line="503" w:lineRule="auto"/>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 liabilities (Continued) </w:t>
      </w:r>
      <w:r>
        <w:rPr>
          <w:rFonts w:ascii="Times New Roman" w:cs="Times New Roman" w:eastAsia="Times New Roman" w:hAnsi="Times New Roman"/>
          <w:sz w:val="18"/>
          <w:szCs w:val="18"/>
          <w:u w:val="single" w:color="auto"/>
          <w:color w:val="auto"/>
        </w:rPr>
        <w:t>Lease liabilities</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 of lease liabilities and the movement during the financial year are disclosed elsewhere in the consolidated financial statements, and the maturity analysis of lease liabilities is disclosed in Note 24.</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230,310</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484,574</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Amounts recognized in profit or loss</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640" w:type="dxa"/>
            <w:vAlign w:val="bottom"/>
            <w:tcBorders>
              <w:top w:val="single" w:sz="8" w:color="auto"/>
            </w:tcBorders>
          </w:tcPr>
          <w:p>
            <w:pPr>
              <w:spacing w:after="0"/>
              <w:rPr>
                <w:sz w:val="24"/>
                <w:szCs w:val="24"/>
                <w:color w:val="auto"/>
              </w:rPr>
            </w:pPr>
          </w:p>
        </w:tc>
        <w:tc>
          <w:tcPr>
            <w:tcW w:w="39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26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73,024</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 on lease liabilities (Note 20)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Total cash outflows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 had total cash outflows for leases of US$129,176 and US$10,761 for the year/period ended June 30, 2024 and December 31,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16.</w:t>
            </w:r>
          </w:p>
        </w:tc>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tcPr>
          <w:p>
            <w:pPr>
              <w:jc w:val="center"/>
              <w:ind w:left="56"/>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vMerge w:val="restart"/>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Ordinary</w:t>
            </w: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Ordinary</w:t>
            </w:r>
          </w:p>
        </w:tc>
        <w:tc>
          <w:tcPr>
            <w:tcW w:w="6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Series A</w:t>
            </w:r>
          </w:p>
        </w:tc>
        <w:tc>
          <w:tcPr>
            <w:tcW w:w="1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Series A</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preference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preference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shares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shares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the beginning of financial year</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13,500,000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preference shares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10,500,000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bonus shares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At end of financial year</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13,500,000</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13,500,000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was incorporated in Cayman on November 23, 2023, with an authorized share capital of US$50,000 divided into 50,000 ordinary shares of US$1.00 each.</w:t>
      </w:r>
    </w:p>
    <w:p>
      <w:pPr>
        <w:spacing w:after="0" w:line="9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On February 7, 2024, the Company’s shareholder approved to amend the authorized share capital from US$50,000, divided into 50,000 ordinary shares of par value of US$1.00 per share, to US$50,000, divided into 2,000,000,000 ordinary shares of par value US$0.000025 per share. The issued 1 ordinary share of par value of US$1.00 each, is therefore subdivided into 40,000 ordinary shares of par value of US$0.000025.</w:t>
      </w:r>
    </w:p>
    <w:p>
      <w:pPr>
        <w:spacing w:after="0" w:line="11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On April 15, 2024, the Company’s shareholder approved to amend the authorized share capital by re-designated 1,000 authorised but unissued ordinary shares be and are hereby re-designated as 1,000 Series A preference shares with par value of US$0.000025 each. After the re-designation, the authorised share capital of the Company is US$50,000 divided into</w:t>
      </w:r>
    </w:p>
    <w:p>
      <w:pPr>
        <w:spacing w:after="0" w:line="1" w:lineRule="exact"/>
        <w:rPr>
          <w:sz w:val="20"/>
          <w:szCs w:val="20"/>
          <w:color w:val="auto"/>
        </w:rPr>
      </w:pPr>
    </w:p>
    <w:p>
      <w:pPr>
        <w:ind w:left="660" w:hanging="4"/>
        <w:spacing w:after="0" w:line="260" w:lineRule="auto"/>
        <w:tabs>
          <w:tab w:leader="none" w:pos="87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1,999,997,000 ordinary shares, with par value of US$0.000025 each, and (ii) 3,000 Series A preference shares, with par value of US$0.000025 each.</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 (Continued)</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7, 2024, the Company issued 2,000 Series A preference shares with a cash consideration of US$10,000,000 for working capital.</w:t>
      </w:r>
    </w:p>
    <w:p>
      <w:pPr>
        <w:spacing w:after="0" w:line="9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6, 2024, the Company issued additional 100 Series A preference shares with a cash consideration of US$500,000.</w:t>
      </w:r>
    </w:p>
    <w:p>
      <w:pPr>
        <w:spacing w:after="0" w:line="15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29, 2024, the Company issued additional 120,000 ordinary shares and 6,300 Series A preference shares through bonus shares. All these new issued shares are bonus shares with no consideration.</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w:t>
      </w:r>
    </w:p>
    <w:p>
      <w:pPr>
        <w:spacing w:after="0" w:line="14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 reserve represents non-distributable reserve which arose from waiver of loan from ultimate holding company.</w:t>
      </w:r>
    </w:p>
    <w:p>
      <w:pPr>
        <w:spacing w:after="0" w:line="157" w:lineRule="exact"/>
        <w:rPr>
          <w:rFonts w:ascii="Times New Roman" w:cs="Times New Roman" w:eastAsia="Times New Roman" w:hAnsi="Times New Roman"/>
          <w:sz w:val="18"/>
          <w:szCs w:val="18"/>
          <w:b w:val="1"/>
          <w:bCs w:val="1"/>
          <w:color w:val="auto"/>
        </w:rPr>
      </w:pPr>
    </w:p>
    <w:p>
      <w:pPr>
        <w:jc w:val="both"/>
        <w:ind w:left="660"/>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movement in current year is mainly due to waiver of loans by Amber Global Ltd and other related companies within Amber group of companies for certain cryptocurrencies loans, advances, payment on behalf and intercompany payables with the Group.</w:t>
      </w:r>
    </w:p>
    <w:p>
      <w:pPr>
        <w:spacing w:after="0" w:line="13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7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9"/>
        </w:trPr>
        <w:tc>
          <w:tcPr>
            <w:tcW w:w="65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65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42"/>
        </w:trPr>
        <w:tc>
          <w:tcPr>
            <w:tcW w:w="65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Wealth management solutions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4,996,257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814,526</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Execution solutions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267,266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55,671</w:t>
            </w: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Payment solutions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333,276</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799,812</w:t>
            </w:r>
          </w:p>
        </w:tc>
      </w:tr>
      <w:tr>
        <w:trPr>
          <w:trHeight w:val="210"/>
        </w:trPr>
        <w:tc>
          <w:tcPr>
            <w:tcW w:w="6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5,596,799</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1,670,009</w:t>
            </w:r>
          </w:p>
        </w:tc>
      </w:tr>
      <w:tr>
        <w:trPr>
          <w:trHeight w:val="20"/>
        </w:trPr>
        <w:tc>
          <w:tcPr>
            <w:tcW w:w="6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34"/>
        </w:trPr>
        <w:tc>
          <w:tcPr>
            <w:tcW w:w="65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65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65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Timing of transfer</w:t>
            </w: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4,974,409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792,923</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622,390</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877,086</w:t>
            </w:r>
          </w:p>
        </w:tc>
      </w:tr>
      <w:tr>
        <w:trPr>
          <w:trHeight w:val="210"/>
        </w:trPr>
        <w:tc>
          <w:tcPr>
            <w:tcW w:w="65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5,596,799</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1,670,009</w:t>
            </w:r>
          </w:p>
        </w:tc>
      </w:tr>
      <w:tr>
        <w:trPr>
          <w:trHeight w:val="20"/>
        </w:trPr>
        <w:tc>
          <w:tcPr>
            <w:tcW w:w="6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19.</w:t>
            </w:r>
          </w:p>
        </w:tc>
        <w:tc>
          <w:tcPr>
            <w:tcW w:w="3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840" w:type="dxa"/>
            <w:vAlign w:val="bottom"/>
            <w:gridSpan w:val="2"/>
          </w:tcPr>
          <w:p>
            <w:pPr>
              <w:jc w:val="center"/>
              <w:ind w:left="283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Service income (Note 23)</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85,929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Consultation fee</w:t>
            </w:r>
          </w:p>
        </w:tc>
        <w:tc>
          <w:tcPr>
            <w:tcW w:w="29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Fair value gain on FVPL (Note 6)</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205,576</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20.</w:t>
            </w:r>
          </w:p>
        </w:tc>
        <w:tc>
          <w:tcPr>
            <w:tcW w:w="3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Finance costs</w:t>
            </w:r>
          </w:p>
        </w:tc>
        <w:tc>
          <w:tcPr>
            <w:tcW w:w="2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vMerge w:val="continue"/>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2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840" w:type="dxa"/>
            <w:vAlign w:val="bottom"/>
            <w:gridSpan w:val="2"/>
          </w:tcPr>
          <w:p>
            <w:pPr>
              <w:jc w:val="center"/>
              <w:ind w:left="283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lease liabilities (Note 15)</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related parties (Note 23)</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22,685</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Borders>
              <w:top w:val="single" w:sz="8" w:color="CCEEFF"/>
              <w:bottom w:val="single" w:sz="8" w:color="CCEEFF"/>
            </w:tcBorders>
            <w:shd w:val="clear" w:color="auto" w:fill="CCEEFF"/>
          </w:tcPr>
          <w:p>
            <w:pPr>
              <w:spacing w:after="0"/>
              <w:rPr>
                <w:sz w:val="18"/>
                <w:szCs w:val="18"/>
                <w:color w:val="auto"/>
              </w:rPr>
            </w:pPr>
          </w:p>
        </w:tc>
        <w:tc>
          <w:tcPr>
            <w:tcW w:w="29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21.</w:t>
            </w:r>
          </w:p>
        </w:tc>
        <w:tc>
          <w:tcPr>
            <w:tcW w:w="3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2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vMerge w:val="continue"/>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2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840" w:type="dxa"/>
            <w:vAlign w:val="bottom"/>
            <w:gridSpan w:val="2"/>
          </w:tcPr>
          <w:p>
            <w:pPr>
              <w:jc w:val="center"/>
              <w:ind w:left="283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Wages and benefits</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3,367,969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1,521,231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Technology expenses</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294,403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195,720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75,222</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519,338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197,045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164,299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262,736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3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F-38</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major components of income tax expense recognized in profit or loss for the period/year ended December 31, 2024 and June 30, 2024 were:</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9"/>
        </w:trPr>
        <w:tc>
          <w:tcPr>
            <w:tcW w:w="65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73"/>
        </w:trPr>
        <w:tc>
          <w:tcPr>
            <w:tcW w:w="65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42"/>
        </w:trPr>
        <w:tc>
          <w:tcPr>
            <w:tcW w:w="65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Relationship between tax expense and accounting loss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 reconciliation between tax expense and the product of accounting loss multiplied by the applicable corporate tax rate for the financial period ended December 31, 2024 and 2023 were as follows: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(12,932,043)</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17% (2023: 17%)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(2,198,447)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difference tax rate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157,627</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not subject to tax</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1,825,788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not recognised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222,299</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has unabsorbed tax losses available for offsetting against future taxable income as follows: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6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73"/>
        </w:trPr>
        <w:tc>
          <w:tcPr>
            <w:tcW w:w="67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42"/>
        </w:trPr>
        <w:tc>
          <w:tcPr>
            <w:tcW w:w="67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2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beginning of financial period/year</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5,051,453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2,280,329</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1,307,641</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1,697,541</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end of financial period/year</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6,359,094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3,977,870</w:t>
            </w: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Deferred tax assets are unrecognised for tax losses carried forward to the extent that realisation of the related tax benefits through future taxable profits is probable. The Group has unrecognised tax losses of approximately US$6,000,000 (2023: US$4,000,000) at the reporting date which can be carried forward and used to offset against future taxable income subject to meeting certain statutory requirements. The unrecognised tax losses have no expiry dates.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Singapore</w:t>
      </w:r>
    </w:p>
    <w:p>
      <w:pPr>
        <w:spacing w:after="0" w:line="18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Under the current Inland Revenue Authority of Singapore, the Company’s subsidiary incorporated in Singapore is subject to a statutory tax rate of 17% (2023: 17%).</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Hong Kong</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Under the current Hong Kong Inland Revenue Ordinance, the Company’s subsidiary incorporated in Hong Kong is subject to 16.5% income tax on their taxable income generated from operations in Hong Kong before April 1, 2018. Starting from the financial year commencing on April 1, 2018, the two- tiered profits tax regime took effect, under which the tax rate is 8.25% for assessable profits on the first HK$2 million and 16.5% for any assessable profits in excess of HK$2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6780" w:hanging="652"/>
        <w:spacing w:after="0" w:line="503" w:lineRule="auto"/>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expense (Continued) </w:t>
      </w:r>
      <w:r>
        <w:rPr>
          <w:rFonts w:ascii="Times New Roman" w:cs="Times New Roman" w:eastAsia="Times New Roman" w:hAnsi="Times New Roman"/>
          <w:sz w:val="18"/>
          <w:szCs w:val="18"/>
          <w:u w:val="single" w:color="auto"/>
          <w:color w:val="auto"/>
        </w:rPr>
        <w:t>British Virgin Islands</w:t>
      </w:r>
    </w:p>
    <w:p>
      <w:pPr>
        <w:ind w:left="660" w:right="336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established under the BVI Act is exempted from BVI income taxes. </w:t>
      </w:r>
      <w:r>
        <w:rPr>
          <w:rFonts w:ascii="Times New Roman" w:cs="Times New Roman" w:eastAsia="Times New Roman" w:hAnsi="Times New Roman"/>
          <w:sz w:val="18"/>
          <w:szCs w:val="18"/>
          <w:u w:val="single" w:color="auto"/>
          <w:color w:val="auto"/>
        </w:rPr>
        <w:t>Cayman Islands</w:t>
      </w:r>
    </w:p>
    <w:p>
      <w:pPr>
        <w:spacing w:after="0" w:line="1" w:lineRule="exact"/>
        <w:rPr>
          <w:rFonts w:ascii="Times New Roman" w:cs="Times New Roman" w:eastAsia="Times New Roman" w:hAnsi="Times New Roman"/>
          <w:sz w:val="18"/>
          <w:szCs w:val="18"/>
          <w:b w:val="1"/>
          <w:bCs w:val="1"/>
          <w:color w:val="auto"/>
        </w:rPr>
      </w:pPr>
    </w:p>
    <w:p>
      <w:pPr>
        <w:ind w:left="660" w:right="168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established under the Cayman Islands Act is exempted from Cayman Islands income taxes. </w:t>
      </w:r>
      <w:r>
        <w:rPr>
          <w:rFonts w:ascii="Times New Roman" w:cs="Times New Roman" w:eastAsia="Times New Roman" w:hAnsi="Times New Roman"/>
          <w:sz w:val="18"/>
          <w:szCs w:val="18"/>
          <w:u w:val="single" w:color="auto"/>
          <w:color w:val="auto"/>
        </w:rPr>
        <w:t>Dubai</w:t>
      </w:r>
    </w:p>
    <w:p>
      <w:pPr>
        <w:spacing w:after="0" w:line="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current Dubai Ministry of Finance, the Company’s subsidiary incorporated in Dubai is subject to UAE corporate tax on their taxable income generated from operations in Dubai. As per Ministry of Finance, corporate rates are 0% for taxable income up to AED 375,000 and 9% for taxable income above AED 375,000.</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related party transactions and balances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relationships with related parties who had transaction with the Group are summarised as follows:</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Related parties name</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Relationship to the Company</w:t>
            </w:r>
          </w:p>
        </w:tc>
      </w:tr>
      <w:tr>
        <w:trPr>
          <w:trHeight w:val="210"/>
        </w:trPr>
        <w:tc>
          <w:tcPr>
            <w:tcW w:w="4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Global Ltd</w:t>
            </w:r>
          </w:p>
        </w:tc>
        <w:tc>
          <w:tcPr>
            <w:tcW w:w="18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Ultimate holding company</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Amber AI Ltd</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Technologies Service Pte Ltd</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WhaleFin Technologies Ltd</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Technologies Ltd</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Amber Vault AUS Pty. Ltd.</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Technologies Global Pte Ltd</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Amber Technologies North America Ltd</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Accelerating Limited</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WhaleFin Markets Ltd</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Custodian Services Ltd</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Gamma Digital Ltd</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Mega Ltd</w:t>
            </w:r>
          </w:p>
        </w:tc>
        <w:tc>
          <w:tcPr>
            <w:tcW w:w="3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Amber Macro Holding Ltd</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Affiliates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related party transactions and balances (Continued)</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related party information disclosed elsewhere in the financial statements, the following transactions with related parties took place at terms agreed between the parties during the financial period:</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8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Amber Global Limited</w:t>
            </w: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Gamma Digital Ltd</w:t>
            </w: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income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Amber Technologies Service Pte Ltd</w:t>
            </w: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Service income</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WhaleFin Markets Ltd</w:t>
            </w: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income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WhaleFin Technologies Ltd</w:t>
            </w: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(1,549,321)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22,685</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Amber Technologies North America Ltd</w:t>
            </w: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Outsourcing /support fee</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Amber Technologies Limited</w:t>
            </w: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Lead Accelerating Limited</w:t>
            </w: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(2,871,129)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14,131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Amber Technologies Global Pte Ltd</w:t>
            </w: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Outsourcing /support fee</w:t>
            </w: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Rigsec Technology Ltd</w:t>
            </w:r>
          </w:p>
        </w:tc>
        <w:tc>
          <w:tcPr>
            <w:tcW w:w="1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w:t>
            </w:r>
          </w:p>
        </w:tc>
        <w:tc>
          <w:tcPr>
            <w:tcW w:w="2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4380" w:hanging="652"/>
        <w:spacing w:after="0" w:line="507" w:lineRule="auto"/>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related party transactions and balances (Continued) </w:t>
      </w:r>
      <w:r>
        <w:rPr>
          <w:rFonts w:ascii="Times New Roman" w:cs="Times New Roman" w:eastAsia="Times New Roman" w:hAnsi="Times New Roman"/>
          <w:sz w:val="18"/>
          <w:szCs w:val="18"/>
          <w:u w:val="single" w:color="auto"/>
          <w:color w:val="auto"/>
        </w:rPr>
        <w:t>Amounts due from related parties</w:t>
      </w: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40" w:type="dxa"/>
            <w:vAlign w:val="bottom"/>
            <w:gridSpan w:val="3"/>
          </w:tcPr>
          <w:p>
            <w:pPr>
              <w:jc w:val="center"/>
              <w:ind w:left="151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20" w:type="dxa"/>
            <w:vAlign w:val="bottom"/>
          </w:tcPr>
          <w:p>
            <w:pPr>
              <w:jc w:val="right"/>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w:t>
            </w:r>
          </w:p>
        </w:tc>
        <w:tc>
          <w:tcPr>
            <w:tcW w:w="17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Rigsec Technology Ltd</w:t>
            </w:r>
          </w:p>
        </w:tc>
        <w:tc>
          <w:tcPr>
            <w:tcW w:w="17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Gamma Digital Ltd</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Lead Accelerating Ltd</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4,108,208</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Non-trade</w:t>
            </w: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AI Ltd</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124,552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Amber Technologies Global Pte Ltd</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47,476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Technologies Services Pte Ltd</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WhaleFin Technologies Ltd</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1,657,103</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WhaleFin Markets Ltd</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5,500,512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Amber Custodian Services Ltd</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Global Ltd</w:t>
            </w:r>
          </w:p>
        </w:tc>
        <w:tc>
          <w:tcPr>
            <w:tcW w:w="17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Amber Mega Ltd</w:t>
            </w: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Macro Holding Ltd</w:t>
            </w:r>
          </w:p>
        </w:tc>
        <w:tc>
          <w:tcPr>
            <w:tcW w:w="2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11,532,911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non-trade receivables mainly pertained to expenses paid on behalf for related parties</w:t>
      </w:r>
    </w:p>
    <w:p>
      <w:pPr>
        <w:spacing w:after="0" w:line="225" w:lineRule="exact"/>
        <w:rPr>
          <w:sz w:val="20"/>
          <w:szCs w:val="20"/>
          <w:color w:val="auto"/>
        </w:rPr>
      </w:pPr>
    </w:p>
    <w:p>
      <w:pPr>
        <w:ind w:left="700"/>
        <w:spacing w:after="0" w:line="282" w:lineRule="auto"/>
        <w:rPr>
          <w:sz w:val="20"/>
          <w:szCs w:val="20"/>
          <w:color w:val="auto"/>
        </w:rPr>
      </w:pPr>
      <w:r>
        <w:rPr>
          <w:rFonts w:ascii="Times New Roman" w:cs="Times New Roman" w:eastAsia="Times New Roman" w:hAnsi="Times New Roman"/>
          <w:sz w:val="18"/>
          <w:szCs w:val="18"/>
          <w:color w:val="auto"/>
        </w:rPr>
        <w:t>The amounts due from related parties are trade in nature, unsecured, interest-free and with the credit term 30 days (June 30, 2024: 30 days).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due from related parties are non-trade in nature, unsecured, interest-free and payable on demand.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currency profile of the Group’s amount due from related parties at the end of the reporting date are as follows: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3700" w:type="dxa"/>
            <w:vAlign w:val="bottom"/>
            <w:gridSpan w:val="3"/>
          </w:tcPr>
          <w:p>
            <w:pPr>
              <w:jc w:val="center"/>
              <w:ind w:left="205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73"/>
        </w:trPr>
        <w:tc>
          <w:tcPr>
            <w:tcW w:w="38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11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Dollar</w:t>
            </w:r>
          </w:p>
        </w:tc>
        <w:tc>
          <w:tcPr>
            <w:tcW w:w="2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4,447,227</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9,206,835</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Singapore Dollar</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47,476</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83,429</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 Dollar</w:t>
            </w:r>
          </w:p>
        </w:tc>
        <w:tc>
          <w:tcPr>
            <w:tcW w:w="3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2,930,000</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2,930,000</w:t>
            </w:r>
          </w:p>
        </w:tc>
      </w:tr>
      <w:tr>
        <w:trPr>
          <w:trHeight w:val="210"/>
        </w:trPr>
        <w:tc>
          <w:tcPr>
            <w:tcW w:w="3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7,424,703</w:t>
            </w:r>
          </w:p>
        </w:tc>
        <w:tc>
          <w:tcPr>
            <w:tcW w:w="2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12,220,264</w:t>
            </w:r>
          </w:p>
        </w:tc>
      </w:tr>
      <w:tr>
        <w:trPr>
          <w:trHeight w:val="20"/>
        </w:trPr>
        <w:tc>
          <w:tcPr>
            <w:tcW w:w="3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amounts due from related parties that were denominated in digital assets as the end of the financial period/year was as follows: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4240" w:type="dxa"/>
            <w:vAlign w:val="bottom"/>
            <w:gridSpan w:val="3"/>
          </w:tcPr>
          <w:p>
            <w:pPr>
              <w:jc w:val="center"/>
              <w:ind w:left="25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73"/>
        </w:trPr>
        <w:tc>
          <w:tcPr>
            <w:tcW w:w="32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11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28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4,130,201</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ETH</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154,825</w:t>
            </w:r>
          </w:p>
        </w:tc>
        <w:tc>
          <w:tcPr>
            <w:tcW w:w="200" w:type="dxa"/>
            <w:vAlign w:val="bottom"/>
          </w:tcPr>
          <w:p>
            <w:pPr>
              <w:spacing w:after="0"/>
              <w:rPr>
                <w:sz w:val="18"/>
                <w:szCs w:val="18"/>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(34,605)</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BCH</w:t>
            </w:r>
          </w:p>
        </w:tc>
        <w:tc>
          <w:tcPr>
            <w:tcW w:w="28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200" w:type="dxa"/>
            <w:vAlign w:val="bottom"/>
          </w:tcPr>
          <w:p>
            <w:pPr>
              <w:spacing w:after="0"/>
              <w:rPr>
                <w:sz w:val="18"/>
                <w:szCs w:val="18"/>
                <w:color w:val="auto"/>
              </w:rPr>
            </w:pPr>
          </w:p>
        </w:tc>
        <w:tc>
          <w:tcPr>
            <w:tcW w:w="11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DOT</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XRP</w:t>
            </w:r>
          </w:p>
        </w:tc>
        <w:tc>
          <w:tcPr>
            <w:tcW w:w="28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(118,753)</w:t>
            </w:r>
          </w:p>
        </w:tc>
        <w:tc>
          <w:tcPr>
            <w:tcW w:w="200" w:type="dxa"/>
            <w:vAlign w:val="bottom"/>
          </w:tcPr>
          <w:p>
            <w:pPr>
              <w:spacing w:after="0"/>
              <w:rPr>
                <w:sz w:val="18"/>
                <w:szCs w:val="18"/>
                <w:color w:val="auto"/>
              </w:rPr>
            </w:pP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4,108,208</w:t>
            </w: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4380" w:hanging="652"/>
        <w:spacing w:after="0" w:line="507" w:lineRule="auto"/>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related party transactions and balances (Continued) </w:t>
      </w:r>
      <w:r>
        <w:rPr>
          <w:rFonts w:ascii="Times New Roman" w:cs="Times New Roman" w:eastAsia="Times New Roman" w:hAnsi="Times New Roman"/>
          <w:sz w:val="18"/>
          <w:szCs w:val="18"/>
          <w:u w:val="single" w:color="auto"/>
          <w:color w:val="auto"/>
        </w:rPr>
        <w:t>Amounts due to related parties</w:t>
      </w:r>
    </w:p>
    <w:tbl>
      <w:tblPr>
        <w:tblLayout w:type="fixed"/>
        <w:tblInd w:w="6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980" w:type="dxa"/>
            <w:vAlign w:val="bottom"/>
            <w:gridSpan w:val="3"/>
          </w:tcPr>
          <w:p>
            <w:pPr>
              <w:jc w:val="center"/>
              <w:ind w:left="133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10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11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w:t>
            </w:r>
          </w:p>
        </w:tc>
        <w:tc>
          <w:tcPr>
            <w:tcW w:w="16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Lead Accelerating Ltd</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1,722,863</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WhaleFin Technologies Ltd</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8,244,856</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Loan</w:t>
            </w:r>
          </w:p>
        </w:tc>
        <w:tc>
          <w:tcPr>
            <w:tcW w:w="1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Amber Global Ltd </w:t>
            </w:r>
            <w:r>
              <w:rPr>
                <w:rFonts w:ascii="Times New Roman" w:cs="Times New Roman" w:eastAsia="Times New Roman" w:hAnsi="Times New Roman"/>
                <w:sz w:val="25"/>
                <w:szCs w:val="25"/>
                <w:color w:val="auto"/>
                <w:vertAlign w:val="superscript"/>
              </w:rPr>
              <w:t>(1)</w:t>
            </w:r>
          </w:p>
        </w:tc>
        <w:tc>
          <w:tcPr>
            <w:tcW w:w="16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29,340,127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Amber Global Ltd </w:t>
            </w:r>
            <w:r>
              <w:rPr>
                <w:rFonts w:ascii="Times New Roman" w:cs="Times New Roman" w:eastAsia="Times New Roman" w:hAnsi="Times New Roman"/>
                <w:sz w:val="25"/>
                <w:szCs w:val="25"/>
                <w:color w:val="auto"/>
                <w:vertAlign w:val="superscript"/>
              </w:rPr>
              <w:t>(2)</w:t>
            </w:r>
          </w:p>
        </w:tc>
        <w:tc>
          <w:tcPr>
            <w:tcW w:w="1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Amber Global Ltd </w:t>
            </w:r>
            <w:r>
              <w:rPr>
                <w:rFonts w:ascii="Times New Roman" w:cs="Times New Roman" w:eastAsia="Times New Roman" w:hAnsi="Times New Roman"/>
                <w:sz w:val="25"/>
                <w:szCs w:val="25"/>
                <w:color w:val="auto"/>
                <w:vertAlign w:val="superscript"/>
              </w:rPr>
              <w:t>(3)</w:t>
            </w:r>
          </w:p>
        </w:tc>
        <w:tc>
          <w:tcPr>
            <w:tcW w:w="16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WhaleFin Technologies Ltd </w:t>
            </w:r>
            <w:r>
              <w:rPr>
                <w:rFonts w:ascii="Times New Roman" w:cs="Times New Roman" w:eastAsia="Times New Roman" w:hAnsi="Times New Roman"/>
                <w:sz w:val="25"/>
                <w:szCs w:val="25"/>
                <w:color w:val="auto"/>
                <w:vertAlign w:val="superscript"/>
              </w:rPr>
              <w:t>(4)</w:t>
            </w:r>
          </w:p>
        </w:tc>
        <w:tc>
          <w:tcPr>
            <w:tcW w:w="1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1,505,302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Non-trade</w:t>
            </w:r>
          </w:p>
        </w:tc>
        <w:tc>
          <w:tcPr>
            <w:tcW w:w="1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Amber Technologies Global Pte Ltd</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AI Ltd</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Amber Technologies Services PTE Ltd</w:t>
            </w:r>
          </w:p>
        </w:tc>
        <w:tc>
          <w:tcPr>
            <w:tcW w:w="16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Technologies North America Ltd</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WhaleFin Technologies Ltd</w:t>
            </w: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Vault AUS Pty. Ltd</w:t>
            </w:r>
          </w:p>
        </w:tc>
        <w:tc>
          <w:tcPr>
            <w:tcW w:w="162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9,979,742</w:t>
            </w:r>
          </w:p>
        </w:tc>
        <w:tc>
          <w:tcPr>
            <w:tcW w:w="2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39,908,903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due to related parties are trade in nature, unsecured, interest-free and credit term 30 days.</w:t>
      </w:r>
    </w:p>
    <w:p>
      <w:pPr>
        <w:spacing w:after="0" w:line="225" w:lineRule="exact"/>
        <w:rPr>
          <w:sz w:val="20"/>
          <w:szCs w:val="20"/>
          <w:color w:val="auto"/>
        </w:rPr>
      </w:pPr>
    </w:p>
    <w:p>
      <w:pPr>
        <w:jc w:val="both"/>
        <w:ind w:left="1340" w:hanging="333"/>
        <w:spacing w:after="0" w:line="266" w:lineRule="auto"/>
        <w:tabs>
          <w:tab w:leader="none" w:pos="1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payable to Amber Global Ltd is in cryptocurrency, unsecured, bearing interest at 3.00% per annum and repayable in 12 months term. Due to fluctuations of fair value of cryptocurrency, the Company incurred unrealized fair value loss on digital assets loan approximately unrealized fair value loss US$12,200,000 on June 30, 2024.</w:t>
      </w:r>
    </w:p>
    <w:p>
      <w:pPr>
        <w:spacing w:after="0" w:line="176"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The Group had repaid partial of cryptocurrency loan with related parties and incurred realized fair value gain on digital assets loan approximately US$500,000 on June 30, 2024.</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loan was waived on December 31, 2024</w:t>
      </w:r>
    </w:p>
    <w:p>
      <w:pPr>
        <w:spacing w:after="0" w:line="225" w:lineRule="exact"/>
        <w:rPr>
          <w:sz w:val="20"/>
          <w:szCs w:val="20"/>
          <w:color w:val="auto"/>
        </w:rPr>
      </w:pPr>
    </w:p>
    <w:p>
      <w:pPr>
        <w:ind w:left="1300" w:hanging="320"/>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payable to Amber Global Ltd is in fiat currency for the purpose of working capital purpose, unsecured, interest free and repayable on demand. This loan has been waived on December 31, 2024</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payable to Amber Global Ltd is in fiat currency and novated from Whalefin Markets Ltd to the Group. The loan is unsecured, interest free and repayable on demand. This loan was novated on December 31, 2024.</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payable to WhaleFin Technologies Ltd is in fiat currency, unsecured, bearing interest at 3% per annum and repayable in 12 months term. This loan was waived on December 31, 2024.</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From November 2022 to July 2023, the fiat loan payable due to Amber Technologies Global Pte Ltd is unsecured, bearing interest at 7.00% per annum and repayable on demand.</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From August 2023, the relevant fiat loan payable due to Amber Technologies Global Pte Ltd is novated to Amber Global Ltd, and is interest-free.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4380" w:hanging="652"/>
        <w:spacing w:after="0" w:line="503" w:lineRule="auto"/>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related party transactions and balances (Continued) </w:t>
      </w:r>
      <w:r>
        <w:rPr>
          <w:rFonts w:ascii="Times New Roman" w:cs="Times New Roman" w:eastAsia="Times New Roman" w:hAnsi="Times New Roman"/>
          <w:sz w:val="18"/>
          <w:szCs w:val="18"/>
          <w:u w:val="single" w:color="auto"/>
          <w:color w:val="auto"/>
        </w:rPr>
        <w:t>Amounts due to related parties</w:t>
      </w:r>
      <w:r>
        <w:rPr>
          <w:rFonts w:ascii="Times New Roman" w:cs="Times New Roman" w:eastAsia="Times New Roman" w:hAnsi="Times New Roman"/>
          <w:sz w:val="18"/>
          <w:szCs w:val="18"/>
          <w:color w:val="auto"/>
        </w:rPr>
        <w:t xml:space="preserve"> (Continued)</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amount due to related parties denominated in fiat as the end of the financial year was as follows: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3720" w:type="dxa"/>
            <w:vAlign w:val="bottom"/>
            <w:gridSpan w:val="3"/>
          </w:tcPr>
          <w:p>
            <w:pPr>
              <w:jc w:val="center"/>
              <w:ind w:left="211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73"/>
        </w:trPr>
        <w:tc>
          <w:tcPr>
            <w:tcW w:w="3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0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Dollar</w:t>
            </w:r>
          </w:p>
        </w:tc>
        <w:tc>
          <w:tcPr>
            <w:tcW w:w="23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1,728,168</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10,451,625</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Singapore Dollar</w:t>
            </w:r>
          </w:p>
        </w:tc>
        <w:tc>
          <w:tcPr>
            <w:tcW w:w="3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1,734,886</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10,451,625</w:t>
            </w:r>
          </w:p>
        </w:tc>
      </w:tr>
    </w:tbl>
    <w:p>
      <w:pPr>
        <w:spacing w:after="0" w:line="198"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amount due to related parties that were denominated in digital assets as the end of the financial period/year was as follows: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4140" w:type="dxa"/>
            <w:vAlign w:val="bottom"/>
            <w:gridSpan w:val="3"/>
          </w:tcPr>
          <w:p>
            <w:pPr>
              <w:jc w:val="center"/>
              <w:ind w:left="28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9"/>
        </w:trPr>
        <w:tc>
          <w:tcPr>
            <w:tcW w:w="3600" w:type="dxa"/>
            <w:vAlign w:val="bottom"/>
          </w:tcPr>
          <w:p>
            <w:pPr>
              <w:spacing w:after="0"/>
              <w:rPr>
                <w:sz w:val="12"/>
                <w:szCs w:val="12"/>
                <w:color w:val="auto"/>
              </w:rPr>
            </w:pPr>
          </w:p>
        </w:tc>
        <w:tc>
          <w:tcPr>
            <w:tcW w:w="3960" w:type="dxa"/>
            <w:vAlign w:val="bottom"/>
            <w:gridSpan w:val="2"/>
          </w:tcPr>
          <w:p>
            <w:pPr>
              <w:jc w:val="center"/>
              <w:ind w:left="303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3"/>
        </w:trPr>
        <w:tc>
          <w:tcPr>
            <w:tcW w:w="36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3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5,261,993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16,950,714</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ETH</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531,827</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6,673,324</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USDC</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2,354,041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5,928,549</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USDT</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98,266</w:t>
            </w:r>
          </w:p>
        </w:tc>
        <w:tc>
          <w:tcPr>
            <w:tcW w:w="1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(95,275)</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8,244,856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29,457,278</w:t>
            </w:r>
          </w:p>
        </w:tc>
      </w:tr>
      <w:tr>
        <w:trPr>
          <w:trHeight w:val="20"/>
        </w:trPr>
        <w:tc>
          <w:tcPr>
            <w:tcW w:w="36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activities expose it to a variety of financial risks from its operation. The key financial risks include credit risk, liquidity risk and market risk (including foreign currency risk, digital asset price risk, risks associated with the storage and protection of digital assets and investment risk related to trading of digital assets).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directors review and agree policies and procedures for the management of these risks, which are executed by the management team. It is, and has been throughout the current and previous financial period/years, the Group’s policy that no trading in derivatives for speculative purposes shall be undertaken.</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sections provide details regarding the Group’s exposure to the abovementioned financial risks and the objectives, policies and processes for the management of these risks.</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has been no change to the Group’s exposure to these financial risks or the manner in which it manages and measures the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6180" w:hanging="652"/>
        <w:spacing w:after="0" w:line="503" w:lineRule="auto"/>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risk management (Continued) </w:t>
      </w:r>
      <w:r>
        <w:rPr>
          <w:rFonts w:ascii="Times New Roman" w:cs="Times New Roman" w:eastAsia="Times New Roman" w:hAnsi="Times New Roman"/>
          <w:sz w:val="18"/>
          <w:szCs w:val="18"/>
          <w:b w:val="1"/>
          <w:bCs w:val="1"/>
          <w:u w:val="single" w:color="auto"/>
          <w:color w:val="auto"/>
        </w:rPr>
        <w:t>Credit risk</w:t>
      </w: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Credit risk refers to the risk that the counterparty will default on its contractual obligations resulting in a loss to the Group. The Group’s exposure to credit risk arises primarily from trade and other receivables. For other financial assets (including cash), the Group minimizes credit risk by dealing exclusively with high credit rating counterparties.</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adopted a policy of only dealing with creditworthy counterparties. The Group performs ongoing credit evaluation of its counterparties’ financial condition and generally does not require collateral.</w:t>
      </w:r>
    </w:p>
    <w:p>
      <w:pPr>
        <w:spacing w:after="0" w:line="161"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considers the probability of default upon initial recognition of asset and whether there has been a significant increase in credit risk on an ongoing basis throughout each reporting period.</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determined the default event on a financial asset to be when internal and/or external information indicates that the financial asset is unlikely to be received, which could include default of contractual payments due for more than 60 days or there is significant difficulty of the counterparty.</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minimize credit risk, the Group has developed and maintained the Group’s credit risk gradings to categorize exposures according to their degree of risk of default. The credit rating information is supplied by publicly available financial information and the Group’s own trading records to rate its major customers and other debtors. The Group considers available reasonable and supportive forward-looking information which includes the following indicators:</w:t>
      </w:r>
    </w:p>
    <w:p>
      <w:pPr>
        <w:spacing w:after="0" w:line="179" w:lineRule="exact"/>
        <w:rPr>
          <w:rFonts w:ascii="Times New Roman" w:cs="Times New Roman" w:eastAsia="Times New Roman" w:hAnsi="Times New Roman"/>
          <w:sz w:val="18"/>
          <w:szCs w:val="18"/>
          <w:b w:val="1"/>
          <w:bCs w:val="1"/>
          <w:color w:val="auto"/>
        </w:rPr>
      </w:pPr>
    </w:p>
    <w:p>
      <w:pPr>
        <w:ind w:left="1000" w:hanging="317"/>
        <w:spacing w:after="0"/>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credit rating</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credit rating</w:t>
      </w:r>
    </w:p>
    <w:p>
      <w:pPr>
        <w:spacing w:after="0" w:line="9"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significant adverse changes in business, financial or economic conditions that are expected to cause a significant change to the debtor’s ability to meet its obligations</w:t>
      </w:r>
    </w:p>
    <w:p>
      <w:pPr>
        <w:ind w:left="1000" w:hanging="317"/>
        <w:spacing w:after="0"/>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significant changes in the operating results of the debtor</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increases in credit risk on other financial instruments of the same debtor</w:t>
      </w:r>
    </w:p>
    <w:p>
      <w:pPr>
        <w:spacing w:after="0" w:line="9" w:lineRule="exact"/>
        <w:rPr>
          <w:rFonts w:ascii="Times New Roman" w:cs="Times New Roman" w:eastAsia="Times New Roman" w:hAnsi="Times New Roman"/>
          <w:sz w:val="18"/>
          <w:szCs w:val="18"/>
          <w:color w:val="auto"/>
        </w:rPr>
      </w:pPr>
    </w:p>
    <w:p>
      <w:pPr>
        <w:ind w:left="1000" w:hanging="317"/>
        <w:spacing w:after="0" w:line="260" w:lineRule="auto"/>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expected performance and behavior of the debtor, including changes in the payment status of debtors in the company and changes in the operating results of the debtor</w:t>
      </w:r>
    </w:p>
    <w:p>
      <w:pPr>
        <w:spacing w:after="0" w:line="18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Regardless of the analysis above, a significant increase in credit risk is presumed if a debtor is more than 30 days past due in making contractual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6180" w:hanging="652"/>
        <w:spacing w:after="0" w:line="503" w:lineRule="auto"/>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risk management (Continued) </w:t>
      </w:r>
      <w:r>
        <w:rPr>
          <w:rFonts w:ascii="Times New Roman" w:cs="Times New Roman" w:eastAsia="Times New Roman" w:hAnsi="Times New Roman"/>
          <w:sz w:val="18"/>
          <w:szCs w:val="18"/>
          <w:b w:val="1"/>
          <w:bCs w:val="1"/>
          <w:u w:val="single" w:color="auto"/>
          <w:color w:val="auto"/>
        </w:rPr>
        <w:t>Credit risk</w:t>
      </w:r>
      <w:r>
        <w:rPr>
          <w:rFonts w:ascii="Times New Roman" w:cs="Times New Roman" w:eastAsia="Times New Roman" w:hAnsi="Times New Roman"/>
          <w:sz w:val="18"/>
          <w:szCs w:val="18"/>
          <w:b w:val="1"/>
          <w:bCs w:val="1"/>
          <w:color w:val="auto"/>
        </w:rPr>
        <w:t xml:space="preserve"> (Continued)</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determined that its financial assets are credit-impaired when:</w:t>
      </w:r>
    </w:p>
    <w:p>
      <w:pPr>
        <w:spacing w:after="0" w:line="225" w:lineRule="exact"/>
        <w:rPr>
          <w:rFonts w:ascii="Times New Roman" w:cs="Times New Roman" w:eastAsia="Times New Roman" w:hAnsi="Times New Roman"/>
          <w:sz w:val="18"/>
          <w:szCs w:val="18"/>
          <w:b w:val="1"/>
          <w:bCs w:val="1"/>
          <w:color w:val="auto"/>
        </w:rPr>
      </w:pPr>
    </w:p>
    <w:p>
      <w:pPr>
        <w:ind w:left="1000" w:hanging="317"/>
        <w:spacing w:after="0"/>
        <w:tabs>
          <w:tab w:leader="none" w:pos="10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difficulty of the debtor</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past due event</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becoming probable that the debtor will enter bankruptcy or other financial reorganization</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disappearance of an active market for that financial asset because of financial difficulty</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categorizes a receivable for potential write-off when a debtor fails to make contractual payments more than 120 days past due. Financial assets are written off when there is evidence indicating that the debtor is in severe financial difficulty and the debtor has no realistic prospect of recovery.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Group’s current credit risk grading framework comprises the following categories:</w:t>
      </w:r>
    </w:p>
    <w:p>
      <w:pPr>
        <w:spacing w:after="0" w:line="237" w:lineRule="exact"/>
        <w:rPr>
          <w:sz w:val="20"/>
          <w:szCs w:val="20"/>
          <w:color w:val="auto"/>
        </w:rPr>
      </w:pPr>
    </w:p>
    <w:tbl>
      <w:tblPr>
        <w:tblLayout w:type="fixed"/>
        <w:tblInd w:w="670" w:type="dxa"/>
        <w:tblCellMar>
          <w:top w:w="0" w:type="dxa"/>
          <w:left w:w="0" w:type="dxa"/>
          <w:bottom w:w="0" w:type="dxa"/>
          <w:right w:w="0" w:type="dxa"/>
        </w:tblCellMar>
      </w:tblPr>
      <w:tr>
        <w:trPr>
          <w:trHeight w:val="164"/>
        </w:trPr>
        <w:tc>
          <w:tcPr>
            <w:tcW w:w="11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51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Definition of category</w:t>
            </w:r>
          </w:p>
        </w:tc>
        <w:tc>
          <w:tcPr>
            <w:tcW w:w="2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Basis for recognising expected</w:t>
            </w:r>
          </w:p>
        </w:tc>
      </w:tr>
      <w:tr>
        <w:trPr>
          <w:trHeight w:val="190"/>
        </w:trPr>
        <w:tc>
          <w:tcPr>
            <w:tcW w:w="1160" w:type="dxa"/>
            <w:vAlign w:val="bottom"/>
            <w:tcBorders>
              <w:left w:val="single" w:sz="8" w:color="auto"/>
              <w:right w:val="single" w:sz="8" w:color="auto"/>
            </w:tcBorders>
          </w:tcPr>
          <w:p>
            <w:pPr>
              <w:spacing w:after="0"/>
              <w:rPr>
                <w:sz w:val="16"/>
                <w:szCs w:val="16"/>
                <w:color w:val="auto"/>
              </w:rPr>
            </w:pPr>
          </w:p>
        </w:tc>
        <w:tc>
          <w:tcPr>
            <w:tcW w:w="514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credit loss (ECL)</w:t>
            </w:r>
          </w:p>
        </w:tc>
      </w:tr>
      <w:tr>
        <w:trPr>
          <w:trHeight w:val="78"/>
        </w:trPr>
        <w:tc>
          <w:tcPr>
            <w:tcW w:w="1160" w:type="dxa"/>
            <w:vAlign w:val="bottom"/>
            <w:tcBorders>
              <w:left w:val="single" w:sz="8" w:color="auto"/>
              <w:bottom w:val="single" w:sz="8" w:color="auto"/>
              <w:right w:val="single" w:sz="8" w:color="auto"/>
            </w:tcBorders>
          </w:tcPr>
          <w:p>
            <w:pPr>
              <w:spacing w:after="0"/>
              <w:rPr>
                <w:sz w:val="6"/>
                <w:szCs w:val="6"/>
                <w:color w:val="auto"/>
              </w:rPr>
            </w:pPr>
          </w:p>
        </w:tc>
        <w:tc>
          <w:tcPr>
            <w:tcW w:w="5140" w:type="dxa"/>
            <w:vAlign w:val="bottom"/>
            <w:tcBorders>
              <w:bottom w:val="single" w:sz="8" w:color="auto"/>
              <w:right w:val="single" w:sz="8" w:color="auto"/>
            </w:tcBorders>
          </w:tcPr>
          <w:p>
            <w:pPr>
              <w:spacing w:after="0"/>
              <w:rPr>
                <w:sz w:val="6"/>
                <w:szCs w:val="6"/>
                <w:color w:val="auto"/>
              </w:rPr>
            </w:pPr>
          </w:p>
        </w:tc>
        <w:tc>
          <w:tcPr>
            <w:tcW w:w="2340" w:type="dxa"/>
            <w:vAlign w:val="bottom"/>
            <w:tcBorders>
              <w:bottom w:val="single" w:sz="8" w:color="auto"/>
              <w:right w:val="single" w:sz="8" w:color="auto"/>
            </w:tcBorders>
          </w:tcPr>
          <w:p>
            <w:pPr>
              <w:spacing w:after="0"/>
              <w:rPr>
                <w:sz w:val="6"/>
                <w:szCs w:val="6"/>
                <w:color w:val="auto"/>
              </w:rPr>
            </w:pPr>
          </w:p>
        </w:tc>
      </w:tr>
      <w:tr>
        <w:trPr>
          <w:trHeight w:val="183"/>
        </w:trPr>
        <w:tc>
          <w:tcPr>
            <w:tcW w:w="1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I</w:t>
            </w:r>
          </w:p>
        </w:tc>
        <w:tc>
          <w:tcPr>
            <w:tcW w:w="5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Counterparty has a low risk of default and does not have any past-due amounts.</w:t>
            </w:r>
          </w:p>
        </w:tc>
        <w:tc>
          <w:tcPr>
            <w:tcW w:w="23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12-month ECL</w:t>
            </w:r>
          </w:p>
        </w:tc>
      </w:tr>
      <w:tr>
        <w:trPr>
          <w:trHeight w:val="146"/>
        </w:trPr>
        <w:tc>
          <w:tcPr>
            <w:tcW w:w="1160" w:type="dxa"/>
            <w:vAlign w:val="bottom"/>
            <w:tcBorders>
              <w:left w:val="single" w:sz="8" w:color="auto"/>
              <w:right w:val="single" w:sz="8" w:color="auto"/>
            </w:tcBorders>
          </w:tcPr>
          <w:p>
            <w:pPr>
              <w:ind w:left="120"/>
              <w:spacing w:after="0" w:line="147" w:lineRule="exact"/>
              <w:rPr>
                <w:sz w:val="20"/>
                <w:szCs w:val="20"/>
                <w:color w:val="auto"/>
              </w:rPr>
            </w:pPr>
            <w:r>
              <w:rPr>
                <w:rFonts w:ascii="Times New Roman" w:cs="Times New Roman" w:eastAsia="Times New Roman" w:hAnsi="Times New Roman"/>
                <w:sz w:val="14"/>
                <w:szCs w:val="14"/>
                <w:color w:val="auto"/>
              </w:rPr>
              <w:t>II</w:t>
            </w:r>
          </w:p>
        </w:tc>
        <w:tc>
          <w:tcPr>
            <w:tcW w:w="5140" w:type="dxa"/>
            <w:vAlign w:val="bottom"/>
            <w:tcBorders>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4"/>
                <w:szCs w:val="14"/>
                <w:color w:val="auto"/>
              </w:rPr>
              <w:t>Amount is &gt;30 days past due or there has been a significant increase in credit risk</w:t>
            </w:r>
          </w:p>
        </w:tc>
        <w:tc>
          <w:tcPr>
            <w:tcW w:w="2340" w:type="dxa"/>
            <w:vAlign w:val="bottom"/>
            <w:tcBorders>
              <w:right w:val="single" w:sz="8" w:color="auto"/>
            </w:tcBorders>
          </w:tcPr>
          <w:p>
            <w:pPr>
              <w:ind w:left="100"/>
              <w:spacing w:after="0" w:line="147" w:lineRule="exact"/>
              <w:rPr>
                <w:sz w:val="20"/>
                <w:szCs w:val="20"/>
                <w:color w:val="auto"/>
              </w:rPr>
            </w:pPr>
            <w:r>
              <w:rPr>
                <w:rFonts w:ascii="Times New Roman" w:cs="Times New Roman" w:eastAsia="Times New Roman" w:hAnsi="Times New Roman"/>
                <w:sz w:val="14"/>
                <w:szCs w:val="14"/>
                <w:color w:val="auto"/>
              </w:rPr>
              <w:t>Lifetime ECL – not credit impaired</w:t>
            </w:r>
          </w:p>
        </w:tc>
      </w:tr>
      <w:tr>
        <w:trPr>
          <w:trHeight w:val="185"/>
        </w:trPr>
        <w:tc>
          <w:tcPr>
            <w:tcW w:w="1160" w:type="dxa"/>
            <w:vAlign w:val="bottom"/>
            <w:tcBorders>
              <w:left w:val="single" w:sz="8" w:color="auto"/>
              <w:bottom w:val="single" w:sz="8" w:color="auto"/>
              <w:right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since initial recognition.</w:t>
            </w:r>
          </w:p>
        </w:tc>
        <w:tc>
          <w:tcPr>
            <w:tcW w:w="2340" w:type="dxa"/>
            <w:vAlign w:val="bottom"/>
            <w:tcBorders>
              <w:bottom w:val="single" w:sz="8" w:color="auto"/>
              <w:right w:val="single" w:sz="8" w:color="auto"/>
            </w:tcBorders>
          </w:tcPr>
          <w:p>
            <w:pPr>
              <w:spacing w:after="0"/>
              <w:rPr>
                <w:sz w:val="16"/>
                <w:szCs w:val="16"/>
                <w:color w:val="auto"/>
              </w:rPr>
            </w:pPr>
          </w:p>
        </w:tc>
      </w:tr>
      <w:tr>
        <w:trPr>
          <w:trHeight w:val="146"/>
        </w:trPr>
        <w:tc>
          <w:tcPr>
            <w:tcW w:w="1160" w:type="dxa"/>
            <w:vAlign w:val="bottom"/>
            <w:tcBorders>
              <w:left w:val="single" w:sz="8" w:color="auto"/>
              <w:right w:val="single" w:sz="8" w:color="auto"/>
            </w:tcBorders>
          </w:tcPr>
          <w:p>
            <w:pPr>
              <w:ind w:left="120"/>
              <w:spacing w:after="0" w:line="147" w:lineRule="exact"/>
              <w:rPr>
                <w:sz w:val="20"/>
                <w:szCs w:val="20"/>
                <w:color w:val="auto"/>
              </w:rPr>
            </w:pPr>
            <w:r>
              <w:rPr>
                <w:rFonts w:ascii="Times New Roman" w:cs="Times New Roman" w:eastAsia="Times New Roman" w:hAnsi="Times New Roman"/>
                <w:sz w:val="14"/>
                <w:szCs w:val="14"/>
                <w:color w:val="auto"/>
              </w:rPr>
              <w:t>III</w:t>
            </w:r>
          </w:p>
        </w:tc>
        <w:tc>
          <w:tcPr>
            <w:tcW w:w="5140" w:type="dxa"/>
            <w:vAlign w:val="bottom"/>
            <w:tcBorders>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4"/>
                <w:szCs w:val="14"/>
                <w:color w:val="auto"/>
              </w:rPr>
              <w:t>Amount is &gt;60 days past due or there is evidence indicating the asset is credit-</w:t>
            </w:r>
          </w:p>
        </w:tc>
        <w:tc>
          <w:tcPr>
            <w:tcW w:w="2340" w:type="dxa"/>
            <w:vAlign w:val="bottom"/>
            <w:tcBorders>
              <w:right w:val="single" w:sz="8" w:color="auto"/>
            </w:tcBorders>
          </w:tcPr>
          <w:p>
            <w:pPr>
              <w:ind w:left="100"/>
              <w:spacing w:after="0" w:line="147" w:lineRule="exact"/>
              <w:rPr>
                <w:sz w:val="20"/>
                <w:szCs w:val="20"/>
                <w:color w:val="auto"/>
              </w:rPr>
            </w:pPr>
            <w:r>
              <w:rPr>
                <w:rFonts w:ascii="Times New Roman" w:cs="Times New Roman" w:eastAsia="Times New Roman" w:hAnsi="Times New Roman"/>
                <w:sz w:val="14"/>
                <w:szCs w:val="14"/>
                <w:color w:val="auto"/>
              </w:rPr>
              <w:t>Lifetime ECL – credit-impaired</w:t>
            </w:r>
          </w:p>
        </w:tc>
      </w:tr>
      <w:tr>
        <w:trPr>
          <w:trHeight w:val="185"/>
        </w:trPr>
        <w:tc>
          <w:tcPr>
            <w:tcW w:w="1160" w:type="dxa"/>
            <w:vAlign w:val="bottom"/>
            <w:tcBorders>
              <w:left w:val="single" w:sz="8" w:color="auto"/>
              <w:bottom w:val="single" w:sz="8" w:color="auto"/>
              <w:right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impaired (in default).</w:t>
            </w:r>
          </w:p>
        </w:tc>
        <w:tc>
          <w:tcPr>
            <w:tcW w:w="2340" w:type="dxa"/>
            <w:vAlign w:val="bottom"/>
            <w:tcBorders>
              <w:bottom w:val="single" w:sz="8" w:color="auto"/>
              <w:right w:val="single" w:sz="8" w:color="auto"/>
            </w:tcBorders>
          </w:tcPr>
          <w:p>
            <w:pPr>
              <w:spacing w:after="0"/>
              <w:rPr>
                <w:sz w:val="16"/>
                <w:szCs w:val="16"/>
                <w:color w:val="auto"/>
              </w:rPr>
            </w:pPr>
          </w:p>
        </w:tc>
      </w:tr>
      <w:tr>
        <w:trPr>
          <w:trHeight w:val="146"/>
        </w:trPr>
        <w:tc>
          <w:tcPr>
            <w:tcW w:w="1160" w:type="dxa"/>
            <w:vAlign w:val="bottom"/>
            <w:tcBorders>
              <w:left w:val="single" w:sz="8" w:color="auto"/>
              <w:right w:val="single" w:sz="8" w:color="auto"/>
            </w:tcBorders>
          </w:tcPr>
          <w:p>
            <w:pPr>
              <w:ind w:left="120"/>
              <w:spacing w:after="0" w:line="147" w:lineRule="exact"/>
              <w:rPr>
                <w:sz w:val="20"/>
                <w:szCs w:val="20"/>
                <w:color w:val="auto"/>
              </w:rPr>
            </w:pPr>
            <w:r>
              <w:rPr>
                <w:rFonts w:ascii="Times New Roman" w:cs="Times New Roman" w:eastAsia="Times New Roman" w:hAnsi="Times New Roman"/>
                <w:sz w:val="14"/>
                <w:szCs w:val="14"/>
                <w:color w:val="auto"/>
              </w:rPr>
              <w:t>IV</w:t>
            </w:r>
          </w:p>
        </w:tc>
        <w:tc>
          <w:tcPr>
            <w:tcW w:w="5140" w:type="dxa"/>
            <w:vAlign w:val="bottom"/>
            <w:tcBorders>
              <w:right w:val="single" w:sz="8" w:color="auto"/>
            </w:tcBorders>
          </w:tcPr>
          <w:p>
            <w:pPr>
              <w:ind w:left="80"/>
              <w:spacing w:after="0" w:line="147" w:lineRule="exact"/>
              <w:rPr>
                <w:sz w:val="20"/>
                <w:szCs w:val="20"/>
                <w:color w:val="auto"/>
              </w:rPr>
            </w:pPr>
            <w:r>
              <w:rPr>
                <w:rFonts w:ascii="Times New Roman" w:cs="Times New Roman" w:eastAsia="Times New Roman" w:hAnsi="Times New Roman"/>
                <w:sz w:val="14"/>
                <w:szCs w:val="14"/>
                <w:color w:val="auto"/>
              </w:rPr>
              <w:t>There is evidence indicating that the debtor is in severe financial difficulty and the</w:t>
            </w:r>
          </w:p>
        </w:tc>
        <w:tc>
          <w:tcPr>
            <w:tcW w:w="2340" w:type="dxa"/>
            <w:vAlign w:val="bottom"/>
            <w:tcBorders>
              <w:right w:val="single" w:sz="8" w:color="auto"/>
            </w:tcBorders>
          </w:tcPr>
          <w:p>
            <w:pPr>
              <w:ind w:left="100"/>
              <w:spacing w:after="0" w:line="147" w:lineRule="exact"/>
              <w:rPr>
                <w:sz w:val="20"/>
                <w:szCs w:val="20"/>
                <w:color w:val="auto"/>
              </w:rPr>
            </w:pPr>
            <w:r>
              <w:rPr>
                <w:rFonts w:ascii="Times New Roman" w:cs="Times New Roman" w:eastAsia="Times New Roman" w:hAnsi="Times New Roman"/>
                <w:sz w:val="14"/>
                <w:szCs w:val="14"/>
                <w:color w:val="auto"/>
              </w:rPr>
              <w:t>Amount is written off</w:t>
            </w:r>
          </w:p>
        </w:tc>
      </w:tr>
      <w:tr>
        <w:trPr>
          <w:trHeight w:val="185"/>
        </w:trPr>
        <w:tc>
          <w:tcPr>
            <w:tcW w:w="1160" w:type="dxa"/>
            <w:vAlign w:val="bottom"/>
            <w:tcBorders>
              <w:left w:val="single" w:sz="8" w:color="auto"/>
              <w:bottom w:val="single" w:sz="8" w:color="auto"/>
              <w:right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debtor has no realistic prospect of recovery.</w:t>
            </w:r>
          </w:p>
        </w:tc>
        <w:tc>
          <w:tcPr>
            <w:tcW w:w="2340" w:type="dxa"/>
            <w:vAlign w:val="bottom"/>
            <w:tcBorders>
              <w:bottom w:val="single" w:sz="8" w:color="auto"/>
              <w:right w:val="single" w:sz="8" w:color="auto"/>
            </w:tcBorders>
          </w:tcPr>
          <w:p>
            <w:pPr>
              <w:spacing w:after="0"/>
              <w:rPr>
                <w:sz w:val="16"/>
                <w:szCs w:val="16"/>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table below details the credit quality of the Group’s financial assets, as well as maximum exposure to credit risk by credit risk rating categories: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12-month or</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Loss allowance</w:t>
            </w:r>
          </w:p>
        </w:tc>
        <w:tc>
          <w:tcPr>
            <w:tcW w:w="1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lifetime ECL</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III Note 1</w:t>
            </w:r>
          </w:p>
        </w:tc>
        <w:tc>
          <w:tcPr>
            <w:tcW w:w="2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Lifetime ECL (Simplified)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 Note 2</w:t>
            </w: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12-month ECL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 Note 2</w:t>
            </w:r>
          </w:p>
        </w:tc>
        <w:tc>
          <w:tcPr>
            <w:tcW w:w="140" w:type="dxa"/>
            <w:vAlign w:val="bottom"/>
          </w:tcPr>
          <w:p>
            <w:pPr>
              <w:spacing w:after="0"/>
              <w:rPr>
                <w:sz w:val="18"/>
                <w:szCs w:val="18"/>
                <w:color w:val="auto"/>
              </w:rPr>
            </w:pP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12-month ECL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11,532,911</w:t>
            </w:r>
          </w:p>
        </w:tc>
        <w:tc>
          <w:tcPr>
            <w:tcW w:w="14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11,532,911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 Note 4</w:t>
            </w: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12-month ECL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9,326,072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9,326,072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III Note 1</w:t>
            </w:r>
          </w:p>
        </w:tc>
        <w:tc>
          <w:tcPr>
            <w:tcW w:w="22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Lifetime ECL (Simplified)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4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 Note 2</w:t>
            </w: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12-month ECL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152,976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 Note 2</w:t>
            </w:r>
          </w:p>
        </w:tc>
        <w:tc>
          <w:tcPr>
            <w:tcW w:w="140" w:type="dxa"/>
            <w:vAlign w:val="bottom"/>
          </w:tcPr>
          <w:p>
            <w:pPr>
              <w:spacing w:after="0"/>
              <w:rPr>
                <w:sz w:val="18"/>
                <w:szCs w:val="18"/>
                <w:color w:val="auto"/>
              </w:rPr>
            </w:pPr>
          </w:p>
        </w:tc>
        <w:tc>
          <w:tcPr>
            <w:tcW w:w="2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12-month ECL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12,220,264</w:t>
            </w:r>
          </w:p>
        </w:tc>
        <w:tc>
          <w:tcPr>
            <w:tcW w:w="14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12,220,264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 Note 4</w:t>
            </w: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12-month ECL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6,766,347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6,766,347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6180" w:hanging="652"/>
        <w:spacing w:after="0" w:line="500" w:lineRule="auto"/>
        <w:tabs>
          <w:tab w:leader="none" w:pos="66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risk management (Continued) </w:t>
      </w:r>
      <w:r>
        <w:rPr>
          <w:rFonts w:ascii="Times New Roman" w:cs="Times New Roman" w:eastAsia="Times New Roman" w:hAnsi="Times New Roman"/>
          <w:sz w:val="18"/>
          <w:szCs w:val="18"/>
          <w:b w:val="1"/>
          <w:bCs w:val="1"/>
          <w:u w:val="single" w:color="auto"/>
          <w:color w:val="auto"/>
        </w:rPr>
        <w:t>Credit risk</w:t>
      </w:r>
      <w:r>
        <w:rPr>
          <w:rFonts w:ascii="Times New Roman" w:cs="Times New Roman" w:eastAsia="Times New Roman" w:hAnsi="Times New Roman"/>
          <w:sz w:val="18"/>
          <w:szCs w:val="18"/>
          <w:b w:val="1"/>
          <w:bCs w:val="1"/>
          <w:color w:val="auto"/>
        </w:rPr>
        <w:t xml:space="preserve"> (Continued)</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receivables (Note 1)</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trade receivables, the Group has applied the simplified approach in IFRS 9 and use provision matrix to measure the loss allowance at lifetime ECL. In determining ECL on a collective basis, trade receivables are grouped based on similar credit risk and aging. The Group maintains an allowance for credit losses on its receivable balances, which represents its best estimate of current expected credit losses over the contractual life of the receivable balances. When evaluating the adequacy of its allowance for credit losses at each reporting period, the Group analyses receivable balances with similar risk characteristics on a collective basis, considering factors such as the aging of receivable balances, payment terms, historical loss experience, current information, and future expectations. At each reporting period, the Group reassesses whether any receivable no longer shares similar risk characteristics and should instead be evaluated as part of another pool or on an individual basis.</w:t>
      </w:r>
    </w:p>
    <w:p>
      <w:pPr>
        <w:spacing w:after="0" w:line="19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above assessment, the Group has concluded that there has been no significant increase in the credit risk since the initial recognition of the receivables and determined that the ECL is insignificant except for those recognized during the financial period</w:t>
      </w:r>
    </w:p>
    <w:p>
      <w:pPr>
        <w:spacing w:after="0" w:line="17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receivables and amount due from related parties (Note 2)</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receivables are considered to be low credit risk and subject to immaterial credit loss. Credit loss for these assets have not increased significantly since their initial recognition. Consequently, they are measured at the 12-month ECL.</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USDC (Note 3)</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USDC is considered to be low credit risk and subject to immaterial credit loss as underlying reserve of USDC are held in cash, short-duration U.S. Treasuries, and overnight U.S. Treasury repurchase agreements within segregated accounts for the benefits of USDC holder. Credit loss for these assets have not increased significantly since their initial recognition. Consequently, they are measured at the 12-month ECL.</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(Note 4)</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are mainly deposits with reputable banks with high international credit rating. Credit loss for the assets have not increased significantly since their initial recognition. Consequently, they are measured at the 12-month ECL.</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Excessive risk concentration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Concentrations arise when a number of counterparties are engaged in similar business activities, or activities in the same geographical region, or have economic features that would cause their ability to meet contractual obligations to be similarly affected by changes in economic, political or other conditions. Concentrations indicate the relative sensitivity of the Group’s performance to developments affecting a particular industry.</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Exposure to credit risk</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does not have any significant credit risk exposure to any single counterparty or any group of counterparties having similar characteristics except for outstanding trade receivables from 1 customer which represent 100% of total trade receivables balance as at December 31, 2023 and 2024, respectively.</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Since the Company mainly maintains certain of its digital assets in accounts with the third party custodian platform, the Company may be exposed to significant losses if the platform experiences outages or becomes unavailable. To mitigate such risks, the Company only establishes accounts with the platform that have a good reputation.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6180" w:hanging="652"/>
        <w:spacing w:after="0" w:line="503" w:lineRule="auto"/>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risk management (Continued) </w:t>
      </w:r>
      <w:r>
        <w:rPr>
          <w:rFonts w:ascii="Times New Roman" w:cs="Times New Roman" w:eastAsia="Times New Roman" w:hAnsi="Times New Roman"/>
          <w:sz w:val="18"/>
          <w:szCs w:val="18"/>
          <w:b w:val="1"/>
          <w:bCs w:val="1"/>
          <w:u w:val="single" w:color="auto"/>
          <w:color w:val="auto"/>
        </w:rPr>
        <w:t>Liquidity risk</w:t>
      </w: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Liquidity risk refers to the risk that the Group will encounter difficulties in meeting its short-term obligations due to shortage of funds. The Group’s exposure to liquidity risk arises primarily from mismatches of the maturities of financial assets and liabilities. It is managed by matching the payment and receipt cycles. The Group finances its working capital requirements through a combination of funds generated from operations, advances and loans from related parties, if necessary.</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assessing our liquidity, we monitor and analyze our cash and bank balances and our operating expenditure commitments. As of December 31, 2024, our cash and bank balances amounted to approximately US$9,326,000, our current assets were approximately US$112,234,000, and our current liabilities were approximately US$99,564,000.</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above considerations, management is of the opinion that the Group has sufficient funds to meet its working capital requirements and debt obligations, for at least the next 12 months. There are several factors that could potentially arise that could undermine the Group’s plans, such as changes in the demand for its products, economic conditions, its operating results continuing to deteriorate and its shareholders and related parties being unable to provide continued financial support.</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maintains sufficient cash and bank balances, and internally generated cash flows to finance their activities and management is satisfied that funds are available to finance the operations of the Company.</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Analysis of financial instruments by remaining contractual maturities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details the remaining contractual maturity for non-derivative financial liabilities. The tables have been drawn up based on the undiscounted cash flows of financial liabilities based on the earliest date on which the Group can be required to pay. The table includes both interest and principal cash flows.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contractual</w:t>
            </w:r>
          </w:p>
        </w:tc>
        <w:tc>
          <w:tcPr>
            <w:tcW w:w="14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Ondemand</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Within 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to 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within 1 year</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1,840,803</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1,840,803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1,840,803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714,884</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750,579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250,193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500,386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9,979,742</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9,979,742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9,979,742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due to customers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71,523,031</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71,523,031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71,523,031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84,058,460</w:t>
            </w:r>
          </w:p>
        </w:tc>
        <w:tc>
          <w:tcPr>
            <w:tcW w:w="16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84,094,155</w:t>
            </w:r>
          </w:p>
        </w:tc>
        <w:tc>
          <w:tcPr>
            <w:tcW w:w="1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83,593,769</w:t>
            </w:r>
          </w:p>
        </w:tc>
        <w:tc>
          <w:tcPr>
            <w:tcW w:w="14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500,386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947,836</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947,836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947,836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39,908,903</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39,908,903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39,908,903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due to customers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21,092,985</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21,092,985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21,092,985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61,949,724</w:t>
            </w:r>
          </w:p>
        </w:tc>
        <w:tc>
          <w:tcPr>
            <w:tcW w:w="1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61,949,724</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61,949,724</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6180" w:hanging="502"/>
        <w:spacing w:after="0" w:line="503" w:lineRule="auto"/>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risk management (Continued) </w:t>
      </w:r>
      <w:r>
        <w:rPr>
          <w:rFonts w:ascii="Times New Roman" w:cs="Times New Roman" w:eastAsia="Times New Roman" w:hAnsi="Times New Roman"/>
          <w:sz w:val="18"/>
          <w:szCs w:val="18"/>
          <w:b w:val="1"/>
          <w:bCs w:val="1"/>
          <w:u w:val="single" w:color="auto"/>
          <w:color w:val="auto"/>
        </w:rPr>
        <w:t>Market risk</w:t>
      </w: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Market risk is the risk that changes in market prices, such as interest rates and foreign exchange rates will affect the Group’s profit or loss. The objective of market risk management is to manage and control market risk exposures within acceptable parameters, while optimizing the return on risk.</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Foreign currency risk</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foreign exchange risk results mainly from cash flows from transactions denominated in foreign currencies. At present, the Group does not have any formal policy for hedging against currency risk. The Group ensures that the net exposure is kept to an acceptable level by buying or selling foreign currencies at spot rates, where necessary, to address short-term imbalances.</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transactional currency exposures arising from sales or purchases that are denominated in a currency other than the functional currency of the entity, primarily Singapore Dollar (“SGD”).</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end of each reporting period, the Group’s exposure to foreign currency risk is as follows: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SGD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SGD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8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11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47,476</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167,380</w:t>
            </w:r>
          </w:p>
        </w:tc>
        <w:tc>
          <w:tcPr>
            <w:tcW w:w="2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373,804</w:t>
            </w:r>
          </w:p>
        </w:tc>
        <w:tc>
          <w:tcPr>
            <w:tcW w:w="2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08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(835,532)</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(461,018)</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exposure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(461,728)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6180" w:hanging="652"/>
        <w:spacing w:after="0" w:line="503" w:lineRule="auto"/>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risk management (Continued) </w:t>
      </w:r>
      <w:r>
        <w:rPr>
          <w:rFonts w:ascii="Times New Roman" w:cs="Times New Roman" w:eastAsia="Times New Roman" w:hAnsi="Times New Roman"/>
          <w:sz w:val="18"/>
          <w:szCs w:val="18"/>
          <w:b w:val="1"/>
          <w:bCs w:val="1"/>
          <w:u w:val="single" w:color="auto"/>
          <w:color w:val="auto"/>
        </w:rPr>
        <w:t>Market risk</w:t>
      </w:r>
      <w:r>
        <w:rPr>
          <w:rFonts w:ascii="Times New Roman" w:cs="Times New Roman" w:eastAsia="Times New Roman" w:hAnsi="Times New Roman"/>
          <w:sz w:val="18"/>
          <w:szCs w:val="18"/>
          <w:b w:val="1"/>
          <w:bCs w:val="1"/>
          <w:color w:val="auto"/>
        </w:rPr>
        <w:t xml:space="preserve"> (Continued)</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Foreign currency risk</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Strengthening of Singapore Dollar against the United States Dollar as at the reporting date would increase/(decrease) profit or loss by the amounts shown below. The analysis assumes that all other variables remain constant.</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9"/>
        </w:trPr>
        <w:tc>
          <w:tcPr>
            <w:tcW w:w="59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3"/>
        </w:trPr>
        <w:tc>
          <w:tcPr>
            <w:tcW w:w="5920" w:type="dxa"/>
            <w:vAlign w:val="bottom"/>
          </w:tcPr>
          <w:p>
            <w:pPr>
              <w:spacing w:after="0"/>
              <w:rPr>
                <w:sz w:val="15"/>
                <w:szCs w:val="15"/>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strengthening 5% (June 30, 2024: 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0"/>
        </w:trPr>
        <w:tc>
          <w:tcPr>
            <w:tcW w:w="5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Weakening of Singapore Dollar against the above currencies would have had an equal but opposite effect on the above currencies to the amounts shown above, on the basis that all other variables remain constant.</w:t>
      </w:r>
    </w:p>
    <w:p>
      <w:pPr>
        <w:spacing w:after="0" w:line="13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Hong Kong dollar is pegged to the United States dollar, the Company considers the risk of movements in exchange rates between Hong Kong dollars and United States dollars to be insignificant.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Digital assets price risk</w:t>
      </w:r>
    </w:p>
    <w:p>
      <w:pPr>
        <w:spacing w:after="0" w:line="18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Digital assets that the Company deals with in its trading activities are digital assets such as Bitcoin (“BTC”) and Ethereum (“ETH”) which can be traded in a number of public exchanges.</w:t>
      </w:r>
    </w:p>
    <w:p>
      <w:pPr>
        <w:spacing w:after="0" w:line="13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Group’s exposure to price risk arises from digital assets and digital assets payables which are both measured on a fair value basis. In particular, the Group’s operating result may depend upon the market price of BTC and ETH, as well as other digital assets. Digital asset prices have fluctuated significantly from time to time. There is no assurance that digital asset prices will reflect historical trends.</w:t>
      </w:r>
    </w:p>
    <w:p>
      <w:pPr>
        <w:spacing w:after="0" w:line="13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price risk of digital assets arising from trading of digital assets business is partially offset by remeasurement of digital assets payables representing the obligations to deliver digital assets held by the Group in the customers’ accounts to the customers under the respective trading arrangements with the Group.</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end of each reporting period, the Group’s exposure risk to digital asset payable to related parties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760" w:type="dxa"/>
            <w:vAlign w:val="bottom"/>
            <w:gridSpan w:val="2"/>
          </w:tcPr>
          <w:p>
            <w:pPr>
              <w:jc w:val="center"/>
              <w:ind w:left="75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BTC</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ETH</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BTC</w:t>
            </w:r>
          </w:p>
        </w:tc>
        <w:tc>
          <w:tcPr>
            <w:tcW w:w="158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ETH</w:t>
            </w: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5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CCEEFF"/>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8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Collateral receivables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2,289,055</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2,063,704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742,519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Digital assets receivable from related parties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4,130,201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154,825</w:t>
            </w: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43,618,221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3,098,877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12,254,284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3,984,126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52,101,181</w:t>
            </w:r>
          </w:p>
        </w:tc>
        <w:tc>
          <w:tcPr>
            <w:tcW w:w="1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3,996,221</w:t>
            </w:r>
          </w:p>
        </w:tc>
        <w:tc>
          <w:tcPr>
            <w:tcW w:w="1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12,254,284</w:t>
            </w:r>
          </w:p>
        </w:tc>
        <w:tc>
          <w:tcPr>
            <w:tcW w:w="1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3,984,126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4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8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Collateral payables</w:t>
            </w:r>
          </w:p>
        </w:tc>
        <w:tc>
          <w:tcPr>
            <w:tcW w:w="22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(2,289,055)</w:t>
            </w: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 payables to customers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(44,446,410)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(3,443,643)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(13,500,282)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(4,123,677)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Digital assets payables to related parties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(5,261,993)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(531,827)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(16,950,714)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(6,673,324)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(51,997,458)</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(3,975,470)</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(30,450,996)</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(10,797,001)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exposure</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(18,196,712)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(6,812,875)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9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F-50</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6180" w:hanging="652"/>
        <w:spacing w:after="0" w:line="503" w:lineRule="auto"/>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risk management (Continued) </w:t>
      </w:r>
      <w:r>
        <w:rPr>
          <w:rFonts w:ascii="Times New Roman" w:cs="Times New Roman" w:eastAsia="Times New Roman" w:hAnsi="Times New Roman"/>
          <w:sz w:val="18"/>
          <w:szCs w:val="18"/>
          <w:b w:val="1"/>
          <w:bCs w:val="1"/>
          <w:u w:val="single" w:color="auto"/>
          <w:color w:val="auto"/>
        </w:rPr>
        <w:t>Market risk</w:t>
      </w:r>
      <w:r>
        <w:rPr>
          <w:rFonts w:ascii="Times New Roman" w:cs="Times New Roman" w:eastAsia="Times New Roman" w:hAnsi="Times New Roman"/>
          <w:sz w:val="18"/>
          <w:szCs w:val="18"/>
          <w:b w:val="1"/>
          <w:bCs w:val="1"/>
          <w:color w:val="auto"/>
        </w:rPr>
        <w:t xml:space="preserve"> (Continued)</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Digital assets price risk</w:t>
      </w:r>
      <w:r>
        <w:rPr>
          <w:rFonts w:ascii="Times New Roman" w:cs="Times New Roman" w:eastAsia="Times New Roman" w:hAnsi="Times New Roman"/>
          <w:sz w:val="18"/>
          <w:szCs w:val="18"/>
          <w:color w:val="auto"/>
        </w:rPr>
        <w:t xml:space="preserve"> (Continued)</w:t>
      </w:r>
    </w:p>
    <w:p>
      <w:pPr>
        <w:spacing w:after="0" w:line="22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Strengthening of BTC and ETH against the USD as at the reporting date would increase/(decrease) profit or loss by the amounts shown below. The analysis assumes that all other variables remain constant.</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8"/>
        </w:trPr>
        <w:tc>
          <w:tcPr>
            <w:tcW w:w="6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2"/>
                <w:szCs w:val="12"/>
                <w:color w:val="auto"/>
              </w:rPr>
            </w:pPr>
          </w:p>
        </w:tc>
        <w:tc>
          <w:tcPr>
            <w:tcW w:w="11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73"/>
        </w:trPr>
        <w:tc>
          <w:tcPr>
            <w:tcW w:w="610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 strengthening 30% (June 30, 2024: 30%)</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31,117</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9"/>
              </w:rPr>
              <w:t>(5,459,014)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ETH strengthening 30% (June 30, 2024: 30%)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240" w:type="dxa"/>
            <w:vAlign w:val="bottom"/>
          </w:tcPr>
          <w:p>
            <w:pPr>
              <w:spacing w:after="0"/>
              <w:rPr>
                <w:sz w:val="18"/>
                <w:szCs w:val="18"/>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9"/>
              </w:rPr>
              <w:t>(2,043,863)</w:t>
            </w:r>
          </w:p>
        </w:tc>
      </w:tr>
      <w:tr>
        <w:trPr>
          <w:trHeight w:val="20"/>
        </w:trPr>
        <w:tc>
          <w:tcPr>
            <w:tcW w:w="6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Weakening of BTC and ETH against the USD would have had an equal but opposite effect on the above currencies to the amounts shown above, on the basis that all other variables remain constant.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Risks associated with the storage and protection of digital assets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primarily stored its digital assets with cryptocurrency custodians to facilitate customers deposits and withdrawals. Due to the lack of an insurance policy for its digital assets, any disruptions or closures of cryptocurrency custodians, as well as potential cyber-attacks or thefts, could result in substantial losses for the Group.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Investment risk related to trading of digital assets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 follows a fully hedged strategy for structured products. Each user-facing structured product is quoted by a related party and a spread is added before it is quoted to clients. Therefore, there is no exposure to structured products.</w:t>
      </w:r>
    </w:p>
    <w:p>
      <w:pPr>
        <w:spacing w:after="0" w:line="158" w:lineRule="exact"/>
        <w:rPr>
          <w:sz w:val="20"/>
          <w:szCs w:val="20"/>
          <w:color w:val="auto"/>
        </w:rPr>
      </w:pPr>
    </w:p>
    <w:p>
      <w:pPr>
        <w:ind w:left="660" w:right="6720" w:hanging="652"/>
        <w:spacing w:after="0" w:line="503" w:lineRule="auto"/>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of assets and liabilities </w:t>
      </w:r>
      <w:r>
        <w:rPr>
          <w:rFonts w:ascii="Times New Roman" w:cs="Times New Roman" w:eastAsia="Times New Roman" w:hAnsi="Times New Roman"/>
          <w:sz w:val="18"/>
          <w:szCs w:val="18"/>
          <w:u w:val="single" w:color="auto"/>
          <w:color w:val="auto"/>
        </w:rPr>
        <w:t>Fair value measurement</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standard regarding fair value of financial instruments and related fair value measurements defines financial instruments and requires disclosure of the fair value of financial instruments held by the Group.</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standards define fair value, establish a three-level valuation hierarchy for disclosures of fair value measurement and enhance disclosure requirements for fair value measures. The three levels are defined as follow:</w:t>
      </w:r>
    </w:p>
    <w:p>
      <w:pPr>
        <w:spacing w:after="0" w:line="161" w:lineRule="exact"/>
        <w:rPr>
          <w:rFonts w:ascii="Times New Roman" w:cs="Times New Roman" w:eastAsia="Times New Roman" w:hAnsi="Times New Roman"/>
          <w:sz w:val="18"/>
          <w:szCs w:val="18"/>
          <w:b w:val="1"/>
          <w:bCs w:val="1"/>
          <w:color w:val="auto"/>
        </w:rPr>
      </w:pPr>
    </w:p>
    <w:p>
      <w:pPr>
        <w:ind w:left="1000" w:hanging="317"/>
        <w:spacing w:after="0" w:line="282" w:lineRule="auto"/>
        <w:tabs>
          <w:tab w:leader="none" w:pos="10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 for identical assets or liabilities that the Company can access at the measurement date</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5740" w:hanging="652"/>
        <w:spacing w:after="0" w:line="503" w:lineRule="auto"/>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of assets and liabilities (Continued) </w:t>
      </w:r>
      <w:r>
        <w:rPr>
          <w:rFonts w:ascii="Times New Roman" w:cs="Times New Roman" w:eastAsia="Times New Roman" w:hAnsi="Times New Roman"/>
          <w:sz w:val="18"/>
          <w:szCs w:val="18"/>
          <w:u w:val="single" w:color="auto"/>
          <w:color w:val="auto"/>
        </w:rPr>
        <w:t>Assets measured at fair value</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an analysis of each class of assets measured at fair value at the reporting date:</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 other</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 quoted</w:t>
            </w:r>
          </w:p>
        </w:tc>
        <w:tc>
          <w:tcPr>
            <w:tcW w:w="980" w:type="dxa"/>
            <w:vAlign w:val="bottom"/>
            <w:gridSpan w:val="2"/>
          </w:tcPr>
          <w:p>
            <w:pPr>
              <w:jc w:val="center"/>
              <w:ind w:left="7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8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(Level 1)</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5"/>
                <w:szCs w:val="15"/>
                <w:color w:val="auto"/>
              </w:rPr>
            </w:pPr>
          </w:p>
        </w:tc>
        <w:tc>
          <w:tcPr>
            <w:tcW w:w="8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FVPL</w:t>
            </w:r>
          </w:p>
        </w:tc>
        <w:tc>
          <w:tcPr>
            <w:tcW w:w="1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263,890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69,934,232</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69,934,232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1,576,395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Collateral receivables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14,414,065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14,414,065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2,816,806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188,015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USDC</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1,826,816</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1,826,816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88,991,919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1,764,410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263,890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91,020,219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1,576,395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payables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14,414,065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14,414,065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14,414,065</w:t>
            </w:r>
          </w:p>
        </w:tc>
        <w:tc>
          <w:tcPr>
            <w:tcW w:w="14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1,576,395</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15,990,460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FVPL</w:t>
            </w:r>
          </w:p>
        </w:tc>
        <w:tc>
          <w:tcPr>
            <w:tcW w:w="1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247,826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21,075,160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USDC</w:t>
            </w:r>
          </w:p>
        </w:tc>
        <w:tc>
          <w:tcPr>
            <w:tcW w:w="1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21,075,160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247,826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21,346,272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Financial assets, FVPL</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fair value measurement of the investment in Signum Capital Investment VVC-Sub Fund (“Signum”) (Note 6) is based on the net asset value of Signum provided by the fund administrator without adjustment. There have been no changes in the valuation techniques of the financial instrument during the financial and prior financial year.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2 and 3 during the financial and prior financial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Derivative contract</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Derivative contract measured at fair value less costs to sell. Fair value is measured using the quoted price of the digital asset at the time its fair value is being measured, which is measured on a monthly basis. This valuation represents a Level 1 classification within the fair value hierarchy.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right="5740" w:hanging="652"/>
        <w:spacing w:after="0" w:line="503" w:lineRule="auto"/>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of assets and liabilities (Continued) </w:t>
      </w:r>
      <w:r>
        <w:rPr>
          <w:rFonts w:ascii="Times New Roman" w:cs="Times New Roman" w:eastAsia="Times New Roman" w:hAnsi="Times New Roman"/>
          <w:sz w:val="18"/>
          <w:szCs w:val="18"/>
          <w:u w:val="single" w:color="auto"/>
          <w:color w:val="auto"/>
        </w:rPr>
        <w:t>Derivative financial instruments</w:t>
      </w: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put and call option is measured on a recurring basis by referencing to the spot price of underlying digital assets, which the Group considers to be a Level 2 fair value input.</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Digital assets and USDC</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Digital assets measured at fair value less costs to sell. The digital assets are adjusted to fair value only when an impairment is recognised, or the underlying asset is held for sale. Fair value is measured using the quoted price of the digital asset at the time its fair value is being measured, which is measured on a daily basis. This valuation represents a Level 1 and 2 classification within the fair value hierarchy.</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principal market will be the market with the greatest volume and level of activity for the digital assets which the Company holding the digital assets can access. In other words, the principal market is the market predominantly used by the Company to transact its digital assets.</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Assets and liabilities not measured at fair value</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Cash and cash equivalents, other receivables and other payables</w:t>
      </w:r>
    </w:p>
    <w:p>
      <w:pPr>
        <w:spacing w:after="0" w:line="225" w:lineRule="exact"/>
        <w:rPr>
          <w:rFonts w:ascii="Times New Roman" w:cs="Times New Roman" w:eastAsia="Times New Roman" w:hAnsi="Times New Roman"/>
          <w:sz w:val="18"/>
          <w:szCs w:val="18"/>
          <w:b w:val="1"/>
          <w:bCs w:val="1"/>
          <w:color w:val="auto"/>
        </w:rPr>
      </w:pPr>
    </w:p>
    <w:p>
      <w:pPr>
        <w:ind w:left="660" w:right="108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carrying amount of these balances approximate their fair value due to the short-term nature of these balances. </w:t>
      </w:r>
      <w:r>
        <w:rPr>
          <w:rFonts w:ascii="Times New Roman" w:cs="Times New Roman" w:eastAsia="Times New Roman" w:hAnsi="Times New Roman"/>
          <w:sz w:val="18"/>
          <w:szCs w:val="18"/>
          <w:u w:val="single" w:color="auto"/>
          <w:color w:val="auto"/>
        </w:rPr>
        <w:t>Trade receivables and trade payables</w:t>
      </w:r>
    </w:p>
    <w:p>
      <w:pPr>
        <w:spacing w:after="0" w:line="1"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 of these receivables and payables approximate their fair value as they are subject to normal trade credit terms.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Lease liabilities and loans from related parties</w:t>
      </w:r>
    </w:p>
    <w:p>
      <w:pPr>
        <w:spacing w:after="0" w:line="22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 of these balances approximate their fair value as they are subject to interest rates close to market rate of interest for similar arrangements with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segments are identified on the basis of internal reports about components of the Group that are regularly reviewed by the Chief Executive Officers (“CEO”) for the purpose of resource allocation and performance assessment. Segment results, assets and liabilities include items directly attributable to a segment as well as those that can be allocated on a reasonable basis.</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operates in a single business segment which is development of digital asset platform and provision of digital asset service and solutions. No operating segments have been aggregated to form the following reportable operating segment.</w:t>
      </w:r>
    </w:p>
    <w:p>
      <w:pPr>
        <w:spacing w:after="0" w:line="157" w:lineRule="exact"/>
        <w:rPr>
          <w:rFonts w:ascii="Times New Roman" w:cs="Times New Roman" w:eastAsia="Times New Roman" w:hAnsi="Times New Roman"/>
          <w:sz w:val="18"/>
          <w:szCs w:val="18"/>
          <w:b w:val="1"/>
          <w:bCs w:val="1"/>
          <w:color w:val="auto"/>
        </w:rPr>
      </w:pPr>
    </w:p>
    <w:p>
      <w:pPr>
        <w:ind w:left="660" w:right="5660"/>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Geographical information and major customer </w:t>
      </w:r>
      <w:r>
        <w:rPr>
          <w:rFonts w:ascii="Times New Roman" w:cs="Times New Roman" w:eastAsia="Times New Roman" w:hAnsi="Times New Roman"/>
          <w:sz w:val="17"/>
          <w:szCs w:val="17"/>
          <w:color w:val="auto"/>
        </w:rPr>
        <w:t>The Group’s non-current assets are in Singapore.</w:t>
      </w:r>
    </w:p>
    <w:p>
      <w:pPr>
        <w:spacing w:after="0" w:line="1"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breaks down revenue by geographic location of the Group’s revenue. The geographical location is based on the geographical location where customers are located.</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580" w:type="dxa"/>
            <w:vAlign w:val="bottom"/>
            <w:tcBorders>
              <w:bottom w:val="single" w:sz="8" w:color="CCEEFF"/>
            </w:tcBorders>
          </w:tcPr>
          <w:p>
            <w:pPr>
              <w:spacing w:after="0"/>
              <w:rPr>
                <w:sz w:val="15"/>
                <w:szCs w:val="15"/>
                <w:color w:val="auto"/>
              </w:rPr>
            </w:pPr>
          </w:p>
        </w:tc>
        <w:tc>
          <w:tcPr>
            <w:tcW w:w="25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25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975,161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711,968</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3,094,794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625,651</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1,490,687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225,362</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103,456</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r>
      <w:tr>
        <w:trPr>
          <w:trHeight w:val="210"/>
        </w:trPr>
        <w:tc>
          <w:tcPr>
            <w:tcW w:w="3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5,596,799</w:t>
            </w:r>
          </w:p>
        </w:tc>
        <w:tc>
          <w:tcPr>
            <w:tcW w:w="1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1,670,009</w:t>
            </w:r>
          </w:p>
        </w:tc>
      </w:tr>
      <w:tr>
        <w:trPr>
          <w:trHeight w:val="20"/>
        </w:trPr>
        <w:tc>
          <w:tcPr>
            <w:tcW w:w="3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580" w:hanging="572"/>
        <w:spacing w:after="0"/>
        <w:tabs>
          <w:tab w:leader="none" w:pos="5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manages their capital to ensure that the Group is able to continue as a going concern and maintain an optimal capital structure so as to maximize shareholder’s value. The capital structure of the Group consists of equity attributable to owners of the Company, comprising issued share capital, reserves and accumulated losses as presented in the consolidated statements of changes in equity.</w:t>
      </w:r>
    </w:p>
    <w:p>
      <w:pPr>
        <w:spacing w:after="0" w:line="15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manages its capital structure and makes adjustments to it, in light of changes in economic conditions. To maintain or adjust the capital structure, the Group may adjust the dividend payment to shareholders, return capital to shareholders or issue new shares. The Group is not subject to any externally imposed capital requirements. No changes were made in the objectives, policies or processes during the financial years ended December 31, 2023 and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Revision of Prior Period Financial Statements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digital asset as at June 30, 2024 is US$22,825,904, and among the digital assets, it included digital assets held by the Group used to purchase cryptocurrency-denoted products which represent fixed interest cryptocurrency deposit with a related party and corresponding liabilities due to customers of approximately US$21,100,000. During the financial period, management performed an assessment and assessed these cryptocurrency-denoted products contained an embedded derivative feature. As such, management revised its presentation for certain assets in prior year. These revisions do not impact the Company’s consolidated statement of profit or loss, consolidated statement of changes in shareholders’ equity and consolidated statement of cash flows. Effect of the revision on the consolidated statement of financial position.</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1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As previously</w:t>
            </w: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9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14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21,572,603</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(21,571,712)</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Derivative contract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21,075,160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21,075,160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USDC</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1,253,301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(1,253,301)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1,899,343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1,867,004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3,766,347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related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(39,791,752)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(117,151)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(39,908,903)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determined the impact of this revision was immaterial to the financial statements for the prior financial period. Accordingly, we have revised previously reported financial information as of June 30, 2024 and is presented herein for comparative purposes.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AMBER DWM HOLDING LIMITED AND ITS SUBSIDIARIES</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62"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 after reporting period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all events and transactions that occurred after December 31, 2024 up through June 12, 2025, which is the date that these consolidated financial statements are available to be issued, and there were no other material subsequent events that require disclosure in these consolidated financial statements except below:</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29, 2024, the Company entered into a definitive agreement and plan of merger (the “Merger Agreement”) with iClick Interactive Asia Group Limited (“iClick”) and Overload Merger Sub Ltd, a Cayman Islands exempted company and a direct, wholly owned subsidiary of iClick. Pursuant to the Merger Agreement, Overload Merger Sub will merge with the Company, with the Company continuing as the surviving entity and becoming a wholly-owned subsidiary of iClick, and the shareholders of the Company will exchange all of its issued and outstanding share capital for a mixture of newly issued Class A and Class B ordinary shares of iClick on the terms and conditions set forth therein in a transaction exempt from the registration requirements under the Securities Act of 1933. The Merger was closed on March 12, 2025. In connection with the Merger, iClick changed its name from “iClick Interactive Asia Group Limited” to “Amber International Holding Limited”. In addition, ADSs began trading under the new ticker symbol “AMBR” on the Nasdaq effective on March 13, 2025.</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in connection with the business combination, on March 12, 2025, the Company’s subsidiary, Amber Match Limited, entered into intercompany services agreements with certain wholly-owned subsidiaries of Amber Group. These agreements would afford the Company with substantially the same economic benefits as the transactions contemplated under the Merger Agreement signed in connection with the Merger, pending certain regulatory approvals for DWM Asset Restructuring contemplated under the Merger Agreement. This includes the Group’s entitlement to 100% of the consolidated net income generated from certain contracts associated with WFTL effective from January 1, 2025, and 100% consolidated net income of Sparrow Tech Private Limited (“Sparrow Tech”) effective from March 12, 2025.</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12, 2025, the Company transferred all of its shares in Sparrow Holdings Pte. Ltd. to Amber Global Ltd. On April 25, 2025, Sparrow Tech received the necessary approvals to become a wholly-owned subsidiary of the Company. On the same date, Amber Global Ltd transferred its shares in Sparrow Holdings Pte. Ltd. to the Company and Sparrow Tech became a wholly-owned subsidiary of the Company.</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25, 2025, Sparrow Tech was rebranded to Amber Premium Singapore. This change reflects the continued commitment to providing regulated, institutional-grade digital assets services, and better aligns our brand with the broader Amber Group ecosystem.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513"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1."/>
      <w:numFmt w:val="upperLetter"/>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1."/>
      <w:numFmt w:val="decimal"/>
      <w:start w:val="1"/>
    </w:lvl>
  </w:abstractNum>
  <w:abstractNum w:abstractNumId="18">
    <w:nsid w:val="70C6A529"/>
    <w:multiLevelType w:val="hybridMultilevel"/>
    <w:lvl w:ilvl="0">
      <w:lvlJc w:val="left"/>
      <w:lvlText w:val="%1."/>
      <w:numFmt w:val="decimal"/>
      <w:start w:val="1"/>
    </w:lvl>
  </w:abstractNum>
  <w:abstractNum w:abstractNumId="19">
    <w:nsid w:val="520EEDD1"/>
    <w:multiLevelType w:val="hybridMultilevel"/>
    <w:lvl w:ilvl="0">
      <w:lvlJc w:val="left"/>
      <w:lvlText w:val="%1."/>
      <w:numFmt w:val="decimal"/>
      <w:start w:val="1"/>
    </w:lvl>
    <w:lvl w:ilvl="1">
      <w:lvlJc w:val="left"/>
      <w:lvlText w:val="%2."/>
      <w:numFmt w:val="decimal"/>
      <w:start w:val="4"/>
    </w:lvl>
  </w:abstractNum>
  <w:abstractNum w:abstractNumId="20">
    <w:nsid w:val="374A3FE6"/>
    <w:multiLevelType w:val="hybridMultilevel"/>
    <w:lvl w:ilvl="0">
      <w:lvlJc w:val="left"/>
      <w:lvlText w:val="%1."/>
      <w:numFmt w:val="decimal"/>
      <w:start w:val="2"/>
    </w:lvl>
  </w:abstractNum>
  <w:abstractNum w:abstractNumId="21">
    <w:nsid w:val="4F4EF005"/>
    <w:multiLevelType w:val="hybridMultilevel"/>
    <w:lvl w:ilvl="0">
      <w:lvlJc w:val="left"/>
      <w:lvlText w:val="%1."/>
      <w:numFmt w:val="decimal"/>
      <w:start w:val="2"/>
    </w:lvl>
  </w:abstractNum>
  <w:abstractNum w:abstractNumId="22">
    <w:nsid w:val="23F9C13C"/>
    <w:multiLevelType w:val="hybridMultilevel"/>
    <w:lvl w:ilvl="0">
      <w:lvlJc w:val="left"/>
      <w:lvlText w:val="%1."/>
      <w:numFmt w:val="decimal"/>
      <w:start w:val="2"/>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1."/>
      <w:numFmt w:val="decimal"/>
      <w:start w:val="2"/>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1."/>
      <w:numFmt w:val="decimal"/>
      <w:start w:val="2"/>
    </w:lvl>
  </w:abstractNum>
  <w:abstractNum w:abstractNumId="27">
    <w:nsid w:val="180115BE"/>
    <w:multiLevelType w:val="hybridMultilevel"/>
    <w:lvl w:ilvl="0">
      <w:lvlJc w:val="left"/>
      <w:lvlText w:val="%1."/>
      <w:numFmt w:val="decimal"/>
      <w:start w:val="2"/>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1."/>
      <w:numFmt w:val="decimal"/>
      <w:start w:val="2"/>
    </w:lvl>
  </w:abstractNum>
  <w:abstractNum w:abstractNumId="30">
    <w:nsid w:val="354FE9F9"/>
    <w:multiLevelType w:val="hybridMultilevel"/>
    <w:lvl w:ilvl="0">
      <w:lvlJc w:val="left"/>
      <w:lvlText w:val="%1."/>
      <w:numFmt w:val="decimal"/>
      <w:start w:val="2"/>
    </w:lvl>
  </w:abstractNum>
  <w:abstractNum w:abstractNumId="31">
    <w:nsid w:val="15B5AF5C"/>
    <w:multiLevelType w:val="hybridMultilevel"/>
    <w:lvl w:ilvl="0">
      <w:lvlJc w:val="left"/>
      <w:lvlText w:val="%1."/>
      <w:numFmt w:val="decimal"/>
      <w:start w:val="2"/>
    </w:lvl>
  </w:abstractNum>
  <w:abstractNum w:abstractNumId="32">
    <w:nsid w:val="741226BB"/>
    <w:multiLevelType w:val="hybridMultilevel"/>
    <w:lvl w:ilvl="0">
      <w:lvlJc w:val="left"/>
      <w:lvlText w:val="%1."/>
      <w:numFmt w:val="decimal"/>
      <w:start w:val="2"/>
    </w:lvl>
  </w:abstractNum>
  <w:abstractNum w:abstractNumId="33">
    <w:nsid w:val="D34B6A8"/>
    <w:multiLevelType w:val="hybridMultilevel"/>
    <w:lvl w:ilvl="0">
      <w:lvlJc w:val="left"/>
      <w:lvlText w:val="%1."/>
      <w:numFmt w:val="decimal"/>
      <w:start w:val="2"/>
    </w:lvl>
  </w:abstractNum>
  <w:abstractNum w:abstractNumId="34">
    <w:nsid w:val="10233C99"/>
    <w:multiLevelType w:val="hybridMultilevel"/>
    <w:lvl w:ilvl="0">
      <w:lvlJc w:val="left"/>
      <w:lvlText w:val="%1."/>
      <w:numFmt w:val="decimal"/>
      <w:start w:val="2"/>
    </w:lvl>
  </w:abstractNum>
  <w:abstractNum w:abstractNumId="35">
    <w:nsid w:val="3F6AB60F"/>
    <w:multiLevelType w:val="hybridMultilevel"/>
    <w:lvl w:ilvl="0">
      <w:lvlJc w:val="left"/>
      <w:lvlText w:val="%1."/>
      <w:numFmt w:val="decimal"/>
      <w:start w:val="2"/>
    </w:lvl>
  </w:abstractNum>
  <w:abstractNum w:abstractNumId="36">
    <w:nsid w:val="61574095"/>
    <w:multiLevelType w:val="hybridMultilevel"/>
    <w:lvl w:ilvl="0">
      <w:lvlJc w:val="left"/>
      <w:lvlText w:val="%1."/>
      <w:numFmt w:val="decimal"/>
      <w:start w:val="2"/>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1."/>
      <w:numFmt w:val="decimal"/>
      <w:start w:val="2"/>
    </w:lvl>
  </w:abstractNum>
  <w:abstractNum w:abstractNumId="40">
    <w:nsid w:val="310C50B3"/>
    <w:multiLevelType w:val="hybridMultilevel"/>
    <w:lvl w:ilvl="0">
      <w:lvlJc w:val="left"/>
      <w:lvlText w:val="(%1)"/>
      <w:numFmt w:val="lowerRoman"/>
      <w:start w:val="1"/>
    </w:lvl>
  </w:abstractNum>
  <w:abstractNum w:abstractNumId="41">
    <w:nsid w:val="5FF87E05"/>
    <w:multiLevelType w:val="hybridMultilevel"/>
    <w:lvl w:ilvl="0">
      <w:lvlJc w:val="left"/>
      <w:lvlText w:val="%1."/>
      <w:numFmt w:val="decimal"/>
      <w:start w:val="2"/>
    </w:lvl>
  </w:abstractNum>
  <w:abstractNum w:abstractNumId="42">
    <w:nsid w:val="2F305DEF"/>
    <w:multiLevelType w:val="hybridMultilevel"/>
    <w:lvl w:ilvl="0">
      <w:lvlJc w:val="left"/>
      <w:lvlText w:val="(%1)"/>
      <w:numFmt w:val="lowerRoman"/>
      <w:start w:val="1"/>
    </w:lvl>
  </w:abstractNum>
  <w:abstractNum w:abstractNumId="43">
    <w:nsid w:val="25A70BF7"/>
    <w:multiLevelType w:val="hybridMultilevel"/>
    <w:lvl w:ilvl="0">
      <w:lvlJc w:val="left"/>
      <w:lvlText w:val="%1."/>
      <w:numFmt w:val="decimal"/>
      <w:start w:val="2"/>
    </w:lvl>
    <w:lvl w:ilvl="1">
      <w:lvlJc w:val="left"/>
      <w:lvlText w:val="(%2)"/>
      <w:numFmt w:val="lowerRoman"/>
      <w:start w:val="3"/>
    </w:lvl>
  </w:abstractNum>
  <w:abstractNum w:abstractNumId="44">
    <w:nsid w:val="1DBABF00"/>
    <w:multiLevelType w:val="hybridMultilevel"/>
    <w:lvl w:ilvl="0">
      <w:lvlJc w:val="left"/>
      <w:lvlText w:val="%1."/>
      <w:numFmt w:val="decimal"/>
      <w:start w:val="2"/>
    </w:lvl>
  </w:abstractNum>
  <w:abstractNum w:abstractNumId="45">
    <w:nsid w:val="4AD084E9"/>
    <w:multiLevelType w:val="hybridMultilevel"/>
    <w:lvl w:ilvl="0">
      <w:lvlJc w:val="left"/>
      <w:lvlText w:val="(%1)"/>
      <w:numFmt w:val="lowerLetter"/>
      <w:start w:val="1"/>
    </w:lvl>
    <w:lvl w:ilvl="1">
      <w:lvlJc w:val="left"/>
      <w:lvlText w:val="(%2)"/>
      <w:numFmt w:val="lowerRoman"/>
      <w:start w:val="1"/>
    </w:lvl>
  </w:abstractNum>
  <w:abstractNum w:abstractNumId="46">
    <w:nsid w:val="1F48EAA1"/>
    <w:multiLevelType w:val="hybridMultilevel"/>
    <w:lvl w:ilvl="0">
      <w:lvlJc w:val="left"/>
      <w:lvlText w:val="%1."/>
      <w:numFmt w:val="decimal"/>
      <w:start w:val="3"/>
    </w:lvl>
  </w:abstractNum>
  <w:abstractNum w:abstractNumId="47">
    <w:nsid w:val="1381823A"/>
    <w:multiLevelType w:val="hybridMultilevel"/>
    <w:lvl w:ilvl="0">
      <w:lvlJc w:val="left"/>
      <w:lvlText w:val="%1."/>
      <w:numFmt w:val="decimal"/>
      <w:start w:val="3"/>
    </w:lvl>
  </w:abstractNum>
  <w:abstractNum w:abstractNumId="48">
    <w:nsid w:val="5DB70AE5"/>
    <w:multiLevelType w:val="hybridMultilevel"/>
    <w:lvl w:ilvl="0">
      <w:lvlJc w:val="left"/>
      <w:lvlText w:val="%1."/>
      <w:numFmt w:val="decimal"/>
      <w:start w:val="4"/>
    </w:lvl>
  </w:abstractNum>
  <w:abstractNum w:abstractNumId="49">
    <w:nsid w:val="100F8FCA"/>
    <w:multiLevelType w:val="hybridMultilevel"/>
    <w:lvl w:ilvl="0">
      <w:lvlJc w:val="left"/>
      <w:lvlText w:val="%1."/>
      <w:numFmt w:val="decimal"/>
      <w:start w:val="6"/>
    </w:lvl>
  </w:abstractNum>
  <w:abstractNum w:abstractNumId="50">
    <w:nsid w:val="6590700B"/>
    <w:multiLevelType w:val="hybridMultilevel"/>
    <w:lvl w:ilvl="0">
      <w:lvlJc w:val="left"/>
      <w:lvlText w:val="%1."/>
      <w:numFmt w:val="decimal"/>
      <w:start w:val="7"/>
    </w:lvl>
  </w:abstractNum>
  <w:abstractNum w:abstractNumId="51">
    <w:nsid w:val="15014ACB"/>
    <w:multiLevelType w:val="hybridMultilevel"/>
    <w:lvl w:ilvl="0">
      <w:lvlJc w:val="left"/>
      <w:lvlText w:val="%1."/>
      <w:numFmt w:val="decimal"/>
      <w:start w:val="8"/>
    </w:lvl>
  </w:abstractNum>
  <w:abstractNum w:abstractNumId="52">
    <w:nsid w:val="5F5E7FD0"/>
    <w:multiLevelType w:val="hybridMultilevel"/>
    <w:lvl w:ilvl="0">
      <w:lvlJc w:val="left"/>
      <w:lvlText w:val="%1."/>
      <w:numFmt w:val="decimal"/>
      <w:start w:val="8"/>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1."/>
      <w:numFmt w:val="decimal"/>
      <w:start w:val="11"/>
    </w:lvl>
  </w:abstractNum>
  <w:abstractNum w:abstractNumId="55">
    <w:nsid w:val="6B94764"/>
    <w:multiLevelType w:val="hybridMultilevel"/>
    <w:lvl w:ilvl="0">
      <w:lvlJc w:val="left"/>
      <w:lvlText w:val="%1."/>
      <w:numFmt w:val="decimal"/>
      <w:start w:val="12"/>
    </w:lvl>
  </w:abstractNum>
  <w:abstractNum w:abstractNumId="56">
    <w:nsid w:val="42C296BD"/>
    <w:multiLevelType w:val="hybridMultilevel"/>
    <w:lvl w:ilvl="0">
      <w:lvlJc w:val="left"/>
      <w:lvlText w:val="%1"/>
      <w:numFmt w:val="decimal"/>
      <w:start w:val="1"/>
    </w:lvl>
    <w:lvl w:ilvl="1">
      <w:lvlJc w:val="left"/>
      <w:lvlText w:val="(%2)"/>
      <w:numFmt w:val="decimal"/>
      <w:start w:val="1"/>
    </w:lvl>
  </w:abstractNum>
  <w:abstractNum w:abstractNumId="57">
    <w:nsid w:val="168E121F"/>
    <w:multiLevelType w:val="hybridMultilevel"/>
    <w:lvl w:ilvl="0">
      <w:lvlJc w:val="left"/>
      <w:lvlText w:val="%1."/>
      <w:numFmt w:val="decimal"/>
      <w:start w:val="13"/>
    </w:lvl>
    <w:lvl w:ilvl="1">
      <w:lvlJc w:val="left"/>
      <w:lvlText w:val="%2"/>
      <w:numFmt w:val="decimal"/>
      <w:start w:val="1"/>
    </w:lvl>
  </w:abstractNum>
  <w:abstractNum w:abstractNumId="58">
    <w:nsid w:val="1EBA5D23"/>
    <w:multiLevelType w:val="hybridMultilevel"/>
    <w:lvl w:ilvl="0">
      <w:lvlJc w:val="left"/>
      <w:lvlText w:val="%1."/>
      <w:numFmt w:val="decimal"/>
      <w:start w:val="14"/>
    </w:lvl>
  </w:abstractNum>
  <w:abstractNum w:abstractNumId="59">
    <w:nsid w:val="661E3F1E"/>
    <w:multiLevelType w:val="hybridMultilevel"/>
    <w:lvl w:ilvl="0">
      <w:lvlJc w:val="left"/>
      <w:lvlText w:val="%1"/>
      <w:numFmt w:val="decimal"/>
      <w:start w:val="1"/>
    </w:lvl>
    <w:lvl w:ilvl="1">
      <w:lvlJc w:val="left"/>
      <w:lvlText w:val="(%2)"/>
      <w:numFmt w:val="decimal"/>
      <w:start w:val="1"/>
    </w:lvl>
  </w:abstractNum>
  <w:abstractNum w:abstractNumId="60">
    <w:nsid w:val="5DC79EA8"/>
    <w:multiLevelType w:val="hybridMultilevel"/>
    <w:lvl w:ilvl="0">
      <w:lvlJc w:val="left"/>
      <w:lvlText w:val="%1."/>
      <w:numFmt w:val="decimal"/>
      <w:start w:val="15"/>
    </w:lvl>
    <w:lvl w:ilvl="1">
      <w:lvlJc w:val="left"/>
      <w:lvlText w:val="%2"/>
      <w:numFmt w:val="decimal"/>
      <w:start w:val="1"/>
    </w:lvl>
  </w:abstractNum>
  <w:abstractNum w:abstractNumId="61">
    <w:nsid w:val="540A471C"/>
    <w:multiLevelType w:val="hybridMultilevel"/>
    <w:lvl w:ilvl="0">
      <w:lvlJc w:val="left"/>
      <w:lvlText w:val="%1."/>
      <w:numFmt w:val="decimal"/>
      <w:start w:val="15"/>
    </w:lvl>
  </w:abstractNum>
  <w:abstractNum w:abstractNumId="62">
    <w:nsid w:val="7BD3EE7B"/>
    <w:multiLevelType w:val="hybridMultilevel"/>
    <w:lvl w:ilvl="0">
      <w:lvlJc w:val="left"/>
      <w:lvlText w:val="(%1)"/>
      <w:numFmt w:val="lowerRoman"/>
      <w:start w:val="1"/>
    </w:lvl>
  </w:abstractNum>
  <w:abstractNum w:abstractNumId="63">
    <w:nsid w:val="51D9C564"/>
    <w:multiLevelType w:val="hybridMultilevel"/>
    <w:lvl w:ilvl="0">
      <w:lvlJc w:val="left"/>
      <w:lvlText w:val="%1."/>
      <w:numFmt w:val="decimal"/>
      <w:start w:val="16"/>
    </w:lvl>
  </w:abstractNum>
  <w:abstractNum w:abstractNumId="64">
    <w:nsid w:val="613EFDC5"/>
    <w:multiLevelType w:val="hybridMultilevel"/>
    <w:lvl w:ilvl="0">
      <w:lvlJc w:val="left"/>
      <w:lvlText w:val="%1."/>
      <w:numFmt w:val="decimal"/>
      <w:start w:val="22"/>
    </w:lvl>
  </w:abstractNum>
  <w:abstractNum w:abstractNumId="65">
    <w:nsid w:val="BF72B14"/>
    <w:multiLevelType w:val="hybridMultilevel"/>
    <w:lvl w:ilvl="0">
      <w:lvlJc w:val="left"/>
      <w:lvlText w:val="%1."/>
      <w:numFmt w:val="decimal"/>
      <w:start w:val="22"/>
    </w:lvl>
  </w:abstractNum>
  <w:abstractNum w:abstractNumId="66">
    <w:nsid w:val="11447B73"/>
    <w:multiLevelType w:val="hybridMultilevel"/>
    <w:lvl w:ilvl="0">
      <w:lvlJc w:val="left"/>
      <w:lvlText w:val="%1."/>
      <w:numFmt w:val="decimal"/>
      <w:start w:val="23"/>
    </w:lvl>
  </w:abstractNum>
  <w:abstractNum w:abstractNumId="67">
    <w:nsid w:val="42963E5A"/>
    <w:multiLevelType w:val="hybridMultilevel"/>
    <w:lvl w:ilvl="0">
      <w:lvlJc w:val="left"/>
      <w:lvlText w:val="%1."/>
      <w:numFmt w:val="decimal"/>
      <w:start w:val="23"/>
    </w:lvl>
  </w:abstractNum>
  <w:abstractNum w:abstractNumId="68">
    <w:nsid w:val="A0382C5"/>
    <w:multiLevelType w:val="hybridMultilevel"/>
    <w:lvl w:ilvl="0">
      <w:lvlJc w:val="left"/>
      <w:lvlText w:val="%1."/>
      <w:numFmt w:val="decimal"/>
      <w:start w:val="23"/>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1)"/>
      <w:numFmt w:val="decimal"/>
      <w:start w:val="2"/>
    </w:lvl>
  </w:abstractNum>
  <w:abstractNum w:abstractNumId="71">
    <w:nsid w:val="3B0FD379"/>
    <w:multiLevelType w:val="hybridMultilevel"/>
    <w:lvl w:ilvl="0">
      <w:lvlJc w:val="left"/>
      <w:lvlText w:val="%1."/>
      <w:numFmt w:val="decimal"/>
      <w:start w:val="23"/>
    </w:lvl>
  </w:abstractNum>
  <w:abstractNum w:abstractNumId="72">
    <w:nsid w:val="68EB2F63"/>
    <w:multiLevelType w:val="hybridMultilevel"/>
    <w:lvl w:ilvl="0">
      <w:lvlJc w:val="left"/>
      <w:lvlText w:val="%1."/>
      <w:numFmt w:val="decimal"/>
      <w:start w:val="24"/>
    </w:lvl>
  </w:abstractNum>
  <w:abstractNum w:abstractNumId="73">
    <w:nsid w:val="4962813B"/>
    <w:multiLevelType w:val="hybridMultilevel"/>
    <w:lvl w:ilvl="0">
      <w:lvlJc w:val="left"/>
      <w:lvlText w:val="%1."/>
      <w:numFmt w:val="decimal"/>
      <w:start w:val="24"/>
    </w:lvl>
    <w:lvl w:ilvl="1">
      <w:lvlJc w:val="left"/>
      <w:lvlText w:val="●"/>
      <w:numFmt w:val="bullet"/>
      <w:start w:val="1"/>
    </w:lvl>
  </w:abstractNum>
  <w:abstractNum w:abstractNumId="74">
    <w:nsid w:val="60B6DF70"/>
    <w:multiLevelType w:val="hybridMultilevel"/>
    <w:lvl w:ilvl="0">
      <w:lvlJc w:val="left"/>
      <w:lvlText w:val="%1."/>
      <w:numFmt w:val="decimal"/>
      <w:start w:val="24"/>
    </w:lvl>
    <w:lvl w:ilvl="1">
      <w:lvlJc w:val="left"/>
      <w:lvlText w:val="●"/>
      <w:numFmt w:val="bullet"/>
      <w:start w:val="1"/>
    </w:lvl>
  </w:abstractNum>
  <w:abstractNum w:abstractNumId="75">
    <w:nsid w:val="6A5EE64"/>
    <w:multiLevelType w:val="hybridMultilevel"/>
    <w:lvl w:ilvl="0">
      <w:lvlJc w:val="left"/>
      <w:lvlText w:val="%1."/>
      <w:numFmt w:val="decimal"/>
      <w:start w:val="24"/>
    </w:lvl>
  </w:abstractNum>
  <w:abstractNum w:abstractNumId="76">
    <w:nsid w:val="14330624"/>
    <w:multiLevelType w:val="hybridMultilevel"/>
    <w:lvl w:ilvl="0">
      <w:lvlJc w:val="left"/>
      <w:lvlText w:val="%1."/>
      <w:numFmt w:val="decimal"/>
      <w:start w:val="24"/>
    </w:lvl>
  </w:abstractNum>
  <w:abstractNum w:abstractNumId="77">
    <w:nsid w:val="7FFFCA11"/>
    <w:multiLevelType w:val="hybridMultilevel"/>
    <w:lvl w:ilvl="0">
      <w:lvlJc w:val="left"/>
      <w:lvlText w:val="%1."/>
      <w:numFmt w:val="decimal"/>
      <w:start w:val="24"/>
    </w:lvl>
  </w:abstractNum>
  <w:abstractNum w:abstractNumId="78">
    <w:nsid w:val="1A27709E"/>
    <w:multiLevelType w:val="hybridMultilevel"/>
    <w:lvl w:ilvl="0">
      <w:lvlJc w:val="left"/>
      <w:lvlText w:val="%1."/>
      <w:numFmt w:val="decimal"/>
      <w:start w:val="24"/>
    </w:lvl>
  </w:abstractNum>
  <w:abstractNum w:abstractNumId="79">
    <w:nsid w:val="71EA1109"/>
    <w:multiLevelType w:val="hybridMultilevel"/>
    <w:lvl w:ilvl="0">
      <w:lvlJc w:val="left"/>
      <w:lvlText w:val="%1."/>
      <w:numFmt w:val="decimal"/>
      <w:start w:val="24"/>
    </w:lvl>
  </w:abstractNum>
  <w:abstractNum w:abstractNumId="80">
    <w:nsid w:val="100F59DC"/>
    <w:multiLevelType w:val="hybridMultilevel"/>
    <w:lvl w:ilvl="0">
      <w:lvlJc w:val="left"/>
      <w:lvlText w:val="%1."/>
      <w:numFmt w:val="decimal"/>
      <w:start w:val="25"/>
    </w:lvl>
    <w:lvl w:ilvl="1">
      <w:lvlJc w:val="left"/>
      <w:lvlText w:val="●"/>
      <w:numFmt w:val="bullet"/>
      <w:start w:val="1"/>
    </w:lvl>
  </w:abstractNum>
  <w:abstractNum w:abstractNumId="81">
    <w:nsid w:val="7FB7E0AA"/>
    <w:multiLevelType w:val="hybridMultilevel"/>
    <w:lvl w:ilvl="0">
      <w:lvlJc w:val="left"/>
      <w:lvlText w:val="%1."/>
      <w:numFmt w:val="decimal"/>
      <w:start w:val="25"/>
    </w:lvl>
  </w:abstractNum>
  <w:abstractNum w:abstractNumId="82">
    <w:nsid w:val="6EB5BD4"/>
    <w:multiLevelType w:val="hybridMultilevel"/>
    <w:lvl w:ilvl="0">
      <w:lvlJc w:val="left"/>
      <w:lvlText w:val="%1."/>
      <w:numFmt w:val="decimal"/>
      <w:start w:val="25"/>
    </w:lvl>
  </w:abstractNum>
  <w:abstractNum w:abstractNumId="83">
    <w:nsid w:val="6F6DD9AC"/>
    <w:multiLevelType w:val="hybridMultilevel"/>
    <w:lvl w:ilvl="0">
      <w:lvlJc w:val="left"/>
      <w:lvlText w:val="%1."/>
      <w:numFmt w:val="decimal"/>
      <w:start w:val="26"/>
    </w:lvl>
  </w:abstractNum>
  <w:abstractNum w:abstractNumId="84">
    <w:nsid w:val="94211F2"/>
    <w:multiLevelType w:val="hybridMultilevel"/>
    <w:lvl w:ilvl="0">
      <w:lvlJc w:val="left"/>
      <w:lvlText w:val="%1."/>
      <w:numFmt w:val="decimal"/>
      <w:start w:val="27"/>
    </w:lvl>
  </w:abstractNum>
  <w:abstractNum w:abstractNumId="85">
    <w:nsid w:val="885E1B"/>
    <w:multiLevelType w:val="hybridMultilevel"/>
    <w:lvl w:ilvl="0">
      <w:lvlJc w:val="left"/>
      <w:lvlText w:val="%1."/>
      <w:numFmt w:val="decimal"/>
      <w:start w:val="28"/>
    </w:lvl>
  </w:abstractNum>
  <w:abstractNum w:abstractNumId="86">
    <w:nsid w:val="76272110"/>
    <w:multiLevelType w:val="hybridMultilevel"/>
    <w:lvl w:ilvl="0">
      <w:lvlJc w:val="left"/>
      <w:lvlText w:val="%1."/>
      <w:numFmt w:val="decimal"/>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2025-06-13T09:33:25Z</dcterms:created>
  <dcterms:modified xsi:type="dcterms:W3CDTF">2025-06-13T09:33:25Z</dcterms:modified>
</cp:coreProperties>
</file>