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320040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ordinary shares, par value of $0.001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G47048 106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ind w:left="380" w:hanging="375"/>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-130175</wp:posOffset>
            </wp:positionV>
            <wp:extent cx="7254875"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Jiping Liu</w:t>
      </w:r>
    </w:p>
    <w:p>
      <w:pPr>
        <w:spacing w:after="0" w:line="24" w:lineRule="exact"/>
        <w:rPr>
          <w:sz w:val="20"/>
          <w:szCs w:val="20"/>
          <w:color w:val="auto"/>
        </w:rPr>
      </w:pPr>
    </w:p>
    <w:p>
      <w:pPr>
        <w:ind w:left="380" w:hanging="375"/>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pacing w:after="0" w:line="41" w:lineRule="exact"/>
        <w:rPr>
          <w:sz w:val="20"/>
          <w:szCs w:val="20"/>
          <w:color w:val="auto"/>
        </w:rPr>
      </w:pPr>
    </w:p>
    <w:p>
      <w:pPr>
        <w:ind w:left="380"/>
        <w:spacing w:after="0" w:line="207" w:lineRule="exact"/>
        <w:tabs>
          <w:tab w:leader="none" w:pos="11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380" w:hanging="375"/>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380" w:hanging="375"/>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People’s Republic of China</w:t>
      </w:r>
    </w:p>
    <w:p>
      <w:pPr>
        <w:sectPr>
          <w:pgSz w:w="11900" w:h="16838" w:orient="portrait"/>
          <w:cols w:equalWidth="0" w:num="1">
            <w:col w:w="10059"/>
          </w:cols>
          <w:pgMar w:left="40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6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89" w:hanging="389"/>
        <w:spacing w:after="0"/>
        <w:tabs>
          <w:tab w:leader="none" w:pos="389"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389"/>
        <w:spacing w:after="0"/>
        <w:rPr>
          <w:sz w:val="20"/>
          <w:szCs w:val="20"/>
          <w:color w:val="auto"/>
        </w:rPr>
      </w:pPr>
      <w:r>
        <w:rPr>
          <w:rFonts w:ascii="Arial" w:cs="Arial" w:eastAsia="Arial" w:hAnsi="Arial"/>
          <w:sz w:val="19"/>
          <w:szCs w:val="19"/>
          <w:color w:val="auto"/>
        </w:rPr>
        <w:t>343,750 ordinary shares. See Item 4.</w:t>
      </w:r>
    </w:p>
    <w:p>
      <w:pPr>
        <w:spacing w:after="0" w:line="59" w:lineRule="exact"/>
        <w:rPr>
          <w:sz w:val="20"/>
          <w:szCs w:val="20"/>
          <w:color w:val="auto"/>
        </w:rPr>
      </w:pPr>
    </w:p>
    <w:p>
      <w:pPr>
        <w:ind w:left="389" w:hanging="389"/>
        <w:spacing w:after="0"/>
        <w:tabs>
          <w:tab w:leader="none" w:pos="389"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jc w:val="right"/>
        <w:ind w:right="5259"/>
        <w:spacing w:after="0"/>
        <w:rPr>
          <w:sz w:val="20"/>
          <w:szCs w:val="20"/>
          <w:color w:val="auto"/>
        </w:rPr>
      </w:pPr>
      <w:r>
        <w:rPr>
          <w:rFonts w:ascii="Arial" w:cs="Arial" w:eastAsia="Arial" w:hAnsi="Arial"/>
          <w:sz w:val="19"/>
          <w:szCs w:val="19"/>
          <w:color w:val="auto"/>
        </w:rPr>
        <w:t>2,011,997 ordinary shares. See Item 4.</w:t>
      </w:r>
    </w:p>
    <w:p>
      <w:pPr>
        <w:spacing w:after="0" w:line="59" w:lineRule="exact"/>
        <w:rPr>
          <w:sz w:val="20"/>
          <w:szCs w:val="20"/>
          <w:color w:val="auto"/>
        </w:rPr>
      </w:pPr>
    </w:p>
    <w:p>
      <w:pPr>
        <w:ind w:left="389" w:hanging="389"/>
        <w:spacing w:after="0"/>
        <w:tabs>
          <w:tab w:leader="none" w:pos="389"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389"/>
        <w:spacing w:after="0"/>
        <w:rPr>
          <w:sz w:val="20"/>
          <w:szCs w:val="20"/>
          <w:color w:val="auto"/>
        </w:rPr>
      </w:pPr>
      <w:r>
        <w:rPr>
          <w:rFonts w:ascii="Arial" w:cs="Arial" w:eastAsia="Arial" w:hAnsi="Arial"/>
          <w:sz w:val="19"/>
          <w:szCs w:val="19"/>
          <w:color w:val="auto"/>
        </w:rPr>
        <w:t>343,750 ordinary shares. See Item 4.</w:t>
      </w:r>
    </w:p>
    <w:p>
      <w:pPr>
        <w:spacing w:after="0" w:line="59" w:lineRule="exact"/>
        <w:rPr>
          <w:sz w:val="20"/>
          <w:szCs w:val="20"/>
          <w:color w:val="auto"/>
        </w:rPr>
      </w:pPr>
    </w:p>
    <w:p>
      <w:pPr>
        <w:ind w:left="389" w:hanging="389"/>
        <w:spacing w:after="0"/>
        <w:tabs>
          <w:tab w:leader="none" w:pos="3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45" w:lineRule="exact"/>
        <w:rPr>
          <w:sz w:val="20"/>
          <w:szCs w:val="20"/>
          <w:color w:val="auto"/>
        </w:rPr>
      </w:pPr>
    </w:p>
    <w:p>
      <w:pPr>
        <w:jc w:val="right"/>
        <w:ind w:right="5259"/>
        <w:spacing w:after="0"/>
        <w:rPr>
          <w:sz w:val="20"/>
          <w:szCs w:val="20"/>
          <w:color w:val="auto"/>
        </w:rPr>
      </w:pPr>
      <w:r>
        <w:rPr>
          <w:rFonts w:ascii="Arial" w:cs="Arial" w:eastAsia="Arial" w:hAnsi="Arial"/>
          <w:sz w:val="19"/>
          <w:szCs w:val="19"/>
          <w:color w:val="auto"/>
        </w:rPr>
        <w:t>2,011,997 ordinary shares. See Item 4.</w:t>
      </w:r>
    </w:p>
    <w:p>
      <w:pPr>
        <w:spacing w:after="0" w:line="59" w:lineRule="exact"/>
        <w:rPr>
          <w:sz w:val="20"/>
          <w:szCs w:val="20"/>
          <w:color w:val="auto"/>
        </w:rPr>
      </w:pPr>
    </w:p>
    <w:p>
      <w:pPr>
        <w:sectPr>
          <w:pgSz w:w="11900" w:h="16838" w:orient="portrait"/>
          <w:cols w:equalWidth="0" w:num="2">
            <w:col w:w="940" w:space="151"/>
            <w:col w:w="8969"/>
          </w:cols>
          <w:pgMar w:left="400" w:top="287" w:right="1440" w:bottom="1440" w:gutter="0" w:footer="0" w:header="0"/>
          <w:type w:val="continuous"/>
        </w:sectPr>
      </w:pPr>
    </w:p>
    <w:p>
      <w:pPr>
        <w:ind w:left="380" w:hanging="375"/>
        <w:spacing w:after="0"/>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w:t>
      </w:r>
    </w:p>
    <w:p>
      <w:pPr>
        <w:spacing w:after="0" w:line="25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2,355,747 ordinary shares. See Item 4.</w:t>
      </w:r>
    </w:p>
    <w:p>
      <w:pPr>
        <w:spacing w:after="0" w:line="22" w:lineRule="exact"/>
        <w:rPr>
          <w:sz w:val="20"/>
          <w:szCs w:val="20"/>
          <w:color w:val="auto"/>
        </w:rPr>
      </w:pPr>
    </w:p>
    <w:p>
      <w:pPr>
        <w:ind w:left="380" w:hanging="375"/>
        <w:spacing w:after="0" w:line="184" w:lineRule="exact"/>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w:t>
      </w:r>
      <w:r>
        <w:rPr>
          <w:rFonts w:ascii="MS PGothic" w:cs="MS PGothic" w:eastAsia="MS PGothic" w:hAnsi="MS PGothic"/>
          <w:sz w:val="16"/>
          <w:szCs w:val="16"/>
          <w:color w:val="auto"/>
        </w:rPr>
        <w:t>☐</w:t>
      </w:r>
    </w:p>
    <w:p>
      <w:pPr>
        <w:spacing w:after="0" w:line="304" w:lineRule="exact"/>
        <w:rPr>
          <w:rFonts w:ascii="Arial" w:cs="Arial" w:eastAsia="Arial" w:hAnsi="Arial"/>
          <w:sz w:val="16"/>
          <w:szCs w:val="16"/>
          <w:color w:val="auto"/>
        </w:rPr>
      </w:pPr>
    </w:p>
    <w:p>
      <w:pPr>
        <w:ind w:left="380" w:hanging="375"/>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9.0%. See Item 4.</w:t>
      </w:r>
    </w:p>
    <w:p>
      <w:pPr>
        <w:spacing w:after="0" w:line="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tab/>
        <w:t>Type of Reporting Person</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IN</w:t>
      </w:r>
    </w:p>
    <w:p>
      <w:pPr>
        <w:spacing w:after="0" w:line="200" w:lineRule="exact"/>
        <w:rPr>
          <w:sz w:val="20"/>
          <w:szCs w:val="20"/>
          <w:color w:val="auto"/>
        </w:rPr>
      </w:pPr>
    </w:p>
    <w:p>
      <w:pPr>
        <w:spacing w:after="0" w:line="21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59"/>
          </w:cols>
          <w:pgMar w:left="400" w:top="287" w:right="1440" w:bottom="1440" w:gutter="0" w:footer="0" w:header="0"/>
          <w:type w:val="continuous"/>
        </w:sectPr>
      </w:pPr>
    </w:p>
    <w:bookmarkStart w:id="2" w:name="page3"/>
    <w:bookmarkEnd w:id="2"/>
    <w:p>
      <w:pPr>
        <w:ind w:left="380" w:hanging="375"/>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-130175</wp:posOffset>
            </wp:positionV>
            <wp:extent cx="7254875" cy="524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Maestro Investment Holdings Limited</w:t>
      </w:r>
    </w:p>
    <w:p>
      <w:pPr>
        <w:spacing w:after="0" w:line="24" w:lineRule="exact"/>
        <w:rPr>
          <w:sz w:val="20"/>
          <w:szCs w:val="20"/>
          <w:color w:val="auto"/>
        </w:rPr>
      </w:pPr>
    </w:p>
    <w:p>
      <w:pPr>
        <w:ind w:left="380" w:hanging="375"/>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pacing w:after="0" w:line="41" w:lineRule="exact"/>
        <w:rPr>
          <w:sz w:val="20"/>
          <w:szCs w:val="20"/>
          <w:color w:val="auto"/>
        </w:rPr>
      </w:pPr>
    </w:p>
    <w:p>
      <w:pPr>
        <w:ind w:left="380"/>
        <w:spacing w:after="0" w:line="207" w:lineRule="exact"/>
        <w:tabs>
          <w:tab w:leader="none" w:pos="11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380" w:hanging="375"/>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380" w:hanging="375"/>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British Virgin Islands</w:t>
      </w:r>
    </w:p>
    <w:p>
      <w:pPr>
        <w:sectPr>
          <w:pgSz w:w="11900" w:h="16838" w:orient="portrait"/>
          <w:cols w:equalWidth="0" w:num="1">
            <w:col w:w="10059"/>
          </w:cols>
          <w:pgMar w:left="40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6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89" w:hanging="389"/>
        <w:spacing w:after="0"/>
        <w:tabs>
          <w:tab w:leader="none" w:pos="3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389"/>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89" w:hanging="389"/>
        <w:spacing w:after="0"/>
        <w:tabs>
          <w:tab w:leader="none" w:pos="3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jc w:val="right"/>
        <w:ind w:right="5259"/>
        <w:spacing w:after="0"/>
        <w:rPr>
          <w:sz w:val="20"/>
          <w:szCs w:val="20"/>
          <w:color w:val="auto"/>
        </w:rPr>
      </w:pPr>
      <w:r>
        <w:rPr>
          <w:rFonts w:ascii="Arial" w:cs="Arial" w:eastAsia="Arial" w:hAnsi="Arial"/>
          <w:sz w:val="19"/>
          <w:szCs w:val="19"/>
          <w:color w:val="auto"/>
        </w:rPr>
        <w:t>2,011,997 ordinary shares. See Item 4.</w:t>
      </w:r>
    </w:p>
    <w:p>
      <w:pPr>
        <w:spacing w:after="0" w:line="59" w:lineRule="exact"/>
        <w:rPr>
          <w:sz w:val="20"/>
          <w:szCs w:val="20"/>
          <w:color w:val="auto"/>
        </w:rPr>
      </w:pPr>
    </w:p>
    <w:p>
      <w:pPr>
        <w:ind w:left="389" w:hanging="389"/>
        <w:spacing w:after="0"/>
        <w:tabs>
          <w:tab w:leader="none" w:pos="3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389"/>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89" w:hanging="389"/>
        <w:spacing w:after="0"/>
        <w:tabs>
          <w:tab w:leader="none" w:pos="3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45" w:lineRule="exact"/>
        <w:rPr>
          <w:sz w:val="20"/>
          <w:szCs w:val="20"/>
          <w:color w:val="auto"/>
        </w:rPr>
      </w:pPr>
    </w:p>
    <w:p>
      <w:pPr>
        <w:jc w:val="right"/>
        <w:ind w:right="5259"/>
        <w:spacing w:after="0"/>
        <w:rPr>
          <w:sz w:val="20"/>
          <w:szCs w:val="20"/>
          <w:color w:val="auto"/>
        </w:rPr>
      </w:pPr>
      <w:r>
        <w:rPr>
          <w:rFonts w:ascii="Arial" w:cs="Arial" w:eastAsia="Arial" w:hAnsi="Arial"/>
          <w:sz w:val="19"/>
          <w:szCs w:val="19"/>
          <w:color w:val="auto"/>
        </w:rPr>
        <w:t>2,011,997 ordinary shares. See Item 4.</w:t>
      </w:r>
    </w:p>
    <w:p>
      <w:pPr>
        <w:spacing w:after="0" w:line="59" w:lineRule="exact"/>
        <w:rPr>
          <w:sz w:val="20"/>
          <w:szCs w:val="20"/>
          <w:color w:val="auto"/>
        </w:rPr>
      </w:pPr>
    </w:p>
    <w:p>
      <w:pPr>
        <w:sectPr>
          <w:pgSz w:w="11900" w:h="16838" w:orient="portrait"/>
          <w:cols w:equalWidth="0" w:num="2">
            <w:col w:w="940" w:space="151"/>
            <w:col w:w="8969"/>
          </w:cols>
          <w:pgMar w:left="400" w:top="287" w:right="1440" w:bottom="1440" w:gutter="0" w:footer="0" w:header="0"/>
          <w:type w:val="continuous"/>
        </w:sectPr>
      </w:pPr>
    </w:p>
    <w:p>
      <w:pPr>
        <w:ind w:left="380" w:hanging="375"/>
        <w:spacing w:after="0"/>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w:t>
      </w:r>
    </w:p>
    <w:p>
      <w:pPr>
        <w:spacing w:after="0" w:line="25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2,011,997 ordinary shares. See Item 4.</w:t>
      </w:r>
    </w:p>
    <w:p>
      <w:pPr>
        <w:spacing w:after="0" w:line="22" w:lineRule="exact"/>
        <w:rPr>
          <w:sz w:val="20"/>
          <w:szCs w:val="20"/>
          <w:color w:val="auto"/>
        </w:rPr>
      </w:pPr>
    </w:p>
    <w:p>
      <w:pPr>
        <w:ind w:left="380" w:hanging="375"/>
        <w:spacing w:after="0" w:line="184" w:lineRule="exact"/>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w:t>
      </w:r>
      <w:r>
        <w:rPr>
          <w:rFonts w:ascii="MS PGothic" w:cs="MS PGothic" w:eastAsia="MS PGothic" w:hAnsi="MS PGothic"/>
          <w:sz w:val="16"/>
          <w:szCs w:val="16"/>
          <w:color w:val="auto"/>
        </w:rPr>
        <w:t>☐</w:t>
      </w:r>
    </w:p>
    <w:p>
      <w:pPr>
        <w:spacing w:after="0" w:line="304" w:lineRule="exact"/>
        <w:rPr>
          <w:rFonts w:ascii="Arial" w:cs="Arial" w:eastAsia="Arial" w:hAnsi="Arial"/>
          <w:sz w:val="16"/>
          <w:szCs w:val="16"/>
          <w:color w:val="auto"/>
        </w:rPr>
      </w:pPr>
    </w:p>
    <w:p>
      <w:pPr>
        <w:ind w:left="380" w:hanging="375"/>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7.7%. See Item 4.</w:t>
      </w:r>
    </w:p>
    <w:p>
      <w:pPr>
        <w:spacing w:after="0" w:line="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tab/>
        <w:t>Type of Reporting Person</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CO</w:t>
      </w:r>
    </w:p>
    <w:p>
      <w:pPr>
        <w:spacing w:after="0" w:line="200" w:lineRule="exact"/>
        <w:rPr>
          <w:sz w:val="20"/>
          <w:szCs w:val="20"/>
          <w:color w:val="auto"/>
        </w:rPr>
      </w:pPr>
    </w:p>
    <w:p>
      <w:pPr>
        <w:spacing w:after="0" w:line="21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59"/>
          </w:cols>
          <w:pgMar w:left="400" w:top="287" w:right="1440" w:bottom="1440" w:gutter="0" w:footer="0" w:header="0"/>
          <w:type w:val="continuous"/>
        </w:sectPr>
      </w:pPr>
    </w:p>
    <w:bookmarkStart w:id="3" w:name="page4"/>
    <w:bookmarkEnd w:id="3"/>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iClick Interactive Asia Group Limited</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15/F, Prosperity Millennia Plaza</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Hong Kong S.A.R.</w:t>
      </w:r>
    </w:p>
    <w:p>
      <w:pPr>
        <w:spacing w:after="0" w:line="35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u w:val="single" w:color="auto"/>
          <w:color w:val="auto"/>
        </w:rPr>
        <w:t>Name of Person Filing</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Jiping Liu</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Maestro Investment Holdings Limited</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Jiping Liu</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ABM Chambers, Columbus Centre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British Virgin Islands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Maestro Investment Holdings Limited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ABM Chambers, Columbus Centre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British Virgin Islands</w:t>
      </w:r>
    </w:p>
    <w:p>
      <w:pPr>
        <w:spacing w:after="0" w:line="35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Maestro Investment Holdings Limited — British Virgin Islands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Jiping Liu — People’s Republic of China</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u w:val="single" w:color="auto"/>
          <w:color w:val="auto"/>
        </w:rPr>
        <w:t>Title of Class of Securities</w:t>
      </w:r>
      <w:r>
        <w:rPr>
          <w:rFonts w:ascii="Arial" w:cs="Arial" w:eastAsia="Arial" w:hAnsi="Arial"/>
          <w:sz w:val="15"/>
          <w:szCs w:val="15"/>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Class A ordinary shares, par value of $0.001 per share (the “Class A Ordinary Shares”)</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No.</w:t>
      </w:r>
      <w:r>
        <w:rPr>
          <w:rFonts w:ascii="Arial" w:cs="Arial" w:eastAsia="Arial" w:hAnsi="Arial"/>
          <w:sz w:val="17"/>
          <w:szCs w:val="17"/>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G47048 106</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 -2(b) or (c), check whether the persons filing is a</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0" w:right="1440" w:bottom="1440" w:gutter="0" w:footer="0" w:header="0"/>
        </w:sectPr>
      </w:pPr>
    </w:p>
    <w:bookmarkStart w:id="4" w:name="page5"/>
    <w:bookmarkEnd w:id="4"/>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u w:val="single" w:color="auto"/>
          <w:color w:val="auto"/>
        </w:rPr>
        <w:t>Ownership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with respect to the ownership of the Class A Ordinary Shares by each of the reporting persons is provided as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80" w:type="dxa"/>
            <w:vAlign w:val="bottom"/>
            <w:gridSpan w:val="2"/>
            <w:vMerge w:val="restart"/>
          </w:tcPr>
          <w:p>
            <w:pPr>
              <w:jc w:val="center"/>
              <w:ind w:right="383"/>
              <w:spacing w:after="0"/>
              <w:rPr>
                <w:sz w:val="20"/>
                <w:szCs w:val="20"/>
                <w:color w:val="auto"/>
              </w:rPr>
            </w:pPr>
            <w:r>
              <w:rPr>
                <w:rFonts w:ascii="Arial" w:cs="Arial" w:eastAsia="Arial" w:hAnsi="Arial"/>
                <w:sz w:val="14"/>
                <w:szCs w:val="14"/>
                <w:b w:val="1"/>
                <w:bCs w:val="1"/>
                <w:color w:val="auto"/>
                <w:w w:val="94"/>
              </w:rPr>
              <w:t>Amount</w:t>
            </w: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2"/>
            <w:vMerge w:val="restart"/>
          </w:tcPr>
          <w:p>
            <w:pPr>
              <w:jc w:val="center"/>
              <w:ind w:right="363"/>
              <w:spacing w:after="0"/>
              <w:rPr>
                <w:sz w:val="20"/>
                <w:szCs w:val="20"/>
                <w:color w:val="auto"/>
              </w:rPr>
            </w:pPr>
            <w:r>
              <w:rPr>
                <w:rFonts w:ascii="Arial" w:cs="Arial" w:eastAsia="Arial" w:hAnsi="Arial"/>
                <w:sz w:val="14"/>
                <w:szCs w:val="14"/>
                <w:b w:val="1"/>
                <w:bCs w:val="1"/>
                <w:color w:val="auto"/>
                <w:w w:val="90"/>
              </w:rPr>
              <w:t>Sole Power to</w:t>
            </w:r>
          </w:p>
        </w:tc>
        <w:tc>
          <w:tcPr>
            <w:tcW w:w="1440" w:type="dxa"/>
            <w:vAlign w:val="bottom"/>
            <w:gridSpan w:val="2"/>
            <w:vMerge w:val="restart"/>
          </w:tcPr>
          <w:p>
            <w:pPr>
              <w:jc w:val="center"/>
              <w:ind w:right="383"/>
              <w:spacing w:after="0"/>
              <w:rPr>
                <w:sz w:val="20"/>
                <w:szCs w:val="20"/>
                <w:color w:val="auto"/>
              </w:rPr>
            </w:pPr>
            <w:r>
              <w:rPr>
                <w:rFonts w:ascii="Arial" w:cs="Arial" w:eastAsia="Arial" w:hAnsi="Arial"/>
                <w:sz w:val="14"/>
                <w:szCs w:val="14"/>
                <w:b w:val="1"/>
                <w:bCs w:val="1"/>
                <w:color w:val="auto"/>
                <w:w w:val="92"/>
              </w:rPr>
              <w:t>Shared Power</w:t>
            </w:r>
          </w:p>
        </w:tc>
        <w:tc>
          <w:tcPr>
            <w:tcW w:w="1360" w:type="dxa"/>
            <w:vAlign w:val="bottom"/>
            <w:gridSpan w:val="2"/>
          </w:tcPr>
          <w:p>
            <w:pPr>
              <w:jc w:val="center"/>
              <w:ind w:right="363"/>
              <w:spacing w:after="0"/>
              <w:rPr>
                <w:sz w:val="20"/>
                <w:szCs w:val="20"/>
                <w:color w:val="auto"/>
              </w:rPr>
            </w:pPr>
            <w:r>
              <w:rPr>
                <w:rFonts w:ascii="Arial" w:cs="Arial" w:eastAsia="Arial" w:hAnsi="Arial"/>
                <w:sz w:val="14"/>
                <w:szCs w:val="14"/>
                <w:b w:val="1"/>
                <w:bCs w:val="1"/>
                <w:color w:val="auto"/>
                <w:w w:val="90"/>
              </w:rPr>
              <w:t>Sole Power to</w:t>
            </w:r>
          </w:p>
        </w:tc>
        <w:tc>
          <w:tcPr>
            <w:tcW w:w="1260" w:type="dxa"/>
            <w:vAlign w:val="bottom"/>
            <w:gridSpan w:val="2"/>
          </w:tcPr>
          <w:p>
            <w:pPr>
              <w:jc w:val="center"/>
              <w:ind w:right="163"/>
              <w:spacing w:after="0"/>
              <w:rPr>
                <w:sz w:val="20"/>
                <w:szCs w:val="20"/>
                <w:color w:val="auto"/>
              </w:rPr>
            </w:pPr>
            <w:r>
              <w:rPr>
                <w:rFonts w:ascii="Arial" w:cs="Arial" w:eastAsia="Arial" w:hAnsi="Arial"/>
                <w:sz w:val="14"/>
                <w:szCs w:val="14"/>
                <w:b w:val="1"/>
                <w:bCs w:val="1"/>
                <w:color w:val="auto"/>
                <w:w w:val="92"/>
              </w:rPr>
              <w:t>Shared Power to</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Percent of</w:t>
            </w:r>
          </w:p>
        </w:tc>
        <w:tc>
          <w:tcPr>
            <w:tcW w:w="132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360" w:type="dxa"/>
            <w:vAlign w:val="bottom"/>
            <w:gridSpan w:val="2"/>
          </w:tcPr>
          <w:p>
            <w:pPr>
              <w:jc w:val="center"/>
              <w:ind w:right="363"/>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1260" w:type="dxa"/>
            <w:vAlign w:val="bottom"/>
            <w:gridSpan w:val="2"/>
          </w:tcPr>
          <w:p>
            <w:pPr>
              <w:jc w:val="center"/>
              <w:ind w:right="143"/>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0" w:type="dxa"/>
            <w:vAlign w:val="bottom"/>
          </w:tcPr>
          <w:p>
            <w:pPr>
              <w:spacing w:after="0"/>
              <w:rPr>
                <w:sz w:val="1"/>
                <w:szCs w:val="1"/>
                <w:color w:val="auto"/>
              </w:rPr>
            </w:pPr>
          </w:p>
        </w:tc>
      </w:tr>
      <w:tr>
        <w:trPr>
          <w:trHeight w:val="149"/>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1"/>
              </w:rPr>
              <w:t>Reporting Person:</w:t>
            </w:r>
          </w:p>
        </w:tc>
        <w:tc>
          <w:tcPr>
            <w:tcW w:w="2560" w:type="dxa"/>
            <w:vAlign w:val="bottom"/>
            <w:vMerge w:val="restart"/>
          </w:tcPr>
          <w:p>
            <w:pPr>
              <w:spacing w:after="0"/>
              <w:rPr>
                <w:sz w:val="12"/>
                <w:szCs w:val="12"/>
                <w:color w:val="auto"/>
              </w:rPr>
            </w:pPr>
          </w:p>
        </w:tc>
        <w:tc>
          <w:tcPr>
            <w:tcW w:w="1280" w:type="dxa"/>
            <w:vAlign w:val="bottom"/>
            <w:gridSpan w:val="2"/>
          </w:tcPr>
          <w:p>
            <w:pPr>
              <w:jc w:val="center"/>
              <w:ind w:right="403"/>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60" w:type="dxa"/>
            <w:vAlign w:val="bottom"/>
            <w:gridSpan w:val="2"/>
            <w:vMerge w:val="continue"/>
          </w:tcPr>
          <w:p>
            <w:pPr>
              <w:spacing w:after="0"/>
              <w:rPr>
                <w:sz w:val="12"/>
                <w:szCs w:val="12"/>
                <w:color w:val="auto"/>
              </w:rPr>
            </w:pPr>
          </w:p>
        </w:tc>
        <w:tc>
          <w:tcPr>
            <w:tcW w:w="1320" w:type="dxa"/>
            <w:vAlign w:val="bottom"/>
            <w:gridSpan w:val="2"/>
          </w:tcPr>
          <w:p>
            <w:pPr>
              <w:jc w:val="center"/>
              <w:ind w:right="383"/>
              <w:spacing w:after="0" w:line="149" w:lineRule="exact"/>
              <w:rPr>
                <w:sz w:val="20"/>
                <w:szCs w:val="20"/>
                <w:color w:val="auto"/>
              </w:rPr>
            </w:pPr>
            <w:r>
              <w:rPr>
                <w:rFonts w:ascii="Arial" w:cs="Arial" w:eastAsia="Arial" w:hAnsi="Arial"/>
                <w:sz w:val="14"/>
                <w:szCs w:val="14"/>
                <w:b w:val="1"/>
                <w:bCs w:val="1"/>
                <w:color w:val="auto"/>
                <w:w w:val="93"/>
              </w:rPr>
              <w:t>Vote or Direct</w:t>
            </w:r>
          </w:p>
        </w:tc>
        <w:tc>
          <w:tcPr>
            <w:tcW w:w="1440" w:type="dxa"/>
            <w:vAlign w:val="bottom"/>
            <w:gridSpan w:val="2"/>
          </w:tcPr>
          <w:p>
            <w:pPr>
              <w:jc w:val="center"/>
              <w:ind w:right="363"/>
              <w:spacing w:after="0" w:line="149" w:lineRule="exact"/>
              <w:rPr>
                <w:sz w:val="20"/>
                <w:szCs w:val="20"/>
                <w:color w:val="auto"/>
              </w:rPr>
            </w:pPr>
            <w:r>
              <w:rPr>
                <w:rFonts w:ascii="Arial" w:cs="Arial" w:eastAsia="Arial" w:hAnsi="Arial"/>
                <w:sz w:val="14"/>
                <w:szCs w:val="14"/>
                <w:b w:val="1"/>
                <w:bCs w:val="1"/>
                <w:color w:val="auto"/>
                <w:w w:val="92"/>
              </w:rPr>
              <w:t>to Vote or to</w:t>
            </w:r>
          </w:p>
        </w:tc>
        <w:tc>
          <w:tcPr>
            <w:tcW w:w="1360" w:type="dxa"/>
            <w:vAlign w:val="bottom"/>
            <w:gridSpan w:val="2"/>
          </w:tcPr>
          <w:p>
            <w:pPr>
              <w:jc w:val="center"/>
              <w:ind w:right="383"/>
              <w:spacing w:after="0" w:line="149" w:lineRule="exact"/>
              <w:rPr>
                <w:sz w:val="20"/>
                <w:szCs w:val="20"/>
                <w:color w:val="auto"/>
              </w:rPr>
            </w:pPr>
            <w:r>
              <w:rPr>
                <w:rFonts w:ascii="Arial" w:cs="Arial" w:eastAsia="Arial" w:hAnsi="Arial"/>
                <w:sz w:val="14"/>
                <w:szCs w:val="14"/>
                <w:b w:val="1"/>
                <w:bCs w:val="1"/>
                <w:color w:val="auto"/>
                <w:w w:val="95"/>
              </w:rPr>
              <w:t>Direct the</w:t>
            </w:r>
          </w:p>
        </w:tc>
        <w:tc>
          <w:tcPr>
            <w:tcW w:w="1260" w:type="dxa"/>
            <w:vAlign w:val="bottom"/>
            <w:gridSpan w:val="2"/>
          </w:tcPr>
          <w:p>
            <w:pPr>
              <w:jc w:val="center"/>
              <w:ind w:right="143"/>
              <w:spacing w:after="0" w:line="149" w:lineRule="exact"/>
              <w:rPr>
                <w:sz w:val="20"/>
                <w:szCs w:val="20"/>
                <w:color w:val="auto"/>
              </w:rPr>
            </w:pPr>
            <w:r>
              <w:rPr>
                <w:rFonts w:ascii="Arial" w:cs="Arial" w:eastAsia="Arial" w:hAnsi="Arial"/>
                <w:sz w:val="14"/>
                <w:szCs w:val="14"/>
                <w:b w:val="1"/>
                <w:bCs w:val="1"/>
                <w:color w:val="auto"/>
                <w:w w:val="92"/>
              </w:rPr>
              <w:t>Direct the</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vMerge w:val="continue"/>
          </w:tcPr>
          <w:p>
            <w:pPr>
              <w:spacing w:after="0"/>
              <w:rPr>
                <w:sz w:val="14"/>
                <w:szCs w:val="14"/>
                <w:color w:val="auto"/>
              </w:rPr>
            </w:pPr>
          </w:p>
        </w:tc>
        <w:tc>
          <w:tcPr>
            <w:tcW w:w="256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Owned:</w:t>
            </w:r>
          </w:p>
        </w:tc>
        <w:tc>
          <w:tcPr>
            <w:tcW w:w="4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Class:</w:t>
            </w:r>
            <w:r>
              <w:rPr>
                <w:rFonts w:ascii="Arial" w:cs="Arial" w:eastAsia="Arial" w:hAnsi="Arial"/>
                <w:sz w:val="12"/>
                <w:szCs w:val="12"/>
                <w:b w:val="1"/>
                <w:bCs w:val="1"/>
                <w:color w:val="auto"/>
                <w:w w:val="91"/>
              </w:rPr>
              <w:t>(1)</w:t>
            </w:r>
          </w:p>
        </w:tc>
        <w:tc>
          <w:tcPr>
            <w:tcW w:w="4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the Vote:</w:t>
            </w:r>
          </w:p>
        </w:tc>
        <w:tc>
          <w:tcPr>
            <w:tcW w:w="4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 the Vote:</w:t>
            </w:r>
          </w:p>
        </w:tc>
        <w:tc>
          <w:tcPr>
            <w:tcW w:w="4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Disposition of:</w:t>
            </w:r>
          </w:p>
        </w:tc>
        <w:tc>
          <w:tcPr>
            <w:tcW w:w="4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Disposition of:</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Jiping Liu</w:t>
            </w:r>
          </w:p>
        </w:tc>
        <w:tc>
          <w:tcPr>
            <w:tcW w:w="2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2,355,747</w:t>
            </w:r>
          </w:p>
        </w:tc>
        <w:tc>
          <w:tcPr>
            <w:tcW w:w="4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87"/>
              </w:rPr>
              <w:t>(2)</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343,750</w:t>
            </w:r>
          </w:p>
        </w:tc>
        <w:tc>
          <w:tcPr>
            <w:tcW w:w="4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87"/>
              </w:rPr>
              <w:t>(2)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2,011,997</w:t>
            </w:r>
          </w:p>
        </w:tc>
        <w:tc>
          <w:tcPr>
            <w:tcW w:w="4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87"/>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343,750</w:t>
            </w:r>
          </w:p>
        </w:tc>
        <w:tc>
          <w:tcPr>
            <w:tcW w:w="4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87"/>
              </w:rPr>
              <w:t>(2)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2,011,997</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6"/>
              </w:rPr>
              <w:t>(2)</w:t>
            </w:r>
          </w:p>
        </w:tc>
        <w:tc>
          <w:tcPr>
            <w:tcW w:w="0" w:type="dxa"/>
            <w:vAlign w:val="bottom"/>
          </w:tcPr>
          <w:p>
            <w:pPr>
              <w:spacing w:after="0"/>
              <w:rPr>
                <w:sz w:val="1"/>
                <w:szCs w:val="1"/>
                <w:color w:val="auto"/>
              </w:rPr>
            </w:pP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Maestro Investment Holdings Limited</w:t>
            </w:r>
          </w:p>
        </w:tc>
        <w:tc>
          <w:tcPr>
            <w:tcW w:w="1280" w:type="dxa"/>
            <w:vAlign w:val="bottom"/>
            <w:gridSpan w:val="2"/>
          </w:tcPr>
          <w:p>
            <w:pPr>
              <w:jc w:val="right"/>
              <w:ind w:right="203"/>
              <w:spacing w:after="0"/>
              <w:rPr>
                <w:sz w:val="20"/>
                <w:szCs w:val="20"/>
                <w:color w:val="auto"/>
              </w:rPr>
            </w:pPr>
            <w:r>
              <w:rPr>
                <w:rFonts w:ascii="Arial" w:cs="Arial" w:eastAsia="Arial" w:hAnsi="Arial"/>
                <w:sz w:val="18"/>
                <w:szCs w:val="18"/>
                <w:color w:val="auto"/>
                <w:w w:val="94"/>
              </w:rPr>
              <w:t xml:space="preserve">2,011,997 </w:t>
            </w:r>
            <w:r>
              <w:rPr>
                <w:rFonts w:ascii="Arial" w:cs="Arial" w:eastAsia="Arial" w:hAnsi="Arial"/>
                <w:sz w:val="15"/>
                <w:szCs w:val="15"/>
                <w:color w:val="auto"/>
                <w:w w:val="94"/>
              </w:rPr>
              <w:t>(3)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1320" w:type="dxa"/>
            <w:vAlign w:val="bottom"/>
            <w:gridSpan w:val="2"/>
          </w:tcPr>
          <w:p>
            <w:pPr>
              <w:jc w:val="right"/>
              <w:ind w:right="383"/>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203"/>
              <w:spacing w:after="0"/>
              <w:rPr>
                <w:sz w:val="20"/>
                <w:szCs w:val="20"/>
                <w:color w:val="auto"/>
              </w:rPr>
            </w:pPr>
            <w:r>
              <w:rPr>
                <w:rFonts w:ascii="Arial" w:cs="Arial" w:eastAsia="Arial" w:hAnsi="Arial"/>
                <w:sz w:val="18"/>
                <w:szCs w:val="18"/>
                <w:color w:val="auto"/>
              </w:rPr>
              <w:t xml:space="preserve">2,011,997 </w:t>
            </w:r>
            <w:r>
              <w:rPr>
                <w:rFonts w:ascii="Arial" w:cs="Arial" w:eastAsia="Arial" w:hAnsi="Arial"/>
                <w:sz w:val="15"/>
                <w:szCs w:val="15"/>
                <w:color w:val="auto"/>
              </w:rPr>
              <w:t>(3)</w:t>
            </w:r>
          </w:p>
        </w:tc>
        <w:tc>
          <w:tcPr>
            <w:tcW w:w="1360" w:type="dxa"/>
            <w:vAlign w:val="bottom"/>
            <w:gridSpan w:val="2"/>
          </w:tcPr>
          <w:p>
            <w:pPr>
              <w:jc w:val="right"/>
              <w:ind w:right="383"/>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xml:space="preserve">2,011,997 </w:t>
            </w: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20" w:hanging="452"/>
        <w:spacing w:after="0" w:line="256"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percentage of the class of securities beneficially owned by each reporting person is based on 26,059,433 outstanding ordinary shares (being the sum of 21,238,825 Class A Ordinary Shares and 4,820,608 Class B ordinary shares outstanding as of December 31, 2017, assuming conversion of all Class B Ordinary Shares into Class A Ordinary Shares).</w:t>
      </w:r>
    </w:p>
    <w:p>
      <w:pPr>
        <w:ind w:left="460" w:right="440" w:hanging="452"/>
        <w:spacing w:after="0" w:line="28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(i) 2,011,997 Class A Ordinary Shares held by Maestro Investment Holdings Limited; and (ii) 687,500 American depositary shares, representing 343,750 Class A Ordinary Shares held by Mr. Jiping Liu. Mr. Jiping Liu is the sole director of Maestro Investment Holdings Limited.</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2,011,997 Class A Ordinary Shares held by Maestro Investment Holdings Limited.</w:t>
      </w:r>
    </w:p>
    <w:p>
      <w:pPr>
        <w:spacing w:after="0" w:line="35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u w:val="single" w:color="auto"/>
          <w:color w:val="auto"/>
        </w:rPr>
        <w:t>Ownership of Five Percent or Less of a Class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380" w:right="700" w:hanging="1363"/>
        <w:spacing w:after="0" w:line="282" w:lineRule="auto"/>
        <w:tabs>
          <w:tab w:leader="none" w:pos="13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Identification and Classification of Members of the Group</w:t>
            </w:r>
          </w:p>
        </w:tc>
      </w:tr>
      <w:tr>
        <w:trPr>
          <w:trHeight w:val="345"/>
        </w:trPr>
        <w:tc>
          <w:tcPr>
            <w:tcW w:w="5840" w:type="dxa"/>
            <w:vAlign w:val="bottom"/>
            <w:gridSpan w:val="4"/>
          </w:tcPr>
          <w:p>
            <w:pPr>
              <w:ind w:left="460"/>
              <w:spacing w:after="0"/>
              <w:rPr>
                <w:sz w:val="20"/>
                <w:szCs w:val="20"/>
                <w:color w:val="auto"/>
              </w:rPr>
            </w:pPr>
            <w:r>
              <w:rPr>
                <w:rFonts w:ascii="Arial" w:cs="Arial" w:eastAsia="Arial" w:hAnsi="Arial"/>
                <w:sz w:val="18"/>
                <w:szCs w:val="18"/>
                <w:color w:val="auto"/>
              </w:rPr>
              <w:t>Not applicable</w:t>
            </w:r>
          </w:p>
        </w:tc>
      </w:tr>
      <w:tr>
        <w:trPr>
          <w:trHeight w:val="540"/>
        </w:trPr>
        <w:tc>
          <w:tcPr>
            <w:tcW w:w="13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Notice of Dissolution of Group</w:t>
            </w:r>
          </w:p>
        </w:tc>
      </w:tr>
      <w:tr>
        <w:trPr>
          <w:trHeight w:val="20"/>
        </w:trPr>
        <w:tc>
          <w:tcPr>
            <w:tcW w:w="1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45"/>
        </w:trPr>
        <w:tc>
          <w:tcPr>
            <w:tcW w:w="5840" w:type="dxa"/>
            <w:vAlign w:val="bottom"/>
            <w:gridSpan w:val="4"/>
          </w:tcPr>
          <w:p>
            <w:pPr>
              <w:ind w:left="460"/>
              <w:spacing w:after="0"/>
              <w:rPr>
                <w:sz w:val="20"/>
                <w:szCs w:val="20"/>
                <w:color w:val="auto"/>
              </w:rPr>
            </w:pPr>
            <w:r>
              <w:rPr>
                <w:rFonts w:ascii="Arial" w:cs="Arial" w:eastAsia="Arial" w:hAnsi="Arial"/>
                <w:sz w:val="18"/>
                <w:szCs w:val="18"/>
                <w:color w:val="auto"/>
              </w:rPr>
              <w:t>Not applicable</w:t>
            </w:r>
          </w:p>
        </w:tc>
      </w:tr>
      <w:tr>
        <w:trPr>
          <w:trHeight w:val="540"/>
        </w:trPr>
        <w:tc>
          <w:tcPr>
            <w:tcW w:w="13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Certifications</w:t>
            </w:r>
          </w:p>
        </w:tc>
      </w:tr>
      <w:tr>
        <w:trPr>
          <w:trHeight w:val="20"/>
        </w:trPr>
        <w:tc>
          <w:tcPr>
            <w:tcW w:w="1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Dated: February 13, 2018</w:t>
            </w: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459"/>
        </w:trPr>
        <w:tc>
          <w:tcPr>
            <w:tcW w:w="4220" w:type="dxa"/>
            <w:vAlign w:val="bottom"/>
          </w:tcPr>
          <w:p>
            <w:pPr>
              <w:spacing w:after="0"/>
              <w:rPr>
                <w:sz w:val="20"/>
                <w:szCs w:val="20"/>
                <w:color w:val="auto"/>
              </w:rPr>
            </w:pPr>
            <w:r>
              <w:rPr>
                <w:rFonts w:ascii="Arial" w:cs="Arial" w:eastAsia="Arial" w:hAnsi="Arial"/>
                <w:sz w:val="18"/>
                <w:szCs w:val="18"/>
                <w:color w:val="auto"/>
              </w:rPr>
              <w:t>Jiping Liu</w:t>
            </w:r>
          </w:p>
        </w:tc>
        <w:tc>
          <w:tcPr>
            <w:tcW w:w="16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Jiping Liu</w:t>
            </w:r>
          </w:p>
        </w:tc>
      </w:tr>
      <w:tr>
        <w:trPr>
          <w:trHeight w:val="439"/>
        </w:trPr>
        <w:tc>
          <w:tcPr>
            <w:tcW w:w="4220" w:type="dxa"/>
            <w:vAlign w:val="bottom"/>
          </w:tcPr>
          <w:p>
            <w:pPr>
              <w:spacing w:after="0"/>
              <w:rPr>
                <w:sz w:val="20"/>
                <w:szCs w:val="20"/>
                <w:color w:val="auto"/>
              </w:rPr>
            </w:pPr>
            <w:r>
              <w:rPr>
                <w:rFonts w:ascii="Arial" w:cs="Arial" w:eastAsia="Arial" w:hAnsi="Arial"/>
                <w:sz w:val="18"/>
                <w:szCs w:val="18"/>
                <w:color w:val="auto"/>
              </w:rPr>
              <w:t>Maestro Investment Holdings Limited</w:t>
            </w:r>
          </w:p>
        </w:tc>
        <w:tc>
          <w:tcPr>
            <w:tcW w:w="2100" w:type="dxa"/>
            <w:vAlign w:val="bottom"/>
            <w:gridSpan w:val="2"/>
          </w:tcPr>
          <w:p>
            <w:pPr>
              <w:ind w:left="160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Jiping Liu</w:t>
            </w:r>
          </w:p>
        </w:tc>
      </w:tr>
      <w:tr>
        <w:trPr>
          <w:trHeight w:val="209"/>
        </w:trPr>
        <w:tc>
          <w:tcPr>
            <w:tcW w:w="4220" w:type="dxa"/>
            <w:vAlign w:val="bottom"/>
          </w:tcPr>
          <w:p>
            <w:pPr>
              <w:spacing w:after="0"/>
              <w:rPr>
                <w:sz w:val="18"/>
                <w:szCs w:val="18"/>
                <w:color w:val="auto"/>
              </w:rPr>
            </w:pPr>
          </w:p>
        </w:tc>
        <w:tc>
          <w:tcPr>
            <w:tcW w:w="2100" w:type="dxa"/>
            <w:vAlign w:val="bottom"/>
            <w:gridSpan w:val="2"/>
          </w:tcPr>
          <w:p>
            <w:pPr>
              <w:ind w:left="1600"/>
              <w:spacing w:after="0"/>
              <w:rPr>
                <w:sz w:val="20"/>
                <w:szCs w:val="20"/>
                <w:color w:val="auto"/>
              </w:rPr>
            </w:pPr>
            <w:r>
              <w:rPr>
                <w:rFonts w:ascii="Arial" w:cs="Arial" w:eastAsia="Arial" w:hAnsi="Arial"/>
                <w:sz w:val="18"/>
                <w:szCs w:val="18"/>
                <w:color w:val="auto"/>
                <w:w w:val="90"/>
              </w:rPr>
              <w:t>Name:</w:t>
            </w:r>
          </w:p>
        </w:tc>
        <w:tc>
          <w:tcPr>
            <w:tcW w:w="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Jiping Liu</w:t>
            </w:r>
          </w:p>
        </w:tc>
      </w:tr>
      <w:tr>
        <w:trPr>
          <w:trHeight w:val="230"/>
        </w:trPr>
        <w:tc>
          <w:tcPr>
            <w:tcW w:w="4220" w:type="dxa"/>
            <w:vAlign w:val="bottom"/>
          </w:tcPr>
          <w:p>
            <w:pPr>
              <w:spacing w:after="0"/>
              <w:rPr>
                <w:sz w:val="20"/>
                <w:szCs w:val="20"/>
                <w:color w:val="auto"/>
              </w:rPr>
            </w:pPr>
          </w:p>
        </w:tc>
        <w:tc>
          <w:tcPr>
            <w:tcW w:w="2100" w:type="dxa"/>
            <w:vAlign w:val="bottom"/>
            <w:gridSpan w:val="2"/>
          </w:tcPr>
          <w:p>
            <w:pPr>
              <w:ind w:left="1600"/>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365"/>
        </w:trPr>
        <w:tc>
          <w:tcPr>
            <w:tcW w:w="42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jc w:val="right"/>
        <w:ind w:right="36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LIST OF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99.1 — Joint Filing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70"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hereby execute this Agreement as of February 13, 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Jiping Liu</w:t>
            </w:r>
          </w:p>
        </w:tc>
        <w:tc>
          <w:tcPr>
            <w:tcW w:w="15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Jiping Liu</w:t>
            </w:r>
          </w:p>
        </w:tc>
      </w:tr>
      <w:tr>
        <w:trPr>
          <w:trHeight w:val="439"/>
        </w:trPr>
        <w:tc>
          <w:tcPr>
            <w:tcW w:w="4280" w:type="dxa"/>
            <w:vAlign w:val="bottom"/>
          </w:tcPr>
          <w:p>
            <w:pPr>
              <w:spacing w:after="0"/>
              <w:rPr>
                <w:sz w:val="20"/>
                <w:szCs w:val="20"/>
                <w:color w:val="auto"/>
              </w:rPr>
            </w:pPr>
            <w:r>
              <w:rPr>
                <w:rFonts w:ascii="Arial" w:cs="Arial" w:eastAsia="Arial" w:hAnsi="Arial"/>
                <w:sz w:val="18"/>
                <w:szCs w:val="18"/>
                <w:color w:val="auto"/>
              </w:rPr>
              <w:t>Maestro Investment Holdings Limited</w:t>
            </w:r>
          </w:p>
        </w:tc>
        <w:tc>
          <w:tcPr>
            <w:tcW w:w="2040" w:type="dxa"/>
            <w:vAlign w:val="bottom"/>
            <w:gridSpan w:val="2"/>
          </w:tcPr>
          <w:p>
            <w:pPr>
              <w:ind w:left="154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Jiping Liu</w:t>
            </w:r>
          </w:p>
        </w:tc>
      </w:tr>
      <w:tr>
        <w:trPr>
          <w:trHeight w:val="209"/>
        </w:trPr>
        <w:tc>
          <w:tcPr>
            <w:tcW w:w="4280" w:type="dxa"/>
            <w:vAlign w:val="bottom"/>
          </w:tcPr>
          <w:p>
            <w:pPr>
              <w:spacing w:after="0"/>
              <w:rPr>
                <w:sz w:val="18"/>
                <w:szCs w:val="18"/>
                <w:color w:val="auto"/>
              </w:rPr>
            </w:pPr>
          </w:p>
        </w:tc>
        <w:tc>
          <w:tcPr>
            <w:tcW w:w="2040" w:type="dxa"/>
            <w:vAlign w:val="bottom"/>
            <w:gridSpan w:val="2"/>
          </w:tcPr>
          <w:p>
            <w:pPr>
              <w:ind w:left="1540"/>
              <w:spacing w:after="0"/>
              <w:rPr>
                <w:sz w:val="20"/>
                <w:szCs w:val="20"/>
                <w:color w:val="auto"/>
              </w:rPr>
            </w:pPr>
            <w:r>
              <w:rPr>
                <w:rFonts w:ascii="Arial" w:cs="Arial" w:eastAsia="Arial" w:hAnsi="Arial"/>
                <w:sz w:val="18"/>
                <w:szCs w:val="18"/>
                <w:color w:val="auto"/>
                <w:w w:val="90"/>
              </w:rPr>
              <w:t>Name:</w:t>
            </w:r>
          </w:p>
        </w:tc>
        <w:tc>
          <w:tcPr>
            <w:tcW w:w="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Jiping Liu</w:t>
            </w:r>
          </w:p>
        </w:tc>
      </w:tr>
      <w:tr>
        <w:trPr>
          <w:trHeight w:val="230"/>
        </w:trPr>
        <w:tc>
          <w:tcPr>
            <w:tcW w:w="4280" w:type="dxa"/>
            <w:vAlign w:val="bottom"/>
          </w:tcPr>
          <w:p>
            <w:pPr>
              <w:spacing w:after="0"/>
              <w:rPr>
                <w:sz w:val="20"/>
                <w:szCs w:val="20"/>
                <w:color w:val="auto"/>
              </w:rPr>
            </w:pPr>
          </w:p>
        </w:tc>
        <w:tc>
          <w:tcPr>
            <w:tcW w:w="2040" w:type="dxa"/>
            <w:vAlign w:val="bottom"/>
            <w:gridSpan w:val="2"/>
          </w:tcPr>
          <w:p>
            <w:pPr>
              <w:ind w:left="1540"/>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lvl w:ilvl="1">
      <w:lvlJc w:val="left"/>
      <w:lvlText w:val="☒"/>
      <w:numFmt w:val="bullet"/>
      <w:start w:val="1"/>
    </w:lvl>
  </w:abstractNum>
  <w:abstractNum w:abstractNumId="2">
    <w:nsid w:val="3352255A"/>
    <w:multiLevelType w:val="hybridMultilevel"/>
    <w:lvl w:ilvl="0">
      <w:lvlJc w:val="left"/>
      <w:lvlText w:val="1"/>
      <w:numFmt w:val="bullet"/>
      <w:start w:val="1"/>
    </w:lvl>
  </w:abstractNum>
  <w:abstractNum w:abstractNumId="3">
    <w:nsid w:val="109CF92E"/>
    <w:multiLevelType w:val="hybridMultilevel"/>
    <w:lvl w:ilvl="0">
      <w:lvlJc w:val="left"/>
      <w:lvlText w:val="2"/>
      <w:numFmt w:val="bullet"/>
      <w:start w:val="1"/>
    </w:lvl>
  </w:abstractNum>
  <w:abstractNum w:abstractNumId="4">
    <w:nsid w:val="DED7263"/>
    <w:multiLevelType w:val="hybridMultilevel"/>
    <w:lvl w:ilvl="0">
      <w:lvlJc w:val="left"/>
      <w:lvlText w:val="3"/>
      <w:numFmt w:val="bullet"/>
      <w:start w:val="1"/>
    </w:lvl>
  </w:abstractNum>
  <w:abstractNum w:abstractNumId="5">
    <w:nsid w:val="7FDCC233"/>
    <w:multiLevelType w:val="hybridMultilevel"/>
    <w:lvl w:ilvl="0">
      <w:lvlJc w:val="left"/>
      <w:lvlText w:val="4"/>
      <w:numFmt w:val="bullet"/>
      <w:start w:val="1"/>
    </w:lvl>
  </w:abstractNum>
  <w:abstractNum w:abstractNumId="6">
    <w:nsid w:val="1BEFD79F"/>
    <w:multiLevelType w:val="hybridMultilevel"/>
    <w:lvl w:ilvl="0">
      <w:lvlJc w:val="left"/>
      <w:lvlText w:val="5"/>
      <w:numFmt w:val="bullet"/>
      <w:start w:val="1"/>
    </w:lvl>
  </w:abstractNum>
  <w:abstractNum w:abstractNumId="7">
    <w:nsid w:val="41A7C4C9"/>
    <w:multiLevelType w:val="hybridMultilevel"/>
    <w:lvl w:ilvl="0">
      <w:lvlJc w:val="left"/>
      <w:lvlText w:val="6"/>
      <w:numFmt w:val="bullet"/>
      <w:start w:val="1"/>
    </w:lvl>
  </w:abstractNum>
  <w:abstractNum w:abstractNumId="8">
    <w:nsid w:val="6B68079A"/>
    <w:multiLevelType w:val="hybridMultilevel"/>
    <w:lvl w:ilvl="0">
      <w:lvlJc w:val="left"/>
      <w:lvlText w:val="7"/>
      <w:numFmt w:val="bullet"/>
      <w:start w:val="1"/>
    </w:lvl>
  </w:abstractNum>
  <w:abstractNum w:abstractNumId="9">
    <w:nsid w:val="4E6AFB66"/>
    <w:multiLevelType w:val="hybridMultilevel"/>
    <w:lvl w:ilvl="0">
      <w:lvlJc w:val="left"/>
      <w:lvlText w:val="8"/>
      <w:numFmt w:val="bullet"/>
      <w:start w:val="1"/>
    </w:lvl>
  </w:abstractNum>
  <w:abstractNum w:abstractNumId="10">
    <w:nsid w:val="25E45D32"/>
    <w:multiLevelType w:val="hybridMultilevel"/>
    <w:lvl w:ilvl="0">
      <w:lvlJc w:val="left"/>
      <w:lvlText w:val="9"/>
      <w:numFmt w:val="bullet"/>
      <w:start w:val="1"/>
    </w:lvl>
  </w:abstractNum>
  <w:abstractNum w:abstractNumId="11">
    <w:nsid w:val="519B500D"/>
    <w:multiLevelType w:val="hybridMultilevel"/>
    <w:lvl w:ilvl="0">
      <w:lvlJc w:val="left"/>
      <w:lvlText w:val="%1"/>
      <w:numFmt w:val="decimal"/>
      <w:start w:val="10"/>
    </w:lvl>
  </w:abstractNum>
  <w:abstractNum w:abstractNumId="12">
    <w:nsid w:val="431BD7B7"/>
    <w:multiLevelType w:val="hybridMultilevel"/>
    <w:lvl w:ilvl="0">
      <w:lvlJc w:val="left"/>
      <w:lvlText w:val="1"/>
      <w:numFmt w:val="bullet"/>
      <w:start w:val="1"/>
    </w:lvl>
  </w:abstractNum>
  <w:abstractNum w:abstractNumId="13">
    <w:nsid w:val="3F2DBA31"/>
    <w:multiLevelType w:val="hybridMultilevel"/>
    <w:lvl w:ilvl="0">
      <w:lvlJc w:val="left"/>
      <w:lvlText w:val="2"/>
      <w:numFmt w:val="bullet"/>
      <w:start w:val="1"/>
    </w:lvl>
  </w:abstractNum>
  <w:abstractNum w:abstractNumId="14">
    <w:nsid w:val="7C83E458"/>
    <w:multiLevelType w:val="hybridMultilevel"/>
    <w:lvl w:ilvl="0">
      <w:lvlJc w:val="left"/>
      <w:lvlText w:val="3"/>
      <w:numFmt w:val="bullet"/>
      <w:start w:val="1"/>
    </w:lvl>
  </w:abstractNum>
  <w:abstractNum w:abstractNumId="15">
    <w:nsid w:val="257130A3"/>
    <w:multiLevelType w:val="hybridMultilevel"/>
    <w:lvl w:ilvl="0">
      <w:lvlJc w:val="left"/>
      <w:lvlText w:val="4"/>
      <w:numFmt w:val="bullet"/>
      <w:start w:val="1"/>
    </w:lvl>
  </w:abstractNum>
  <w:abstractNum w:abstractNumId="16">
    <w:nsid w:val="62BBD95A"/>
    <w:multiLevelType w:val="hybridMultilevel"/>
    <w:lvl w:ilvl="0">
      <w:lvlJc w:val="left"/>
      <w:lvlText w:val="5"/>
      <w:numFmt w:val="bullet"/>
      <w:start w:val="1"/>
    </w:lvl>
  </w:abstractNum>
  <w:abstractNum w:abstractNumId="17">
    <w:nsid w:val="436C6125"/>
    <w:multiLevelType w:val="hybridMultilevel"/>
    <w:lvl w:ilvl="0">
      <w:lvlJc w:val="left"/>
      <w:lvlText w:val="6"/>
      <w:numFmt w:val="bullet"/>
      <w:start w:val="1"/>
    </w:lvl>
  </w:abstractNum>
  <w:abstractNum w:abstractNumId="18">
    <w:nsid w:val="628C895D"/>
    <w:multiLevelType w:val="hybridMultilevel"/>
    <w:lvl w:ilvl="0">
      <w:lvlJc w:val="left"/>
      <w:lvlText w:val="7"/>
      <w:numFmt w:val="bullet"/>
      <w:start w:val="1"/>
    </w:lvl>
  </w:abstractNum>
  <w:abstractNum w:abstractNumId="19">
    <w:nsid w:val="333AB105"/>
    <w:multiLevelType w:val="hybridMultilevel"/>
    <w:lvl w:ilvl="0">
      <w:lvlJc w:val="left"/>
      <w:lvlText w:val="8"/>
      <w:numFmt w:val="bullet"/>
      <w:start w:val="1"/>
    </w:lvl>
  </w:abstractNum>
  <w:abstractNum w:abstractNumId="20">
    <w:nsid w:val="721DA317"/>
    <w:multiLevelType w:val="hybridMultilevel"/>
    <w:lvl w:ilvl="0">
      <w:lvlJc w:val="left"/>
      <w:lvlText w:val="9"/>
      <w:numFmt w:val="bullet"/>
      <w:start w:val="1"/>
    </w:lvl>
  </w:abstractNum>
  <w:abstractNum w:abstractNumId="21">
    <w:nsid w:val="2443A858"/>
    <w:multiLevelType w:val="hybridMultilevel"/>
    <w:lvl w:ilvl="0">
      <w:lvlJc w:val="left"/>
      <w:lvlText w:val="%1"/>
      <w:numFmt w:val="decimal"/>
      <w:start w:val="10"/>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2019-12-08T15:56:10Z</dcterms:created>
  <dcterms:modified xsi:type="dcterms:W3CDTF">2019-12-08T15:56:10Z</dcterms:modified>
</cp:coreProperties>
</file>