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0"/>
          <w:szCs w:val="20"/>
          <w:b w:val="1"/>
          <w:bCs w:val="1"/>
          <w:color w:val="auto"/>
        </w:rPr>
        <w:t>UNITED STATES</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SECURITIES AND EXCHANGE COMMISSION</w:t>
      </w:r>
    </w:p>
    <w:p>
      <w:pPr>
        <w:ind w:left="4680"/>
        <w:spacing w:after="0"/>
        <w:rPr>
          <w:sz w:val="20"/>
          <w:szCs w:val="20"/>
          <w:color w:val="auto"/>
        </w:rPr>
      </w:pPr>
      <w:r>
        <w:rPr>
          <w:rFonts w:ascii="Arial" w:cs="Arial" w:eastAsia="Arial" w:hAnsi="Arial"/>
          <w:sz w:val="16"/>
          <w:szCs w:val="16"/>
          <w:b w:val="1"/>
          <w:bCs w:val="1"/>
          <w:color w:val="auto"/>
        </w:rPr>
        <w:t>Washington, D.C. 20549</w:t>
      </w:r>
    </w:p>
    <w:p>
      <w:pPr>
        <w:spacing w:after="0" w:line="134"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SCHEDULE 13G/A</w:t>
      </w:r>
    </w:p>
    <w:p>
      <w:pPr>
        <w:spacing w:after="0" w:line="173"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4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(Amendment No.</w:t>
      </w:r>
      <w:r>
        <w:rPr>
          <w:rFonts w:ascii="Times New Roman" w:cs="Times New Roman" w:eastAsia="Times New Roman" w:hAnsi="Times New Roman"/>
          <w:sz w:val="16"/>
          <w:szCs w:val="16"/>
          <w:b w:val="1"/>
          <w:bCs w:val="1"/>
          <w:color w:val="auto"/>
        </w:rPr>
        <w:t>3</w:t>
      </w:r>
      <w:r>
        <w:rPr>
          <w:rFonts w:ascii="Arial" w:cs="Arial" w:eastAsia="Arial" w:hAnsi="Arial"/>
          <w:sz w:val="16"/>
          <w:szCs w:val="16"/>
          <w:b w:val="1"/>
          <w:bCs w:val="1"/>
          <w:color w:val="auto"/>
        </w:rPr>
        <w:t>) *</w:t>
      </w:r>
    </w:p>
    <w:p>
      <w:pPr>
        <w:spacing w:after="0" w:line="134"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iClick Interactive Asia Group Limited</w:t>
      </w:r>
    </w:p>
    <w:p>
      <w:pPr>
        <w:spacing w:after="0" w:line="64" w:lineRule="exact"/>
        <w:rPr>
          <w:sz w:val="24"/>
          <w:szCs w:val="24"/>
          <w:color w:val="auto"/>
        </w:rPr>
      </w:pPr>
    </w:p>
    <w:p>
      <w:pPr>
        <w:ind w:left="5020"/>
        <w:spacing w:after="0"/>
        <w:rPr>
          <w:sz w:val="20"/>
          <w:szCs w:val="20"/>
          <w:color w:val="auto"/>
        </w:rPr>
      </w:pPr>
      <w:r>
        <w:rPr>
          <w:rFonts w:ascii="Arial" w:cs="Arial" w:eastAsia="Arial" w:hAnsi="Arial"/>
          <w:sz w:val="16"/>
          <w:szCs w:val="16"/>
          <w:color w:val="auto"/>
        </w:rPr>
        <w:t>(Name of Issuer)</w:t>
      </w:r>
    </w:p>
    <w:p>
      <w:pPr>
        <w:spacing w:after="0" w:line="159"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Class A ordinary shares, par value of $0.001 per share</w:t>
      </w:r>
    </w:p>
    <w:p>
      <w:pPr>
        <w:spacing w:after="0" w:line="45" w:lineRule="exact"/>
        <w:rPr>
          <w:sz w:val="24"/>
          <w:szCs w:val="24"/>
          <w:color w:val="auto"/>
        </w:rPr>
      </w:pPr>
    </w:p>
    <w:p>
      <w:pPr>
        <w:ind w:left="4640"/>
        <w:spacing w:after="0"/>
        <w:rPr>
          <w:sz w:val="20"/>
          <w:szCs w:val="20"/>
          <w:color w:val="auto"/>
        </w:rPr>
      </w:pPr>
      <w:r>
        <w:rPr>
          <w:rFonts w:ascii="Arial" w:cs="Arial" w:eastAsia="Arial" w:hAnsi="Arial"/>
          <w:sz w:val="16"/>
          <w:szCs w:val="16"/>
          <w:color w:val="auto"/>
        </w:rPr>
        <w:t>(Title of Class of Securities)</w:t>
      </w:r>
    </w:p>
    <w:p>
      <w:pPr>
        <w:spacing w:after="0" w:line="168" w:lineRule="exact"/>
        <w:rPr>
          <w:sz w:val="24"/>
          <w:szCs w:val="24"/>
          <w:color w:val="auto"/>
        </w:rPr>
      </w:pPr>
    </w:p>
    <w:p>
      <w:pPr>
        <w:ind w:left="5180"/>
        <w:spacing w:after="0"/>
        <w:rPr>
          <w:sz w:val="20"/>
          <w:szCs w:val="20"/>
          <w:color w:val="auto"/>
        </w:rPr>
      </w:pPr>
      <w:r>
        <w:rPr>
          <w:rFonts w:ascii="Arial" w:cs="Arial" w:eastAsia="Arial" w:hAnsi="Arial"/>
          <w:sz w:val="16"/>
          <w:szCs w:val="16"/>
          <w:b w:val="1"/>
          <w:bCs w:val="1"/>
          <w:color w:val="auto"/>
        </w:rPr>
        <w:t>G47048 106</w:t>
      </w:r>
    </w:p>
    <w:p>
      <w:pPr>
        <w:spacing w:after="0" w:line="45" w:lineRule="exact"/>
        <w:rPr>
          <w:sz w:val="24"/>
          <w:szCs w:val="24"/>
          <w:color w:val="auto"/>
        </w:rPr>
      </w:pPr>
    </w:p>
    <w:p>
      <w:pPr>
        <w:ind w:left="5020"/>
        <w:spacing w:after="0"/>
        <w:rPr>
          <w:sz w:val="20"/>
          <w:szCs w:val="20"/>
          <w:color w:val="auto"/>
        </w:rPr>
      </w:pPr>
      <w:r>
        <w:rPr>
          <w:rFonts w:ascii="Arial" w:cs="Arial" w:eastAsia="Arial" w:hAnsi="Arial"/>
          <w:sz w:val="16"/>
          <w:szCs w:val="16"/>
          <w:color w:val="auto"/>
        </w:rPr>
        <w:t>(CUSIP Number)</w:t>
      </w:r>
    </w:p>
    <w:p>
      <w:pPr>
        <w:spacing w:after="0" w:line="168" w:lineRule="exact"/>
        <w:rPr>
          <w:sz w:val="24"/>
          <w:szCs w:val="24"/>
          <w:color w:val="auto"/>
        </w:rPr>
      </w:pPr>
    </w:p>
    <w:p>
      <w:pPr>
        <w:ind w:left="4900"/>
        <w:spacing w:after="0"/>
        <w:rPr>
          <w:sz w:val="20"/>
          <w:szCs w:val="20"/>
          <w:color w:val="auto"/>
        </w:rPr>
      </w:pPr>
      <w:r>
        <w:rPr>
          <w:rFonts w:ascii="Arial" w:cs="Arial" w:eastAsia="Arial" w:hAnsi="Arial"/>
          <w:sz w:val="16"/>
          <w:szCs w:val="16"/>
          <w:b w:val="1"/>
          <w:bCs w:val="1"/>
          <w:color w:val="auto"/>
        </w:rPr>
        <w:t>December 31, 2020</w:t>
      </w:r>
    </w:p>
    <w:p>
      <w:pPr>
        <w:spacing w:after="0" w:line="45"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(Date of Event Which Requires Filing of this Statement)</w:t>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59" w:lineRule="exact"/>
        <w:rPr>
          <w:sz w:val="24"/>
          <w:szCs w:val="24"/>
          <w:color w:val="auto"/>
        </w:rPr>
      </w:pPr>
    </w:p>
    <w:p>
      <w:pPr>
        <w:ind w:left="1120" w:hanging="626"/>
        <w:spacing w:after="0"/>
        <w:tabs>
          <w:tab w:leader="none" w:pos="1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w:t>
      </w:r>
    </w:p>
    <w:p>
      <w:pPr>
        <w:spacing w:after="0" w:line="126" w:lineRule="exact"/>
        <w:rPr>
          <w:rFonts w:ascii="Arial" w:cs="Arial" w:eastAsia="Arial" w:hAnsi="Arial"/>
          <w:sz w:val="16"/>
          <w:szCs w:val="16"/>
          <w:color w:val="auto"/>
        </w:rPr>
      </w:pPr>
    </w:p>
    <w:p>
      <w:pPr>
        <w:ind w:left="1120" w:hanging="626"/>
        <w:spacing w:after="0"/>
        <w:tabs>
          <w:tab w:leader="none" w:pos="1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w:t>
      </w:r>
    </w:p>
    <w:p>
      <w:pPr>
        <w:spacing w:after="0" w:line="12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XRule 13d-1(d)</w:t>
      </w:r>
    </w:p>
    <w:p>
      <w:pPr>
        <w:spacing w:after="0" w:line="235" w:lineRule="exact"/>
        <w:rPr>
          <w:sz w:val="24"/>
          <w:szCs w:val="24"/>
          <w:color w:val="auto"/>
        </w:rPr>
      </w:pPr>
    </w:p>
    <w:p>
      <w:pPr>
        <w:ind w:right="40"/>
        <w:spacing w:after="0" w:line="291"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2"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65151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0" cy="26035"/>
                    </a:xfrm>
                    <a:prstGeom prst="rect">
                      <a:avLst/>
                    </a:prstGeom>
                    <a:noFill/>
                  </pic:spPr>
                </pic:pic>
              </a:graphicData>
            </a:graphic>
          </wp:anchor>
        </w:drawing>
      </w:r>
    </w:p>
    <w:p>
      <w:pPr>
        <w:sectPr>
          <w:pgSz w:w="11900" w:h="16838" w:orient="portrait"/>
          <w:cols w:equalWidth="0" w:num="1">
            <w:col w:w="10960"/>
          </w:cols>
          <w:pgMar w:left="320" w:top="216" w:right="619" w:bottom="1440" w:gutter="0" w:footer="0" w:header="0"/>
        </w:sectPr>
      </w:pPr>
    </w:p>
    <w:bookmarkStart w:id="1" w:name="page2"/>
    <w:bookmarkEnd w:id="1"/>
    <w:p>
      <w:pPr>
        <w:ind w:left="1000" w:right="7199" w:hanging="628"/>
        <w:spacing w:after="0" w:line="366" w:lineRule="auto"/>
        <w:tabs>
          <w:tab w:leader="none" w:pos="987" w:val="left"/>
        </w:tabs>
        <w:numPr>
          <w:ilvl w:val="0"/>
          <w:numId w:val="2"/>
        </w:numPr>
        <w:rPr>
          <w:rFonts w:ascii="Arial" w:cs="Arial" w:eastAsia="Arial" w:hAnsi="Arial"/>
          <w:sz w:val="15"/>
          <w:szCs w:val="15"/>
          <w:color w:val="auto"/>
        </w:rPr>
      </w:pPr>
      <w:r>
        <w:rPr>
          <w:rFonts w:ascii="Arial" w:cs="Arial" w:eastAsia="Arial" w:hAnsi="Arial"/>
          <w:sz w:val="15"/>
          <w:szCs w:val="15"/>
          <w:color w:val="auto"/>
        </w:rPr>
        <w:t>Names of Reporting Persons Jian Tang</w:t>
      </w:r>
    </w:p>
    <w:p>
      <w:pPr>
        <w:spacing w:after="0" w:line="189" w:lineRule="exact"/>
        <w:rPr>
          <w:sz w:val="20"/>
          <w:szCs w:val="20"/>
          <w:color w:val="auto"/>
        </w:rPr>
      </w:pPr>
    </w:p>
    <w:p>
      <w:pPr>
        <w:ind w:left="980" w:hanging="608"/>
        <w:spacing w:after="0"/>
        <w:tabs>
          <w:tab w:leader="none" w:pos="9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Check the Appropriate Box if a Member of a Group</w:t>
      </w:r>
    </w:p>
    <w:p>
      <w:pPr>
        <w:spacing w:after="0" w:line="138" w:lineRule="exact"/>
        <w:rPr>
          <w:rFonts w:ascii="Arial" w:cs="Arial" w:eastAsia="Arial" w:hAnsi="Arial"/>
          <w:sz w:val="15"/>
          <w:szCs w:val="15"/>
          <w:color w:val="auto"/>
        </w:rPr>
      </w:pPr>
    </w:p>
    <w:p>
      <w:pPr>
        <w:ind w:left="2120" w:hanging="1127"/>
        <w:spacing w:after="0"/>
        <w:tabs>
          <w:tab w:leader="none" w:pos="2120" w:val="left"/>
        </w:tabs>
        <w:numPr>
          <w:ilvl w:val="1"/>
          <w:numId w:val="3"/>
        </w:numPr>
        <w:rPr>
          <w:rFonts w:ascii="Arial" w:cs="Arial" w:eastAsia="Arial" w:hAnsi="Arial"/>
          <w:sz w:val="15"/>
          <w:szCs w:val="15"/>
          <w:color w:val="auto"/>
        </w:rPr>
      </w:pPr>
      <w:r>
        <w:rPr>
          <w:rFonts w:ascii="Arial" w:cs="Arial" w:eastAsia="Arial" w:hAnsi="Arial"/>
          <w:sz w:val="15"/>
          <w:szCs w:val="15"/>
          <w:color w:val="auto"/>
        </w:rPr>
        <w:t>o</w:t>
      </w:r>
    </w:p>
    <w:p>
      <w:pPr>
        <w:spacing w:after="0" w:line="165" w:lineRule="exact"/>
        <w:rPr>
          <w:rFonts w:ascii="Arial" w:cs="Arial" w:eastAsia="Arial" w:hAnsi="Arial"/>
          <w:sz w:val="15"/>
          <w:szCs w:val="15"/>
          <w:color w:val="auto"/>
        </w:rPr>
      </w:pPr>
    </w:p>
    <w:p>
      <w:pPr>
        <w:ind w:left="2120" w:hanging="1127"/>
        <w:spacing w:after="0"/>
        <w:tabs>
          <w:tab w:leader="none" w:pos="2120" w:val="left"/>
        </w:tabs>
        <w:numPr>
          <w:ilvl w:val="1"/>
          <w:numId w:val="3"/>
        </w:numPr>
        <w:rPr>
          <w:rFonts w:ascii="Arial" w:cs="Arial" w:eastAsia="Arial" w:hAnsi="Arial"/>
          <w:sz w:val="15"/>
          <w:szCs w:val="15"/>
          <w:color w:val="auto"/>
        </w:rPr>
      </w:pPr>
      <w:r>
        <w:rPr>
          <w:rFonts w:ascii="Arial" w:cs="Arial" w:eastAsia="Arial" w:hAnsi="Arial"/>
          <w:sz w:val="15"/>
          <w:szCs w:val="15"/>
          <w:color w:val="auto"/>
        </w:rPr>
        <w:t>o</w:t>
      </w:r>
    </w:p>
    <w:p>
      <w:pPr>
        <w:spacing w:after="0" w:line="200" w:lineRule="exact"/>
        <w:rPr>
          <w:sz w:val="20"/>
          <w:szCs w:val="20"/>
          <w:color w:val="auto"/>
        </w:rPr>
      </w:pPr>
    </w:p>
    <w:p>
      <w:pPr>
        <w:spacing w:after="0" w:line="222" w:lineRule="exact"/>
        <w:rPr>
          <w:sz w:val="20"/>
          <w:szCs w:val="20"/>
          <w:color w:val="auto"/>
        </w:rPr>
      </w:pPr>
    </w:p>
    <w:p>
      <w:pPr>
        <w:ind w:left="980" w:hanging="608"/>
        <w:spacing w:after="0"/>
        <w:tabs>
          <w:tab w:leader="none" w:pos="980" w:val="left"/>
        </w:tabs>
        <w:numPr>
          <w:ilvl w:val="0"/>
          <w:numId w:val="4"/>
        </w:numPr>
        <w:rPr>
          <w:rFonts w:ascii="Arial" w:cs="Arial" w:eastAsia="Arial" w:hAnsi="Arial"/>
          <w:sz w:val="15"/>
          <w:szCs w:val="15"/>
          <w:color w:val="auto"/>
        </w:rPr>
      </w:pPr>
      <w:r>
        <w:rPr>
          <w:rFonts w:ascii="Arial" w:cs="Arial" w:eastAsia="Arial" w:hAnsi="Arial"/>
          <w:sz w:val="15"/>
          <w:szCs w:val="15"/>
          <w:color w:val="auto"/>
        </w:rPr>
        <w:t>SEC Use Only</w:t>
      </w:r>
    </w:p>
    <w:p>
      <w:pPr>
        <w:spacing w:after="0" w:line="200" w:lineRule="exact"/>
        <w:rPr>
          <w:sz w:val="20"/>
          <w:szCs w:val="20"/>
          <w:color w:val="auto"/>
        </w:rPr>
      </w:pPr>
    </w:p>
    <w:p>
      <w:pPr>
        <w:spacing w:after="0" w:line="222" w:lineRule="exact"/>
        <w:rPr>
          <w:sz w:val="20"/>
          <w:szCs w:val="20"/>
          <w:color w:val="auto"/>
        </w:rPr>
      </w:pPr>
    </w:p>
    <w:p>
      <w:pPr>
        <w:ind w:left="1000" w:right="6719" w:hanging="628"/>
        <w:spacing w:after="0" w:line="366" w:lineRule="auto"/>
        <w:tabs>
          <w:tab w:leader="none" w:pos="987" w:val="left"/>
        </w:tabs>
        <w:numPr>
          <w:ilvl w:val="0"/>
          <w:numId w:val="5"/>
        </w:numPr>
        <w:rPr>
          <w:rFonts w:ascii="Arial" w:cs="Arial" w:eastAsia="Arial" w:hAnsi="Arial"/>
          <w:sz w:val="15"/>
          <w:szCs w:val="15"/>
          <w:color w:val="auto"/>
        </w:rPr>
      </w:pPr>
      <w:r>
        <w:rPr>
          <w:rFonts w:ascii="Arial" w:cs="Arial" w:eastAsia="Arial" w:hAnsi="Arial"/>
          <w:sz w:val="15"/>
          <w:szCs w:val="15"/>
          <w:color w:val="auto"/>
        </w:rPr>
        <w:t>Citizenship or Place of Organization People’s Republic of China</w:t>
      </w:r>
    </w:p>
    <w:p>
      <w:pPr>
        <w:spacing w:after="0" w:line="176" w:lineRule="exact"/>
        <w:rPr>
          <w:sz w:val="20"/>
          <w:szCs w:val="20"/>
          <w:color w:val="auto"/>
        </w:rPr>
      </w:pPr>
    </w:p>
    <w:p>
      <w:pPr>
        <w:ind w:left="2420" w:hanging="237"/>
        <w:spacing w:after="0"/>
        <w:tabs>
          <w:tab w:leader="none" w:pos="2420" w:val="left"/>
        </w:tabs>
        <w:numPr>
          <w:ilvl w:val="0"/>
          <w:numId w:val="6"/>
        </w:numPr>
        <w:rPr>
          <w:rFonts w:ascii="Arial" w:cs="Arial" w:eastAsia="Arial" w:hAnsi="Arial"/>
          <w:sz w:val="15"/>
          <w:szCs w:val="15"/>
          <w:color w:val="auto"/>
        </w:rPr>
      </w:pPr>
      <w:r>
        <w:rPr>
          <w:rFonts w:ascii="Arial" w:cs="Arial" w:eastAsia="Arial" w:hAnsi="Arial"/>
          <w:sz w:val="15"/>
          <w:szCs w:val="15"/>
          <w:color w:val="auto"/>
        </w:rPr>
        <w:t>Sole Voting Power</w:t>
      </w:r>
    </w:p>
    <w:p>
      <w:pPr>
        <w:spacing w:after="0" w:line="33" w:lineRule="exact"/>
        <w:rPr>
          <w:rFonts w:ascii="Arial" w:cs="Arial" w:eastAsia="Arial" w:hAnsi="Arial"/>
          <w:sz w:val="15"/>
          <w:szCs w:val="15"/>
          <w:color w:val="auto"/>
        </w:rPr>
      </w:pPr>
    </w:p>
    <w:p>
      <w:pPr>
        <w:ind w:left="2420"/>
        <w:spacing w:after="0"/>
        <w:rPr>
          <w:rFonts w:ascii="Arial" w:cs="Arial" w:eastAsia="Arial" w:hAnsi="Arial"/>
          <w:sz w:val="15"/>
          <w:szCs w:val="15"/>
          <w:color w:val="auto"/>
        </w:rPr>
      </w:pPr>
      <w:r>
        <w:rPr>
          <w:rFonts w:ascii="Arial" w:cs="Arial" w:eastAsia="Arial" w:hAnsi="Arial"/>
          <w:sz w:val="15"/>
          <w:szCs w:val="15"/>
          <w:color w:val="auto"/>
        </w:rPr>
        <w:t>27,913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108585</wp:posOffset>
            </wp:positionV>
            <wp:extent cx="4980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Number of</w:t>
      </w:r>
    </w:p>
    <w:p>
      <w:pPr>
        <w:ind w:left="2180"/>
        <w:spacing w:after="0"/>
        <w:tabs>
          <w:tab w:leader="none" w:pos="2400" w:val="left"/>
        </w:tabs>
        <w:rPr>
          <w:sz w:val="20"/>
          <w:szCs w:val="20"/>
          <w:color w:val="auto"/>
        </w:rPr>
      </w:pPr>
      <w:r>
        <w:rPr>
          <w:rFonts w:ascii="Arial" w:cs="Arial" w:eastAsia="Arial" w:hAnsi="Arial"/>
          <w:sz w:val="15"/>
          <w:szCs w:val="15"/>
          <w:color w:val="auto"/>
        </w:rPr>
        <w:t>6</w:t>
        <w:tab/>
        <w:t>Shared Voting Power</w:t>
      </w:r>
    </w:p>
    <w:p>
      <w:pPr>
        <w:spacing w:after="0" w:line="225" w:lineRule="auto"/>
        <w:rPr>
          <w:sz w:val="20"/>
          <w:szCs w:val="20"/>
          <w:color w:val="auto"/>
        </w:rPr>
      </w:pPr>
      <w:r>
        <w:rPr>
          <w:rFonts w:ascii="Arial" w:cs="Arial" w:eastAsia="Arial" w:hAnsi="Arial"/>
          <w:sz w:val="15"/>
          <w:szCs w:val="15"/>
          <w:color w:val="auto"/>
        </w:rPr>
        <w:t>Shares</w:t>
      </w:r>
    </w:p>
    <w:p>
      <w:pPr>
        <w:ind w:left="2420"/>
        <w:spacing w:after="0"/>
        <w:rPr>
          <w:sz w:val="20"/>
          <w:szCs w:val="20"/>
          <w:color w:val="auto"/>
        </w:rPr>
      </w:pPr>
      <w:r>
        <w:rPr>
          <w:rFonts w:ascii="Arial" w:cs="Arial" w:eastAsia="Arial" w:hAnsi="Arial"/>
          <w:sz w:val="14"/>
          <w:szCs w:val="14"/>
          <w:color w:val="auto"/>
        </w:rPr>
        <w:t xml:space="preserve">2,461,048 </w:t>
      </w:r>
      <w:r>
        <w:rPr>
          <w:rFonts w:ascii="Arial" w:cs="Arial" w:eastAsia="Arial" w:hAnsi="Arial"/>
          <w:sz w:val="15"/>
          <w:szCs w:val="15"/>
          <w:color w:val="auto"/>
        </w:rPr>
        <w:t>ordinary shares. See Item 4.</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-12700</wp:posOffset>
            </wp:positionV>
            <wp:extent cx="4980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Owned by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Each</w:t>
      </w:r>
    </w:p>
    <w:p>
      <w:pPr>
        <w:ind w:left="2180"/>
        <w:spacing w:after="0" w:line="225" w:lineRule="auto"/>
        <w:tabs>
          <w:tab w:leader="none" w:pos="2400" w:val="left"/>
        </w:tabs>
        <w:rPr>
          <w:sz w:val="20"/>
          <w:szCs w:val="20"/>
          <w:color w:val="auto"/>
        </w:rPr>
      </w:pPr>
      <w:r>
        <w:rPr>
          <w:rFonts w:ascii="Arial" w:cs="Arial" w:eastAsia="Arial" w:hAnsi="Arial"/>
          <w:sz w:val="15"/>
          <w:szCs w:val="15"/>
          <w:color w:val="auto"/>
        </w:rPr>
        <w:t>7</w:t>
        <w:tab/>
        <w:t>Sole Dispositive Power</w:t>
      </w:r>
    </w:p>
    <w:p>
      <w:pPr>
        <w:spacing w:after="0" w:line="225" w:lineRule="auto"/>
        <w:rPr>
          <w:sz w:val="20"/>
          <w:szCs w:val="20"/>
          <w:color w:val="auto"/>
        </w:rPr>
      </w:pPr>
      <w:r>
        <w:rPr>
          <w:rFonts w:ascii="Arial" w:cs="Arial" w:eastAsia="Arial" w:hAnsi="Arial"/>
          <w:sz w:val="15"/>
          <w:szCs w:val="15"/>
          <w:color w:val="auto"/>
        </w:rPr>
        <w:t>Reporting</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5"/>
          <w:szCs w:val="15"/>
          <w:color w:val="auto"/>
        </w:rPr>
        <w:t>27,913 ordinary shares. See Item 4.</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-12700</wp:posOffset>
            </wp:positionV>
            <wp:extent cx="4980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274" w:lineRule="exact"/>
        <w:rPr>
          <w:sz w:val="20"/>
          <w:szCs w:val="20"/>
          <w:color w:val="auto"/>
        </w:rPr>
      </w:pPr>
    </w:p>
    <w:p>
      <w:pPr>
        <w:ind w:left="2420" w:hanging="237"/>
        <w:spacing w:after="0"/>
        <w:tabs>
          <w:tab w:leader="none" w:pos="2420" w:val="left"/>
        </w:tabs>
        <w:numPr>
          <w:ilvl w:val="0"/>
          <w:numId w:val="7"/>
        </w:numPr>
        <w:rPr>
          <w:rFonts w:ascii="Arial" w:cs="Arial" w:eastAsia="Arial" w:hAnsi="Arial"/>
          <w:sz w:val="15"/>
          <w:szCs w:val="15"/>
          <w:color w:val="auto"/>
        </w:rPr>
      </w:pPr>
      <w:r>
        <w:rPr>
          <w:rFonts w:ascii="Arial" w:cs="Arial" w:eastAsia="Arial" w:hAnsi="Arial"/>
          <w:sz w:val="15"/>
          <w:szCs w:val="15"/>
          <w:color w:val="auto"/>
        </w:rPr>
        <w:t>Shared Dispositive Power</w:t>
      </w:r>
    </w:p>
    <w:p>
      <w:pPr>
        <w:spacing w:after="0" w:line="33" w:lineRule="exact"/>
        <w:rPr>
          <w:rFonts w:ascii="Arial" w:cs="Arial" w:eastAsia="Arial" w:hAnsi="Arial"/>
          <w:sz w:val="15"/>
          <w:szCs w:val="15"/>
          <w:color w:val="auto"/>
        </w:rPr>
      </w:pPr>
    </w:p>
    <w:p>
      <w:pPr>
        <w:ind w:left="2420"/>
        <w:spacing w:after="0"/>
        <w:rPr>
          <w:rFonts w:ascii="Arial" w:cs="Arial" w:eastAsia="Arial" w:hAnsi="Arial"/>
          <w:sz w:val="15"/>
          <w:szCs w:val="15"/>
          <w:color w:val="auto"/>
        </w:rPr>
      </w:pPr>
      <w:r>
        <w:rPr>
          <w:rFonts w:ascii="Arial" w:cs="Arial" w:eastAsia="Arial" w:hAnsi="Arial"/>
          <w:sz w:val="14"/>
          <w:szCs w:val="14"/>
          <w:color w:val="auto"/>
        </w:rPr>
        <w:t xml:space="preserve">2,461,048 </w:t>
      </w:r>
      <w:r>
        <w:rPr>
          <w:rFonts w:ascii="Arial" w:cs="Arial" w:eastAsia="Arial" w:hAnsi="Arial"/>
          <w:sz w:val="15"/>
          <w:szCs w:val="15"/>
          <w:color w:val="auto"/>
        </w:rPr>
        <w:t>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108585</wp:posOffset>
            </wp:positionV>
            <wp:extent cx="4980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980" w:right="4719" w:hanging="608"/>
        <w:spacing w:after="0" w:line="272" w:lineRule="auto"/>
        <w:tabs>
          <w:tab w:leader="none" w:pos="980"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Aggregate Amount Beneficially Owned by Each Reporting Person </w:t>
      </w:r>
      <w:r>
        <w:rPr>
          <w:rFonts w:ascii="Arial" w:cs="Arial" w:eastAsia="Arial" w:hAnsi="Arial"/>
          <w:sz w:val="14"/>
          <w:szCs w:val="14"/>
          <w:color w:val="auto"/>
        </w:rPr>
        <w:t xml:space="preserve">2,488,961 </w:t>
      </w:r>
      <w:r>
        <w:rPr>
          <w:rFonts w:ascii="Arial" w:cs="Arial" w:eastAsia="Arial" w:hAnsi="Arial"/>
          <w:sz w:val="15"/>
          <w:szCs w:val="15"/>
          <w:color w:val="auto"/>
        </w:rPr>
        <w:t>ordinary shares. See Item 4.</w:t>
      </w:r>
    </w:p>
    <w:p>
      <w:pPr>
        <w:spacing w:after="0" w:line="257" w:lineRule="exact"/>
        <w:rPr>
          <w:sz w:val="20"/>
          <w:szCs w:val="20"/>
          <w:color w:val="auto"/>
        </w:rPr>
      </w:pPr>
    </w:p>
    <w:p>
      <w:pPr>
        <w:ind w:left="980" w:hanging="608"/>
        <w:spacing w:after="0"/>
        <w:tabs>
          <w:tab w:leader="none" w:pos="9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Check if the Aggregate Amount in Row (9) Excludes Certain Shares o</w:t>
      </w:r>
    </w:p>
    <w:p>
      <w:pPr>
        <w:spacing w:after="0" w:line="200" w:lineRule="exact"/>
        <w:rPr>
          <w:rFonts w:ascii="Arial" w:cs="Arial" w:eastAsia="Arial" w:hAnsi="Arial"/>
          <w:sz w:val="15"/>
          <w:szCs w:val="15"/>
          <w:color w:val="auto"/>
        </w:rPr>
      </w:pPr>
    </w:p>
    <w:p>
      <w:pPr>
        <w:spacing w:after="0" w:line="248" w:lineRule="exact"/>
        <w:rPr>
          <w:rFonts w:ascii="Arial" w:cs="Arial" w:eastAsia="Arial" w:hAnsi="Arial"/>
          <w:sz w:val="15"/>
          <w:szCs w:val="15"/>
          <w:color w:val="auto"/>
        </w:rPr>
      </w:pPr>
    </w:p>
    <w:p>
      <w:pPr>
        <w:ind w:left="1000" w:right="5599" w:hanging="628"/>
        <w:spacing w:after="0" w:line="366" w:lineRule="auto"/>
        <w:tabs>
          <w:tab w:leader="none" w:pos="987" w:val="left"/>
        </w:tabs>
        <w:numPr>
          <w:ilvl w:val="0"/>
          <w:numId w:val="9"/>
        </w:numPr>
        <w:rPr>
          <w:rFonts w:ascii="Arial" w:cs="Arial" w:eastAsia="Arial" w:hAnsi="Arial"/>
          <w:sz w:val="15"/>
          <w:szCs w:val="15"/>
          <w:color w:val="auto"/>
        </w:rPr>
      </w:pPr>
      <w:r>
        <w:rPr>
          <w:rFonts w:ascii="Arial" w:cs="Arial" w:eastAsia="Arial" w:hAnsi="Arial"/>
          <w:sz w:val="15"/>
          <w:szCs w:val="15"/>
          <w:color w:val="auto"/>
        </w:rPr>
        <w:t>Percent of Class Represented by Amount in Row (9) 5.5%. See Item 4.</w:t>
      </w:r>
    </w:p>
    <w:p>
      <w:pPr>
        <w:spacing w:after="0" w:line="202" w:lineRule="exact"/>
        <w:rPr>
          <w:rFonts w:ascii="Arial" w:cs="Arial" w:eastAsia="Arial" w:hAnsi="Arial"/>
          <w:sz w:val="15"/>
          <w:szCs w:val="15"/>
          <w:color w:val="auto"/>
        </w:rPr>
      </w:pPr>
    </w:p>
    <w:p>
      <w:pPr>
        <w:ind w:left="980" w:hanging="608"/>
        <w:spacing w:after="0"/>
        <w:tabs>
          <w:tab w:leader="none" w:pos="9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Type of Reporting Person</w:t>
      </w:r>
    </w:p>
    <w:p>
      <w:pPr>
        <w:spacing w:after="0" w:line="70"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IN</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648970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700" cy="26035"/>
                    </a:xfrm>
                    <a:prstGeom prst="rect">
                      <a:avLst/>
                    </a:prstGeom>
                    <a:noFill/>
                  </pic:spPr>
                </pic:pic>
              </a:graphicData>
            </a:graphic>
          </wp:anchor>
        </w:drawing>
      </w:r>
    </w:p>
    <w:p>
      <w:pPr>
        <w:sectPr>
          <w:pgSz w:w="11900" w:h="16838" w:orient="portrait"/>
          <w:cols w:equalWidth="0" w:num="1">
            <w:col w:w="10139"/>
          </w:cols>
          <w:pgMar w:left="320" w:top="346" w:right="1440" w:bottom="1440" w:gutter="0" w:footer="0" w:header="0"/>
        </w:sectPr>
      </w:pPr>
    </w:p>
    <w:bookmarkStart w:id="2" w:name="page3"/>
    <w:bookmarkEnd w:id="2"/>
    <w:p>
      <w:pPr>
        <w:ind w:left="980" w:hanging="608"/>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Names of Reporting Persons Igomax Inc.</w:t>
      </w:r>
    </w:p>
    <w:p>
      <w:pPr>
        <w:spacing w:after="0" w:line="393" w:lineRule="exact"/>
        <w:rPr>
          <w:sz w:val="20"/>
          <w:szCs w:val="20"/>
          <w:color w:val="auto"/>
        </w:rPr>
      </w:pPr>
    </w:p>
    <w:p>
      <w:pPr>
        <w:ind w:left="980" w:hanging="608"/>
        <w:spacing w:after="0"/>
        <w:tabs>
          <w:tab w:leader="none" w:pos="9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Check the Appropriate Box if a Member of a Group</w:t>
      </w:r>
    </w:p>
    <w:p>
      <w:pPr>
        <w:spacing w:after="0" w:line="149" w:lineRule="exact"/>
        <w:rPr>
          <w:rFonts w:ascii="Arial" w:cs="Arial" w:eastAsia="Arial" w:hAnsi="Arial"/>
          <w:sz w:val="14"/>
          <w:szCs w:val="14"/>
          <w:color w:val="auto"/>
        </w:rPr>
      </w:pPr>
    </w:p>
    <w:p>
      <w:pPr>
        <w:ind w:left="2120" w:hanging="1127"/>
        <w:spacing w:after="0"/>
        <w:tabs>
          <w:tab w:leader="none" w:pos="21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w:t>
      </w:r>
    </w:p>
    <w:p>
      <w:pPr>
        <w:spacing w:after="0" w:line="176" w:lineRule="exact"/>
        <w:rPr>
          <w:rFonts w:ascii="Arial" w:cs="Arial" w:eastAsia="Arial" w:hAnsi="Arial"/>
          <w:sz w:val="14"/>
          <w:szCs w:val="14"/>
          <w:color w:val="auto"/>
        </w:rPr>
      </w:pPr>
    </w:p>
    <w:p>
      <w:pPr>
        <w:ind w:left="2120" w:hanging="1127"/>
        <w:spacing w:after="0"/>
        <w:tabs>
          <w:tab w:leader="none" w:pos="21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w:t>
      </w:r>
    </w:p>
    <w:p>
      <w:pPr>
        <w:spacing w:after="0" w:line="200" w:lineRule="exact"/>
        <w:rPr>
          <w:sz w:val="20"/>
          <w:szCs w:val="20"/>
          <w:color w:val="auto"/>
        </w:rPr>
      </w:pPr>
    </w:p>
    <w:p>
      <w:pPr>
        <w:spacing w:after="0" w:line="233" w:lineRule="exact"/>
        <w:rPr>
          <w:sz w:val="20"/>
          <w:szCs w:val="20"/>
          <w:color w:val="auto"/>
        </w:rPr>
      </w:pPr>
    </w:p>
    <w:p>
      <w:pPr>
        <w:ind w:left="980" w:hanging="608"/>
        <w:spacing w:after="0"/>
        <w:tabs>
          <w:tab w:leader="none" w:pos="9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200" w:lineRule="exact"/>
        <w:rPr>
          <w:sz w:val="20"/>
          <w:szCs w:val="20"/>
          <w:color w:val="auto"/>
        </w:rPr>
      </w:pPr>
    </w:p>
    <w:p>
      <w:pPr>
        <w:spacing w:after="0" w:line="233" w:lineRule="exact"/>
        <w:rPr>
          <w:sz w:val="20"/>
          <w:szCs w:val="20"/>
          <w:color w:val="auto"/>
        </w:rPr>
      </w:pPr>
    </w:p>
    <w:p>
      <w:pPr>
        <w:ind w:left="1000" w:right="6879" w:hanging="628"/>
        <w:spacing w:after="0" w:line="391" w:lineRule="auto"/>
        <w:tabs>
          <w:tab w:leader="none" w:pos="987" w:val="left"/>
        </w:tabs>
        <w:numPr>
          <w:ilvl w:val="0"/>
          <w:numId w:val="13"/>
        </w:numPr>
        <w:rPr>
          <w:rFonts w:ascii="Arial" w:cs="Arial" w:eastAsia="Arial" w:hAnsi="Arial"/>
          <w:sz w:val="14"/>
          <w:szCs w:val="14"/>
          <w:color w:val="auto"/>
        </w:rPr>
      </w:pPr>
      <w:r>
        <w:rPr>
          <w:rFonts w:ascii="Arial" w:cs="Arial" w:eastAsia="Arial" w:hAnsi="Arial"/>
          <w:sz w:val="14"/>
          <w:szCs w:val="14"/>
          <w:color w:val="auto"/>
        </w:rPr>
        <w:t>Citizenship or Place of Organization British Virgin Islands</w:t>
      </w:r>
    </w:p>
    <w:p>
      <w:pPr>
        <w:spacing w:after="0" w:line="191" w:lineRule="exact"/>
        <w:rPr>
          <w:sz w:val="20"/>
          <w:szCs w:val="20"/>
          <w:color w:val="auto"/>
        </w:rPr>
      </w:pPr>
    </w:p>
    <w:p>
      <w:pPr>
        <w:ind w:left="2420" w:right="6559" w:hanging="232"/>
        <w:spacing w:after="0" w:line="351" w:lineRule="auto"/>
        <w:tabs>
          <w:tab w:leader="none" w:pos="2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34925</wp:posOffset>
            </wp:positionV>
            <wp:extent cx="4980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Number of</w:t>
      </w:r>
    </w:p>
    <w:p>
      <w:pPr>
        <w:ind w:left="2180"/>
        <w:spacing w:after="0" w:line="229" w:lineRule="auto"/>
        <w:tabs>
          <w:tab w:leader="none" w:pos="2400" w:val="left"/>
        </w:tabs>
        <w:rPr>
          <w:sz w:val="20"/>
          <w:szCs w:val="20"/>
          <w:color w:val="auto"/>
        </w:rPr>
      </w:pPr>
      <w:r>
        <w:rPr>
          <w:rFonts w:ascii="Arial" w:cs="Arial" w:eastAsia="Arial" w:hAnsi="Arial"/>
          <w:sz w:val="14"/>
          <w:szCs w:val="14"/>
          <w:color w:val="auto"/>
        </w:rPr>
        <w:t>6</w:t>
        <w:tab/>
        <w:t>Shared Voting Power</w:t>
      </w:r>
    </w:p>
    <w:p>
      <w:pPr>
        <w:spacing w:after="0" w:line="221" w:lineRule="auto"/>
        <w:rPr>
          <w:sz w:val="20"/>
          <w:szCs w:val="20"/>
          <w:color w:val="auto"/>
        </w:rPr>
      </w:pPr>
      <w:r>
        <w:rPr>
          <w:rFonts w:ascii="Arial" w:cs="Arial" w:eastAsia="Arial" w:hAnsi="Arial"/>
          <w:sz w:val="14"/>
          <w:szCs w:val="14"/>
          <w:color w:val="auto"/>
        </w:rPr>
        <w:t>Shares</w:t>
      </w:r>
    </w:p>
    <w:p>
      <w:pPr>
        <w:spacing w:after="0" w:line="1"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2,461,048 ordinary shares. See Item 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-10160</wp:posOffset>
            </wp:positionV>
            <wp:extent cx="4980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Owned by</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Each</w:t>
      </w:r>
    </w:p>
    <w:p>
      <w:pPr>
        <w:ind w:left="2180"/>
        <w:spacing w:after="0" w:line="221" w:lineRule="auto"/>
        <w:tabs>
          <w:tab w:leader="none" w:pos="2400" w:val="left"/>
        </w:tabs>
        <w:rPr>
          <w:sz w:val="20"/>
          <w:szCs w:val="20"/>
          <w:color w:val="auto"/>
        </w:rPr>
      </w:pPr>
      <w:r>
        <w:rPr>
          <w:rFonts w:ascii="Arial" w:cs="Arial" w:eastAsia="Arial" w:hAnsi="Arial"/>
          <w:sz w:val="14"/>
          <w:szCs w:val="14"/>
          <w:color w:val="auto"/>
        </w:rPr>
        <w:t>7</w:t>
        <w:tab/>
        <w:t>Sole Dispositive Power</w:t>
      </w:r>
    </w:p>
    <w:p>
      <w:pPr>
        <w:spacing w:after="0" w:line="222" w:lineRule="auto"/>
        <w:rPr>
          <w:sz w:val="20"/>
          <w:szCs w:val="20"/>
          <w:color w:val="auto"/>
        </w:rPr>
      </w:pPr>
      <w:r>
        <w:rPr>
          <w:rFonts w:ascii="Arial" w:cs="Arial" w:eastAsia="Arial" w:hAnsi="Arial"/>
          <w:sz w:val="14"/>
          <w:szCs w:val="14"/>
          <w:color w:val="auto"/>
        </w:rPr>
        <w:t>Reporting</w:t>
      </w:r>
    </w:p>
    <w:p>
      <w:pPr>
        <w:ind w:left="2420"/>
        <w:spacing w:after="0"/>
        <w:rPr>
          <w:sz w:val="20"/>
          <w:szCs w:val="20"/>
          <w:color w:val="auto"/>
        </w:rPr>
      </w:pPr>
      <w:r>
        <w:rPr>
          <w:rFonts w:ascii="Arial" w:cs="Arial" w:eastAsia="Arial" w:hAnsi="Arial"/>
          <w:sz w:val="14"/>
          <w:szCs w:val="14"/>
          <w:color w:val="auto"/>
        </w:rPr>
        <w:t>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-10160</wp:posOffset>
            </wp:positionV>
            <wp:extent cx="49803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287" w:lineRule="exact"/>
        <w:rPr>
          <w:sz w:val="20"/>
          <w:szCs w:val="20"/>
          <w:color w:val="auto"/>
        </w:rPr>
      </w:pPr>
    </w:p>
    <w:p>
      <w:pPr>
        <w:ind w:left="2420" w:hanging="232"/>
        <w:spacing w:after="0"/>
        <w:tabs>
          <w:tab w:leader="none" w:pos="2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Shared Dispositive Power</w:t>
      </w:r>
    </w:p>
    <w:p>
      <w:pPr>
        <w:spacing w:after="0" w:line="41" w:lineRule="exact"/>
        <w:rPr>
          <w:rFonts w:ascii="Arial" w:cs="Arial" w:eastAsia="Arial" w:hAnsi="Arial"/>
          <w:sz w:val="14"/>
          <w:szCs w:val="14"/>
          <w:color w:val="auto"/>
        </w:rPr>
      </w:pPr>
    </w:p>
    <w:p>
      <w:pPr>
        <w:ind w:left="2420"/>
        <w:spacing w:after="0"/>
        <w:rPr>
          <w:rFonts w:ascii="Arial" w:cs="Arial" w:eastAsia="Arial" w:hAnsi="Arial"/>
          <w:sz w:val="14"/>
          <w:szCs w:val="14"/>
          <w:color w:val="auto"/>
        </w:rPr>
      </w:pPr>
      <w:r>
        <w:rPr>
          <w:rFonts w:ascii="Arial" w:cs="Arial" w:eastAsia="Arial" w:hAnsi="Arial"/>
          <w:sz w:val="14"/>
          <w:szCs w:val="14"/>
          <w:color w:val="auto"/>
        </w:rPr>
        <w:t>2,461,048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103505</wp:posOffset>
            </wp:positionV>
            <wp:extent cx="49803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980" w:right="4979" w:hanging="608"/>
        <w:spacing w:after="0" w:line="291" w:lineRule="auto"/>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 2,461,048 ordinary shares. See Item 4.</w:t>
      </w:r>
    </w:p>
    <w:p>
      <w:pPr>
        <w:spacing w:after="0" w:line="258" w:lineRule="exact"/>
        <w:rPr>
          <w:sz w:val="20"/>
          <w:szCs w:val="20"/>
          <w:color w:val="auto"/>
        </w:rPr>
      </w:pPr>
    </w:p>
    <w:p>
      <w:pPr>
        <w:ind w:left="980" w:hanging="608"/>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o</w:t>
      </w:r>
    </w:p>
    <w:p>
      <w:pPr>
        <w:spacing w:after="0" w:line="200" w:lineRule="exact"/>
        <w:rPr>
          <w:rFonts w:ascii="Arial" w:cs="Arial" w:eastAsia="Arial" w:hAnsi="Arial"/>
          <w:sz w:val="14"/>
          <w:szCs w:val="14"/>
          <w:color w:val="auto"/>
        </w:rPr>
      </w:pPr>
    </w:p>
    <w:p>
      <w:pPr>
        <w:spacing w:after="0" w:line="260" w:lineRule="exact"/>
        <w:rPr>
          <w:rFonts w:ascii="Arial" w:cs="Arial" w:eastAsia="Arial" w:hAnsi="Arial"/>
          <w:sz w:val="14"/>
          <w:szCs w:val="14"/>
          <w:color w:val="auto"/>
        </w:rPr>
      </w:pPr>
    </w:p>
    <w:p>
      <w:pPr>
        <w:ind w:left="1000" w:right="5819" w:hanging="628"/>
        <w:spacing w:after="0" w:line="391" w:lineRule="auto"/>
        <w:tabs>
          <w:tab w:leader="none" w:pos="987"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 of Class Represented by Amount in Row (9) 5.4%. See Item 4.</w:t>
      </w:r>
    </w:p>
    <w:p>
      <w:pPr>
        <w:spacing w:after="0" w:line="204" w:lineRule="exact"/>
        <w:rPr>
          <w:rFonts w:ascii="Arial" w:cs="Arial" w:eastAsia="Arial" w:hAnsi="Arial"/>
          <w:sz w:val="14"/>
          <w:szCs w:val="14"/>
          <w:color w:val="auto"/>
        </w:rPr>
      </w:pPr>
    </w:p>
    <w:p>
      <w:pPr>
        <w:ind w:left="980" w:hanging="608"/>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Type of Reporting Person</w:t>
      </w:r>
    </w:p>
    <w:p>
      <w:pPr>
        <w:spacing w:after="0" w:line="82"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CO</w:t>
      </w:r>
    </w:p>
    <w:p>
      <w:pPr>
        <w:spacing w:after="0" w:line="217" w:lineRule="exact"/>
        <w:rPr>
          <w:sz w:val="20"/>
          <w:szCs w:val="20"/>
          <w:color w:val="auto"/>
        </w:rPr>
      </w:pPr>
    </w:p>
    <w:p>
      <w:pPr>
        <w:jc w:val="right"/>
        <w:ind w:right="44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648970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9700" cy="25400"/>
                    </a:xfrm>
                    <a:prstGeom prst="rect">
                      <a:avLst/>
                    </a:prstGeom>
                    <a:noFill/>
                  </pic:spPr>
                </pic:pic>
              </a:graphicData>
            </a:graphic>
          </wp:anchor>
        </w:drawing>
      </w:r>
    </w:p>
    <w:p>
      <w:pPr>
        <w:sectPr>
          <w:pgSz w:w="11900" w:h="16838" w:orient="portrait"/>
          <w:cols w:equalWidth="0" w:num="1">
            <w:col w:w="10139"/>
          </w:cols>
          <w:pgMar w:left="320" w:top="356"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Item 1(a).</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2(c).</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546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68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iClick Interactive Asia Group Limited (the “Issuer”)</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Address of Issuer’s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0459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59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15/F, Prosperity Millennia Plaza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663 King’s Road, Quarry Bay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Hong Kong S.A.R.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964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456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Jian Tang</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Igomax Inc.</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Address of Principal Business Office, or, if none, Residence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5990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905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Jian Tang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15/F, Prosperity Millennia Plaza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663 King’s Road, Quarry Bay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Hong Kong S.A.R.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Igomax Inc.</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Jordans Trust Company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Geneva Place, Waterfront Drive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PO Box 3469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Road Town, Tortola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British Virgin Islands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Citizenship</w:t>
      </w:r>
      <w:r>
        <w:rPr>
          <w:rFonts w:ascii="Arial" w:cs="Arial" w:eastAsia="Arial" w:hAnsi="Arial"/>
          <w:sz w:val="14"/>
          <w:szCs w:val="14"/>
          <w:b w:val="1"/>
          <w:bCs w:val="1"/>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Jian Tang — People’s Republic of China</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Igomax Inc. — British Virgin Islands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1404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15"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Class A ordinary shares, par value of $0.001 per share (the “Class A Ordinary Shares”). The Issuer’s ordinary shares consist of Class A Ordinary Shares and Class B ordinary shares, par value of $0.001 per share (“Class B Ordinary Shares”).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vote per share.</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1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148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G47048 106</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If this statement is filed pursuant to §§ 240.13d-1(b), or 240.13d-2(b) or (c), check whether the persons filing is a</w:t>
      </w:r>
      <w:r>
        <w:rPr>
          <w:rFonts w:ascii="Arial" w:cs="Arial" w:eastAsia="Arial" w:hAnsi="Arial"/>
          <w:sz w:val="14"/>
          <w:szCs w:val="14"/>
          <w:b w:val="1"/>
          <w:bCs w:val="1"/>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85" w:lineRule="exact"/>
        <w:rPr>
          <w:sz w:val="20"/>
          <w:szCs w:val="20"/>
          <w:color w:val="auto"/>
        </w:rPr>
      </w:pPr>
    </w:p>
    <w:p>
      <w:pPr>
        <w:ind w:left="4020"/>
        <w:spacing w:after="0"/>
        <w:rPr>
          <w:sz w:val="20"/>
          <w:szCs w:val="20"/>
          <w:color w:val="auto"/>
        </w:rPr>
      </w:pPr>
      <w:r>
        <w:rPr>
          <w:rFonts w:ascii="Arial" w:cs="Arial" w:eastAsia="Arial" w:hAnsi="Arial"/>
          <w:sz w:val="14"/>
          <w:szCs w:val="14"/>
          <w:color w:val="auto"/>
        </w:rPr>
        <w:t>4</w:t>
      </w:r>
    </w:p>
    <w:p>
      <w:pPr>
        <w:spacing w:after="0" w:line="377" w:lineRule="exact"/>
        <w:rPr>
          <w:sz w:val="20"/>
          <w:szCs w:val="20"/>
          <w:color w:val="auto"/>
        </w:rPr>
      </w:pPr>
    </w:p>
    <w:p>
      <w:pPr>
        <w:ind w:left="420"/>
        <w:spacing w:after="0"/>
        <w:rPr>
          <w:sz w:val="20"/>
          <w:szCs w:val="20"/>
          <w:color w:val="auto"/>
        </w:rPr>
      </w:pPr>
      <w:r>
        <w:rPr>
          <w:rFonts w:ascii="Arial" w:cs="Arial" w:eastAsia="Arial" w:hAnsi="Arial"/>
          <w:sz w:val="14"/>
          <w:szCs w:val="14"/>
          <w:b w:val="1"/>
          <w:bCs w:val="1"/>
          <w:u w:val="single" w:color="auto"/>
          <w:color w:val="auto"/>
        </w:rPr>
        <w:t>Ownership</w:t>
      </w:r>
    </w:p>
    <w:p>
      <w:pPr>
        <w:spacing w:after="0" w:line="111" w:lineRule="exact"/>
        <w:rPr>
          <w:sz w:val="20"/>
          <w:szCs w:val="20"/>
          <w:color w:val="auto"/>
        </w:rPr>
      </w:pPr>
    </w:p>
    <w:p>
      <w:pPr>
        <w:sectPr>
          <w:pgSz w:w="11900" w:h="16838" w:orient="portrait"/>
          <w:cols w:equalWidth="0" w:num="2">
            <w:col w:w="640" w:space="500"/>
            <w:col w:w="10200"/>
          </w:cols>
          <w:pgMar w:left="320" w:top="354" w:right="239" w:bottom="0" w:gutter="0" w:footer="0" w:header="0"/>
        </w:sectPr>
      </w:pPr>
    </w:p>
    <w:p>
      <w:pPr>
        <w:ind w:left="60"/>
        <w:spacing w:after="0"/>
        <w:rPr>
          <w:sz w:val="20"/>
          <w:szCs w:val="20"/>
          <w:color w:val="auto"/>
        </w:rPr>
      </w:pPr>
      <w:r>
        <w:rPr>
          <w:rFonts w:ascii="Arial" w:cs="Arial" w:eastAsia="Arial" w:hAnsi="Arial"/>
          <w:sz w:val="14"/>
          <w:szCs w:val="14"/>
          <w:color w:val="auto"/>
        </w:rPr>
        <w:t>The following information with respect to the ownership of the Class A Ordinary Shares by each of the reporting persons is provided as of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Sole Power</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Sole Power</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rPr>
              <w:t>Shared</w:t>
            </w:r>
          </w:p>
        </w:tc>
      </w:tr>
      <w:tr>
        <w:trPr>
          <w:trHeight w:val="243"/>
        </w:trPr>
        <w:tc>
          <w:tcPr>
            <w:tcW w:w="2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8"/>
              </w:rPr>
              <w:t>to</w:t>
            </w:r>
          </w:p>
        </w:tc>
        <w:tc>
          <w:tcPr>
            <w:tcW w:w="920" w:type="dxa"/>
            <w:vAlign w:val="bottom"/>
          </w:tcPr>
          <w:p>
            <w:pPr>
              <w:jc w:val="center"/>
              <w:ind w:left="324"/>
              <w:spacing w:after="0"/>
              <w:rPr>
                <w:sz w:val="20"/>
                <w:szCs w:val="20"/>
                <w:color w:val="auto"/>
              </w:rPr>
            </w:pPr>
            <w:r>
              <w:rPr>
                <w:rFonts w:ascii="Arial" w:cs="Arial" w:eastAsia="Arial" w:hAnsi="Arial"/>
                <w:sz w:val="15"/>
                <w:szCs w:val="15"/>
                <w:b w:val="1"/>
                <w:bCs w:val="1"/>
                <w:color w:val="auto"/>
              </w:rPr>
              <w:t>Shared</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to Dispose</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rPr>
              <w:t>Power to</w:t>
            </w:r>
          </w:p>
        </w:tc>
      </w:tr>
      <w:tr>
        <w:trPr>
          <w:trHeight w:val="243"/>
        </w:trPr>
        <w:tc>
          <w:tcPr>
            <w:tcW w:w="2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Amount</w:t>
            </w: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Percent</w:t>
            </w: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Vote or</w:t>
            </w:r>
          </w:p>
        </w:tc>
        <w:tc>
          <w:tcPr>
            <w:tcW w:w="920" w:type="dxa"/>
            <w:vAlign w:val="bottom"/>
          </w:tcPr>
          <w:p>
            <w:pPr>
              <w:jc w:val="center"/>
              <w:ind w:left="304"/>
              <w:spacing w:after="0"/>
              <w:rPr>
                <w:sz w:val="20"/>
                <w:szCs w:val="20"/>
                <w:color w:val="auto"/>
              </w:rPr>
            </w:pPr>
            <w:r>
              <w:rPr>
                <w:rFonts w:ascii="Arial" w:cs="Arial" w:eastAsia="Arial" w:hAnsi="Arial"/>
                <w:sz w:val="15"/>
                <w:szCs w:val="15"/>
                <w:b w:val="1"/>
                <w:bCs w:val="1"/>
                <w:color w:val="auto"/>
              </w:rPr>
              <w:t>Power</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or to</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rPr>
              <w:t>Dispose or to</w:t>
            </w:r>
          </w:p>
        </w:tc>
      </w:tr>
      <w:tr>
        <w:trPr>
          <w:trHeight w:val="243"/>
        </w:trPr>
        <w:tc>
          <w:tcPr>
            <w:tcW w:w="2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Beneficially</w:t>
            </w:r>
          </w:p>
        </w:tc>
        <w:tc>
          <w:tcPr>
            <w:tcW w:w="15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8"/>
              </w:rPr>
              <w:t>of</w:t>
            </w: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Direct</w:t>
            </w:r>
          </w:p>
        </w:tc>
        <w:tc>
          <w:tcPr>
            <w:tcW w:w="158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99"/>
              </w:rPr>
              <w:t>to Vote or to</w:t>
            </w:r>
          </w:p>
        </w:tc>
        <w:tc>
          <w:tcPr>
            <w:tcW w:w="15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Direct the</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rPr>
              <w:t>Direct the</w:t>
            </w:r>
          </w:p>
        </w:tc>
      </w:tr>
      <w:tr>
        <w:trPr>
          <w:trHeight w:val="243"/>
        </w:trPr>
        <w:tc>
          <w:tcPr>
            <w:tcW w:w="2260" w:type="dxa"/>
            <w:vAlign w:val="bottom"/>
            <w:gridSpan w:val="2"/>
          </w:tcPr>
          <w:p>
            <w:pPr>
              <w:spacing w:after="0"/>
              <w:rPr>
                <w:sz w:val="20"/>
                <w:szCs w:val="20"/>
                <w:color w:val="auto"/>
              </w:rPr>
            </w:pPr>
            <w:r>
              <w:rPr>
                <w:rFonts w:ascii="Arial" w:cs="Arial" w:eastAsia="Arial" w:hAnsi="Arial"/>
                <w:sz w:val="15"/>
                <w:szCs w:val="15"/>
                <w:b w:val="1"/>
                <w:bCs w:val="1"/>
                <w:color w:val="auto"/>
              </w:rPr>
              <w:t>Reporting Person:</w:t>
            </w:r>
          </w:p>
        </w:tc>
        <w:tc>
          <w:tcPr>
            <w:tcW w:w="16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Owned:</w:t>
            </w: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Class:(1)</w:t>
            </w: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9"/>
              </w:rPr>
              <w:t>the Vote:</w:t>
            </w:r>
          </w:p>
        </w:tc>
        <w:tc>
          <w:tcPr>
            <w:tcW w:w="158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rPr>
              <w:t>Direct the Vote:</w:t>
            </w: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Disposition of:</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rPr>
              <w:t>Disposition of:</w:t>
            </w:r>
          </w:p>
        </w:tc>
      </w:tr>
      <w:tr>
        <w:trPr>
          <w:trHeight w:val="25"/>
        </w:trPr>
        <w:tc>
          <w:tcPr>
            <w:tcW w:w="20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2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Jian Tang</w:t>
            </w:r>
          </w:p>
        </w:tc>
        <w:tc>
          <w:tcPr>
            <w:tcW w:w="1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2,488,961(2)</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5.5%</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27,913 (2)</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2,461,048</w:t>
            </w:r>
          </w:p>
        </w:tc>
        <w:tc>
          <w:tcPr>
            <w:tcW w:w="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7"/>
              </w:rPr>
              <w:t>(2)</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27,913 (2)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2,461,048 (2)</w:t>
            </w:r>
          </w:p>
        </w:tc>
      </w:tr>
      <w:tr>
        <w:trPr>
          <w:trHeight w:val="224"/>
        </w:trPr>
        <w:tc>
          <w:tcPr>
            <w:tcW w:w="2260" w:type="dxa"/>
            <w:vAlign w:val="bottom"/>
            <w:gridSpan w:val="2"/>
          </w:tcPr>
          <w:p>
            <w:pPr>
              <w:spacing w:after="0"/>
              <w:rPr>
                <w:sz w:val="20"/>
                <w:szCs w:val="20"/>
                <w:color w:val="auto"/>
              </w:rPr>
            </w:pPr>
            <w:r>
              <w:rPr>
                <w:rFonts w:ascii="Arial" w:cs="Arial" w:eastAsia="Arial" w:hAnsi="Arial"/>
                <w:sz w:val="15"/>
                <w:szCs w:val="15"/>
                <w:color w:val="auto"/>
              </w:rPr>
              <w:t>Igomax Inc.</w:t>
            </w:r>
          </w:p>
        </w:tc>
        <w:tc>
          <w:tcPr>
            <w:tcW w:w="1340" w:type="dxa"/>
            <w:vAlign w:val="bottom"/>
          </w:tcPr>
          <w:p>
            <w:pPr>
              <w:jc w:val="right"/>
              <w:ind w:right="144"/>
              <w:spacing w:after="0"/>
              <w:rPr>
                <w:sz w:val="20"/>
                <w:szCs w:val="20"/>
                <w:color w:val="auto"/>
              </w:rPr>
            </w:pPr>
            <w:r>
              <w:rPr>
                <w:rFonts w:ascii="Arial" w:cs="Arial" w:eastAsia="Arial" w:hAnsi="Arial"/>
                <w:sz w:val="15"/>
                <w:szCs w:val="15"/>
                <w:color w:val="auto"/>
              </w:rPr>
              <w:t>2,461,048 (3)</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5"/>
                <w:szCs w:val="15"/>
                <w:color w:val="auto"/>
              </w:rPr>
              <w:t>5.4%</w:t>
            </w:r>
          </w:p>
        </w:tc>
        <w:tc>
          <w:tcPr>
            <w:tcW w:w="260" w:type="dxa"/>
            <w:vAlign w:val="bottom"/>
          </w:tcPr>
          <w:p>
            <w:pPr>
              <w:spacing w:after="0"/>
              <w:rPr>
                <w:sz w:val="19"/>
                <w:szCs w:val="19"/>
                <w:color w:val="auto"/>
              </w:rPr>
            </w:pPr>
          </w:p>
        </w:tc>
        <w:tc>
          <w:tcPr>
            <w:tcW w:w="1320" w:type="dxa"/>
            <w:vAlign w:val="bottom"/>
          </w:tcPr>
          <w:p>
            <w:pPr>
              <w:jc w:val="right"/>
              <w:ind w:right="54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2,461,048</w:t>
            </w:r>
          </w:p>
        </w:tc>
        <w:tc>
          <w:tcPr>
            <w:tcW w:w="400" w:type="dxa"/>
            <w:vAlign w:val="bottom"/>
          </w:tcPr>
          <w:p>
            <w:pPr>
              <w:jc w:val="right"/>
              <w:ind w:right="124"/>
              <w:spacing w:after="0"/>
              <w:rPr>
                <w:sz w:val="20"/>
                <w:szCs w:val="20"/>
                <w:color w:val="auto"/>
              </w:rPr>
            </w:pPr>
            <w:r>
              <w:rPr>
                <w:rFonts w:ascii="Arial" w:cs="Arial" w:eastAsia="Arial" w:hAnsi="Arial"/>
                <w:sz w:val="15"/>
                <w:szCs w:val="15"/>
                <w:color w:val="auto"/>
                <w:w w:val="97"/>
              </w:rPr>
              <w:t>(3)</w:t>
            </w:r>
          </w:p>
        </w:tc>
        <w:tc>
          <w:tcPr>
            <w:tcW w:w="260" w:type="dxa"/>
            <w:vAlign w:val="bottom"/>
          </w:tcPr>
          <w:p>
            <w:pPr>
              <w:spacing w:after="0"/>
              <w:rPr>
                <w:sz w:val="19"/>
                <w:szCs w:val="19"/>
                <w:color w:val="auto"/>
              </w:rPr>
            </w:pPr>
          </w:p>
        </w:tc>
        <w:tc>
          <w:tcPr>
            <w:tcW w:w="1320" w:type="dxa"/>
            <w:vAlign w:val="bottom"/>
          </w:tcPr>
          <w:p>
            <w:pPr>
              <w:jc w:val="right"/>
              <w:ind w:right="544"/>
              <w:spacing w:after="0"/>
              <w:rPr>
                <w:sz w:val="20"/>
                <w:szCs w:val="20"/>
                <w:color w:val="auto"/>
              </w:rPr>
            </w:pPr>
            <w:r>
              <w:rPr>
                <w:rFonts w:ascii="Arial" w:cs="Arial" w:eastAsia="Arial" w:hAnsi="Arial"/>
                <w:sz w:val="15"/>
                <w:szCs w:val="15"/>
                <w:color w:val="auto"/>
              </w:rPr>
              <w:t>0</w:t>
            </w:r>
          </w:p>
        </w:tc>
        <w:tc>
          <w:tcPr>
            <w:tcW w:w="2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rPr>
              <w:t>2,461,048 (3)</w:t>
            </w:r>
          </w:p>
        </w:tc>
      </w:tr>
    </w:tbl>
    <w:p>
      <w:pPr>
        <w:spacing w:after="0" w:line="330" w:lineRule="exact"/>
        <w:rPr>
          <w:sz w:val="20"/>
          <w:szCs w:val="20"/>
          <w:color w:val="auto"/>
        </w:rPr>
      </w:pPr>
    </w:p>
    <w:p>
      <w:pPr>
        <w:ind w:right="260" w:firstLine="8"/>
        <w:spacing w:after="0" w:line="248" w:lineRule="auto"/>
        <w:tabs>
          <w:tab w:leader="none" w:pos="2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percentages of the class of securities beneficially owned by each reporting person is based on 45,205,666 ordinary shares, comprised of 40,385,058 Class A Ordinary Shares and 4,820,608 Class B Ordinary Shares, outstanding as of September 30, 2020, as reported in the Issuer’s Form 6-K filed with the Securities and Exchange Commission (the “SEC”) on November 24, 2020, and the number of ordinary shares such person or group has the right to acquire upon the exercise of options, warrants or other rights within 60 days after December 31, 2020.</w:t>
      </w:r>
    </w:p>
    <w:p>
      <w:pPr>
        <w:ind w:right="200" w:firstLine="8"/>
        <w:spacing w:after="0" w:line="242" w:lineRule="auto"/>
        <w:tabs>
          <w:tab w:leader="none" w:pos="2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(i) 2,320,028 Class B Ordinary Shares held by Igomax Inc., which may be converted into 2,320,028 Class A Ordinary Shares at any time by the holder thereof; (ii) 27,913 Class A Ordinary Shares that are issuable upon exercise of options held in trust by Mr. Jian Tang; (iii) 133,521 Class A ordinary shares directly held by Igomax Inc.; and (iv) 7,499 Class A Ordinary Shares that Igomax Inc. has the right to obtain upon conversion of certain restricted share units it holds. Mr. Jian Tang is the sole director of Igomax Inc..</w:t>
      </w:r>
    </w:p>
    <w:p>
      <w:pPr>
        <w:spacing w:after="0" w:line="160" w:lineRule="exact"/>
        <w:rPr>
          <w:rFonts w:ascii="Arial" w:cs="Arial" w:eastAsia="Arial" w:hAnsi="Arial"/>
          <w:sz w:val="14"/>
          <w:szCs w:val="14"/>
          <w:color w:val="auto"/>
        </w:rPr>
      </w:pPr>
    </w:p>
    <w:p>
      <w:pPr>
        <w:ind w:right="280" w:firstLine="8"/>
        <w:spacing w:after="0" w:line="252" w:lineRule="auto"/>
        <w:tabs>
          <w:tab w:leader="none" w:pos="2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(i) 2,320,028 Class B Ordinary Shares held by Igomax Inc., which may be converted into 2,320,028 Class A Ordinary Shares at any time by the holder thereof; (ii) 133,521 Class A ordinary shares directly held by Igomax Inc.; and (iii) 7,499 Class A Ordinary Shares that Igomax Inc. has the right to obtain upon conversion of certain restricted share units it holds.</w:t>
      </w:r>
    </w:p>
    <w:p>
      <w:pPr>
        <w:spacing w:after="0" w:line="121"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4"/>
          <w:szCs w:val="14"/>
          <w:b w:val="1"/>
          <w:bCs w:val="1"/>
          <w:color w:val="auto"/>
        </w:rPr>
        <w:t>Ownership of Five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10160</wp:posOffset>
            </wp:positionV>
            <wp:extent cx="58807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spacing w:after="0" w:line="391"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4"/>
          <w:szCs w:val="14"/>
          <w:b w:val="1"/>
          <w:bCs w:val="1"/>
          <w:color w:val="auto"/>
        </w:rPr>
        <w:t>Ownership of More than Five Percent on Behalf of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10160</wp:posOffset>
            </wp:positionV>
            <wp:extent cx="58807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spacing w:after="0" w:line="391" w:lineRule="exact"/>
        <w:rPr>
          <w:sz w:val="20"/>
          <w:szCs w:val="20"/>
          <w:color w:val="auto"/>
        </w:rPr>
      </w:pPr>
    </w:p>
    <w:p>
      <w:pPr>
        <w:ind w:left="1060" w:right="1340" w:hanging="998"/>
        <w:spacing w:after="0" w:line="323" w:lineRule="auto"/>
        <w:tabs>
          <w:tab w:leader="none" w:pos="104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Identification and Classification of the Subsidiary Which Acquired the Security Being Reported on By the Parent Holding Company or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-50800</wp:posOffset>
            </wp:positionV>
            <wp:extent cx="5880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073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-161925</wp:posOffset>
            </wp:positionV>
            <wp:extent cx="58807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spacing w:after="0" w:line="391"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4"/>
          <w:szCs w:val="14"/>
          <w:b w:val="1"/>
          <w:bCs w:val="1"/>
          <w:color w:val="auto"/>
        </w:rPr>
        <w:t>Identification and Classification of Members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10160</wp:posOffset>
            </wp:positionV>
            <wp:extent cx="5880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spacing w:after="0" w:line="19"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4"/>
          <w:szCs w:val="14"/>
          <w:b w:val="1"/>
          <w:bCs w:val="1"/>
          <w:color w:val="auto"/>
        </w:rPr>
        <w:t>Notice of Dissolution of Group</w:t>
      </w:r>
    </w:p>
    <w:p>
      <w:pPr>
        <w:sectPr>
          <w:pgSz w:w="11900" w:h="16838" w:orient="portrait"/>
          <w:cols w:equalWidth="0" w:num="1">
            <w:col w:w="11340"/>
          </w:cols>
          <w:pgMar w:left="320" w:top="354"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876935</wp:posOffset>
            </wp:positionH>
            <wp:positionV relativeFrom="page">
              <wp:posOffset>157480</wp:posOffset>
            </wp:positionV>
            <wp:extent cx="58807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80735" cy="8255"/>
                    </a:xfrm>
                    <a:prstGeom prst="rect">
                      <a:avLst/>
                    </a:prstGeom>
                    <a:noFill/>
                  </pic:spPr>
                </pic:pic>
              </a:graphicData>
            </a:graphic>
          </wp:anchor>
        </w:drawing>
        <w:t>Not applicable</w:t>
      </w:r>
    </w:p>
    <w:p>
      <w:pPr>
        <w:spacing w:after="0" w:line="27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103505</wp:posOffset>
            </wp:positionV>
            <wp:extent cx="7149465"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14630"/>
                    </a:xfrm>
                    <a:prstGeom prst="rect">
                      <a:avLst/>
                    </a:prstGeom>
                    <a:noFill/>
                  </pic:spPr>
                </pic:pic>
              </a:graphicData>
            </a:graphic>
          </wp:anchor>
        </w:drawing>
      </w:r>
    </w:p>
    <w:p>
      <w:pPr>
        <w:sectPr>
          <w:pgSz w:w="11900" w:h="16838" w:orient="portrait"/>
          <w:cols w:equalWidth="0" w:num="1">
            <w:col w:w="10079"/>
          </w:cols>
          <w:pgMar w:left="380" w:top="383" w:right="1440" w:bottom="1440" w:gutter="0" w:footer="0" w:header="0"/>
        </w:sectPr>
      </w:pPr>
    </w:p>
    <w:bookmarkStart w:id="5" w:name="page6"/>
    <w:bookmarkEnd w:id="5"/>
    <w:p>
      <w:pPr>
        <w:ind w:left="60"/>
        <w:spacing w:after="0"/>
        <w:tabs>
          <w:tab w:leader="none" w:pos="162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4"/>
          <w:szCs w:val="14"/>
          <w:b w:val="1"/>
          <w:bCs w:val="1"/>
          <w:u w:val="single" w:color="auto"/>
          <w:color w:val="auto"/>
        </w:rPr>
        <w:t>Certifications</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SIGNATURE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10, 2021</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60" w:type="dxa"/>
            <w:vAlign w:val="bottom"/>
          </w:tcPr>
          <w:p>
            <w:pPr>
              <w:spacing w:after="0"/>
              <w:rPr>
                <w:sz w:val="20"/>
                <w:szCs w:val="20"/>
                <w:color w:val="auto"/>
              </w:rPr>
            </w:pPr>
            <w:r>
              <w:rPr>
                <w:rFonts w:ascii="Arial" w:cs="Arial" w:eastAsia="Arial" w:hAnsi="Arial"/>
                <w:sz w:val="14"/>
                <w:szCs w:val="14"/>
                <w:color w:val="auto"/>
              </w:rPr>
              <w:t>Jian Tang</w:t>
            </w:r>
          </w:p>
        </w:tc>
        <w:tc>
          <w:tcPr>
            <w:tcW w:w="2280" w:type="dxa"/>
            <w:vAlign w:val="bottom"/>
          </w:tcPr>
          <w:p>
            <w:pPr>
              <w:spacing w:after="0"/>
              <w:rPr>
                <w:sz w:val="15"/>
                <w:szCs w:val="15"/>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Jian Tang</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5"/>
        </w:trPr>
        <w:tc>
          <w:tcPr>
            <w:tcW w:w="2960" w:type="dxa"/>
            <w:vAlign w:val="bottom"/>
          </w:tcPr>
          <w:p>
            <w:pPr>
              <w:spacing w:after="0"/>
              <w:rPr>
                <w:sz w:val="20"/>
                <w:szCs w:val="20"/>
                <w:color w:val="auto"/>
              </w:rPr>
            </w:pPr>
            <w:r>
              <w:rPr>
                <w:rFonts w:ascii="Arial" w:cs="Arial" w:eastAsia="Arial" w:hAnsi="Arial"/>
                <w:sz w:val="14"/>
                <w:szCs w:val="14"/>
                <w:color w:val="auto"/>
              </w:rPr>
              <w:t>Igomax Inc.</w:t>
            </w:r>
          </w:p>
        </w:tc>
        <w:tc>
          <w:tcPr>
            <w:tcW w:w="22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By:</w:t>
            </w:r>
          </w:p>
        </w:tc>
        <w:tc>
          <w:tcPr>
            <w:tcW w:w="4420" w:type="dxa"/>
            <w:vAlign w:val="bottom"/>
            <w:gridSpan w:val="2"/>
          </w:tcPr>
          <w:p>
            <w:pPr>
              <w:spacing w:after="0"/>
              <w:rPr>
                <w:sz w:val="20"/>
                <w:szCs w:val="20"/>
                <w:color w:val="auto"/>
              </w:rPr>
            </w:pPr>
            <w:r>
              <w:rPr>
                <w:rFonts w:ascii="Arial" w:cs="Arial" w:eastAsia="Arial" w:hAnsi="Arial"/>
                <w:sz w:val="14"/>
                <w:szCs w:val="14"/>
                <w:color w:val="auto"/>
              </w:rPr>
              <w:t>/s/ Jian Tang</w:t>
            </w:r>
          </w:p>
        </w:tc>
        <w:tc>
          <w:tcPr>
            <w:tcW w:w="940" w:type="dxa"/>
            <w:vAlign w:val="bottom"/>
          </w:tcPr>
          <w:p>
            <w:pPr>
              <w:spacing w:after="0"/>
              <w:rPr>
                <w:sz w:val="24"/>
                <w:szCs w:val="24"/>
                <w:color w:val="auto"/>
              </w:rPr>
            </w:pPr>
          </w:p>
        </w:tc>
      </w:tr>
      <w:tr>
        <w:trPr>
          <w:trHeight w:val="183"/>
        </w:trPr>
        <w:tc>
          <w:tcPr>
            <w:tcW w:w="29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Name:</w:t>
            </w:r>
          </w:p>
        </w:tc>
        <w:tc>
          <w:tcPr>
            <w:tcW w:w="4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Jian Tang</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4"/>
        </w:trPr>
        <w:tc>
          <w:tcPr>
            <w:tcW w:w="29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Title:</w:t>
            </w:r>
          </w:p>
        </w:tc>
        <w:tc>
          <w:tcPr>
            <w:tcW w:w="442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940" w:type="dxa"/>
            <w:vAlign w:val="bottom"/>
          </w:tcPr>
          <w:p>
            <w:pPr>
              <w:spacing w:after="0"/>
              <w:rPr>
                <w:sz w:val="16"/>
                <w:szCs w:val="16"/>
                <w:color w:val="auto"/>
              </w:rPr>
            </w:pPr>
          </w:p>
        </w:tc>
      </w:tr>
      <w:tr>
        <w:trPr>
          <w:trHeight w:val="392"/>
        </w:trPr>
        <w:tc>
          <w:tcPr>
            <w:tcW w:w="2960" w:type="dxa"/>
            <w:vAlign w:val="bottom"/>
          </w:tcPr>
          <w:p>
            <w:pPr>
              <w:spacing w:after="0"/>
              <w:rPr>
                <w:sz w:val="24"/>
                <w:szCs w:val="24"/>
                <w:color w:val="auto"/>
              </w:rPr>
            </w:pPr>
          </w:p>
        </w:tc>
        <w:tc>
          <w:tcPr>
            <w:tcW w:w="2940" w:type="dxa"/>
            <w:vAlign w:val="bottom"/>
            <w:gridSpan w:val="2"/>
          </w:tcPr>
          <w:p>
            <w:pPr>
              <w:jc w:val="right"/>
              <w:ind w:right="588"/>
              <w:spacing w:after="0"/>
              <w:rPr>
                <w:sz w:val="20"/>
                <w:szCs w:val="20"/>
                <w:color w:val="auto"/>
              </w:rPr>
            </w:pPr>
            <w:r>
              <w:rPr>
                <w:rFonts w:ascii="Arial" w:cs="Arial" w:eastAsia="Arial" w:hAnsi="Arial"/>
                <w:sz w:val="14"/>
                <w:szCs w:val="14"/>
                <w:color w:val="auto"/>
              </w:rPr>
              <w:t>6</w:t>
            </w: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3"/>
        </w:trPr>
        <w:tc>
          <w:tcPr>
            <w:tcW w:w="296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940" w:type="dxa"/>
            <w:vAlign w:val="bottom"/>
          </w:tcPr>
          <w:p>
            <w:pPr>
              <w:spacing w:after="0"/>
              <w:rPr>
                <w:sz w:val="8"/>
                <w:szCs w:val="8"/>
                <w:color w:val="auto"/>
              </w:rPr>
            </w:pPr>
          </w:p>
        </w:tc>
      </w:tr>
      <w:tr>
        <w:trPr>
          <w:trHeight w:val="378"/>
        </w:trPr>
        <w:tc>
          <w:tcPr>
            <w:tcW w:w="29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1714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 cy="25400"/>
                    </a:xfrm>
                    <a:prstGeom prst="rect">
                      <a:avLst/>
                    </a:prstGeom>
                    <a:noFill/>
                  </pic:spPr>
                </pic:pic>
              </a:graphicData>
            </a:graphic>
          </wp:anchor>
        </w:drawing>
      </w:r>
    </w:p>
    <w:p>
      <w:pPr>
        <w:sectPr>
          <w:pgSz w:w="11900" w:h="16838" w:orient="portrait"/>
          <w:cols w:equalWidth="0" w:num="1">
            <w:col w:w="11260"/>
          </w:cols>
          <w:pgMar w:left="320" w:top="354" w:right="319" w:bottom="1440" w:gutter="0" w:footer="0" w:header="0"/>
        </w:sectPr>
      </w:pPr>
    </w:p>
    <w:bookmarkStart w:id="6" w:name="page7"/>
    <w:bookmarkEnd w:id="6"/>
    <w:p>
      <w:pPr>
        <w:jc w:val="right"/>
        <w:ind w:right="4019"/>
        <w:spacing w:after="0"/>
        <w:rPr>
          <w:sz w:val="20"/>
          <w:szCs w:val="20"/>
          <w:color w:val="auto"/>
        </w:rPr>
      </w:pPr>
      <w:r>
        <w:rPr>
          <w:rFonts w:ascii="Arial" w:cs="Arial" w:eastAsia="Arial" w:hAnsi="Arial"/>
          <w:sz w:val="16"/>
          <w:szCs w:val="16"/>
          <w:b w:val="1"/>
          <w:bCs w:val="1"/>
          <w:color w:val="auto"/>
        </w:rPr>
        <w:t>LIST OF EXHIBITS</w:t>
      </w:r>
    </w:p>
    <w:p>
      <w:pPr>
        <w:spacing w:after="0" w:line="196"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Exhibit 99.1 — </w:t>
      </w:r>
      <w:hyperlink w:anchor="page8">
        <w:r>
          <w:rPr>
            <w:rFonts w:ascii="Arial" w:cs="Arial" w:eastAsia="Arial" w:hAnsi="Arial"/>
            <w:sz w:val="16"/>
            <w:szCs w:val="16"/>
            <w:u w:val="single" w:color="auto"/>
            <w:color w:val="0000EE"/>
          </w:rPr>
          <w:t>Joint Filing Agreement</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54050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0500" cy="26035"/>
                    </a:xfrm>
                    <a:prstGeom prst="rect">
                      <a:avLst/>
                    </a:prstGeom>
                    <a:noFill/>
                  </pic:spPr>
                </pic:pic>
              </a:graphicData>
            </a:graphic>
          </wp:anchor>
        </w:drawing>
      </w:r>
    </w:p>
    <w:p>
      <w:pPr>
        <w:sectPr>
          <w:pgSz w:w="11900" w:h="16838" w:orient="portrait"/>
          <w:cols w:equalWidth="0" w:num="1">
            <w:col w:w="10139"/>
          </w:cols>
          <w:pgMar w:left="320" w:top="349"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5"/>
          <w:szCs w:val="15"/>
          <w:b w:val="1"/>
          <w:bCs w:val="1"/>
          <w:color w:val="auto"/>
        </w:rPr>
        <w:t>Exhibit 99.1</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JOINT FILING AGREEMENT</w:t>
      </w:r>
    </w:p>
    <w:p>
      <w:pPr>
        <w:spacing w:after="0" w:line="201"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undersigned hereby execute this Agreement as of February 10, 2021.</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20"/>
                <w:szCs w:val="20"/>
                <w:color w:val="auto"/>
              </w:rPr>
            </w:pPr>
            <w:r>
              <w:rPr>
                <w:rFonts w:ascii="Arial" w:cs="Arial" w:eastAsia="Arial" w:hAnsi="Arial"/>
                <w:sz w:val="14"/>
                <w:szCs w:val="14"/>
                <w:color w:val="auto"/>
              </w:rPr>
              <w:t>Jian Tang</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Jian Tang</w:t>
            </w:r>
          </w:p>
        </w:tc>
        <w:tc>
          <w:tcPr>
            <w:tcW w:w="60" w:type="dxa"/>
            <w:vAlign w:val="bottom"/>
          </w:tcPr>
          <w:p>
            <w:pPr>
              <w:spacing w:after="0"/>
              <w:rPr>
                <w:sz w:val="15"/>
                <w:szCs w:val="15"/>
                <w:color w:val="auto"/>
              </w:rPr>
            </w:pPr>
          </w:p>
        </w:tc>
      </w:tr>
      <w:tr>
        <w:trPr>
          <w:trHeight w:val="358"/>
        </w:trPr>
        <w:tc>
          <w:tcPr>
            <w:tcW w:w="5240" w:type="dxa"/>
            <w:vAlign w:val="bottom"/>
          </w:tcPr>
          <w:p>
            <w:pPr>
              <w:spacing w:after="0"/>
              <w:rPr>
                <w:sz w:val="20"/>
                <w:szCs w:val="20"/>
                <w:color w:val="auto"/>
              </w:rPr>
            </w:pPr>
            <w:r>
              <w:rPr>
                <w:rFonts w:ascii="Arial" w:cs="Arial" w:eastAsia="Arial" w:hAnsi="Arial"/>
                <w:sz w:val="14"/>
                <w:szCs w:val="14"/>
                <w:color w:val="auto"/>
              </w:rPr>
              <w:t>Igomax Inc.</w:t>
            </w:r>
          </w:p>
        </w:tc>
        <w:tc>
          <w:tcPr>
            <w:tcW w:w="680" w:type="dxa"/>
            <w:vAlign w:val="bottom"/>
          </w:tcPr>
          <w:p>
            <w:pPr>
              <w:spacing w:after="0"/>
              <w:rPr>
                <w:sz w:val="20"/>
                <w:szCs w:val="20"/>
                <w:color w:val="auto"/>
              </w:rPr>
            </w:pPr>
            <w:r>
              <w:rPr>
                <w:rFonts w:ascii="Arial" w:cs="Arial" w:eastAsia="Arial" w:hAnsi="Arial"/>
                <w:sz w:val="14"/>
                <w:szCs w:val="14"/>
                <w:color w:val="auto"/>
              </w:rPr>
              <w:t>By:</w:t>
            </w:r>
          </w:p>
        </w:tc>
        <w:tc>
          <w:tcPr>
            <w:tcW w:w="4400" w:type="dxa"/>
            <w:vAlign w:val="bottom"/>
            <w:gridSpan w:val="2"/>
          </w:tcPr>
          <w:p>
            <w:pPr>
              <w:spacing w:after="0"/>
              <w:rPr>
                <w:sz w:val="20"/>
                <w:szCs w:val="20"/>
                <w:color w:val="auto"/>
              </w:rPr>
            </w:pPr>
            <w:r>
              <w:rPr>
                <w:rFonts w:ascii="Arial" w:cs="Arial" w:eastAsia="Arial" w:hAnsi="Arial"/>
                <w:sz w:val="14"/>
                <w:szCs w:val="14"/>
                <w:color w:val="auto"/>
              </w:rPr>
              <w:t>/s/ Jian Tang</w:t>
            </w:r>
          </w:p>
        </w:tc>
      </w:tr>
      <w:tr>
        <w:trPr>
          <w:trHeight w:val="183"/>
        </w:trPr>
        <w:tc>
          <w:tcPr>
            <w:tcW w:w="524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Name:</w:t>
            </w:r>
          </w:p>
        </w:tc>
        <w:tc>
          <w:tcPr>
            <w:tcW w:w="43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Jian Tang</w:t>
            </w:r>
          </w:p>
        </w:tc>
        <w:tc>
          <w:tcPr>
            <w:tcW w:w="60" w:type="dxa"/>
            <w:vAlign w:val="bottom"/>
          </w:tcPr>
          <w:p>
            <w:pPr>
              <w:spacing w:after="0"/>
              <w:rPr>
                <w:sz w:val="15"/>
                <w:szCs w:val="15"/>
                <w:color w:val="auto"/>
              </w:rPr>
            </w:pPr>
          </w:p>
        </w:tc>
      </w:tr>
      <w:tr>
        <w:trPr>
          <w:trHeight w:val="194"/>
        </w:trPr>
        <w:tc>
          <w:tcPr>
            <w:tcW w:w="524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Title:</w:t>
            </w:r>
          </w:p>
        </w:tc>
        <w:tc>
          <w:tcPr>
            <w:tcW w:w="4400" w:type="dxa"/>
            <w:vAlign w:val="bottom"/>
            <w:gridSpan w:val="2"/>
          </w:tcPr>
          <w:p>
            <w:pPr>
              <w:spacing w:after="0"/>
              <w:rPr>
                <w:sz w:val="20"/>
                <w:szCs w:val="20"/>
                <w:color w:val="auto"/>
              </w:rPr>
            </w:pPr>
            <w:r>
              <w:rPr>
                <w:rFonts w:ascii="Arial" w:cs="Arial" w:eastAsia="Arial" w:hAnsi="Arial"/>
                <w:sz w:val="14"/>
                <w:szCs w:val="14"/>
                <w:color w:val="auto"/>
              </w:rPr>
              <w:t>Director</w:t>
            </w:r>
          </w:p>
        </w:tc>
      </w:tr>
      <w:tr>
        <w:trPr>
          <w:trHeight w:val="467"/>
        </w:trPr>
        <w:tc>
          <w:tcPr>
            <w:tcW w:w="52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714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 cy="26035"/>
                    </a:xfrm>
                    <a:prstGeom prst="rect">
                      <a:avLst/>
                    </a:prstGeom>
                    <a:noFill/>
                  </pic:spPr>
                </pic:pic>
              </a:graphicData>
            </a:graphic>
          </wp:anchor>
        </w:drawing>
      </w:r>
    </w:p>
    <w:sectPr>
      <w:pgSz w:w="11900" w:h="16838" w:orient="portrait"/>
      <w:cols w:equalWidth="0" w:num="1">
        <w:col w:w="11240"/>
      </w:cols>
      <w:pgMar w:left="320" w:top="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lvl w:ilvl="1">
      <w:lvlJc w:val="left"/>
      <w:lvlText w:val="(%2)"/>
      <w:numFmt w:val="lowerLetter"/>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5"/>
      <w:numFmt w:val="bullet"/>
      <w:start w:val="1"/>
    </w:lvl>
  </w:abstractNum>
  <w:abstractNum w:abstractNumId="6">
    <w:nsid w:val="140E0F76"/>
    <w:multiLevelType w:val="hybridMultilevel"/>
    <w:lvl w:ilvl="0">
      <w:lvlJc w:val="left"/>
      <w:lvlText w:val="8"/>
      <w:numFmt w:val="bullet"/>
      <w:start w:val="1"/>
    </w:lvl>
  </w:abstractNum>
  <w:abstractNum w:abstractNumId="7">
    <w:nsid w:val="3352255A"/>
    <w:multiLevelType w:val="hybridMultilevel"/>
    <w:lvl w:ilvl="0">
      <w:lvlJc w:val="left"/>
      <w:lvlText w:val="9"/>
      <w:numFmt w:val="bullet"/>
      <w:start w:val="1"/>
    </w:lvl>
  </w:abstractNum>
  <w:abstractNum w:abstractNumId="8">
    <w:nsid w:val="109CF92E"/>
    <w:multiLevelType w:val="hybridMultilevel"/>
    <w:lvl w:ilvl="0">
      <w:lvlJc w:val="left"/>
      <w:lvlText w:val="%1"/>
      <w:numFmt w:val="decimal"/>
      <w:start w:val="10"/>
    </w:lvl>
  </w:abstractNum>
  <w:abstractNum w:abstractNumId="9">
    <w:nsid w:val="DED7263"/>
    <w:multiLevelType w:val="hybridMultilevel"/>
    <w:lvl w:ilvl="0">
      <w:lvlJc w:val="left"/>
      <w:lvlText w:val="1"/>
      <w:numFmt w:val="bullet"/>
      <w:start w:val="1"/>
    </w:lvl>
  </w:abstractNum>
  <w:abstractNum w:abstractNumId="10">
    <w:nsid w:val="7FDCC233"/>
    <w:multiLevelType w:val="hybridMultilevel"/>
    <w:lvl w:ilvl="0">
      <w:lvlJc w:val="left"/>
      <w:lvlText w:val="2"/>
      <w:numFmt w:val="bullet"/>
      <w:start w:val="1"/>
    </w:lvl>
    <w:lvl w:ilvl="1">
      <w:lvlJc w:val="left"/>
      <w:lvlText w:val="(%2)"/>
      <w:numFmt w:val="lowerLetter"/>
      <w:start w:val="1"/>
    </w:lvl>
  </w:abstractNum>
  <w:abstractNum w:abstractNumId="11">
    <w:nsid w:val="1BEFD79F"/>
    <w:multiLevelType w:val="hybridMultilevel"/>
    <w:lvl w:ilvl="0">
      <w:lvlJc w:val="left"/>
      <w:lvlText w:val="3"/>
      <w:numFmt w:val="bullet"/>
      <w:start w:val="1"/>
    </w:lvl>
  </w:abstractNum>
  <w:abstractNum w:abstractNumId="12">
    <w:nsid w:val="41A7C4C9"/>
    <w:multiLevelType w:val="hybridMultilevel"/>
    <w:lvl w:ilvl="0">
      <w:lvlJc w:val="left"/>
      <w:lvlText w:val="4"/>
      <w:numFmt w:val="bullet"/>
      <w:start w:val="1"/>
    </w:lvl>
  </w:abstractNum>
  <w:abstractNum w:abstractNumId="13">
    <w:nsid w:val="6B68079A"/>
    <w:multiLevelType w:val="hybridMultilevel"/>
    <w:lvl w:ilvl="0">
      <w:lvlJc w:val="left"/>
      <w:lvlText w:val="5"/>
      <w:numFmt w:val="bullet"/>
      <w:start w:val="1"/>
    </w:lvl>
  </w:abstractNum>
  <w:abstractNum w:abstractNumId="14">
    <w:nsid w:val="4E6AFB66"/>
    <w:multiLevelType w:val="hybridMultilevel"/>
    <w:lvl w:ilvl="0">
      <w:lvlJc w:val="left"/>
      <w:lvlText w:val="8"/>
      <w:numFmt w:val="bullet"/>
      <w:start w:val="1"/>
    </w:lvl>
  </w:abstractNum>
  <w:abstractNum w:abstractNumId="15">
    <w:nsid w:val="25E45D32"/>
    <w:multiLevelType w:val="hybridMultilevel"/>
    <w:lvl w:ilvl="0">
      <w:lvlJc w:val="left"/>
      <w:lvlText w:val="9"/>
      <w:numFmt w:val="bullet"/>
      <w:start w:val="1"/>
    </w:lvl>
  </w:abstractNum>
  <w:abstractNum w:abstractNumId="16">
    <w:nsid w:val="519B500D"/>
    <w:multiLevelType w:val="hybridMultilevel"/>
    <w:lvl w:ilvl="0">
      <w:lvlJc w:val="left"/>
      <w:lvlText w:val="%1"/>
      <w:numFmt w:val="decimal"/>
      <w:start w:val="10"/>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2021-02-10T15:14:38Z</dcterms:created>
  <dcterms:modified xsi:type="dcterms:W3CDTF">2021-02-10T15:14:38Z</dcterms:modified>
</cp:coreProperties>
</file>