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Tsang Hing Sze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Flat 704, 7/F, Block B</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Tak Wah House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Tak Keung Court, Lok Fu, Kowloon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+852 3700 9000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376"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44" w:right="4660" w:firstLine="3"/>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Tsang Hing Sze</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191"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right="6580" w:hanging="417"/>
        <w:spacing w:after="0" w:line="395" w:lineRule="auto"/>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 S.A.R.</w:t>
      </w:r>
    </w:p>
    <w:p>
      <w:pPr>
        <w:spacing w:after="0" w:line="1" w:lineRule="exact"/>
        <w:rPr>
          <w:rFonts w:ascii="Times New Roman" w:cs="Times New Roman" w:eastAsia="Times New Roman" w:hAnsi="Times New Roman"/>
          <w:sz w:val="18"/>
          <w:szCs w:val="18"/>
          <w:color w:val="auto"/>
        </w:rPr>
      </w:pPr>
    </w:p>
    <w:p>
      <w:pPr>
        <w:ind w:left="2124" w:hanging="414"/>
        <w:spacing w:after="0"/>
        <w:tabs>
          <w:tab w:leader="none" w:pos="21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204" w:type="dxa"/>
        <w:tblCellMar>
          <w:top w:w="0" w:type="dxa"/>
          <w:left w:w="0" w:type="dxa"/>
          <w:bottom w:w="0" w:type="dxa"/>
          <w:right w:w="0" w:type="dxa"/>
        </w:tblCellMar>
      </w:tblPr>
      <w:tr>
        <w:trPr>
          <w:trHeight w:val="29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24"/>
                <w:szCs w:val="24"/>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36,040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36,040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7"/>
                <w:szCs w:val="17"/>
                <w:color w:val="auto"/>
              </w:rPr>
            </w:pPr>
          </w:p>
        </w:tc>
        <w:tc>
          <w:tcPr>
            <w:tcW w:w="8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24" w:right="6240" w:hanging="504"/>
        <w:spacing w:after="0" w:line="395" w:lineRule="auto"/>
        <w:tabs>
          <w:tab w:leader="none" w:pos="21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3700" w:hanging="507"/>
        <w:spacing w:after="0" w:line="406" w:lineRule="auto"/>
        <w:tabs>
          <w:tab w:leader="none" w:pos="6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36,040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36,040 Class A Ordinary Shares held by the Reporting Person. Does not include 1,630 Class A Ordinary Shares that are issuable upon vesting of restricted stock units held by the Reporting Person that cannot vest within 60 days.</w:t>
      </w:r>
    </w:p>
    <w:p>
      <w:pPr>
        <w:ind w:left="424" w:right="10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Tsang Hing Sze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is being filed because the Reporting Person may be deemed to have a formed a “group” with certain other persons, as described in Item 4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Reporting Person is the Group Chief Operating Officer of CruiSo Digital Solutions Limited (“</w:t>
      </w:r>
      <w:r>
        <w:rPr>
          <w:rFonts w:ascii="Times New Roman" w:cs="Times New Roman" w:eastAsia="Times New Roman" w:hAnsi="Times New Roman"/>
          <w:sz w:val="18"/>
          <w:szCs w:val="18"/>
          <w:u w:val="single" w:color="auto"/>
          <w:color w:val="auto"/>
        </w:rPr>
        <w:t>CruiSo</w:t>
      </w:r>
      <w:r>
        <w:rPr>
          <w:rFonts w:ascii="Times New Roman" w:cs="Times New Roman" w:eastAsia="Times New Roman" w:hAnsi="Times New Roman"/>
          <w:sz w:val="18"/>
          <w:szCs w:val="18"/>
          <w:color w:val="auto"/>
        </w:rPr>
        <w:t>”) a wholly-owned subsidiary of the Issuer that provides online advertising, SaaS products and services. The business address for the Reporting Person and CruiSo is Unit B, 18/F, MG Tower, 133 Hoi Bun Road, Kwun Tong, Hong Kong S.A.R. The Reporting Person is a citizen of Hong Kong S.A.R.</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ectPr>
          <w:pgSz w:w="11900" w:h="16838" w:orient="portrait"/>
          <w:cols w:equalWidth="0" w:num="1">
            <w:col w:w="11000"/>
          </w:cols>
          <w:pgMar w:left="440" w:top="266"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Purpose of Transaction.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the Reporting Person and the other shareholders party thereto (collectively with the Reporting Person,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paragraph (a) – (c) (f) of Item 2 of this Schedule 13D is incorporated herein by reference in its entirety.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described above, the Reporting Person has no plans or proposals which relate to or would result in any of the actions specified in paragraphs</w:t>
      </w:r>
    </w:p>
    <w:p>
      <w:pPr>
        <w:spacing w:after="0" w:line="27" w:lineRule="exact"/>
        <w:rPr>
          <w:sz w:val="20"/>
          <w:szCs w:val="20"/>
          <w:color w:val="auto"/>
        </w:rPr>
      </w:pPr>
    </w:p>
    <w:p>
      <w:pPr>
        <w:ind w:left="4" w:right="200" w:hanging="4"/>
        <w:spacing w:after="0" w:line="255"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260" w:hanging="4"/>
        <w:spacing w:after="0" w:line="286" w:lineRule="auto"/>
        <w:tabs>
          <w:tab w:leader="none" w:pos="25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the Reporting Person to Rows (7) through (13), including the footnotes thereto, of the cover pages of this Schedule 13D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by reference in this Item 5.</w:t>
      </w:r>
    </w:p>
    <w:p>
      <w:pPr>
        <w:spacing w:after="0" w:line="15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w:t>
      </w:r>
    </w:p>
    <w:p>
      <w:pPr>
        <w:sectPr>
          <w:pgSz w:w="11900" w:h="16838" w:orient="portrait"/>
          <w:cols w:equalWidth="0" w:num="1">
            <w:col w:w="10984"/>
          </w:cols>
          <w:pgMar w:left="436" w:top="266" w:right="479" w:bottom="1440" w:gutter="0" w:footer="0" w:header="0"/>
        </w:sectPr>
      </w:pPr>
    </w:p>
    <w:bookmarkStart w:id="4" w:name="page5"/>
    <w:bookmarkEnd w:id="4"/>
    <w:p>
      <w:pPr>
        <w:ind w:left="4"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w:t>
      </w:r>
    </w:p>
    <w:p>
      <w:pPr>
        <w:spacing w:after="0" w:line="1" w:lineRule="exact"/>
        <w:rPr>
          <w:sz w:val="20"/>
          <w:szCs w:val="20"/>
          <w:color w:val="auto"/>
        </w:rPr>
      </w:pPr>
    </w:p>
    <w:p>
      <w:pPr>
        <w:ind w:left="4" w:right="20" w:hanging="4"/>
        <w:spacing w:after="0" w:line="255"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186" w:lineRule="exact"/>
        <w:rPr>
          <w:sz w:val="20"/>
          <w:szCs w:val="20"/>
          <w:color w:val="auto"/>
        </w:rPr>
      </w:pPr>
    </w:p>
    <w:p>
      <w:pPr>
        <w:ind w:left="4" w:right="240" w:hanging="4"/>
        <w:spacing w:after="0" w:line="282" w:lineRule="auto"/>
        <w:tabs>
          <w:tab w:leader="none" w:pos="2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the Reporting Person has not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340" w:hanging="4"/>
        <w:spacing w:after="0" w:line="282" w:lineRule="auto"/>
        <w:tabs>
          <w:tab w:leader="none" w:pos="26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w:t>
      </w:r>
    </w:p>
    <w:p>
      <w:pPr>
        <w:spacing w:after="0" w:line="161"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5080</wp:posOffset>
            </wp:positionV>
            <wp:extent cx="6437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77" w:lineRule="exact"/>
        <w:rPr>
          <w:sz w:val="20"/>
          <w:szCs w:val="20"/>
          <w:color w:val="auto"/>
        </w:rPr>
      </w:pPr>
    </w:p>
    <w:p>
      <w:pPr>
        <w:ind w:left="884" w:hanging="876"/>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3">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the Issuer to the SEC on November 24, 2023.</w:t>
        </w:r>
      </w:hyperlink>
    </w:p>
    <w:p>
      <w:pPr>
        <w:spacing w:after="0" w:line="68" w:lineRule="exact"/>
        <w:rPr>
          <w:rFonts w:ascii="Times New Roman" w:cs="Times New Roman" w:eastAsia="Times New Roman" w:hAnsi="Times New Roman"/>
          <w:sz w:val="18"/>
          <w:szCs w:val="18"/>
          <w:u w:val="single" w:color="auto"/>
          <w:color w:val="0000EE"/>
        </w:rPr>
      </w:pPr>
    </w:p>
    <w:p>
      <w:pPr>
        <w:ind w:left="884" w:right="220" w:hanging="876"/>
        <w:spacing w:after="0" w:line="277" w:lineRule="auto"/>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4">
        <w:r>
          <w:rPr>
            <w:rFonts w:ascii="Times New Roman" w:cs="Times New Roman" w:eastAsia="Times New Roman" w:hAnsi="Times New Roman"/>
            <w:sz w:val="17"/>
            <w:szCs w:val="17"/>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Holdings Limited, Wing Hong Sammy Hsieh, Marine Central Limited, Jianjun Huang, Creative Big Limited, Cheer Lead Global Limited,</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Huge Superpower Limited, Capable Excel Limited, Infinity Global Fund SPC, Integrated Asset Management (Asia) Limited, Chan Nai</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incorporated herein by reference to Exhibit 99.5 of the Schedule 13D/A furnished by the Sponsor to the SEC on November 27, 2023.</w:t>
        </w:r>
      </w:hyperlink>
    </w:p>
    <w:p>
      <w:pPr>
        <w:sectPr>
          <w:pgSz w:w="11900" w:h="16838" w:orient="portrait"/>
          <w:cols w:equalWidth="0" w:num="1">
            <w:col w:w="11024"/>
          </w:cols>
          <w:pgMar w:left="436" w:top="270"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TSANG HING SZE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Tsang Hing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lvl w:ilvl="1">
      <w:lvlJc w:val="left"/>
      <w:lvlText w:val="%2."/>
      <w:numFmt w:val="decimal"/>
      <w:start w:val="7"/>
    </w:lvl>
  </w:abstractNum>
  <w:abstractNum w:abstractNumId="2">
    <w:nsid w:val="507ED7A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2EB141F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3" Type="http://schemas.openxmlformats.org/officeDocument/2006/relationships/hyperlink" Target="http://www.sec.gov/Archives/edgar/data/1697818/000110465923120926/tm2331491d1_ex99-2.htm" TargetMode="External"/><Relationship Id="rId24"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2023-12-04T16:17:53Z</dcterms:created>
  <dcterms:modified xsi:type="dcterms:W3CDTF">2023-12-04T16:17:53Z</dcterms:modified>
</cp:coreProperties>
</file>