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13G</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5,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8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5" w:lineRule="exact"/>
        <w:rPr>
          <w:sz w:val="24"/>
          <w:szCs w:val="24"/>
          <w:color w:val="auto"/>
        </w:rPr>
      </w:pPr>
    </w:p>
    <w:p>
      <w:pPr>
        <w:ind w:firstLine="8"/>
        <w:spacing w:after="0" w:line="277" w:lineRule="auto"/>
        <w:tabs>
          <w:tab w:leader="none" w:pos="14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auto"/>
              <w:right w:val="single" w:sz="8" w:color="auto"/>
            </w:tcBorders>
          </w:tcPr>
          <w:p>
            <w:pPr>
              <w:spacing w:after="0"/>
              <w:rPr>
                <w:sz w:val="23"/>
                <w:szCs w:val="23"/>
                <w:color w:val="auto"/>
              </w:rPr>
            </w:pPr>
          </w:p>
        </w:tc>
        <w:tc>
          <w:tcPr>
            <w:tcW w:w="82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200" w:type="dxa"/>
            <w:vAlign w:val="bottom"/>
            <w:tcBorders>
              <w:top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w w:val="96"/>
              </w:rPr>
              <w:t>Chan Tung Ngai</w:t>
            </w: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240" w:type="dxa"/>
            <w:vAlign w:val="bottom"/>
            <w:tcBorders>
              <w:bottom w:val="single" w:sz="8" w:color="auto"/>
            </w:tcBorders>
            <w:gridSpan w:val="3"/>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60"/>
              <w:spacing w:after="0" w:line="196" w:lineRule="exact"/>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spacing w:after="0"/>
              <w:rPr>
                <w:sz w:val="17"/>
                <w:szCs w:val="17"/>
                <w:color w:val="auto"/>
              </w:rPr>
            </w:pPr>
          </w:p>
        </w:tc>
        <w:tc>
          <w:tcPr>
            <w:tcW w:w="82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2200" w:type="dxa"/>
            <w:vAlign w:val="bottom"/>
            <w:tcBorders>
              <w:right w:val="single" w:sz="8" w:color="auto"/>
            </w:tcBorders>
          </w:tcPr>
          <w:p>
            <w:pPr>
              <w:ind w:left="114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ind w:left="1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tcPr>
          <w:p>
            <w:pPr>
              <w:spacing w:after="0"/>
              <w:rPr>
                <w:sz w:val="21"/>
                <w:szCs w:val="21"/>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w w:val="94"/>
              </w:rPr>
              <w:t>SEC USE ONLY</w:t>
            </w:r>
          </w:p>
        </w:tc>
        <w:tc>
          <w:tcPr>
            <w:tcW w:w="9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3"/>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600" w:type="dxa"/>
            <w:vAlign w:val="bottom"/>
            <w:tcBorders>
              <w:right w:val="single" w:sz="8" w:color="auto"/>
            </w:tcBorders>
          </w:tcPr>
          <w:p>
            <w:pPr>
              <w:spacing w:after="0"/>
              <w:rPr>
                <w:sz w:val="21"/>
                <w:szCs w:val="21"/>
                <w:color w:val="auto"/>
              </w:rPr>
            </w:pPr>
          </w:p>
        </w:tc>
        <w:tc>
          <w:tcPr>
            <w:tcW w:w="824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w w:val="79"/>
              </w:rPr>
              <w:t>5</w:t>
            </w:r>
          </w:p>
        </w:tc>
        <w:tc>
          <w:tcPr>
            <w:tcW w:w="59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19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8"/>
              </w:rPr>
              <w:t>NUMBER OF</w:t>
            </w:r>
          </w:p>
        </w:tc>
        <w:tc>
          <w:tcPr>
            <w:tcW w:w="980" w:type="dxa"/>
            <w:vAlign w:val="bottom"/>
            <w:tcBorders>
              <w:right w:val="single" w:sz="8" w:color="auto"/>
            </w:tcBorders>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2,564,103</w:t>
            </w: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tcBorders>
          </w:tcPr>
          <w:p>
            <w:pPr>
              <w:spacing w:after="0"/>
              <w:rPr>
                <w:sz w:val="2"/>
                <w:szCs w:val="2"/>
                <w:color w:val="auto"/>
              </w:rPr>
            </w:pPr>
          </w:p>
        </w:tc>
        <w:tc>
          <w:tcPr>
            <w:tcW w:w="1920" w:type="dxa"/>
            <w:vAlign w:val="bottom"/>
            <w:tcBorders>
              <w:right w:val="single" w:sz="8" w:color="auto"/>
            </w:tcBorders>
            <w:gridSpan w:val="2"/>
            <w:vMerge w:val="continue"/>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80" w:type="dxa"/>
            <w:vAlign w:val="bottom"/>
            <w:tcBorders>
              <w:left w:val="single" w:sz="8" w:color="auto"/>
            </w:tcBorders>
          </w:tcPr>
          <w:p>
            <w:pPr>
              <w:spacing w:after="0"/>
              <w:rPr>
                <w:sz w:val="4"/>
                <w:szCs w:val="4"/>
                <w:color w:val="auto"/>
              </w:rPr>
            </w:pPr>
          </w:p>
        </w:tc>
        <w:tc>
          <w:tcPr>
            <w:tcW w:w="1920" w:type="dxa"/>
            <w:vAlign w:val="bottom"/>
            <w:tcBorders>
              <w:right w:val="single" w:sz="8" w:color="auto"/>
            </w:tcBorders>
            <w:gridSpan w:val="2"/>
            <w:vMerge w:val="continue"/>
          </w:tcPr>
          <w:p>
            <w:pPr>
              <w:spacing w:after="0"/>
              <w:rPr>
                <w:sz w:val="4"/>
                <w:szCs w:val="4"/>
                <w:color w:val="auto"/>
              </w:rPr>
            </w:pPr>
          </w:p>
        </w:tc>
        <w:tc>
          <w:tcPr>
            <w:tcW w:w="980" w:type="dxa"/>
            <w:vAlign w:val="bottom"/>
            <w:tcBorders>
              <w:right w:val="single" w:sz="8" w:color="auto"/>
            </w:tcBorders>
            <w:vMerge w:val="restart"/>
          </w:tcPr>
          <w:p>
            <w:pPr>
              <w:jc w:val="right"/>
              <w:ind w:right="790"/>
              <w:spacing w:after="0"/>
              <w:rPr>
                <w:sz w:val="20"/>
                <w:szCs w:val="20"/>
                <w:color w:val="auto"/>
              </w:rPr>
            </w:pPr>
            <w:r>
              <w:rPr>
                <w:rFonts w:ascii="Arial" w:cs="Arial" w:eastAsia="Arial" w:hAnsi="Arial"/>
                <w:sz w:val="18"/>
                <w:szCs w:val="18"/>
                <w:color w:val="auto"/>
                <w:w w:val="79"/>
              </w:rPr>
              <w:t>6</w:t>
            </w: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2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4"/>
              </w:rPr>
              <w:t>SHARES</w:t>
            </w:r>
          </w:p>
        </w:tc>
        <w:tc>
          <w:tcPr>
            <w:tcW w:w="980" w:type="dxa"/>
            <w:vAlign w:val="bottom"/>
            <w:tcBorders>
              <w:right w:val="single" w:sz="8" w:color="auto"/>
            </w:tcBorders>
            <w:vMerge w:val="continue"/>
          </w:tcPr>
          <w:p>
            <w:pPr>
              <w:spacing w:after="0"/>
              <w:rPr>
                <w:sz w:val="18"/>
                <w:szCs w:val="18"/>
                <w:color w:val="auto"/>
              </w:rPr>
            </w:pPr>
          </w:p>
        </w:tc>
        <w:tc>
          <w:tcPr>
            <w:tcW w:w="5940" w:type="dxa"/>
            <w:vAlign w:val="bottom"/>
            <w:vMerge w:val="continue"/>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980" w:type="dxa"/>
            <w:vAlign w:val="bottom"/>
            <w:tcBorders>
              <w:right w:val="single" w:sz="8" w:color="auto"/>
            </w:tcBorders>
          </w:tcPr>
          <w:p>
            <w:pPr>
              <w:spacing w:after="0"/>
              <w:rPr>
                <w:sz w:val="18"/>
                <w:szCs w:val="18"/>
                <w:color w:val="auto"/>
              </w:rPr>
            </w:pP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2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9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5"/>
              </w:rPr>
              <w:t>OWNED</w:t>
            </w:r>
          </w:p>
        </w:tc>
        <w:tc>
          <w:tcPr>
            <w:tcW w:w="980" w:type="dxa"/>
            <w:vAlign w:val="bottom"/>
            <w:tcBorders>
              <w:bottom w:val="single" w:sz="8" w:color="auto"/>
              <w:right w:val="single" w:sz="8" w:color="auto"/>
            </w:tcBorders>
          </w:tcPr>
          <w:p>
            <w:pPr>
              <w:spacing w:after="0"/>
              <w:rPr>
                <w:sz w:val="19"/>
                <w:szCs w:val="19"/>
                <w:color w:val="auto"/>
              </w:rPr>
            </w:pPr>
          </w:p>
        </w:tc>
        <w:tc>
          <w:tcPr>
            <w:tcW w:w="594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0" w:type="dxa"/>
            <w:vAlign w:val="bottom"/>
            <w:tcBorders>
              <w:left w:val="single" w:sz="8" w:color="auto"/>
            </w:tcBorders>
          </w:tcPr>
          <w:p>
            <w:pPr>
              <w:spacing w:after="0"/>
              <w:rPr>
                <w:sz w:val="16"/>
                <w:szCs w:val="16"/>
                <w:color w:val="auto"/>
              </w:rPr>
            </w:pPr>
          </w:p>
        </w:tc>
        <w:tc>
          <w:tcPr>
            <w:tcW w:w="1920" w:type="dxa"/>
            <w:vAlign w:val="bottom"/>
            <w:tcBorders>
              <w:right w:val="single" w:sz="8" w:color="auto"/>
            </w:tcBorders>
            <w:gridSpan w:val="2"/>
          </w:tcPr>
          <w:p>
            <w:pPr>
              <w:jc w:val="center"/>
              <w:ind w:right="290"/>
              <w:spacing w:after="0" w:line="189" w:lineRule="exact"/>
              <w:rPr>
                <w:sz w:val="20"/>
                <w:szCs w:val="20"/>
                <w:color w:val="auto"/>
              </w:rPr>
            </w:pPr>
            <w:r>
              <w:rPr>
                <w:rFonts w:ascii="Arial" w:cs="Arial" w:eastAsia="Arial" w:hAnsi="Arial"/>
                <w:sz w:val="18"/>
                <w:szCs w:val="18"/>
                <w:color w:val="auto"/>
                <w:w w:val="98"/>
              </w:rPr>
              <w:t>BY EACH</w:t>
            </w:r>
          </w:p>
        </w:tc>
        <w:tc>
          <w:tcPr>
            <w:tcW w:w="980" w:type="dxa"/>
            <w:vAlign w:val="bottom"/>
            <w:tcBorders>
              <w:right w:val="single" w:sz="8" w:color="auto"/>
            </w:tcBorders>
          </w:tcPr>
          <w:p>
            <w:pPr>
              <w:jc w:val="right"/>
              <w:ind w:right="790"/>
              <w:spacing w:after="0" w:line="189" w:lineRule="exact"/>
              <w:rPr>
                <w:sz w:val="20"/>
                <w:szCs w:val="20"/>
                <w:color w:val="auto"/>
              </w:rPr>
            </w:pPr>
            <w:r>
              <w:rPr>
                <w:rFonts w:ascii="Arial" w:cs="Arial" w:eastAsia="Arial" w:hAnsi="Arial"/>
                <w:sz w:val="18"/>
                <w:szCs w:val="18"/>
                <w:color w:val="auto"/>
                <w:w w:val="79"/>
              </w:rPr>
              <w:t>7</w:t>
            </w:r>
          </w:p>
        </w:tc>
        <w:tc>
          <w:tcPr>
            <w:tcW w:w="59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2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980" w:type="dxa"/>
            <w:vAlign w:val="bottom"/>
            <w:tcBorders>
              <w:right w:val="single" w:sz="8" w:color="auto"/>
            </w:tcBorders>
          </w:tcPr>
          <w:p>
            <w:pPr>
              <w:spacing w:after="0"/>
              <w:rPr>
                <w:sz w:val="18"/>
                <w:szCs w:val="18"/>
                <w:color w:val="auto"/>
              </w:rPr>
            </w:pPr>
          </w:p>
        </w:tc>
        <w:tc>
          <w:tcPr>
            <w:tcW w:w="594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2"/>
              </w:rPr>
              <w:t>PERSON</w:t>
            </w:r>
          </w:p>
        </w:tc>
        <w:tc>
          <w:tcPr>
            <w:tcW w:w="980" w:type="dxa"/>
            <w:vAlign w:val="bottom"/>
            <w:tcBorders>
              <w:right w:val="single" w:sz="8" w:color="auto"/>
            </w:tcBorders>
          </w:tcPr>
          <w:p>
            <w:pPr>
              <w:spacing w:after="0"/>
              <w:rPr>
                <w:sz w:val="18"/>
                <w:szCs w:val="18"/>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2,564,103</w:t>
            </w:r>
          </w:p>
        </w:tc>
        <w:tc>
          <w:tcPr>
            <w:tcW w:w="22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80" w:type="dxa"/>
            <w:vAlign w:val="bottom"/>
            <w:tcBorders>
              <w:left w:val="single" w:sz="8" w:color="auto"/>
            </w:tcBorders>
          </w:tcPr>
          <w:p>
            <w:pPr>
              <w:spacing w:after="0"/>
              <w:rPr>
                <w:sz w:val="7"/>
                <w:szCs w:val="7"/>
                <w:color w:val="auto"/>
              </w:rPr>
            </w:pPr>
          </w:p>
        </w:tc>
        <w:tc>
          <w:tcPr>
            <w:tcW w:w="19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98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980" w:type="dxa"/>
            <w:vAlign w:val="bottom"/>
            <w:tcBorders>
              <w:right w:val="single" w:sz="8" w:color="auto"/>
            </w:tcBorders>
            <w:vMerge w:val="restart"/>
          </w:tcPr>
          <w:p>
            <w:pPr>
              <w:jc w:val="right"/>
              <w:ind w:right="790"/>
              <w:spacing w:after="0"/>
              <w:rPr>
                <w:sz w:val="20"/>
                <w:szCs w:val="20"/>
                <w:color w:val="auto"/>
              </w:rPr>
            </w:pPr>
            <w:r>
              <w:rPr>
                <w:rFonts w:ascii="Arial" w:cs="Arial" w:eastAsia="Arial" w:hAnsi="Arial"/>
                <w:sz w:val="18"/>
                <w:szCs w:val="18"/>
                <w:color w:val="auto"/>
                <w:w w:val="79"/>
              </w:rPr>
              <w:t>8</w:t>
            </w:r>
          </w:p>
        </w:tc>
        <w:tc>
          <w:tcPr>
            <w:tcW w:w="5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-0-</w:t>
            </w: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600" w:type="dxa"/>
            <w:vAlign w:val="bottom"/>
            <w:tcBorders>
              <w:right w:val="single" w:sz="8" w:color="auto"/>
            </w:tcBorders>
          </w:tcPr>
          <w:p>
            <w:pPr>
              <w:spacing w:after="0"/>
              <w:rPr>
                <w:sz w:val="21"/>
                <w:szCs w:val="21"/>
                <w:color w:val="auto"/>
              </w:rPr>
            </w:pPr>
          </w:p>
        </w:tc>
        <w:tc>
          <w:tcPr>
            <w:tcW w:w="824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2,564,103</w:t>
            </w: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600" w:type="dxa"/>
            <w:vAlign w:val="bottom"/>
            <w:tcBorders>
              <w:right w:val="single" w:sz="8" w:color="auto"/>
            </w:tcBorders>
          </w:tcPr>
          <w:p>
            <w:pPr>
              <w:spacing w:after="0"/>
              <w:rPr>
                <w:sz w:val="24"/>
                <w:szCs w:val="24"/>
                <w:color w:val="auto"/>
              </w:rPr>
            </w:pPr>
          </w:p>
        </w:tc>
        <w:tc>
          <w:tcPr>
            <w:tcW w:w="8240" w:type="dxa"/>
            <w:vAlign w:val="bottom"/>
            <w:gridSpan w:val="3"/>
          </w:tcPr>
          <w:p>
            <w:pPr>
              <w:ind w:left="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00" w:type="dxa"/>
            <w:vAlign w:val="bottom"/>
            <w:tcBorders>
              <w:right w:val="single" w:sz="8" w:color="auto"/>
            </w:tcBorders>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1"/>
                <w:szCs w:val="21"/>
                <w:color w:val="auto"/>
              </w:rPr>
            </w:pPr>
          </w:p>
        </w:tc>
        <w:tc>
          <w:tcPr>
            <w:tcW w:w="824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2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7.0%</w:t>
            </w: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auto"/>
            </w:tcBorders>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TYPE OF REPORTING</w:t>
            </w:r>
          </w:p>
        </w:tc>
        <w:tc>
          <w:tcPr>
            <w:tcW w:w="594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PERSON</w:t>
            </w:r>
          </w:p>
        </w:tc>
        <w:tc>
          <w:tcPr>
            <w:tcW w:w="9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Borders>
              <w:lef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8"/>
                <w:szCs w:val="18"/>
                <w:color w:val="auto"/>
              </w:rPr>
              <w:t>IN</w:t>
            </w:r>
          </w:p>
        </w:tc>
        <w:tc>
          <w:tcPr>
            <w:tcW w:w="9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5" w:right="21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G47048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800" w:type="dxa"/>
            <w:vAlign w:val="bottom"/>
            <w:tcBorders>
              <w:top w:val="single" w:sz="8" w:color="auto"/>
              <w:right w:val="single" w:sz="8" w:color="auto"/>
            </w:tcBorders>
          </w:tcPr>
          <w:p>
            <w:pPr>
              <w:spacing w:after="0"/>
              <w:rPr>
                <w:sz w:val="23"/>
                <w:szCs w:val="23"/>
                <w:color w:val="auto"/>
              </w:rPr>
            </w:pPr>
          </w:p>
        </w:tc>
        <w:tc>
          <w:tcPr>
            <w:tcW w:w="81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NAME OF REPORTING PERSON</w:t>
            </w:r>
          </w:p>
        </w:tc>
        <w:tc>
          <w:tcPr>
            <w:tcW w:w="2160" w:type="dxa"/>
            <w:vAlign w:val="bottom"/>
            <w:tcBorders>
              <w:top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Marine Central Limited</w:t>
            </w: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100" w:type="dxa"/>
            <w:vAlign w:val="bottom"/>
            <w:tcBorders>
              <w:bottom w:val="single" w:sz="8" w:color="auto"/>
            </w:tcBorders>
            <w:gridSpan w:val="3"/>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0" w:type="dxa"/>
            <w:vAlign w:val="bottom"/>
            <w:tcBorders>
              <w:left w:val="single" w:sz="8" w:color="auto"/>
            </w:tcBorders>
          </w:tcPr>
          <w:p>
            <w:pPr>
              <w:ind w:left="60"/>
              <w:spacing w:after="0" w:line="196"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7"/>
                <w:szCs w:val="17"/>
                <w:color w:val="auto"/>
              </w:rPr>
            </w:pPr>
          </w:p>
        </w:tc>
        <w:tc>
          <w:tcPr>
            <w:tcW w:w="81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Borders>
              <w:right w:val="single" w:sz="8" w:color="auto"/>
            </w:tcBorders>
          </w:tcPr>
          <w:p>
            <w:pPr>
              <w:ind w:left="102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60" w:type="dxa"/>
            <w:vAlign w:val="bottom"/>
            <w:tcBorders>
              <w:right w:val="single" w:sz="8" w:color="auto"/>
            </w:tcBorders>
          </w:tcPr>
          <w:p>
            <w:pPr>
              <w:ind w:left="10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2"/>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1"/>
                <w:szCs w:val="21"/>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6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8100" w:type="dxa"/>
            <w:vAlign w:val="bottom"/>
            <w:tcBorders>
              <w:bottom w:val="single" w:sz="8" w:color="auto"/>
            </w:tcBorders>
            <w:gridSpan w:val="3"/>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1"/>
                <w:szCs w:val="21"/>
                <w:color w:val="auto"/>
              </w:rPr>
            </w:pPr>
          </w:p>
        </w:tc>
        <w:tc>
          <w:tcPr>
            <w:tcW w:w="810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British Virgin Islands</w:t>
            </w: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w w:val="99"/>
              </w:rPr>
              <w:t>5</w:t>
            </w:r>
          </w:p>
        </w:tc>
        <w:tc>
          <w:tcPr>
            <w:tcW w:w="59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88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8"/>
              </w:rPr>
              <w:t>NUMBER OF</w:t>
            </w:r>
          </w:p>
        </w:tc>
        <w:tc>
          <w:tcPr>
            <w:tcW w:w="1040" w:type="dxa"/>
            <w:vAlign w:val="bottom"/>
            <w:tcBorders>
              <w:right w:val="single" w:sz="8" w:color="auto"/>
            </w:tcBorders>
          </w:tcPr>
          <w:p>
            <w:pPr>
              <w:spacing w:after="0"/>
              <w:rPr>
                <w:sz w:val="24"/>
                <w:szCs w:val="24"/>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2,564,103</w:t>
            </w: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tcBorders>
          </w:tcPr>
          <w:p>
            <w:pPr>
              <w:spacing w:after="0"/>
              <w:rPr>
                <w:sz w:val="2"/>
                <w:szCs w:val="2"/>
                <w:color w:val="auto"/>
              </w:rPr>
            </w:pPr>
          </w:p>
        </w:tc>
        <w:tc>
          <w:tcPr>
            <w:tcW w:w="1880" w:type="dxa"/>
            <w:vAlign w:val="bottom"/>
            <w:tcBorders>
              <w:right w:val="single" w:sz="8" w:color="auto"/>
            </w:tcBorders>
            <w:gridSpan w:val="2"/>
            <w:vMerge w:val="continue"/>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tcBorders>
          </w:tcPr>
          <w:p>
            <w:pPr>
              <w:spacing w:after="0"/>
              <w:rPr>
                <w:sz w:val="4"/>
                <w:szCs w:val="4"/>
                <w:color w:val="auto"/>
              </w:rPr>
            </w:pPr>
          </w:p>
        </w:tc>
        <w:tc>
          <w:tcPr>
            <w:tcW w:w="1880" w:type="dxa"/>
            <w:vAlign w:val="bottom"/>
            <w:tcBorders>
              <w:right w:val="single" w:sz="8" w:color="auto"/>
            </w:tcBorders>
            <w:gridSpan w:val="2"/>
            <w:vMerge w:val="continue"/>
          </w:tcPr>
          <w:p>
            <w:pPr>
              <w:spacing w:after="0"/>
              <w:rPr>
                <w:sz w:val="4"/>
                <w:szCs w:val="4"/>
                <w:color w:val="auto"/>
              </w:rPr>
            </w:pPr>
          </w:p>
        </w:tc>
        <w:tc>
          <w:tcPr>
            <w:tcW w:w="104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6</w:t>
            </w:r>
          </w:p>
        </w:tc>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4"/>
              </w:rPr>
              <w:t>SHARES</w:t>
            </w:r>
          </w:p>
        </w:tc>
        <w:tc>
          <w:tcPr>
            <w:tcW w:w="1040" w:type="dxa"/>
            <w:vAlign w:val="bottom"/>
            <w:tcBorders>
              <w:right w:val="single" w:sz="8" w:color="auto"/>
            </w:tcBorders>
            <w:vMerge w:val="continue"/>
          </w:tcPr>
          <w:p>
            <w:pPr>
              <w:spacing w:after="0"/>
              <w:rPr>
                <w:sz w:val="18"/>
                <w:szCs w:val="18"/>
                <w:color w:val="auto"/>
              </w:rPr>
            </w:pPr>
          </w:p>
        </w:tc>
        <w:tc>
          <w:tcPr>
            <w:tcW w:w="5980" w:type="dxa"/>
            <w:vAlign w:val="bottom"/>
            <w:vMerge w:val="continue"/>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1040" w:type="dxa"/>
            <w:vAlign w:val="bottom"/>
            <w:tcBorders>
              <w:right w:val="single" w:sz="8" w:color="auto"/>
            </w:tcBorders>
          </w:tcPr>
          <w:p>
            <w:pPr>
              <w:spacing w:after="0"/>
              <w:rPr>
                <w:sz w:val="18"/>
                <w:szCs w:val="18"/>
                <w:color w:val="auto"/>
              </w:rPr>
            </w:pPr>
          </w:p>
        </w:tc>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5"/>
              </w:rPr>
              <w:t>OWNED</w:t>
            </w:r>
          </w:p>
        </w:tc>
        <w:tc>
          <w:tcPr>
            <w:tcW w:w="1040" w:type="dxa"/>
            <w:vAlign w:val="bottom"/>
            <w:tcBorders>
              <w:bottom w:val="single" w:sz="8" w:color="auto"/>
              <w:right w:val="single" w:sz="8" w:color="auto"/>
            </w:tcBorders>
          </w:tcPr>
          <w:p>
            <w:pPr>
              <w:spacing w:after="0"/>
              <w:rPr>
                <w:sz w:val="19"/>
                <w:szCs w:val="19"/>
                <w:color w:val="auto"/>
              </w:rPr>
            </w:pPr>
          </w:p>
        </w:tc>
        <w:tc>
          <w:tcPr>
            <w:tcW w:w="59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0" w:type="dxa"/>
            <w:vAlign w:val="bottom"/>
            <w:tcBorders>
              <w:left w:val="single" w:sz="8" w:color="auto"/>
            </w:tcBorders>
          </w:tcPr>
          <w:p>
            <w:pPr>
              <w:spacing w:after="0"/>
              <w:rPr>
                <w:sz w:val="16"/>
                <w:szCs w:val="16"/>
                <w:color w:val="auto"/>
              </w:rPr>
            </w:pPr>
          </w:p>
        </w:tc>
        <w:tc>
          <w:tcPr>
            <w:tcW w:w="1880" w:type="dxa"/>
            <w:vAlign w:val="bottom"/>
            <w:tcBorders>
              <w:right w:val="single" w:sz="8" w:color="auto"/>
            </w:tcBorders>
            <w:gridSpan w:val="2"/>
          </w:tcPr>
          <w:p>
            <w:pPr>
              <w:jc w:val="center"/>
              <w:ind w:right="250"/>
              <w:spacing w:after="0" w:line="189" w:lineRule="exact"/>
              <w:rPr>
                <w:sz w:val="20"/>
                <w:szCs w:val="20"/>
                <w:color w:val="auto"/>
              </w:rPr>
            </w:pPr>
            <w:r>
              <w:rPr>
                <w:rFonts w:ascii="Arial" w:cs="Arial" w:eastAsia="Arial" w:hAnsi="Arial"/>
                <w:sz w:val="18"/>
                <w:szCs w:val="18"/>
                <w:color w:val="auto"/>
                <w:w w:val="98"/>
              </w:rPr>
              <w:t>BY EACH</w:t>
            </w:r>
          </w:p>
        </w:tc>
        <w:tc>
          <w:tcPr>
            <w:tcW w:w="1040" w:type="dxa"/>
            <w:vAlign w:val="bottom"/>
            <w:tcBorders>
              <w:right w:val="single" w:sz="8" w:color="auto"/>
            </w:tcBorders>
          </w:tcPr>
          <w:p>
            <w:pPr>
              <w:jc w:val="right"/>
              <w:ind w:right="830"/>
              <w:spacing w:after="0" w:line="189" w:lineRule="exact"/>
              <w:rPr>
                <w:sz w:val="20"/>
                <w:szCs w:val="20"/>
                <w:color w:val="auto"/>
              </w:rPr>
            </w:pPr>
            <w:r>
              <w:rPr>
                <w:rFonts w:ascii="Arial" w:cs="Arial" w:eastAsia="Arial" w:hAnsi="Arial"/>
                <w:sz w:val="18"/>
                <w:szCs w:val="18"/>
                <w:color w:val="auto"/>
                <w:w w:val="99"/>
              </w:rPr>
              <w:t>7</w:t>
            </w:r>
          </w:p>
        </w:tc>
        <w:tc>
          <w:tcPr>
            <w:tcW w:w="5980" w:type="dxa"/>
            <w:vAlign w:val="bottom"/>
          </w:tcPr>
          <w:p>
            <w:pPr>
              <w:ind w:left="20"/>
              <w:spacing w:after="0" w:line="189"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3"/>
              </w:rPr>
              <w:t>REPORTING</w:t>
            </w:r>
          </w:p>
        </w:tc>
        <w:tc>
          <w:tcPr>
            <w:tcW w:w="104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88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2"/>
              </w:rPr>
              <w:t>PERSON</w:t>
            </w:r>
          </w:p>
        </w:tc>
        <w:tc>
          <w:tcPr>
            <w:tcW w:w="1040" w:type="dxa"/>
            <w:vAlign w:val="bottom"/>
            <w:tcBorders>
              <w:right w:val="single" w:sz="8" w:color="auto"/>
            </w:tcBorders>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2,564,103</w:t>
            </w:r>
          </w:p>
        </w:tc>
        <w:tc>
          <w:tcPr>
            <w:tcW w:w="21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60" w:type="dxa"/>
            <w:vAlign w:val="bottom"/>
            <w:tcBorders>
              <w:left w:val="single" w:sz="8" w:color="auto"/>
            </w:tcBorders>
          </w:tcPr>
          <w:p>
            <w:pPr>
              <w:spacing w:after="0"/>
              <w:rPr>
                <w:sz w:val="7"/>
                <w:szCs w:val="7"/>
                <w:color w:val="auto"/>
              </w:rPr>
            </w:pPr>
          </w:p>
        </w:tc>
        <w:tc>
          <w:tcPr>
            <w:tcW w:w="188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1040" w:type="dxa"/>
            <w:vAlign w:val="bottom"/>
            <w:tcBorders>
              <w:bottom w:val="single" w:sz="8" w:color="auto"/>
              <w:right w:val="single" w:sz="8" w:color="auto"/>
            </w:tcBorders>
          </w:tcPr>
          <w:p>
            <w:pPr>
              <w:spacing w:after="0"/>
              <w:rPr>
                <w:sz w:val="7"/>
                <w:szCs w:val="7"/>
                <w:color w:val="auto"/>
              </w:rPr>
            </w:pPr>
          </w:p>
        </w:tc>
        <w:tc>
          <w:tcPr>
            <w:tcW w:w="598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gridSpan w:val="2"/>
            <w:vMerge w:val="continue"/>
          </w:tcPr>
          <w:p>
            <w:pPr>
              <w:spacing w:after="0"/>
              <w:rPr>
                <w:sz w:val="10"/>
                <w:szCs w:val="10"/>
                <w:color w:val="auto"/>
              </w:rPr>
            </w:pPr>
          </w:p>
        </w:tc>
        <w:tc>
          <w:tcPr>
            <w:tcW w:w="104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8</w:t>
            </w:r>
          </w:p>
        </w:tc>
        <w:tc>
          <w:tcPr>
            <w:tcW w:w="598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1"/>
                <w:szCs w:val="21"/>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2,564,103</w:t>
            </w:r>
          </w:p>
        </w:tc>
        <w:tc>
          <w:tcPr>
            <w:tcW w:w="10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60" w:type="dxa"/>
            <w:vAlign w:val="bottom"/>
            <w:tcBorders>
              <w:right w:val="single" w:sz="8" w:color="auto"/>
            </w:tcBorders>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6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1"/>
                <w:szCs w:val="21"/>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7.0%</w:t>
            </w:r>
          </w:p>
        </w:tc>
        <w:tc>
          <w:tcPr>
            <w:tcW w:w="10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1"/>
                <w:szCs w:val="21"/>
                <w:color w:val="auto"/>
              </w:rPr>
            </w:pPr>
          </w:p>
        </w:tc>
        <w:tc>
          <w:tcPr>
            <w:tcW w:w="81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16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CO</w:t>
            </w:r>
          </w:p>
        </w:tc>
        <w:tc>
          <w:tcPr>
            <w:tcW w:w="10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6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95"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iClick Interactive Asia Group Limited</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0"/>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15/F, Prosperity Millennia Plaza</w:t>
            </w:r>
          </w:p>
        </w:tc>
      </w:tr>
      <w:tr>
        <w:trPr>
          <w:trHeight w:val="216"/>
        </w:trPr>
        <w:tc>
          <w:tcPr>
            <w:tcW w:w="104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663 King’s Road, Quarry Bay</w:t>
            </w:r>
          </w:p>
        </w:tc>
      </w:tr>
      <w:tr>
        <w:trPr>
          <w:trHeight w:val="230"/>
        </w:trPr>
        <w:tc>
          <w:tcPr>
            <w:tcW w:w="104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Hong Kong S.A.R.</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310"/>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Chan Tung Ngai</w:t>
            </w:r>
          </w:p>
        </w:tc>
      </w:tr>
      <w:tr>
        <w:trPr>
          <w:trHeight w:val="216"/>
        </w:trPr>
        <w:tc>
          <w:tcPr>
            <w:tcW w:w="104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Marine Central Limited</w:t>
            </w:r>
          </w:p>
        </w:tc>
      </w:tr>
      <w:tr>
        <w:trPr>
          <w:trHeight w:val="230"/>
        </w:trPr>
        <w:tc>
          <w:tcPr>
            <w:tcW w:w="104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(collectively, “Reporting Persons”)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324"/>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The address of the Reporting Persons is Room 1314A, 13/F, Lippo Sun Plaza, 28 Canton Road, TST, Hong Kong S.A.R.</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310"/>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Chan Tung Ngai — Hong Kong</w:t>
            </w:r>
          </w:p>
        </w:tc>
      </w:tr>
      <w:tr>
        <w:trPr>
          <w:trHeight w:val="230"/>
        </w:trPr>
        <w:tc>
          <w:tcPr>
            <w:tcW w:w="104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Marine Central Limited — British Virgin Islands</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310"/>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3"/>
              </w:rPr>
              <w:t>Class A ordinary shares, par value of $0.001 per share (the “Class A Ordinary Shares”). The Issuer’s ordinary shares consist of Class A</w:t>
            </w:r>
          </w:p>
        </w:tc>
      </w:tr>
      <w:tr>
        <w:trPr>
          <w:trHeight w:val="216"/>
        </w:trPr>
        <w:tc>
          <w:tcPr>
            <w:tcW w:w="104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5"/>
              </w:rPr>
              <w:t>Ordinary Shares and Class B ordinary shares, par value of $0.001 per share (“Class B Ordinary Shares”). The rights of the holders of</w:t>
            </w:r>
          </w:p>
        </w:tc>
      </w:tr>
      <w:tr>
        <w:trPr>
          <w:trHeight w:val="216"/>
        </w:trPr>
        <w:tc>
          <w:tcPr>
            <w:tcW w:w="104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6"/>
              </w:rPr>
              <w:t>Class A Ordinary Shares and Class B Ordinary Shares are identical, except with respect to conversion rights and voting rights. Each</w:t>
            </w:r>
          </w:p>
        </w:tc>
      </w:tr>
      <w:tr>
        <w:trPr>
          <w:trHeight w:val="216"/>
        </w:trPr>
        <w:tc>
          <w:tcPr>
            <w:tcW w:w="104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1"/>
              </w:rPr>
              <w:t>Class B Ordinary Share is convertible at the option of the holder at any time into one Class A Ordinary Share. Each Class B Ordinary Share</w:t>
            </w:r>
          </w:p>
        </w:tc>
      </w:tr>
      <w:tr>
        <w:trPr>
          <w:trHeight w:val="230"/>
        </w:trPr>
        <w:tc>
          <w:tcPr>
            <w:tcW w:w="104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is entitled to twenty (20) votes per share, whereas each Class A Ordinary Share is entitled to one vote per share.</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324"/>
        </w:trPr>
        <w:tc>
          <w:tcPr>
            <w:tcW w:w="1040" w:type="dxa"/>
            <w:vAlign w:val="bottom"/>
          </w:tcPr>
          <w:p>
            <w:pPr>
              <w:spacing w:after="0"/>
              <w:rPr>
                <w:sz w:val="24"/>
                <w:szCs w:val="24"/>
                <w:color w:val="auto"/>
              </w:rPr>
            </w:pPr>
          </w:p>
        </w:tc>
        <w:tc>
          <w:tcPr>
            <w:tcW w:w="10400" w:type="dxa"/>
            <w:vAlign w:val="bottom"/>
          </w:tcPr>
          <w:p>
            <w:pPr>
              <w:ind w:left="320"/>
              <w:spacing w:after="0"/>
              <w:rPr>
                <w:sz w:val="20"/>
                <w:szCs w:val="20"/>
                <w:color w:val="auto"/>
              </w:rPr>
            </w:pPr>
            <w:r>
              <w:rPr>
                <w:rFonts w:ascii="Arial" w:cs="Arial" w:eastAsia="Arial" w:hAnsi="Arial"/>
                <w:sz w:val="18"/>
                <w:szCs w:val="18"/>
                <w:color w:val="auto"/>
              </w:rPr>
              <w:t>G47048 106</w:t>
            </w: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If this statement is filed pursuant to §§ 240.13d-1(b), or 240.13d -2(b) or (c), check whether the persons filing is a:</w:t>
            </w:r>
          </w:p>
        </w:tc>
      </w:tr>
      <w:tr>
        <w:trPr>
          <w:trHeight w:val="324"/>
        </w:trPr>
        <w:tc>
          <w:tcPr>
            <w:tcW w:w="104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Not applicable</w:t>
            </w:r>
          </w:p>
        </w:tc>
      </w:tr>
      <w:tr>
        <w:trPr>
          <w:trHeight w:val="115"/>
        </w:trPr>
        <w:tc>
          <w:tcPr>
            <w:tcW w:w="1040" w:type="dxa"/>
            <w:vAlign w:val="bottom"/>
            <w:tcBorders>
              <w:bottom w:val="single" w:sz="8" w:color="9A9A9A"/>
            </w:tcBorders>
          </w:tcPr>
          <w:p>
            <w:pPr>
              <w:spacing w:after="0"/>
              <w:rPr>
                <w:sz w:val="10"/>
                <w:szCs w:val="10"/>
                <w:color w:val="auto"/>
              </w:rPr>
            </w:pPr>
          </w:p>
        </w:tc>
        <w:tc>
          <w:tcPr>
            <w:tcW w:w="10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100" w:type="dxa"/>
            <w:vAlign w:val="bottom"/>
            <w:gridSpan w:val="2"/>
          </w:tcPr>
          <w:p>
            <w:pPr>
              <w:ind w:left="680"/>
              <w:spacing w:after="0"/>
              <w:rPr>
                <w:sz w:val="20"/>
                <w:szCs w:val="20"/>
                <w:color w:val="auto"/>
              </w:rPr>
            </w:pPr>
            <w:r>
              <w:rPr>
                <w:rFonts w:ascii="Arial" w:cs="Arial" w:eastAsia="Arial" w:hAnsi="Arial"/>
                <w:sz w:val="18"/>
                <w:szCs w:val="18"/>
                <w:b w:val="1"/>
                <w:bCs w:val="1"/>
                <w:color w:val="auto"/>
              </w:rPr>
              <w:t>Ownership.</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Shared Power</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Sole Power to</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Percent of</w:t>
            </w:r>
          </w:p>
        </w:tc>
        <w:tc>
          <w:tcPr>
            <w:tcW w:w="14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Reporting Person:</w:t>
            </w:r>
          </w:p>
        </w:tc>
        <w:tc>
          <w:tcPr>
            <w:tcW w:w="14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Beneficially</w:t>
            </w:r>
          </w:p>
        </w:tc>
        <w:tc>
          <w:tcPr>
            <w:tcW w:w="150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Vote or to Direct</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Direct the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60" w:type="dxa"/>
            <w:vAlign w:val="bottom"/>
            <w:gridSpan w:val="2"/>
          </w:tcPr>
          <w:p>
            <w:pPr>
              <w:ind w:left="400"/>
              <w:spacing w:after="0"/>
              <w:rPr>
                <w:sz w:val="20"/>
                <w:szCs w:val="20"/>
                <w:color w:val="auto"/>
              </w:rPr>
            </w:pPr>
            <w:r>
              <w:rPr>
                <w:rFonts w:ascii="Arial" w:cs="Arial" w:eastAsia="Arial" w:hAnsi="Arial"/>
                <w:sz w:val="14"/>
                <w:szCs w:val="14"/>
                <w:b w:val="1"/>
                <w:bCs w:val="1"/>
                <w:color w:val="auto"/>
              </w:rPr>
              <w:t>Owned:</w:t>
            </w: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the Vote: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Direct the Vote: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Disposition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Disposition of:</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Chan Tung Ngai</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91"/>
              </w:rPr>
              <w:t>2,564,103</w:t>
            </w:r>
            <w:r>
              <w:rPr>
                <w:rFonts w:ascii="Arial" w:cs="Arial" w:eastAsia="Arial" w:hAnsi="Arial"/>
                <w:sz w:val="15"/>
                <w:szCs w:val="15"/>
                <w:color w:val="auto"/>
                <w:w w:val="91"/>
              </w:rPr>
              <w:t>(2)</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Marine Central Limited</w:t>
            </w:r>
          </w:p>
        </w:tc>
        <w:tc>
          <w:tcPr>
            <w:tcW w:w="1320" w:type="dxa"/>
            <w:vAlign w:val="bottom"/>
          </w:tcPr>
          <w:p>
            <w:pPr>
              <w:ind w:left="400"/>
              <w:spacing w:after="0"/>
              <w:rPr>
                <w:sz w:val="20"/>
                <w:szCs w:val="20"/>
                <w:color w:val="auto"/>
              </w:rPr>
            </w:pPr>
            <w:r>
              <w:rPr>
                <w:rFonts w:ascii="Arial" w:cs="Arial" w:eastAsia="Arial" w:hAnsi="Arial"/>
                <w:sz w:val="18"/>
                <w:szCs w:val="18"/>
                <w:color w:val="auto"/>
                <w:w w:val="91"/>
              </w:rPr>
              <w:t>2,564,103</w:t>
            </w:r>
            <w:r>
              <w:rPr>
                <w:rFonts w:ascii="Arial" w:cs="Arial" w:eastAsia="Arial" w:hAnsi="Arial"/>
                <w:sz w:val="15"/>
                <w:szCs w:val="15"/>
                <w:color w:val="auto"/>
                <w:w w:val="91"/>
              </w:rPr>
              <w:t>(3)</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(3)</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2,564,103</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p>
      <w:pPr>
        <w:jc w:val="both"/>
        <w:ind w:left="460" w:right="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percentages set forth in this Schedule 13G are calculated based upon an aggregate of 36,719,179 ordinary shares, comprised of 31,898,571 Class A Ordinary Shares and 4,820,608 Class B Ordinary Shares, outstanding as of February 24, 2020, assuming conversion of all Class B Ordinary Shares into Class A Ordinary Shares).</w:t>
      </w:r>
    </w:p>
    <w:p>
      <w:pPr>
        <w:spacing w:after="0" w:line="181"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2,564,103 Class A ordinary shares directly held by Marine Central Limited, a company incorporated in the British Virgin Islands. Mr. Chan Tung Ngai is the majority shareholder and the sole director of Marine Central Limited. He possesses power to direct the voting and disposition of the shares beneficially owned by Marine Central Limited.</w:t>
      </w:r>
    </w:p>
    <w:p>
      <w:pPr>
        <w:spacing w:after="0" w:line="18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2,564,103 Class A ordinary shares directly held by Marine Central Limited.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98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Company or Control Person</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60" w:type="dxa"/>
            <w:vAlign w:val="bottom"/>
          </w:tcPr>
          <w:p>
            <w:pPr>
              <w:ind w:left="340"/>
              <w:spacing w:after="0"/>
              <w:rPr>
                <w:sz w:val="20"/>
                <w:szCs w:val="20"/>
                <w:color w:val="auto"/>
              </w:rPr>
            </w:pPr>
            <w:r>
              <w:rPr>
                <w:rFonts w:ascii="Arial" w:cs="Arial" w:eastAsia="Arial" w:hAnsi="Arial"/>
                <w:sz w:val="18"/>
                <w:szCs w:val="18"/>
                <w:b w:val="1"/>
                <w:bCs w:val="1"/>
                <w:color w:val="auto"/>
              </w:rPr>
              <w:t>Certifications</w:t>
            </w:r>
          </w:p>
        </w:tc>
      </w:tr>
      <w:tr>
        <w:trPr>
          <w:trHeight w:val="310"/>
        </w:trPr>
        <w:tc>
          <w:tcPr>
            <w:tcW w:w="980" w:type="dxa"/>
            <w:vAlign w:val="bottom"/>
          </w:tcPr>
          <w:p>
            <w:pPr>
              <w:spacing w:after="0"/>
              <w:rPr>
                <w:sz w:val="24"/>
                <w:szCs w:val="24"/>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held in connection with or as a participant in any transaction having that purpose or effect, other than activities solely in connection with a</w:t>
            </w:r>
          </w:p>
        </w:tc>
      </w:tr>
      <w:tr>
        <w:trPr>
          <w:trHeight w:val="230"/>
        </w:trPr>
        <w:tc>
          <w:tcPr>
            <w:tcW w:w="98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nomination under § 240.14a-11.</w:t>
            </w:r>
          </w:p>
        </w:tc>
      </w:tr>
      <w:tr>
        <w:trPr>
          <w:trHeight w:val="358"/>
        </w:trPr>
        <w:tc>
          <w:tcPr>
            <w:tcW w:w="980" w:type="dxa"/>
            <w:vAlign w:val="bottom"/>
            <w:tcBorders>
              <w:bottom w:val="single" w:sz="8" w:color="9A9A9A"/>
            </w:tcBorders>
          </w:tcPr>
          <w:p>
            <w:pPr>
              <w:spacing w:after="0"/>
              <w:rPr>
                <w:sz w:val="24"/>
                <w:szCs w:val="24"/>
                <w:color w:val="auto"/>
              </w:rPr>
            </w:pPr>
          </w:p>
        </w:tc>
        <w:tc>
          <w:tcPr>
            <w:tcW w:w="10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35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Chan Tung Ngai</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Chan Tung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Marine Central Limited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ind w:left="628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Tung Ngai</w:t>
            </w:r>
          </w:p>
        </w:tc>
        <w:tc>
          <w:tcPr>
            <w:tcW w:w="20" w:type="dxa"/>
            <w:vAlign w:val="bottom"/>
          </w:tcPr>
          <w:p>
            <w:pPr>
              <w:spacing w:after="0"/>
              <w:rPr>
                <w:sz w:val="18"/>
                <w:szCs w:val="18"/>
                <w:color w:val="auto"/>
              </w:rPr>
            </w:pPr>
          </w:p>
        </w:tc>
      </w:tr>
      <w:tr>
        <w:trPr>
          <w:trHeight w:val="195"/>
        </w:trPr>
        <w:tc>
          <w:tcPr>
            <w:tcW w:w="7240" w:type="dxa"/>
            <w:vAlign w:val="bottom"/>
          </w:tcPr>
          <w:p>
            <w:pPr>
              <w:ind w:left="628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Chan Tung Ngai</w:t>
            </w:r>
          </w:p>
        </w:tc>
        <w:tc>
          <w:tcPr>
            <w:tcW w:w="20" w:type="dxa"/>
            <w:vAlign w:val="bottom"/>
          </w:tcPr>
          <w:p>
            <w:pPr>
              <w:spacing w:after="0"/>
              <w:rPr>
                <w:sz w:val="16"/>
                <w:szCs w:val="16"/>
                <w:color w:val="auto"/>
              </w:rPr>
            </w:pPr>
          </w:p>
        </w:tc>
      </w:tr>
      <w:tr>
        <w:trPr>
          <w:trHeight w:val="230"/>
        </w:trPr>
        <w:tc>
          <w:tcPr>
            <w:tcW w:w="7240" w:type="dxa"/>
            <w:vAlign w:val="bottom"/>
          </w:tcPr>
          <w:p>
            <w:pPr>
              <w:ind w:left="628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574"/>
        </w:trPr>
        <w:tc>
          <w:tcPr>
            <w:tcW w:w="72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p>
      <w:pPr>
        <w:jc w:val="right"/>
        <w:ind w:right="3699"/>
        <w:spacing w:after="0"/>
        <w:rPr>
          <w:sz w:val="20"/>
          <w:szCs w:val="20"/>
          <w:color w:val="auto"/>
        </w:rPr>
      </w:pPr>
      <w:r>
        <w:rPr>
          <w:rFonts w:ascii="Arial" w:cs="Arial" w:eastAsia="Arial" w:hAnsi="Arial"/>
          <w:sz w:val="18"/>
          <w:szCs w:val="18"/>
          <w:b w:val="1"/>
          <w:bCs w:val="1"/>
          <w:color w:val="auto"/>
        </w:rPr>
        <w:t>LIST OF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ectPr>
          <w:pgSz w:w="11900" w:h="16838" w:orient="portrait"/>
          <w:cols w:equalWidth="0" w:num="1">
            <w:col w:w="10219"/>
          </w:cols>
          <w:pgMar w:left="240" w:top="12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hereby execute this Agreement as of March 5, 2020.</w:t>
      </w:r>
    </w:p>
    <w:p>
      <w:pPr>
        <w:spacing w:after="0" w:line="200" w:lineRule="exact"/>
        <w:rPr>
          <w:sz w:val="20"/>
          <w:szCs w:val="20"/>
          <w:color w:val="auto"/>
        </w:rPr>
      </w:pPr>
    </w:p>
    <w:p>
      <w:pPr>
        <w:spacing w:after="0" w:line="23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Chan Tung Ngai</w:t>
      </w:r>
    </w:p>
    <w:p>
      <w:pPr>
        <w:spacing w:after="0" w:line="229"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Chan Tung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14605</wp:posOffset>
            </wp:positionV>
            <wp:extent cx="222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Marine Central Limited</w:t>
      </w:r>
    </w:p>
    <w:p>
      <w:pPr>
        <w:spacing w:after="0" w:line="27"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Chan Tung Ngai</w:t>
      </w:r>
    </w:p>
    <w:p>
      <w:pPr>
        <w:spacing w:after="0" w:line="9"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Name:</w:t>
        <w:tab/>
        <w:t>Chan Tung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-130810</wp:posOffset>
            </wp:positionV>
            <wp:extent cx="1758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2020-03-05T10:58:02Z</dcterms:created>
  <dcterms:modified xsi:type="dcterms:W3CDTF">2020-03-05T10:58:02Z</dcterms:modified>
</cp:coreProperties>
</file>