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SCHEDULE 13D/A</w:t>
      </w:r>
    </w:p>
    <w:p>
      <w:pPr>
        <w:spacing w:after="0" w:line="22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(Amendment No. 2 )*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0"/>
          <w:szCs w:val="40"/>
          <w:b w:val="1"/>
          <w:bCs w:val="1"/>
          <w:color w:val="auto"/>
        </w:rPr>
        <w:t>iClick Interactive Asia Group Limited</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Class A Ordinary Shares, par value of $0.001 per share</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G47048 106</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71" w:lineRule="exact"/>
        <w:rPr>
          <w:sz w:val="24"/>
          <w:szCs w:val="24"/>
          <w:color w:val="auto"/>
        </w:rPr>
      </w:pPr>
    </w:p>
    <w:tbl>
      <w:tblPr>
        <w:tblLayout w:type="fixed"/>
        <w:tblInd w:w="480" w:type="dxa"/>
        <w:tblCellMar>
          <w:top w:w="0" w:type="dxa"/>
          <w:left w:w="0" w:type="dxa"/>
          <w:bottom w:w="0" w:type="dxa"/>
          <w:right w:w="0" w:type="dxa"/>
        </w:tblCellMar>
      </w:tblPr>
      <w:tr>
        <w:trPr>
          <w:trHeight w:val="216"/>
        </w:trPr>
        <w:tc>
          <w:tcPr>
            <w:tcW w:w="24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7"/>
              </w:rPr>
              <w:t>Jian Tang</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Igomax Inc.</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Wing Hong Sammy</w:t>
            </w:r>
          </w:p>
        </w:tc>
        <w:tc>
          <w:tcPr>
            <w:tcW w:w="25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Bubinga Holdings Limited</w:t>
            </w:r>
          </w:p>
        </w:tc>
      </w:tr>
      <w:tr>
        <w:trPr>
          <w:trHeight w:val="216"/>
        </w:trPr>
        <w:tc>
          <w:tcPr>
            <w:tcW w:w="24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15/F, Prosperity Millennia</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15/F, Prosperity Millennia</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Hsieh</w:t>
            </w:r>
          </w:p>
        </w:tc>
        <w:tc>
          <w:tcPr>
            <w:tcW w:w="25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15/F, Prosperity Millennia</w:t>
            </w:r>
          </w:p>
        </w:tc>
      </w:tr>
      <w:tr>
        <w:trPr>
          <w:trHeight w:val="216"/>
        </w:trPr>
        <w:tc>
          <w:tcPr>
            <w:tcW w:w="244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Plaza</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Plaza</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15/F, Prosperity</w:t>
            </w:r>
          </w:p>
        </w:tc>
        <w:tc>
          <w:tcPr>
            <w:tcW w:w="25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Plaza</w:t>
            </w:r>
          </w:p>
        </w:tc>
      </w:tr>
      <w:tr>
        <w:trPr>
          <w:trHeight w:val="216"/>
        </w:trPr>
        <w:tc>
          <w:tcPr>
            <w:tcW w:w="24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rPr>
              <w:t>663 King’s Road, Quarry</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663 King’s Road, Quarry</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Millennia Plaza</w:t>
            </w:r>
          </w:p>
        </w:tc>
        <w:tc>
          <w:tcPr>
            <w:tcW w:w="250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663 King’s Road, Quarry</w:t>
            </w:r>
          </w:p>
        </w:tc>
      </w:tr>
      <w:tr>
        <w:trPr>
          <w:trHeight w:val="216"/>
        </w:trPr>
        <w:tc>
          <w:tcPr>
            <w:tcW w:w="24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Bay, Hong Kong S.A.R.</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Bay, Hong Kong S.A.R.</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663 King’s Road,</w:t>
            </w:r>
          </w:p>
        </w:tc>
        <w:tc>
          <w:tcPr>
            <w:tcW w:w="25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Bay, Hong Kong S.A.R.</w:t>
            </w:r>
          </w:p>
        </w:tc>
      </w:tr>
      <w:tr>
        <w:trPr>
          <w:trHeight w:val="216"/>
        </w:trPr>
        <w:tc>
          <w:tcPr>
            <w:tcW w:w="244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+86-10-8540-2700</w:t>
            </w: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+86-10-8540-2700</w:t>
            </w: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Quarry Bay, Hong</w:t>
            </w:r>
          </w:p>
        </w:tc>
        <w:tc>
          <w:tcPr>
            <w:tcW w:w="25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+852-3700-9618</w:t>
            </w:r>
          </w:p>
        </w:tc>
      </w:tr>
      <w:tr>
        <w:trPr>
          <w:trHeight w:val="216"/>
        </w:trPr>
        <w:tc>
          <w:tcPr>
            <w:tcW w:w="2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Kong S.A.R.</w:t>
            </w:r>
          </w:p>
        </w:tc>
        <w:tc>
          <w:tcPr>
            <w:tcW w:w="2500" w:type="dxa"/>
            <w:vAlign w:val="bottom"/>
          </w:tcPr>
          <w:p>
            <w:pPr>
              <w:spacing w:after="0"/>
              <w:rPr>
                <w:sz w:val="18"/>
                <w:szCs w:val="18"/>
                <w:color w:val="auto"/>
              </w:rPr>
            </w:pPr>
          </w:p>
        </w:tc>
      </w:tr>
      <w:tr>
        <w:trPr>
          <w:trHeight w:val="238"/>
        </w:trPr>
        <w:tc>
          <w:tcPr>
            <w:tcW w:w="2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+852-3700-9618</w:t>
            </w:r>
          </w:p>
        </w:tc>
        <w:tc>
          <w:tcPr>
            <w:tcW w:w="2500" w:type="dxa"/>
            <w:vAlign w:val="bottom"/>
          </w:tcPr>
          <w:p>
            <w:pPr>
              <w:spacing w:after="0"/>
              <w:rPr>
                <w:sz w:val="20"/>
                <w:szCs w:val="20"/>
                <w:color w:val="auto"/>
              </w:rPr>
            </w:pPr>
          </w:p>
        </w:tc>
      </w:tr>
    </w:tbl>
    <w:p>
      <w:pPr>
        <w:spacing w:after="0" w:line="20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2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24, 2023</w:t>
      </w:r>
    </w:p>
    <w:p>
      <w:pPr>
        <w:spacing w:after="0" w:line="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4"/>
          <w:szCs w:val="24"/>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43815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0"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20"/>
          </w:cols>
          <w:pgMar w:left="440" w:top="511" w:right="53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4" w:right="4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Jian Tang</w:t>
      </w:r>
    </w:p>
    <w:p>
      <w:pPr>
        <w:ind w:left="664" w:hanging="417"/>
        <w:spacing w:after="0"/>
        <w:tabs>
          <w:tab w:leader="none" w:pos="66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6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249670"/>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36" w:lineRule="exact"/>
        <w:rPr>
          <w:sz w:val="20"/>
          <w:szCs w:val="20"/>
          <w:color w:val="auto"/>
        </w:rPr>
      </w:pPr>
    </w:p>
    <w:p>
      <w:pPr>
        <w:ind w:left="2124" w:hanging="414"/>
        <w:spacing w:after="0"/>
        <w:tabs>
          <w:tab w:leader="none" w:pos="21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133" w:lineRule="exact"/>
        <w:rPr>
          <w:sz w:val="20"/>
          <w:szCs w:val="20"/>
          <w:color w:val="auto"/>
        </w:rPr>
      </w:pPr>
    </w:p>
    <w:tbl>
      <w:tblPr>
        <w:tblLayout w:type="fixed"/>
        <w:tblInd w:w="204" w:type="dxa"/>
        <w:tblCellMar>
          <w:top w:w="0" w:type="dxa"/>
          <w:left w:w="0" w:type="dxa"/>
          <w:bottom w:w="0" w:type="dxa"/>
          <w:right w:w="0" w:type="dxa"/>
        </w:tblCellMar>
      </w:tblPr>
      <w:tr>
        <w:trPr>
          <w:trHeight w:val="29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24"/>
                <w:szCs w:val="24"/>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27,905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2,498,553</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27,905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95"/>
        </w:trPr>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7"/>
                <w:szCs w:val="17"/>
                <w:color w:val="auto"/>
              </w:rPr>
            </w:pPr>
          </w:p>
        </w:tc>
        <w:tc>
          <w:tcPr>
            <w:tcW w:w="8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124" w:right="6240" w:hanging="504"/>
        <w:spacing w:after="0" w:line="332" w:lineRule="auto"/>
        <w:tabs>
          <w:tab w:leader="none" w:pos="212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2,498,553</w:t>
      </w:r>
      <w:r>
        <w:rPr>
          <w:rFonts w:ascii="Times New Roman" w:cs="Times New Roman" w:eastAsia="Times New Roman" w:hAnsi="Times New Roman"/>
          <w:sz w:val="26"/>
          <w:szCs w:val="26"/>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664" w:right="3700" w:hanging="507"/>
        <w:spacing w:after="0" w:line="395"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2,526,458</w:t>
      </w: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6"/>
          <w:szCs w:val="26"/>
          <w:color w:val="auto"/>
          <w:vertAlign w:val="superscript"/>
        </w:rPr>
        <w:t>(3)</w:t>
      </w: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27,905 Class A Ordinary Shares that are issuable upon exercise of options held in trust by Mr. Jian Tang.</w:t>
      </w:r>
    </w:p>
    <w:p>
      <w:pPr>
        <w:spacing w:after="0" w:line="27"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396,290 Class A Ordinary Shares held by Igomax Inc. and (ii) 2,102,263 Class A Ordinary Shares issuable upon the conversion of 2,102,263 Class B Ordinary Shares held by Igomax Inc. Mr. Jian Tang is the sole director and shareholder of Igomax Inc.</w:t>
      </w:r>
    </w:p>
    <w:p>
      <w:pPr>
        <w:ind w:left="424" w:right="4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46,579,619 Class A Ordinary Shares outstanding, which includes (i) the 44,477,356 Class A Ordinary Shares outstanding as of November 24, 2023, as specified in the Merger Agreement (as defined herein) filed by the Issuer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on November 24, 2023, and (ii) the 2,102,263 Class A Ordinary Shares issuable upon the conversion of 2,102,263 Class B Ordinary Shares held by Igomax Inc.</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4" w:right="4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Igomax Inc.</w:t>
      </w: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36" w:lineRule="exact"/>
        <w:rPr>
          <w:sz w:val="20"/>
          <w:szCs w:val="20"/>
          <w:color w:val="auto"/>
        </w:rPr>
      </w:pPr>
    </w:p>
    <w:p>
      <w:pPr>
        <w:ind w:left="2124" w:hanging="414"/>
        <w:spacing w:after="0"/>
        <w:tabs>
          <w:tab w:leader="none" w:pos="21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2,498,553</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4" w:right="6240" w:hanging="504"/>
        <w:spacing w:after="0" w:line="332" w:lineRule="auto"/>
        <w:tabs>
          <w:tab w:leader="none" w:pos="2124"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2,498,553</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00" w:hanging="507"/>
        <w:spacing w:after="0" w:line="332" w:lineRule="auto"/>
        <w:tabs>
          <w:tab w:leader="none" w:pos="65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2,498,553</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240" w:hanging="424"/>
        <w:spacing w:after="0" w:line="261"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396,290 Class A Ordinary Shares held by Igomax Inc. and (ii) 2,102,263 Class A Ordinary Shares issuable upon the conversion of 2,102,263 Class B Ordinary Shares held by Igomax Inc.</w:t>
      </w:r>
    </w:p>
    <w:p>
      <w:pPr>
        <w:ind w:left="424" w:right="40" w:hanging="424"/>
        <w:spacing w:after="0" w:line="253"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46,579,619 Class A Ordinary Shares outstanding, which includes (i) the 44,477,356 Class A Ordinary Shares outstanding as of November 24, 2023, as specified in the Merger Agreement (as defined herein) filed by the Issuer with the SEC on November 24, 2023, and (ii) the 2,102,263 Class A Ordinary Shares issuable upon the conversion of 2,102,263 Class B Ordinary Shares held by Igomax Inc.</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44" w:right="4660" w:firstLine="3"/>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Wing Hong Sammy Hsieh</w:t>
      </w: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6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249670"/>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Hong Kong S.A.R.</w:t>
      </w:r>
    </w:p>
    <w:p>
      <w:pPr>
        <w:spacing w:after="0" w:line="36" w:lineRule="exact"/>
        <w:rPr>
          <w:sz w:val="20"/>
          <w:szCs w:val="20"/>
          <w:color w:val="auto"/>
        </w:rPr>
      </w:pPr>
    </w:p>
    <w:p>
      <w:pPr>
        <w:ind w:left="2124" w:hanging="414"/>
        <w:spacing w:after="0"/>
        <w:tabs>
          <w:tab w:leader="none" w:pos="21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241,290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241,290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4" w:right="6240" w:hanging="504"/>
        <w:spacing w:after="0" w:line="332" w:lineRule="auto"/>
        <w:tabs>
          <w:tab w:leader="none" w:pos="2124"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2,282,815</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00" w:hanging="507"/>
        <w:spacing w:after="0" w:line="332" w:lineRule="auto"/>
        <w:tabs>
          <w:tab w:leader="none" w:pos="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2,524,105</w:t>
      </w:r>
      <w:r>
        <w:rPr>
          <w:rFonts w:ascii="Times New Roman" w:cs="Times New Roman" w:eastAsia="Times New Roman" w:hAnsi="Times New Roman"/>
          <w:sz w:val="26"/>
          <w:szCs w:val="26"/>
          <w:color w:val="auto"/>
          <w:vertAlign w:val="superscript"/>
        </w:rPr>
        <w:t>(2)</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26"/>
          <w:szCs w:val="26"/>
          <w:color w:val="auto"/>
          <w:vertAlign w:val="superscript"/>
        </w:rPr>
        <w:t>(3)</w:t>
      </w:r>
    </w:p>
    <w:p>
      <w:pPr>
        <w:ind w:left="644" w:hanging="487"/>
        <w:spacing w:after="0"/>
        <w:tabs>
          <w:tab w:leader="none" w:pos="64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79"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A Ordinary Shares issuable upon the conversion of 2,282,815 Class B Ordinary Shares held by Bubinga Holdings Limited. Mr. Wing Hong Sammy Hsieh is the sole director and shareholder of Bubinga Holdings Limited.</w:t>
      </w:r>
    </w:p>
    <w:p>
      <w:pPr>
        <w:ind w:left="424" w:right="20" w:hanging="424"/>
        <w:spacing w:after="0" w:line="250"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(i) 241,290 Class A Ordinary Shares held directly by Mr. Wing Hong Sammy Hsieh and (ii) 2,282,815 Class A Ordinary Shares issuable upon the conversion of 2,282,815 Class B Ordinary Shares held by Bubinga Holdings Limited.</w:t>
      </w:r>
    </w:p>
    <w:p>
      <w:pPr>
        <w:ind w:left="424" w:right="40" w:hanging="424"/>
        <w:spacing w:after="0" w:line="253"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46,760,171 Class A Ordinary Shares outstanding, which includes (i) the 44,477,356 Class A Ordinary Shares outstanding as of November 24, 2023, as specified in the Merger Agreement (as defined herein) filed by the Issuer with the SEC on November 24, 2023, and (ii) the 2,282,815 Class A Ordinary Shares issuable upon the conversion of 2,282,815 Class B Ordinary Shares held by Bubinga Holdings Limited.</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G47048 106</w:t>
      </w:r>
    </w:p>
    <w:p>
      <w:pPr>
        <w:spacing w:after="0" w:line="171" w:lineRule="exact"/>
        <w:rPr>
          <w:sz w:val="20"/>
          <w:szCs w:val="20"/>
          <w:color w:val="auto"/>
        </w:rPr>
      </w:pP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52" w:lineRule="exact"/>
        <w:rPr>
          <w:rFonts w:ascii="Times New Roman" w:cs="Times New Roman" w:eastAsia="Times New Roman" w:hAnsi="Times New Roman"/>
          <w:sz w:val="18"/>
          <w:szCs w:val="18"/>
          <w:color w:val="auto"/>
        </w:rPr>
      </w:pPr>
    </w:p>
    <w:p>
      <w:pPr>
        <w:ind w:left="664" w:right="4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Bubinga Holdings Limited</w:t>
      </w:r>
    </w:p>
    <w:p>
      <w:pPr>
        <w:ind w:left="664" w:hanging="417"/>
        <w:spacing w:after="0"/>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-710565</wp:posOffset>
            </wp:positionV>
            <wp:extent cx="6926580" cy="6249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24903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British Virgin Islands</w:t>
      </w:r>
    </w:p>
    <w:p>
      <w:pPr>
        <w:spacing w:after="0" w:line="36" w:lineRule="exact"/>
        <w:rPr>
          <w:sz w:val="20"/>
          <w:szCs w:val="20"/>
          <w:color w:val="auto"/>
        </w:rPr>
      </w:pPr>
    </w:p>
    <w:p>
      <w:pPr>
        <w:ind w:left="2124" w:hanging="414"/>
        <w:spacing w:after="0"/>
        <w:tabs>
          <w:tab w:leader="none" w:pos="21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21"/>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480" w:type="dxa"/>
            <w:vAlign w:val="bottom"/>
          </w:tcPr>
          <w:p>
            <w:pPr>
              <w:spacing w:after="0"/>
              <w:rPr>
                <w:sz w:val="19"/>
                <w:szCs w:val="19"/>
                <w:color w:val="auto"/>
              </w:rPr>
            </w:pPr>
          </w:p>
        </w:tc>
        <w:tc>
          <w:tcPr>
            <w:tcW w:w="8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SHARES</w:t>
            </w:r>
          </w:p>
        </w:tc>
        <w:tc>
          <w:tcPr>
            <w:tcW w:w="480" w:type="dxa"/>
            <w:vAlign w:val="bottom"/>
            <w:tcBorders>
              <w:bottom w:val="single" w:sz="8" w:color="auto"/>
            </w:tcBorders>
          </w:tcPr>
          <w:p>
            <w:pPr>
              <w:spacing w:after="0"/>
              <w:rPr>
                <w:sz w:val="5"/>
                <w:szCs w:val="5"/>
                <w:color w:val="auto"/>
              </w:rPr>
            </w:pPr>
          </w:p>
        </w:tc>
        <w:tc>
          <w:tcPr>
            <w:tcW w:w="8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1300" w:type="dxa"/>
            <w:vAlign w:val="bottom"/>
            <w:vMerge w:val="continue"/>
          </w:tcPr>
          <w:p>
            <w:pPr>
              <w:spacing w:after="0"/>
              <w:rPr>
                <w:sz w:val="10"/>
                <w:szCs w:val="10"/>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BENEFICIALLY</w:t>
            </w:r>
          </w:p>
        </w:tc>
        <w:tc>
          <w:tcPr>
            <w:tcW w:w="480" w:type="dxa"/>
            <w:vAlign w:val="bottom"/>
            <w:vMerge w:val="continue"/>
          </w:tcPr>
          <w:p>
            <w:pPr>
              <w:spacing w:after="0"/>
              <w:rPr>
                <w:sz w:val="9"/>
                <w:szCs w:val="9"/>
                <w:color w:val="auto"/>
              </w:rPr>
            </w:pPr>
          </w:p>
        </w:tc>
        <w:tc>
          <w:tcPr>
            <w:tcW w:w="8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3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2,282,815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w:t>
            </w:r>
          </w:p>
        </w:tc>
        <w:tc>
          <w:tcPr>
            <w:tcW w:w="480" w:type="dxa"/>
            <w:vAlign w:val="bottom"/>
            <w:tcBorders>
              <w:bottom w:val="single" w:sz="8" w:color="auto"/>
            </w:tcBorders>
          </w:tcPr>
          <w:p>
            <w:pPr>
              <w:spacing w:after="0"/>
              <w:rPr>
                <w:sz w:val="10"/>
                <w:szCs w:val="10"/>
                <w:color w:val="auto"/>
              </w:rPr>
            </w:pPr>
          </w:p>
        </w:tc>
        <w:tc>
          <w:tcPr>
            <w:tcW w:w="89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300" w:type="dxa"/>
            <w:vAlign w:val="bottom"/>
            <w:vMerge w:val="continue"/>
          </w:tcPr>
          <w:p>
            <w:pPr>
              <w:spacing w:after="0"/>
              <w:rPr>
                <w:sz w:val="6"/>
                <w:szCs w:val="6"/>
                <w:color w:val="auto"/>
              </w:rPr>
            </w:pPr>
          </w:p>
        </w:tc>
        <w:tc>
          <w:tcPr>
            <w:tcW w:w="4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9.</w:t>
            </w: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480" w:type="dxa"/>
            <w:vAlign w:val="bottom"/>
            <w:vMerge w:val="continue"/>
          </w:tcPr>
          <w:p>
            <w:pPr>
              <w:spacing w:after="0"/>
              <w:rPr>
                <w:sz w:val="13"/>
                <w:szCs w:val="13"/>
                <w:color w:val="auto"/>
              </w:rPr>
            </w:pPr>
          </w:p>
        </w:tc>
        <w:tc>
          <w:tcPr>
            <w:tcW w:w="8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30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8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480" w:type="dxa"/>
            <w:vAlign w:val="bottom"/>
          </w:tcPr>
          <w:p>
            <w:pPr>
              <w:spacing w:after="0"/>
              <w:rPr>
                <w:sz w:val="18"/>
                <w:szCs w:val="18"/>
                <w:color w:val="auto"/>
              </w:rPr>
            </w:pPr>
          </w:p>
        </w:tc>
        <w:tc>
          <w:tcPr>
            <w:tcW w:w="892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130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WITH</w:t>
            </w:r>
          </w:p>
        </w:tc>
        <w:tc>
          <w:tcPr>
            <w:tcW w:w="480" w:type="dxa"/>
            <w:vAlign w:val="bottom"/>
          </w:tcPr>
          <w:p>
            <w:pPr>
              <w:spacing w:after="0"/>
              <w:rPr>
                <w:sz w:val="14"/>
                <w:szCs w:val="14"/>
                <w:color w:val="auto"/>
              </w:rPr>
            </w:pPr>
          </w:p>
        </w:tc>
        <w:tc>
          <w:tcPr>
            <w:tcW w:w="8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30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2124" w:right="6240" w:hanging="504"/>
        <w:spacing w:after="0" w:line="332" w:lineRule="auto"/>
        <w:tabs>
          <w:tab w:leader="none" w:pos="2124" w:val="left"/>
        </w:tabs>
        <w:numPr>
          <w:ilvl w:val="2"/>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2,282,815</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right="3700" w:hanging="507"/>
        <w:spacing w:after="0" w:line="332"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2,282,815</w:t>
      </w:r>
      <w:r>
        <w:rPr>
          <w:rFonts w:ascii="Times New Roman" w:cs="Times New Roman" w:eastAsia="Times New Roman" w:hAnsi="Times New Roman"/>
          <w:sz w:val="26"/>
          <w:szCs w:val="26"/>
          <w:color w:val="auto"/>
          <w:vertAlign w:val="superscript"/>
        </w:rPr>
        <w:t>(1)</w:t>
      </w:r>
    </w:p>
    <w:p>
      <w:pPr>
        <w:spacing w:after="0" w:line="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(11) EXCLUDES CERTAIN SHARES (see instructions)</w:t>
      </w:r>
    </w:p>
    <w:p>
      <w:pPr>
        <w:spacing w:after="0" w:line="19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196"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w:t>
      </w:r>
      <w:r>
        <w:rPr>
          <w:rFonts w:ascii="Times New Roman" w:cs="Times New Roman" w:eastAsia="Times New Roman" w:hAnsi="Times New Roman"/>
          <w:sz w:val="26"/>
          <w:szCs w:val="26"/>
          <w:color w:val="auto"/>
          <w:vertAlign w:val="superscript"/>
        </w:rPr>
        <w:t>(2)</w:t>
      </w:r>
    </w:p>
    <w:p>
      <w:pPr>
        <w:ind w:left="644" w:hanging="487"/>
        <w:spacing w:after="0"/>
        <w:tabs>
          <w:tab w:leader="none" w:pos="64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w:t>
      </w:r>
    </w:p>
    <w:p>
      <w:pPr>
        <w:spacing w:after="0" w:line="279" w:lineRule="exact"/>
        <w:rPr>
          <w:rFonts w:ascii="Times New Roman" w:cs="Times New Roman" w:eastAsia="Times New Roman" w:hAnsi="Times New Roman"/>
          <w:sz w:val="18"/>
          <w:szCs w:val="18"/>
          <w:color w:val="auto"/>
        </w:rPr>
      </w:pPr>
    </w:p>
    <w:p>
      <w:pPr>
        <w:ind w:left="424" w:right="280" w:hanging="424"/>
        <w:spacing w:after="0" w:line="261"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2,282,815 Class A Ordinary Shares issuable upon the conversion of 2,282,815 Class B Ordinary Shares held by Bubinga Holdings Limited.</w:t>
      </w:r>
    </w:p>
    <w:p>
      <w:pPr>
        <w:ind w:left="424" w:right="40" w:hanging="424"/>
        <w:spacing w:after="0" w:line="253"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ownership calculation assumes that there is a total of 46,760,171 Class A Ordinary Shares outstanding, which includes (i) the 44,477,356 Class A Ordinary Shares outstanding as of November 24, 2023, as specified in the Merger Agreement (as defined herein) filed by the Issuer with the SEC on November 24, 2023, and (ii) the 2,282,815 Class A Ordinary Shares issuable upon the conversion of 2,282,815 Class B Ordinary Shares held by Bubinga Holdings Limited.</w:t>
      </w:r>
    </w:p>
    <w:p>
      <w:pPr>
        <w:sectPr>
          <w:pgSz w:w="11900" w:h="16838" w:orient="portrait"/>
          <w:cols w:equalWidth="0" w:num="1">
            <w:col w:w="10904"/>
          </w:cols>
          <w:pgMar w:left="436" w:top="270" w:right="559" w:bottom="1440" w:gutter="0" w:footer="0" w:header="0"/>
        </w:sectPr>
      </w:pPr>
    </w:p>
    <w:bookmarkStart w:id="5" w:name="page6"/>
    <w:bookmarkEnd w:id="5"/>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Schedule 13D/A constitutes Amendment No. 2 (“</w:t>
      </w:r>
      <w:r>
        <w:rPr>
          <w:rFonts w:ascii="Times New Roman" w:cs="Times New Roman" w:eastAsia="Times New Roman" w:hAnsi="Times New Roman"/>
          <w:sz w:val="18"/>
          <w:szCs w:val="18"/>
          <w:u w:val="single" w:color="auto"/>
          <w:color w:val="auto"/>
        </w:rPr>
        <w:t>Amendment No. 2</w:t>
      </w:r>
      <w:r>
        <w:rPr>
          <w:rFonts w:ascii="Times New Roman" w:cs="Times New Roman" w:eastAsia="Times New Roman" w:hAnsi="Times New Roman"/>
          <w:sz w:val="18"/>
          <w:szCs w:val="18"/>
          <w:color w:val="auto"/>
        </w:rPr>
        <w:t>”) to the Schedule 13D filed by Mr. Jian Tang, Igomax Inc., Mr. Wing Hong Sammy Hsieh and Bubinga Holdings Limited (collectively,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 on December 22, 2022, as previously amended and supplemented by the amendment filed as of July 7, 2023 (as amended to date, the “</w:t>
      </w:r>
      <w:r>
        <w:rPr>
          <w:rFonts w:ascii="Times New Roman" w:cs="Times New Roman" w:eastAsia="Times New Roman" w:hAnsi="Times New Roman"/>
          <w:sz w:val="18"/>
          <w:szCs w:val="18"/>
          <w:u w:val="single" w:color="auto"/>
          <w:color w:val="auto"/>
        </w:rPr>
        <w:t>Original Schedule 13D</w:t>
      </w:r>
      <w:r>
        <w:rPr>
          <w:rFonts w:ascii="Times New Roman" w:cs="Times New Roman" w:eastAsia="Times New Roman" w:hAnsi="Times New Roman"/>
          <w:sz w:val="18"/>
          <w:szCs w:val="18"/>
          <w:color w:val="auto"/>
        </w:rPr>
        <w:t>”), relating to Class A ordinary shares, par value $0.001 per share (the “</w:t>
      </w:r>
      <w:r>
        <w:rPr>
          <w:rFonts w:ascii="Times New Roman" w:cs="Times New Roman" w:eastAsia="Times New Roman" w:hAnsi="Times New Roman"/>
          <w:sz w:val="18"/>
          <w:szCs w:val="18"/>
          <w:u w:val="single" w:color="auto"/>
          <w:color w:val="auto"/>
        </w:rPr>
        <w:t>Class A Ordinary Shares</w:t>
      </w:r>
      <w:r>
        <w:rPr>
          <w:rFonts w:ascii="Times New Roman" w:cs="Times New Roman" w:eastAsia="Times New Roman" w:hAnsi="Times New Roman"/>
          <w:sz w:val="18"/>
          <w:szCs w:val="18"/>
          <w:color w:val="auto"/>
        </w:rPr>
        <w:t>” and together with Class B ordinary shares, par value $0.001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and American Depositary Shares, each representing five Class A Ordinary Shares (the “</w:t>
      </w:r>
      <w:r>
        <w:rPr>
          <w:rFonts w:ascii="Times New Roman" w:cs="Times New Roman" w:eastAsia="Times New Roman" w:hAnsi="Times New Roman"/>
          <w:sz w:val="18"/>
          <w:szCs w:val="18"/>
          <w:u w:val="single" w:color="auto"/>
          <w:color w:val="auto"/>
        </w:rPr>
        <w:t>ADSs</w:t>
      </w:r>
      <w:r>
        <w:rPr>
          <w:rFonts w:ascii="Times New Roman" w:cs="Times New Roman" w:eastAsia="Times New Roman" w:hAnsi="Times New Roman"/>
          <w:sz w:val="18"/>
          <w:szCs w:val="18"/>
          <w:color w:val="auto"/>
        </w:rPr>
        <w:t>”) of iClick Interactive Asia Group Limited, a company incorporated in the Cayman Islands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Except as set forth herein, the Original Schedule 13D is unmodified and remains in full force and effect as to the Reporting Persons. Capitalized terms used but not defined herein shall have the meaning set forth in the Original Schedule 13D.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in the Original Schedule 13D is amended and supplemented by inserting the following:</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November 24, 2023, the Issuer entered into an Agreement and Plan of Merger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with TSH Investment Holding Limited, an exempted company with limited liability incorporated under the laws of the Cayman Islands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TSH Merger Sub Limited, an exempted company with limited liability incorporated under the laws of the Cayman Islands and a wholly-owned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pursuant to which, and subject to the terms and conditions thereof, Merger Sub will merge with and into the Issuer, with the Issuer continuing as the surviving company and becoming a wholly-owned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xml:space="preserve">”). The descriptions of the Merger and of the Merger Agreement set forth in Item 4 below are incorporated by reference in their entirety in this Item 3. The information disclosed in this paragraph does not purport to be complete and is qualified in its entirety by reference to the Merger Agreement, a copy of which is filed as </w:t>
      </w:r>
      <w:r>
        <w:rPr>
          <w:rFonts w:ascii="Times New Roman" w:cs="Times New Roman" w:eastAsia="Times New Roman" w:hAnsi="Times New Roman"/>
          <w:sz w:val="18"/>
          <w:szCs w:val="18"/>
          <w:u w:val="single" w:color="auto"/>
          <w:color w:val="auto"/>
        </w:rPr>
        <w:t>Exhibit 99.4</w:t>
      </w:r>
      <w:r>
        <w:rPr>
          <w:rFonts w:ascii="Times New Roman" w:cs="Times New Roman" w:eastAsia="Times New Roman" w:hAnsi="Times New Roman"/>
          <w:sz w:val="18"/>
          <w:szCs w:val="18"/>
          <w:color w:val="auto"/>
        </w:rPr>
        <w:t xml:space="preserve"> and is incorporated herein by reference in its entirety.</w:t>
      </w:r>
    </w:p>
    <w:p>
      <w:pPr>
        <w:spacing w:after="0" w:line="192"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It is anticipated that the Buyer Group will fund the Merger through a combination of (i) equity financing provided by the Sponsor (as defined below) in an aggregate amount of up to US$8,000,000 in cash pursuant to the Equity Commitment Letter (as defined below), (ii) rollover financing comprised of the Rollover Shares (as defined below) pursuant to the Support Agreement (as defined below), and (iii) debt financing provided by New Age SP II (the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pursuant to a facility agreement, dated as of November 24, 2023 (the “</w:t>
      </w:r>
      <w:r>
        <w:rPr>
          <w:rFonts w:ascii="Times New Roman" w:cs="Times New Roman" w:eastAsia="Times New Roman" w:hAnsi="Times New Roman"/>
          <w:sz w:val="18"/>
          <w:szCs w:val="18"/>
          <w:u w:val="single" w:color="auto"/>
          <w:color w:val="auto"/>
        </w:rPr>
        <w:t>Facility Agreement</w:t>
      </w:r>
      <w:r>
        <w:rPr>
          <w:rFonts w:ascii="Times New Roman" w:cs="Times New Roman" w:eastAsia="Times New Roman" w:hAnsi="Times New Roman"/>
          <w:sz w:val="18"/>
          <w:szCs w:val="18"/>
          <w:color w:val="auto"/>
        </w:rPr>
        <w:t xml:space="preserve">”), by and between Merger Sub and Lender. A copy of the Facility Agreement is filed as </w:t>
      </w:r>
      <w:r>
        <w:rPr>
          <w:rFonts w:ascii="Times New Roman" w:cs="Times New Roman" w:eastAsia="Times New Roman" w:hAnsi="Times New Roman"/>
          <w:sz w:val="18"/>
          <w:szCs w:val="18"/>
          <w:u w:val="single" w:color="auto"/>
          <w:color w:val="auto"/>
        </w:rPr>
        <w:t>Exhibit 99.8</w:t>
      </w:r>
      <w:r>
        <w:rPr>
          <w:rFonts w:ascii="Times New Roman" w:cs="Times New Roman" w:eastAsia="Times New Roman" w:hAnsi="Times New Roman"/>
          <w:sz w:val="18"/>
          <w:szCs w:val="18"/>
          <w:color w:val="auto"/>
        </w:rPr>
        <w:t xml:space="preserve"> and is incorporated herein by reference in its entirety.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of this Amendment No. 2 is incorporated herein by reference in its entirety.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in the Original Schedule 13D is amended and supplemented by inserting the following:</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November 24, 2023, the Issuer announced in a press release that it had entered into the Merger Agreement with Parent and Merger Sub, pursuant to which, and subject to the terms and conditions thereof, Merger Sub will merge with and into the Issuer, with the Issuer continuing as the surviving company and becoming a wholly-owned subsidiary of Parent.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each Ordinary Share issued and outstanding immediately prior to the Effective Time, will be cancelled in exchange for the right to receive US$0.816 in cash per Ordinary Share without interest, except for (i) the Ordinary Shares held by Parent and Merger Sub, (ii) the Ordinary Shares held by the Issuer and any of its subsidiaries or in its treasury, (iii) the Ordinary Shares owned by Jianjun Huang, Marine Central Limited, Creative Big Limited, Cheer Lead Global Limited, Huge Superpower Limited, Capable Excel Limited, Infinity Global Fund SPC, Integrated Asset Management (Asia) Limited, Chan Nai Hang, Likeable Limited, Tsang Hing Sze, Lau Ying Wai, Chik Yu Chung Roni, Tse Kok Yu Ryan, Imen Pang, Zhao Yong, Yang Xin and the Reporting Persons (such shareholders collectively, the “</w:t>
      </w:r>
      <w:r>
        <w:rPr>
          <w:rFonts w:ascii="Times New Roman" w:cs="Times New Roman" w:eastAsia="Times New Roman" w:hAnsi="Times New Roman"/>
          <w:sz w:val="18"/>
          <w:szCs w:val="18"/>
          <w:u w:val="single" w:color="auto"/>
          <w:color w:val="auto"/>
        </w:rPr>
        <w:t>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Shareholders</w:t>
      </w:r>
      <w:r>
        <w:rPr>
          <w:rFonts w:ascii="Times New Roman" w:cs="Times New Roman" w:eastAsia="Times New Roman" w:hAnsi="Times New Roman"/>
          <w:sz w:val="18"/>
          <w:szCs w:val="18"/>
          <w:color w:val="auto"/>
        </w:rPr>
        <w:t>”, and such Ordinary Shares, the “</w:t>
      </w:r>
      <w:r>
        <w:rPr>
          <w:rFonts w:ascii="Times New Roman" w:cs="Times New Roman" w:eastAsia="Times New Roman" w:hAnsi="Times New Roman"/>
          <w:sz w:val="18"/>
          <w:szCs w:val="18"/>
          <w:u w:val="single" w:color="auto"/>
          <w:color w:val="auto"/>
        </w:rPr>
        <w:t>Rollover Shares</w:t>
      </w:r>
      <w:r>
        <w:rPr>
          <w:rFonts w:ascii="Times New Roman" w:cs="Times New Roman" w:eastAsia="Times New Roman" w:hAnsi="Times New Roman"/>
          <w:sz w:val="18"/>
          <w:szCs w:val="18"/>
          <w:color w:val="auto"/>
        </w:rPr>
        <w:t>”), (iv) the Ordinary Shares held by the</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Issuer and the depositary of the Issuer’s ADS program and reserved for issuance and allocation pursuant to the Issuer’s share incentive plan ((i) – (iv), collectively, the “</w:t>
      </w:r>
      <w:r>
        <w:rPr>
          <w:rFonts w:ascii="Times New Roman" w:cs="Times New Roman" w:eastAsia="Times New Roman" w:hAnsi="Times New Roman"/>
          <w:sz w:val="18"/>
          <w:szCs w:val="18"/>
          <w:u w:val="single" w:color="auto"/>
          <w:color w:val="auto"/>
        </w:rPr>
        <w:t>Excluded Shares</w:t>
      </w:r>
      <w:r>
        <w:rPr>
          <w:rFonts w:ascii="Times New Roman" w:cs="Times New Roman" w:eastAsia="Times New Roman" w:hAnsi="Times New Roman"/>
          <w:sz w:val="18"/>
          <w:szCs w:val="18"/>
          <w:color w:val="auto"/>
        </w:rPr>
        <w:t>”), and (v) the Ordinary Shares that are held by shareholders who have validly exercised and not effectively withdrawn or lost their rights to dissent from the Merger pursuant to Section 238 of Companies Act (Revised) of the Cayman Islands (the “</w:t>
      </w:r>
      <w:r>
        <w:rPr>
          <w:rFonts w:ascii="Times New Roman" w:cs="Times New Roman" w:eastAsia="Times New Roman" w:hAnsi="Times New Roman"/>
          <w:sz w:val="18"/>
          <w:szCs w:val="18"/>
          <w:u w:val="single" w:color="auto"/>
          <w:color w:val="auto"/>
        </w:rPr>
        <w:t>Dissenting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Immediately prior to the effective time of the Merger, the Rollover Shares will be cancelled for no cash consideration, and the Rollover Shareholders will subscribe for or otherwise receive newly issued shares of Parent. Each Dissenting Share issued and outstanding immediately prior to the Effective Time will be cancelled for the right to receive the fair value of such Shares determined in accordance with, the provisions of Section 238 of the Companies Act (Revised) of the Cayman Islands.</w:t>
      </w:r>
    </w:p>
    <w:p>
      <w:pPr>
        <w:spacing w:after="0" w:line="189" w:lineRule="exact"/>
        <w:rPr>
          <w:sz w:val="20"/>
          <w:szCs w:val="20"/>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Each ADS issued and outstanding immediately prior to the Effective Time (other than ADSs representing the Excluded Shares), together with each Ordinary Share represented by such ADSs, will be cancelled in exchange for the right to receive US$4.08 in cash per ADS without interest.</w:t>
      </w:r>
    </w:p>
    <w:p>
      <w:pPr>
        <w:spacing w:after="0" w:line="162"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The Merger, which is currently expected to close in the first quarter, 2024, is subject to customary closing conditions including an affirmative vote of shareholders representing at least two-thirds of the voting power of the outstanding Ordinary Shares present and voting in person or by proxy at a meeting of the Issuer’s shareholders. The purpose of Transactions (as defined below), including the Merger, is to acquire all of the shares of the Ordinary Shares held by shareholders of the Issuer other than the Rollover Shares.</w:t>
      </w:r>
    </w:p>
    <w:p>
      <w:pPr>
        <w:spacing w:after="0" w:line="180"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Following consummation of the Merger, the Issuer will become a wholly-owned subsidiary of the Parent. In addition, if the Merger is consummated, the Issuer will be privately-held by the Reporting Persons and the other Rollover Shareholders and its ADSs will no longer be listed on the Nasdaq Global Market.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Concurrently with the execution of the Merger Agreement:</w:t>
      </w:r>
    </w:p>
    <w:p>
      <w:pPr>
        <w:spacing w:after="0" w:line="225" w:lineRule="exact"/>
        <w:rPr>
          <w:sz w:val="20"/>
          <w:szCs w:val="20"/>
          <w:color w:val="auto"/>
        </w:rPr>
      </w:pPr>
    </w:p>
    <w:p>
      <w:pPr>
        <w:ind w:left="4" w:right="100" w:hanging="4"/>
        <w:spacing w:after="0" w:line="258" w:lineRule="auto"/>
        <w:tabs>
          <w:tab w:leader="none" w:pos="25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the Rollover Shareholders executed a support agreement (the “</w:t>
      </w:r>
      <w:r>
        <w:rPr>
          <w:rFonts w:ascii="Times New Roman" w:cs="Times New Roman" w:eastAsia="Times New Roman" w:hAnsi="Times New Roman"/>
          <w:sz w:val="18"/>
          <w:szCs w:val="18"/>
          <w:u w:val="single" w:color="auto"/>
          <w:color w:val="auto"/>
        </w:rPr>
        <w:t>Support Agreement</w:t>
      </w:r>
      <w:r>
        <w:rPr>
          <w:rFonts w:ascii="Times New Roman" w:cs="Times New Roman" w:eastAsia="Times New Roman" w:hAnsi="Times New Roman"/>
          <w:sz w:val="18"/>
          <w:szCs w:val="18"/>
          <w:color w:val="auto"/>
        </w:rPr>
        <w:t>”), pursuant to which, each of the Rollover Shareholders has agreed to, subject to the terms and conditions set forth therein and among other obligations, (i) the cancellation of the Rollover Shares held by such Rollover Shareholders for no cash consideration, (ii) subscribe for newly issued ordinary shares of Parent immediately prior to the closing of the Merger, (iii) vote in favor of authorization and approval of the Merger Agreement and the transactions contemplated by the Merger Agreement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including the Merger; and (iv) against any proposals or actions inconsistent or interfering with the Transactions;</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Mr. Huang and Rise Chain Investment Limited, which is wholly owned by Mr. Huang (“</w:t>
      </w:r>
      <w:r>
        <w:rPr>
          <w:rFonts w:ascii="Times New Roman" w:cs="Times New Roman" w:eastAsia="Times New Roman" w:hAnsi="Times New Roman"/>
          <w:sz w:val="18"/>
          <w:szCs w:val="18"/>
          <w:u w:val="single" w:color="auto"/>
          <w:color w:val="auto"/>
        </w:rPr>
        <w:t>Rise Chain</w:t>
      </w:r>
      <w:r>
        <w:rPr>
          <w:rFonts w:ascii="Times New Roman" w:cs="Times New Roman" w:eastAsia="Times New Roman" w:hAnsi="Times New Roman"/>
          <w:sz w:val="18"/>
          <w:szCs w:val="18"/>
          <w:color w:val="auto"/>
        </w:rPr>
        <w:t>,” and together with Mr. Huang, the</w:t>
      </w:r>
    </w:p>
    <w:p>
      <w:pPr>
        <w:spacing w:after="0" w:line="27" w:lineRule="exact"/>
        <w:rPr>
          <w:sz w:val="20"/>
          <w:szCs w:val="20"/>
          <w:color w:val="auto"/>
        </w:rPr>
      </w:pPr>
    </w:p>
    <w:p>
      <w:pPr>
        <w:ind w:left="4" w:right="4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entered into an equity commitment letter (the “</w:t>
      </w:r>
      <w:r>
        <w:rPr>
          <w:rFonts w:ascii="Times New Roman" w:cs="Times New Roman" w:eastAsia="Times New Roman" w:hAnsi="Times New Roman"/>
          <w:sz w:val="18"/>
          <w:szCs w:val="18"/>
          <w:u w:val="single" w:color="auto"/>
          <w:color w:val="auto"/>
        </w:rPr>
        <w:t>Equity Commitment Letter</w:t>
      </w:r>
      <w:r>
        <w:rPr>
          <w:rFonts w:ascii="Times New Roman" w:cs="Times New Roman" w:eastAsia="Times New Roman" w:hAnsi="Times New Roman"/>
          <w:sz w:val="18"/>
          <w:szCs w:val="18"/>
          <w:color w:val="auto"/>
        </w:rPr>
        <w:t>”), pursuant to which the Sponsor committed to invest up to US$8,000,000 in aggregate in cash as equity financing in connection with the Merger;</w:t>
      </w:r>
    </w:p>
    <w:p>
      <w:pPr>
        <w:spacing w:after="0" w:line="181" w:lineRule="exact"/>
        <w:rPr>
          <w:sz w:val="20"/>
          <w:szCs w:val="20"/>
          <w:color w:val="auto"/>
        </w:rPr>
      </w:pPr>
    </w:p>
    <w:p>
      <w:pPr>
        <w:ind w:left="4" w:right="660" w:hanging="4"/>
        <w:spacing w:after="0" w:line="282"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Rise Chain executed a limited guarantee in favor of the Issuer with respect to certain obligations of Parent under the Merger Agreement (the “</w:t>
      </w:r>
      <w:r>
        <w:rPr>
          <w:rFonts w:ascii="Times New Roman" w:cs="Times New Roman" w:eastAsia="Times New Roman" w:hAnsi="Times New Roman"/>
          <w:sz w:val="18"/>
          <w:szCs w:val="18"/>
          <w:u w:val="single" w:color="auto"/>
          <w:color w:val="auto"/>
        </w:rPr>
        <w:t>Limited Guarantee</w:t>
      </w:r>
      <w:r>
        <w:rPr>
          <w:rFonts w:ascii="Times New Roman" w:cs="Times New Roman" w:eastAsia="Times New Roman" w:hAnsi="Times New Roman"/>
          <w:sz w:val="18"/>
          <w:szCs w:val="18"/>
          <w:color w:val="auto"/>
        </w:rPr>
        <w:t>”), guaranteeing certain of Parent’s and Merger Sub’s obligations under the Merger Agreement; and</w:t>
      </w:r>
    </w:p>
    <w:p>
      <w:pPr>
        <w:spacing w:after="0" w:line="161" w:lineRule="exact"/>
        <w:rPr>
          <w:rFonts w:ascii="Times New Roman" w:cs="Times New Roman" w:eastAsia="Times New Roman" w:hAnsi="Times New Roman"/>
          <w:sz w:val="18"/>
          <w:szCs w:val="18"/>
          <w:color w:val="auto"/>
        </w:rPr>
      </w:pPr>
    </w:p>
    <w:p>
      <w:pPr>
        <w:jc w:val="both"/>
        <w:ind w:left="4" w:right="360" w:hanging="4"/>
        <w:spacing w:after="0" w:line="266" w:lineRule="auto"/>
        <w:tabs>
          <w:tab w:leader="none" w:pos="25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Buyer Group, Parent and Merger Sub entered into an interim investors agreement (the “</w:t>
      </w:r>
      <w:r>
        <w:rPr>
          <w:rFonts w:ascii="Times New Roman" w:cs="Times New Roman" w:eastAsia="Times New Roman" w:hAnsi="Times New Roman"/>
          <w:sz w:val="18"/>
          <w:szCs w:val="18"/>
          <w:u w:val="single" w:color="auto"/>
          <w:color w:val="auto"/>
        </w:rPr>
        <w:t>Interim Investors Agreement</w:t>
      </w:r>
      <w:r>
        <w:rPr>
          <w:rFonts w:ascii="Times New Roman" w:cs="Times New Roman" w:eastAsia="Times New Roman" w:hAnsi="Times New Roman"/>
          <w:sz w:val="18"/>
          <w:szCs w:val="18"/>
          <w:color w:val="auto"/>
        </w:rPr>
        <w:t>”) in order to establish terms and conditions that will govern, among other matters, the actions of Parent and Merger Sub and the relationship among the Buyer Group with respect to the Merger Agreement and the Transactions.</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 3 is incorporated herein by reference in its entirety.</w:t>
      </w:r>
    </w:p>
    <w:p>
      <w:pPr>
        <w:spacing w:after="0" w:line="225"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disclosed in this Item 4 does not purport to be complete and is qualified in its entirety by references to the Merger Agreement, the Support Agreement, the Equity Commitment Letter, and the Interim Investors Agreement, a copy of each which is filed as </w:t>
      </w:r>
      <w:r>
        <w:rPr>
          <w:rFonts w:ascii="Times New Roman" w:cs="Times New Roman" w:eastAsia="Times New Roman" w:hAnsi="Times New Roman"/>
          <w:sz w:val="18"/>
          <w:szCs w:val="18"/>
          <w:u w:val="single" w:color="auto"/>
          <w:color w:val="auto"/>
        </w:rPr>
        <w:t>Exhibits 99.4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99.6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99.7</w:t>
      </w:r>
      <w:r>
        <w:rPr>
          <w:rFonts w:ascii="Times New Roman" w:cs="Times New Roman" w:eastAsia="Times New Roman" w:hAnsi="Times New Roman"/>
          <w:sz w:val="18"/>
          <w:szCs w:val="18"/>
          <w:color w:val="auto"/>
        </w:rPr>
        <w:t>, respectively, and incorporated herein by reference in its entirety.</w:t>
      </w:r>
    </w:p>
    <w:p>
      <w:pPr>
        <w:sectPr>
          <w:pgSz w:w="11900" w:h="16838" w:orient="portrait"/>
          <w:cols w:equalWidth="0" w:num="1">
            <w:col w:w="11004"/>
          </w:cols>
          <w:pgMar w:left="436" w:top="270" w:right="459" w:bottom="1440" w:gutter="0" w:footer="0" w:header="0"/>
        </w:sectPr>
      </w:pPr>
    </w:p>
    <w:bookmarkStart w:id="7" w:name="page8"/>
    <w:bookmarkEnd w:id="7"/>
    <w:p>
      <w:pPr>
        <w:ind w:left="4" w:right="3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the Merger, the Reporting Persons may engage in discussions with management, the board of directors, and shareholders of the Issuer and other relevant parties or encourage, cause or seek to cause the Issuer or such persons to consider or explore extraordinary corporate transactions, including the Merger. There can be no assurance, however, that any of the Transactions, including the Merger, will receive the requisite approvals or that any such Transactions would be successfully implemented.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Except as described above, the Reporting Persons have no plans or proposals which relate to or would result in any of the actions specified in paragraphs</w:t>
      </w:r>
    </w:p>
    <w:p>
      <w:pPr>
        <w:spacing w:after="0" w:line="39" w:lineRule="exact"/>
        <w:rPr>
          <w:sz w:val="20"/>
          <w:szCs w:val="20"/>
          <w:color w:val="auto"/>
        </w:rPr>
      </w:pPr>
    </w:p>
    <w:p>
      <w:pPr>
        <w:ind w:left="4" w:right="160" w:hanging="4"/>
        <w:spacing w:after="0" w:line="255" w:lineRule="auto"/>
        <w:tabs>
          <w:tab w:leader="none" w:pos="24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(j) of Item 4 of Schedule 13D. The Reporting Persons may, at any time and from time to time, formulate other purposes, plans or proposals regarding the Issuer, or any other actions that could involve one or more of the types of transactions or have one or more of the results described in paragraphs (a) through (j) of Item 4 of Schedule 13D.</w:t>
      </w: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Interests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5 (a)-(b) in the Original Schedule 13D is amended and supplemented by inserting the following:</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Because of the arrangements described herein, the parties to such agreements may be deemed to have formed a “group” for purposes of Section 13(d)(3) of the Exchange Act. Except as otherwise stated herein, neither the filing of this Amendment No. 2 nor any of its contents, however, shall be deemed to constitute an admission by the Reporting Persons that any of them is the beneficial owner of any of the Ordinary Shares beneficially owned in the aggregate by the Sponsor or any other Rollover Shareholders for purposes of Section 13(d) of the Exchange Act or for any other purpose, and such beneficial ownership is expressly disclaimed.</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the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6 of the Original Schedule 13D is amended and supplemented by inserting the following: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in Items 3, 4 and 5 of this Amendment No. 2 is incorporated herein by reference in its entirety.</w:t>
      </w:r>
    </w:p>
    <w:p>
      <w:pPr>
        <w:spacing w:after="0" w:line="225"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To the best knowledge of the Reporting Persons, except as provided herein, there are no other contracts, arrangements, understandings or relationships (legal or otherwise) between the Reporting Persons and between any of the Reporting Persons and any other person with respect to any securities of the Issuer, joint ventures, loan or option arrangements, puts or calls, guarantees of profits, divisions of profits or loss, or the giving or withholding of proxies, or a pledge or contingency, the occurrence of which would give another person voting power over the securities of the Issuer.</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7. Materials to be Filed as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7 of the Original Schedule 13D is hereby amended and supplemented by the following:</w:t>
      </w:r>
    </w:p>
    <w:p>
      <w:pPr>
        <w:sectPr>
          <w:pgSz w:w="11900" w:h="16838" w:orient="portrait"/>
          <w:cols w:equalWidth="0" w:num="1">
            <w:col w:w="11004"/>
          </w:cols>
          <w:pgMar w:left="436" w:top="270"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7"/>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48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Agreement and Plan of Merger, dated as of November 24, 2023, by and between TSH Investment Holding Limited, TSH Merger</w:t>
            </w:r>
          </w:p>
        </w:tc>
      </w:tr>
      <w:tr>
        <w:trPr>
          <w:trHeight w:val="194"/>
        </w:trPr>
        <w:tc>
          <w:tcPr>
            <w:tcW w:w="1460" w:type="dxa"/>
            <w:vAlign w:val="bottom"/>
          </w:tcPr>
          <w:p>
            <w:pPr>
              <w:spacing w:after="0"/>
              <w:rPr>
                <w:sz w:val="16"/>
                <w:szCs w:val="16"/>
                <w:color w:val="auto"/>
              </w:rPr>
            </w:pPr>
          </w:p>
        </w:tc>
        <w:tc>
          <w:tcPr>
            <w:tcW w:w="9560" w:type="dxa"/>
            <w:vAlign w:val="bottom"/>
            <w:gridSpan w:val="1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 Limited and iClick Interactive Asia Group Limited, incorporated herein by reference to </w:t>
            </w:r>
            <w:hyperlink r:id="rId28">
              <w:r>
                <w:rPr>
                  <w:rFonts w:ascii="Times New Roman" w:cs="Times New Roman" w:eastAsia="Times New Roman" w:hAnsi="Times New Roman"/>
                  <w:sz w:val="18"/>
                  <w:szCs w:val="18"/>
                  <w:color w:val="0000EE"/>
                </w:rPr>
                <w:t>Exhibit 99.2</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to the Report on Form 6-K</w:t>
            </w:r>
          </w:p>
        </w:tc>
      </w:tr>
      <w:tr>
        <w:trPr>
          <w:trHeight w:val="237"/>
        </w:trPr>
        <w:tc>
          <w:tcPr>
            <w:tcW w:w="1460" w:type="dxa"/>
            <w:vAlign w:val="bottom"/>
          </w:tcPr>
          <w:p>
            <w:pPr>
              <w:spacing w:after="0"/>
              <w:rPr>
                <w:sz w:val="20"/>
                <w:szCs w:val="20"/>
                <w:color w:val="auto"/>
              </w:rPr>
            </w:pPr>
          </w:p>
        </w:tc>
        <w:tc>
          <w:tcPr>
            <w:tcW w:w="6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furnished by the Issuer to the SEC on November 24, 2023.</w:t>
            </w:r>
          </w:p>
        </w:tc>
        <w:tc>
          <w:tcPr>
            <w:tcW w:w="900" w:type="dxa"/>
            <w:vAlign w:val="bottom"/>
            <w:tcBorders>
              <w:top w:val="single" w:sz="8" w:color="0000EE"/>
            </w:tcBorders>
          </w:tcPr>
          <w:p>
            <w:pPr>
              <w:spacing w:after="0"/>
              <w:rPr>
                <w:sz w:val="20"/>
                <w:szCs w:val="20"/>
                <w:color w:val="auto"/>
              </w:rPr>
            </w:pPr>
          </w:p>
        </w:tc>
        <w:tc>
          <w:tcPr>
            <w:tcW w:w="2020" w:type="dxa"/>
            <w:vAlign w:val="bottom"/>
          </w:tcPr>
          <w:p>
            <w:pPr>
              <w:spacing w:after="0"/>
              <w:rPr>
                <w:sz w:val="20"/>
                <w:szCs w:val="20"/>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99.5</w:t>
            </w: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Support Agreement, dated November 24, 2023, by and among TSH Investment Holding Limited, Igomax Inc., Jian Tang, Bubinga</w:t>
            </w:r>
          </w:p>
        </w:tc>
      </w:tr>
      <w:tr>
        <w:trPr>
          <w:trHeight w:val="216"/>
        </w:trPr>
        <w:tc>
          <w:tcPr>
            <w:tcW w:w="1460" w:type="dxa"/>
            <w:vAlign w:val="bottom"/>
          </w:tcPr>
          <w:p>
            <w:pPr>
              <w:spacing w:after="0"/>
              <w:rPr>
                <w:sz w:val="18"/>
                <w:szCs w:val="18"/>
                <w:color w:val="auto"/>
              </w:rPr>
            </w:pP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Holdings Limited, Wing Hong Sammy Hsieh, Marine Central Limited, Jianjun Huang, Creative Big Limited, Cheer Lead Global</w:t>
            </w:r>
          </w:p>
        </w:tc>
      </w:tr>
      <w:tr>
        <w:trPr>
          <w:trHeight w:val="216"/>
        </w:trPr>
        <w:tc>
          <w:tcPr>
            <w:tcW w:w="1460" w:type="dxa"/>
            <w:vAlign w:val="bottom"/>
          </w:tcPr>
          <w:p>
            <w:pPr>
              <w:spacing w:after="0"/>
              <w:rPr>
                <w:sz w:val="18"/>
                <w:szCs w:val="18"/>
                <w:color w:val="auto"/>
              </w:rPr>
            </w:pP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Limited, Huge Superpower Limited, Capable Excel Limited, Infinity Global Fund SPC, Integrated Asset Management (Asia)</w:t>
            </w:r>
          </w:p>
        </w:tc>
      </w:tr>
      <w:tr>
        <w:trPr>
          <w:trHeight w:val="216"/>
        </w:trPr>
        <w:tc>
          <w:tcPr>
            <w:tcW w:w="1460" w:type="dxa"/>
            <w:vAlign w:val="bottom"/>
          </w:tcPr>
          <w:p>
            <w:pPr>
              <w:spacing w:after="0"/>
              <w:rPr>
                <w:sz w:val="18"/>
                <w:szCs w:val="18"/>
                <w:color w:val="auto"/>
              </w:rPr>
            </w:pP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Limited, Chang Nai Hang, Likeable Limited, Tsang Hing Sze, Lau Ying Wai, Chik Yu Chung Roni, Tse Kok Yu Ryan, Imen Pang,</w:t>
            </w:r>
          </w:p>
        </w:tc>
      </w:tr>
      <w:tr>
        <w:trPr>
          <w:trHeight w:val="194"/>
        </w:trPr>
        <w:tc>
          <w:tcPr>
            <w:tcW w:w="1460" w:type="dxa"/>
            <w:vAlign w:val="bottom"/>
          </w:tcPr>
          <w:p>
            <w:pPr>
              <w:spacing w:after="0"/>
              <w:rPr>
                <w:sz w:val="16"/>
                <w:szCs w:val="16"/>
                <w:color w:val="auto"/>
              </w:rPr>
            </w:pPr>
          </w:p>
        </w:tc>
        <w:tc>
          <w:tcPr>
            <w:tcW w:w="9560" w:type="dxa"/>
            <w:vAlign w:val="bottom"/>
            <w:gridSpan w:val="1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Zhao Yong and Yang Xin, incorporated herein by reference to </w:t>
            </w:r>
            <w:hyperlink r:id="rId29">
              <w:r>
                <w:rPr>
                  <w:rFonts w:ascii="Times New Roman" w:cs="Times New Roman" w:eastAsia="Times New Roman" w:hAnsi="Times New Roman"/>
                  <w:sz w:val="18"/>
                  <w:szCs w:val="18"/>
                  <w:color w:val="0000EE"/>
                </w:rPr>
                <w:t>Exhibit 99.5</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of the Schedule 13D/A furnished by the Sponsor to the</w:t>
            </w:r>
          </w:p>
        </w:tc>
      </w:tr>
      <w:tr>
        <w:trPr>
          <w:trHeight w:val="237"/>
        </w:trPr>
        <w:tc>
          <w:tcPr>
            <w:tcW w:w="1460" w:type="dxa"/>
            <w:vAlign w:val="bottom"/>
          </w:tcPr>
          <w:p>
            <w:pPr>
              <w:spacing w:after="0"/>
              <w:rPr>
                <w:sz w:val="20"/>
                <w:szCs w:val="20"/>
                <w:color w:val="auto"/>
              </w:rPr>
            </w:pPr>
          </w:p>
        </w:tc>
        <w:tc>
          <w:tcPr>
            <w:tcW w:w="4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SEC on November 27, 2023.</w:t>
            </w:r>
          </w:p>
        </w:tc>
        <w:tc>
          <w:tcPr>
            <w:tcW w:w="900" w:type="dxa"/>
            <w:vAlign w:val="bottom"/>
            <w:tcBorders>
              <w:top w:val="single" w:sz="8" w:color="0000EE"/>
            </w:tcBorders>
            <w:gridSpan w:val="3"/>
          </w:tcPr>
          <w:p>
            <w:pPr>
              <w:spacing w:after="0"/>
              <w:rPr>
                <w:sz w:val="20"/>
                <w:szCs w:val="20"/>
                <w:color w:val="auto"/>
              </w:rPr>
            </w:pPr>
          </w:p>
        </w:tc>
        <w:tc>
          <w:tcPr>
            <w:tcW w:w="4180" w:type="dxa"/>
            <w:vAlign w:val="bottom"/>
            <w:gridSpan w:val="3"/>
          </w:tcPr>
          <w:p>
            <w:pPr>
              <w:spacing w:after="0"/>
              <w:rPr>
                <w:sz w:val="20"/>
                <w:szCs w:val="20"/>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99.6</w:t>
            </w: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Equity Commitment Letter, dated November 24, 2023, by among TSH Investment Holding Limited, Huang Jianjun and Rise Chain</w:t>
            </w:r>
          </w:p>
        </w:tc>
      </w:tr>
      <w:tr>
        <w:trPr>
          <w:trHeight w:val="194"/>
        </w:trPr>
        <w:tc>
          <w:tcPr>
            <w:tcW w:w="1460" w:type="dxa"/>
            <w:vAlign w:val="bottom"/>
          </w:tcPr>
          <w:p>
            <w:pPr>
              <w:spacing w:after="0"/>
              <w:rPr>
                <w:sz w:val="16"/>
                <w:szCs w:val="16"/>
                <w:color w:val="auto"/>
              </w:rPr>
            </w:pPr>
          </w:p>
        </w:tc>
        <w:tc>
          <w:tcPr>
            <w:tcW w:w="9560" w:type="dxa"/>
            <w:vAlign w:val="bottom"/>
            <w:gridSpan w:val="1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Limited, incorporated herein by reference to </w:t>
            </w:r>
            <w:hyperlink r:id="rId30">
              <w:r>
                <w:rPr>
                  <w:rFonts w:ascii="Times New Roman" w:cs="Times New Roman" w:eastAsia="Times New Roman" w:hAnsi="Times New Roman"/>
                  <w:sz w:val="18"/>
                  <w:szCs w:val="18"/>
                  <w:color w:val="0000EE"/>
                </w:rPr>
                <w:t>Exhibit 99.6</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of the Schedule 13D/A furnished by the Sponsor to the SEC</w:t>
            </w:r>
          </w:p>
        </w:tc>
      </w:tr>
      <w:tr>
        <w:trPr>
          <w:trHeight w:val="237"/>
        </w:trPr>
        <w:tc>
          <w:tcPr>
            <w:tcW w:w="1460" w:type="dxa"/>
            <w:vAlign w:val="bottom"/>
          </w:tcPr>
          <w:p>
            <w:pPr>
              <w:spacing w:after="0"/>
              <w:rPr>
                <w:sz w:val="20"/>
                <w:szCs w:val="20"/>
                <w:color w:val="auto"/>
              </w:rPr>
            </w:pP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on November 27, 2023.</w:t>
            </w:r>
          </w:p>
        </w:tc>
        <w:tc>
          <w:tcPr>
            <w:tcW w:w="880" w:type="dxa"/>
            <w:vAlign w:val="bottom"/>
            <w:tcBorders>
              <w:top w:val="single" w:sz="8" w:color="0000EE"/>
            </w:tcBorders>
            <w:gridSpan w:val="3"/>
          </w:tcPr>
          <w:p>
            <w:pPr>
              <w:spacing w:after="0"/>
              <w:rPr>
                <w:sz w:val="20"/>
                <w:szCs w:val="20"/>
                <w:color w:val="auto"/>
              </w:rPr>
            </w:pPr>
          </w:p>
        </w:tc>
        <w:tc>
          <w:tcPr>
            <w:tcW w:w="4600" w:type="dxa"/>
            <w:vAlign w:val="bottom"/>
            <w:gridSpan w:val="4"/>
          </w:tcPr>
          <w:p>
            <w:pPr>
              <w:spacing w:after="0"/>
              <w:rPr>
                <w:sz w:val="20"/>
                <w:szCs w:val="20"/>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99.7</w:t>
            </w: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Interim Investors Agreement, dated November 24, 2023, by and among TSH Investment Holding Limited, TSH Merger Sub</w:t>
            </w:r>
          </w:p>
        </w:tc>
      </w:tr>
      <w:tr>
        <w:trPr>
          <w:trHeight w:val="216"/>
        </w:trPr>
        <w:tc>
          <w:tcPr>
            <w:tcW w:w="1460" w:type="dxa"/>
            <w:vAlign w:val="bottom"/>
          </w:tcPr>
          <w:p>
            <w:pPr>
              <w:spacing w:after="0"/>
              <w:rPr>
                <w:sz w:val="18"/>
                <w:szCs w:val="18"/>
                <w:color w:val="auto"/>
              </w:rPr>
            </w:pP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Limited, Igomax Inc., Jian Tang, Bubinga Holdings Limited, Wing Hong Sammy Hsieh, by Rise Chain Investment Limited and</w:t>
            </w:r>
          </w:p>
        </w:tc>
      </w:tr>
      <w:tr>
        <w:trPr>
          <w:trHeight w:val="194"/>
        </w:trPr>
        <w:tc>
          <w:tcPr>
            <w:tcW w:w="1460" w:type="dxa"/>
            <w:vAlign w:val="bottom"/>
          </w:tcPr>
          <w:p>
            <w:pPr>
              <w:spacing w:after="0"/>
              <w:rPr>
                <w:sz w:val="16"/>
                <w:szCs w:val="16"/>
                <w:color w:val="auto"/>
              </w:rPr>
            </w:pPr>
          </w:p>
        </w:tc>
        <w:tc>
          <w:tcPr>
            <w:tcW w:w="9560" w:type="dxa"/>
            <w:vAlign w:val="bottom"/>
            <w:gridSpan w:val="1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Huang Jianjun, incorporated herein by reference to </w:t>
            </w:r>
            <w:hyperlink r:id="rId31">
              <w:r>
                <w:rPr>
                  <w:rFonts w:ascii="Times New Roman" w:cs="Times New Roman" w:eastAsia="Times New Roman" w:hAnsi="Times New Roman"/>
                  <w:sz w:val="18"/>
                  <w:szCs w:val="18"/>
                  <w:color w:val="0000EE"/>
                </w:rPr>
                <w:t>Exhibit 99.8</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of the Schedule 13D/A furnished by the Sponsor to the SEC on</w:t>
            </w:r>
          </w:p>
        </w:tc>
      </w:tr>
      <w:tr>
        <w:trPr>
          <w:trHeight w:val="237"/>
        </w:trPr>
        <w:tc>
          <w:tcPr>
            <w:tcW w:w="146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November 27, 2023.</w:t>
            </w:r>
          </w:p>
        </w:tc>
        <w:tc>
          <w:tcPr>
            <w:tcW w:w="900" w:type="dxa"/>
            <w:vAlign w:val="bottom"/>
            <w:tcBorders>
              <w:top w:val="single" w:sz="8" w:color="0000EE"/>
            </w:tcBorders>
            <w:gridSpan w:val="3"/>
          </w:tcPr>
          <w:p>
            <w:pPr>
              <w:spacing w:after="0"/>
              <w:rPr>
                <w:sz w:val="20"/>
                <w:szCs w:val="20"/>
                <w:color w:val="auto"/>
              </w:rPr>
            </w:pPr>
          </w:p>
        </w:tc>
        <w:tc>
          <w:tcPr>
            <w:tcW w:w="4960" w:type="dxa"/>
            <w:vAlign w:val="bottom"/>
            <w:gridSpan w:val="5"/>
          </w:tcPr>
          <w:p>
            <w:pPr>
              <w:spacing w:after="0"/>
              <w:rPr>
                <w:sz w:val="20"/>
                <w:szCs w:val="20"/>
                <w:color w:val="auto"/>
              </w:rPr>
            </w:pPr>
          </w:p>
        </w:tc>
      </w:tr>
      <w:tr>
        <w:trPr>
          <w:trHeight w:val="30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99.8</w:t>
            </w:r>
          </w:p>
        </w:tc>
        <w:tc>
          <w:tcPr>
            <w:tcW w:w="95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Facility Agreement, dated November 24, 2023, by and between New Age SP II and TSH Merger Sub Limited, incorporated herein</w:t>
            </w:r>
          </w:p>
        </w:tc>
      </w:tr>
      <w:tr>
        <w:trPr>
          <w:trHeight w:val="194"/>
        </w:trPr>
        <w:tc>
          <w:tcPr>
            <w:tcW w:w="1460" w:type="dxa"/>
            <w:vAlign w:val="bottom"/>
          </w:tcPr>
          <w:p>
            <w:pPr>
              <w:spacing w:after="0"/>
              <w:rPr>
                <w:sz w:val="16"/>
                <w:szCs w:val="16"/>
                <w:color w:val="auto"/>
              </w:rPr>
            </w:pPr>
          </w:p>
        </w:tc>
        <w:tc>
          <w:tcPr>
            <w:tcW w:w="9560" w:type="dxa"/>
            <w:vAlign w:val="bottom"/>
            <w:gridSpan w:val="11"/>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reference to </w:t>
            </w:r>
            <w:hyperlink r:id="rId32">
              <w:r>
                <w:rPr>
                  <w:rFonts w:ascii="Times New Roman" w:cs="Times New Roman" w:eastAsia="Times New Roman" w:hAnsi="Times New Roman"/>
                  <w:sz w:val="18"/>
                  <w:szCs w:val="18"/>
                  <w:color w:val="0000EE"/>
                </w:rPr>
                <w:t>Exhibit 99.9</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of the Schedule 13D/A furnished by the Sponsor to the SEC on November 27, 2023.</w:t>
            </w:r>
          </w:p>
        </w:tc>
      </w:tr>
      <w:tr>
        <w:trPr>
          <w:trHeight w:val="20"/>
        </w:trPr>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6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9" w:name="page10"/>
    <w:bookmarkEnd w:id="9"/>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27,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JIAN TANG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IGOMAX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Jian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Jian Tang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WING HONG SAMMY HSIEH</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BUBINGA HOLDINGS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Wing Hong Sammy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Name: </w:t>
      </w:r>
      <w:r>
        <w:rPr>
          <w:rFonts w:ascii="Times New Roman" w:cs="Times New Roman" w:eastAsia="Times New Roman" w:hAnsi="Times New Roman"/>
          <w:sz w:val="18"/>
          <w:szCs w:val="18"/>
          <w:color w:val="auto"/>
        </w:rPr>
        <w:t>Wing Hong Sammy Hsieh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Title: </w:t>
      </w:r>
      <w:r>
        <w:rPr>
          <w:rFonts w:ascii="Times New Roman" w:cs="Times New Roman" w:eastAsia="Times New Roman" w:hAnsi="Times New Roman"/>
          <w:sz w:val="18"/>
          <w:szCs w:val="18"/>
          <w:color w:val="auto"/>
        </w:rPr>
        <w:t>Director</w:t>
      </w:r>
    </w:p>
    <w:sectPr>
      <w:pgSz w:w="11900" w:h="16838" w:orient="portrait"/>
      <w:cols w:equalWidth="0" w:num="1">
        <w:col w:w="10460"/>
      </w:cols>
      <w:pgMar w:left="440" w:top="266"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decimal"/>
      <w:start w:val="1"/>
    </w:lvl>
  </w:abstractNum>
  <w:abstractNum w:abstractNumId="1">
    <w:nsid w:val="7FDCC233"/>
    <w:multiLevelType w:val="hybridMultilevel"/>
    <w:lvl w:ilvl="0">
      <w:lvlJc w:val="left"/>
      <w:lvlText w:val="%1."/>
      <w:numFmt w:val="decimal"/>
      <w:start w:val="3"/>
    </w:lvl>
  </w:abstractNum>
  <w:abstractNum w:abstractNumId="2">
    <w:nsid w:val="1BEFD79F"/>
    <w:multiLevelType w:val="hybridMultilevel"/>
    <w:lvl w:ilvl="0">
      <w:lvlJc w:val="left"/>
      <w:lvlText w:val="%1."/>
      <w:numFmt w:val="decimal"/>
      <w:start w:val="7"/>
    </w:lvl>
  </w:abstractNum>
  <w:abstractNum w:abstractNumId="3">
    <w:nsid w:val="41A7C4C9"/>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6B68079A"/>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4E6AFB6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3"/>
    </w:lvl>
  </w:abstractNum>
  <w:abstractNum w:abstractNumId="8">
    <w:nsid w:val="431BD7B7"/>
    <w:multiLevelType w:val="hybridMultilevel"/>
    <w:lvl w:ilvl="0">
      <w:lvlJc w:val="left"/>
      <w:lvlText w:val="%1."/>
      <w:numFmt w:val="decimal"/>
      <w:start w:val="7"/>
    </w:lvl>
  </w:abstractNum>
  <w:abstractNum w:abstractNumId="9">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0">
    <w:nsid w:val="7C83E45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1">
    <w:nsid w:val="257130A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1."/>
      <w:numFmt w:val="decimal"/>
      <w:start w:val="3"/>
    </w:lvl>
  </w:abstractNum>
  <w:abstractNum w:abstractNumId="14">
    <w:nsid w:val="628C895D"/>
    <w:multiLevelType w:val="hybridMultilevel"/>
    <w:lvl w:ilvl="0">
      <w:lvlJc w:val="left"/>
      <w:lvlText w:val="%1."/>
      <w:numFmt w:val="decimal"/>
      <w:start w:val="7"/>
    </w:lvl>
  </w:abstractNum>
  <w:abstractNum w:abstractNumId="15">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6">
    <w:nsid w:val="721DA31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7">
    <w:nsid w:val="2443A85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3"/>
    </w:lvl>
  </w:abstractNum>
  <w:abstractNum w:abstractNumId="20">
    <w:nsid w:val="75A2A8D4"/>
    <w:multiLevelType w:val="hybridMultilevel"/>
    <w:lvl w:ilvl="0">
      <w:lvlJc w:val="left"/>
      <w:lvlText w:val="%1."/>
      <w:numFmt w:val="decimal"/>
      <w:start w:val="7"/>
    </w:lvl>
  </w:abstractNum>
  <w:abstractNum w:abstractNumId="21">
    <w:nsid w:val="8EDBDA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2">
    <w:nsid w:val="79838CB2"/>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3">
    <w:nsid w:val="4353D0C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4">
    <w:nsid w:val="B03E0C6"/>
    <w:multiLevelType w:val="hybridMultilevel"/>
    <w:lvl w:ilvl="0">
      <w:lvlJc w:val="left"/>
      <w:lvlText w:val="(%1)"/>
      <w:numFmt w:val="decimal"/>
      <w:start w:val="1"/>
    </w:lvl>
  </w:abstractNum>
  <w:abstractNum w:abstractNumId="25">
    <w:nsid w:val="189A769B"/>
    <w:multiLevelType w:val="hybridMultilevel"/>
    <w:lvl w:ilvl="0">
      <w:lvlJc w:val="left"/>
      <w:lvlText w:val="(%1)"/>
      <w:numFmt w:val="decimal"/>
      <w:start w:val="3"/>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28" Type="http://schemas.openxmlformats.org/officeDocument/2006/relationships/hyperlink" Target="http://www.sec.gov/Archives/edgar/data/1697818/000110465923120926/tm2331491d1_ex99-2.htm" TargetMode="External"/><Relationship Id="rId29" Type="http://schemas.openxmlformats.org/officeDocument/2006/relationships/hyperlink" Target="http://www.sec.gov/Archives/edgar/data/1697818/000121390023089945/ea189015ex99-5_iclick.htm" TargetMode="External"/><Relationship Id="rId30" Type="http://schemas.openxmlformats.org/officeDocument/2006/relationships/hyperlink" Target="http://www.sec.gov/Archives/edgar/data/1697818/000121390023089945/ea189015ex99-6_iclick.htm" TargetMode="External"/><Relationship Id="rId31" Type="http://schemas.openxmlformats.org/officeDocument/2006/relationships/hyperlink" Target="http://www.sec.gov/Archives/edgar/data/1697818/000121390023089945/ea189015ex99-8_iclick.htm" TargetMode="External"/><Relationship Id="rId32" Type="http://schemas.openxmlformats.org/officeDocument/2006/relationships/hyperlink" Target="http://www.sec.gov/Archives/edgar/data/1697818/000121390023089945/ea189015ex99-9_iclic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2023-11-27T15:40:30Z</dcterms:created>
  <dcterms:modified xsi:type="dcterms:W3CDTF">2023-11-27T15:40:30Z</dcterms:modified>
</cp:coreProperties>
</file>