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0"/>
          <w:szCs w:val="20"/>
          <w:b w:val="1"/>
          <w:bCs w:val="1"/>
          <w:color w:val="auto"/>
        </w:rPr>
        <w:t>UNITED STATES</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SECURITIES AND EXCHANGE COMMISSION</w:t>
      </w:r>
    </w:p>
    <w:p>
      <w:pPr>
        <w:ind w:left="4680"/>
        <w:spacing w:after="0"/>
        <w:rPr>
          <w:sz w:val="20"/>
          <w:szCs w:val="20"/>
          <w:color w:val="auto"/>
        </w:rPr>
      </w:pPr>
      <w:r>
        <w:rPr>
          <w:rFonts w:ascii="Arial" w:cs="Arial" w:eastAsia="Arial" w:hAnsi="Arial"/>
          <w:sz w:val="16"/>
          <w:szCs w:val="16"/>
          <w:b w:val="1"/>
          <w:bCs w:val="1"/>
          <w:color w:val="auto"/>
        </w:rPr>
        <w:t>Washington, D.C. 20549</w:t>
      </w:r>
    </w:p>
    <w:p>
      <w:pPr>
        <w:spacing w:after="0" w:line="134"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SCHEDULE 13G/A</w:t>
      </w:r>
    </w:p>
    <w:p>
      <w:pPr>
        <w:spacing w:after="0" w:line="17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No.2)*</w:t>
      </w:r>
    </w:p>
    <w:p>
      <w:pPr>
        <w:spacing w:after="0" w:line="121"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64"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59"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45" w:lineRule="exact"/>
        <w:rPr>
          <w:sz w:val="24"/>
          <w:szCs w:val="24"/>
          <w:color w:val="auto"/>
        </w:rPr>
      </w:pPr>
    </w:p>
    <w:p>
      <w:pPr>
        <w:ind w:left="4640"/>
        <w:spacing w:after="0"/>
        <w:rPr>
          <w:sz w:val="20"/>
          <w:szCs w:val="20"/>
          <w:color w:val="auto"/>
        </w:rPr>
      </w:pPr>
      <w:r>
        <w:rPr>
          <w:rFonts w:ascii="Arial" w:cs="Arial" w:eastAsia="Arial" w:hAnsi="Arial"/>
          <w:sz w:val="16"/>
          <w:szCs w:val="16"/>
          <w:color w:val="auto"/>
        </w:rPr>
        <w:t>(Title of Class of Securities)</w:t>
      </w:r>
    </w:p>
    <w:p>
      <w:pPr>
        <w:spacing w:after="0" w:line="168"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G47048 106</w:t>
      </w:r>
    </w:p>
    <w:p>
      <w:pPr>
        <w:spacing w:after="0" w:line="45"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(CUSIP Number)</w:t>
      </w:r>
    </w:p>
    <w:p>
      <w:pPr>
        <w:spacing w:after="0" w:line="168"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December 31, 2020</w:t>
      </w:r>
    </w:p>
    <w:p>
      <w:pPr>
        <w:spacing w:after="0" w:line="45"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(Date of Event Which Requires Filing of this Statement)</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9" w:lineRule="exact"/>
        <w:rPr>
          <w:sz w:val="24"/>
          <w:szCs w:val="24"/>
          <w:color w:val="auto"/>
        </w:rPr>
      </w:pPr>
    </w:p>
    <w:p>
      <w:pPr>
        <w:ind w:left="1120" w:hanging="626"/>
        <w:spacing w:after="0"/>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126" w:lineRule="exact"/>
        <w:rPr>
          <w:rFonts w:ascii="Arial" w:cs="Arial" w:eastAsia="Arial" w:hAnsi="Arial"/>
          <w:sz w:val="16"/>
          <w:szCs w:val="16"/>
          <w:color w:val="auto"/>
        </w:rPr>
      </w:pPr>
    </w:p>
    <w:p>
      <w:pPr>
        <w:ind w:left="1120" w:hanging="626"/>
        <w:spacing w:after="0"/>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12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XRule 13d-1(d)</w:t>
      </w:r>
    </w:p>
    <w:p>
      <w:pPr>
        <w:spacing w:after="0" w:line="235" w:lineRule="exact"/>
        <w:rPr>
          <w:sz w:val="24"/>
          <w:szCs w:val="24"/>
          <w:color w:val="auto"/>
        </w:rPr>
      </w:pPr>
    </w:p>
    <w:p>
      <w:pPr>
        <w:ind w:right="40"/>
        <w:spacing w:after="0" w:line="291"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2"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65151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0" cy="26035"/>
                    </a:xfrm>
                    <a:prstGeom prst="rect">
                      <a:avLst/>
                    </a:prstGeom>
                    <a:noFill/>
                  </pic:spPr>
                </pic:pic>
              </a:graphicData>
            </a:graphic>
          </wp:anchor>
        </w:drawing>
      </w:r>
    </w:p>
    <w:p>
      <w:pPr>
        <w:sectPr>
          <w:pgSz w:w="11900" w:h="16838" w:orient="portrait"/>
          <w:cols w:equalWidth="0" w:num="1">
            <w:col w:w="10960"/>
          </w:cols>
          <w:pgMar w:left="320" w:top="216" w:right="619" w:bottom="1440" w:gutter="0" w:footer="0" w:header="0"/>
        </w:sectPr>
      </w:pPr>
    </w:p>
    <w:bookmarkStart w:id="1" w:name="page2"/>
    <w:bookmarkEnd w:id="1"/>
    <w:p>
      <w:pPr>
        <w:ind w:left="980" w:right="6799" w:hanging="608"/>
        <w:spacing w:after="0" w:line="272" w:lineRule="auto"/>
        <w:tabs>
          <w:tab w:leader="none" w:pos="98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Wing Hong Sammy Hsieh</w:t>
      </w:r>
    </w:p>
    <w:p>
      <w:pPr>
        <w:spacing w:after="0" w:line="257" w:lineRule="exact"/>
        <w:rPr>
          <w:sz w:val="20"/>
          <w:szCs w:val="20"/>
          <w:color w:val="auto"/>
        </w:rPr>
      </w:pPr>
    </w:p>
    <w:p>
      <w:pPr>
        <w:ind w:left="980" w:hanging="608"/>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8" w:lineRule="exact"/>
        <w:rPr>
          <w:rFonts w:ascii="Arial" w:cs="Arial" w:eastAsia="Arial" w:hAnsi="Arial"/>
          <w:sz w:val="15"/>
          <w:szCs w:val="15"/>
          <w:color w:val="auto"/>
        </w:rPr>
      </w:pPr>
    </w:p>
    <w:p>
      <w:pPr>
        <w:ind w:left="2120" w:hanging="1127"/>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165" w:lineRule="exact"/>
        <w:rPr>
          <w:rFonts w:ascii="Arial" w:cs="Arial" w:eastAsia="Arial" w:hAnsi="Arial"/>
          <w:sz w:val="15"/>
          <w:szCs w:val="15"/>
          <w:color w:val="auto"/>
        </w:rPr>
      </w:pPr>
    </w:p>
    <w:p>
      <w:pPr>
        <w:ind w:left="2120" w:hanging="1127"/>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22" w:lineRule="exact"/>
        <w:rPr>
          <w:sz w:val="20"/>
          <w:szCs w:val="20"/>
          <w:color w:val="auto"/>
        </w:rPr>
      </w:pPr>
    </w:p>
    <w:p>
      <w:pPr>
        <w:ind w:left="980" w:hanging="608"/>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22" w:lineRule="exact"/>
        <w:rPr>
          <w:sz w:val="20"/>
          <w:szCs w:val="20"/>
          <w:color w:val="auto"/>
        </w:rPr>
      </w:pPr>
    </w:p>
    <w:p>
      <w:pPr>
        <w:ind w:left="980" w:right="6319" w:hanging="608"/>
        <w:spacing w:after="0" w:line="272" w:lineRule="auto"/>
        <w:tabs>
          <w:tab w:leader="none" w:pos="9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or Place of Organization Hong Kong S.A.R.</w:t>
      </w:r>
    </w:p>
    <w:p>
      <w:pPr>
        <w:spacing w:after="0" w:line="244" w:lineRule="exact"/>
        <w:rPr>
          <w:sz w:val="20"/>
          <w:szCs w:val="20"/>
          <w:color w:val="auto"/>
        </w:rPr>
      </w:pPr>
    </w:p>
    <w:p>
      <w:pPr>
        <w:ind w:left="2420" w:right="6479" w:hanging="237"/>
        <w:spacing w:after="0" w:line="328" w:lineRule="auto"/>
        <w:tabs>
          <w:tab w:leader="none" w:pos="2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Sole Voting Power 126,448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49530</wp:posOffset>
            </wp:positionV>
            <wp:extent cx="4980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80"/>
        <w:spacing w:after="0"/>
        <w:tabs>
          <w:tab w:leader="none" w:pos="2400" w:val="left"/>
        </w:tabs>
        <w:rPr>
          <w:sz w:val="20"/>
          <w:szCs w:val="20"/>
          <w:color w:val="auto"/>
        </w:rPr>
      </w:pPr>
      <w:r>
        <w:rPr>
          <w:rFonts w:ascii="Arial" w:cs="Arial" w:eastAsia="Arial" w:hAnsi="Arial"/>
          <w:sz w:val="15"/>
          <w:szCs w:val="15"/>
          <w:color w:val="auto"/>
        </w:rPr>
        <w:t>6</w:t>
        <w:tab/>
        <w:t>Shared Voting Power</w:t>
      </w:r>
    </w:p>
    <w:p>
      <w:pPr>
        <w:spacing w:after="0" w:line="225" w:lineRule="auto"/>
        <w:rPr>
          <w:sz w:val="20"/>
          <w:szCs w:val="20"/>
          <w:color w:val="auto"/>
        </w:rPr>
      </w:pPr>
      <w:r>
        <w:rPr>
          <w:rFonts w:ascii="Arial" w:cs="Arial" w:eastAsia="Arial" w:hAnsi="Arial"/>
          <w:sz w:val="15"/>
          <w:szCs w:val="15"/>
          <w:color w:val="auto"/>
        </w:rPr>
        <w:t>Shares</w:t>
      </w:r>
    </w:p>
    <w:p>
      <w:pPr>
        <w:ind w:left="2420"/>
        <w:spacing w:after="0"/>
        <w:rPr>
          <w:sz w:val="20"/>
          <w:szCs w:val="20"/>
          <w:color w:val="auto"/>
        </w:rPr>
      </w:pPr>
      <w:r>
        <w:rPr>
          <w:rFonts w:ascii="Arial" w:cs="Arial" w:eastAsia="Arial" w:hAnsi="Arial"/>
          <w:sz w:val="15"/>
          <w:szCs w:val="15"/>
          <w:color w:val="auto"/>
        </w:rPr>
        <w:t>2,500,580 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Owned by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80"/>
        <w:spacing w:after="0" w:line="225" w:lineRule="auto"/>
        <w:tabs>
          <w:tab w:leader="none" w:pos="2400" w:val="left"/>
        </w:tabs>
        <w:rPr>
          <w:sz w:val="20"/>
          <w:szCs w:val="20"/>
          <w:color w:val="auto"/>
        </w:rPr>
      </w:pPr>
      <w:r>
        <w:rPr>
          <w:rFonts w:ascii="Arial" w:cs="Arial" w:eastAsia="Arial" w:hAnsi="Arial"/>
          <w:sz w:val="15"/>
          <w:szCs w:val="15"/>
          <w:color w:val="auto"/>
        </w:rPr>
        <w:t>7</w:t>
        <w:tab/>
        <w:t>Sole Dispositive Power</w:t>
      </w:r>
    </w:p>
    <w:p>
      <w:pPr>
        <w:spacing w:after="0" w:line="225" w:lineRule="auto"/>
        <w:rPr>
          <w:sz w:val="20"/>
          <w:szCs w:val="20"/>
          <w:color w:val="auto"/>
        </w:rPr>
      </w:pPr>
      <w:r>
        <w:rPr>
          <w:rFonts w:ascii="Arial" w:cs="Arial" w:eastAsia="Arial" w:hAnsi="Arial"/>
          <w:sz w:val="15"/>
          <w:szCs w:val="15"/>
          <w:color w:val="auto"/>
        </w:rPr>
        <w:t>Reporting</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126,448</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74" w:lineRule="exact"/>
        <w:rPr>
          <w:sz w:val="20"/>
          <w:szCs w:val="20"/>
          <w:color w:val="auto"/>
        </w:rPr>
      </w:pPr>
    </w:p>
    <w:p>
      <w:pPr>
        <w:ind w:left="2420" w:hanging="237"/>
        <w:spacing w:after="0"/>
        <w:tabs>
          <w:tab w:leader="none" w:pos="2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33" w:lineRule="exact"/>
        <w:rPr>
          <w:rFonts w:ascii="Arial" w:cs="Arial" w:eastAsia="Arial" w:hAnsi="Arial"/>
          <w:sz w:val="15"/>
          <w:szCs w:val="15"/>
          <w:color w:val="auto"/>
        </w:rPr>
      </w:pPr>
    </w:p>
    <w:p>
      <w:pPr>
        <w:ind w:left="2420"/>
        <w:spacing w:after="0"/>
        <w:rPr>
          <w:rFonts w:ascii="Arial" w:cs="Arial" w:eastAsia="Arial" w:hAnsi="Arial"/>
          <w:sz w:val="15"/>
          <w:szCs w:val="15"/>
          <w:color w:val="auto"/>
        </w:rPr>
      </w:pPr>
      <w:r>
        <w:rPr>
          <w:rFonts w:ascii="Arial" w:cs="Arial" w:eastAsia="Arial" w:hAnsi="Arial"/>
          <w:sz w:val="15"/>
          <w:szCs w:val="15"/>
          <w:color w:val="auto"/>
        </w:rPr>
        <w:t>2,500,580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108585</wp:posOffset>
            </wp:positionV>
            <wp:extent cx="4980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right="4719" w:hanging="608"/>
        <w:spacing w:after="0" w:line="365" w:lineRule="auto"/>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2,627</w:t>
      </w:r>
      <w:r>
        <w:rPr>
          <w:rFonts w:ascii="Times New Roman" w:cs="Times New Roman" w:eastAsia="Times New Roman" w:hAnsi="Times New Roman"/>
          <w:sz w:val="15"/>
          <w:szCs w:val="15"/>
          <w:color w:val="auto"/>
        </w:rPr>
        <w:t>,</w:t>
      </w:r>
      <w:r>
        <w:rPr>
          <w:rFonts w:ascii="Arial" w:cs="Arial" w:eastAsia="Arial" w:hAnsi="Arial"/>
          <w:sz w:val="15"/>
          <w:szCs w:val="15"/>
          <w:color w:val="auto"/>
        </w:rPr>
        <w:t>028 ordinary shares. See Item 4.</w:t>
      </w:r>
    </w:p>
    <w:p>
      <w:pPr>
        <w:spacing w:after="0" w:line="190" w:lineRule="exact"/>
        <w:rPr>
          <w:sz w:val="20"/>
          <w:szCs w:val="20"/>
          <w:color w:val="auto"/>
        </w:rPr>
      </w:pPr>
    </w:p>
    <w:p>
      <w:pPr>
        <w:ind w:left="1000" w:right="6299" w:hanging="628"/>
        <w:spacing w:after="0" w:line="366" w:lineRule="auto"/>
        <w:tabs>
          <w:tab w:leader="none" w:pos="987" w:val="left"/>
        </w:tabs>
        <w:numPr>
          <w:ilvl w:val="0"/>
          <w:numId w:val="9"/>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56" w:lineRule="exact"/>
        <w:rPr>
          <w:rFonts w:ascii="Arial" w:cs="Arial" w:eastAsia="Arial" w:hAnsi="Arial"/>
          <w:sz w:val="15"/>
          <w:szCs w:val="15"/>
          <w:color w:val="auto"/>
        </w:rPr>
      </w:pPr>
    </w:p>
    <w:p>
      <w:pPr>
        <w:ind w:left="980" w:right="5599" w:hanging="608"/>
        <w:spacing w:after="0" w:line="272" w:lineRule="auto"/>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Percent of Class Represented by Amount in Row (9) 5.8%See Item 4.</w:t>
      </w:r>
    </w:p>
    <w:p>
      <w:pPr>
        <w:spacing w:after="0" w:line="270" w:lineRule="exact"/>
        <w:rPr>
          <w:rFonts w:ascii="Arial" w:cs="Arial" w:eastAsia="Arial" w:hAnsi="Arial"/>
          <w:sz w:val="15"/>
          <w:szCs w:val="15"/>
          <w:color w:val="auto"/>
        </w:rPr>
      </w:pPr>
    </w:p>
    <w:p>
      <w:pPr>
        <w:ind w:left="980" w:hanging="60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70"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6" w:lineRule="exact"/>
        <w:rPr>
          <w:sz w:val="20"/>
          <w:szCs w:val="20"/>
          <w:color w:val="auto"/>
        </w:rPr>
      </w:pPr>
    </w:p>
    <w:p>
      <w:pPr>
        <w:jc w:val="right"/>
        <w:ind w:right="449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64897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700" cy="25400"/>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2" w:name="page3"/>
    <w:bookmarkEnd w:id="2"/>
    <w:p>
      <w:pPr>
        <w:ind w:left="980" w:right="6599" w:hanging="608"/>
        <w:spacing w:after="0" w:line="272"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Names of Reporting Persons Bubinga Holdings Limited</w:t>
      </w:r>
    </w:p>
    <w:p>
      <w:pPr>
        <w:spacing w:after="0" w:line="257" w:lineRule="exact"/>
        <w:rPr>
          <w:sz w:val="20"/>
          <w:szCs w:val="20"/>
          <w:color w:val="auto"/>
        </w:rPr>
      </w:pPr>
    </w:p>
    <w:p>
      <w:pPr>
        <w:ind w:left="980" w:hanging="608"/>
        <w:spacing w:after="0"/>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8" w:lineRule="exact"/>
        <w:rPr>
          <w:rFonts w:ascii="Arial" w:cs="Arial" w:eastAsia="Arial" w:hAnsi="Arial"/>
          <w:sz w:val="15"/>
          <w:szCs w:val="15"/>
          <w:color w:val="auto"/>
        </w:rPr>
      </w:pPr>
    </w:p>
    <w:p>
      <w:pPr>
        <w:ind w:left="2120" w:hanging="1127"/>
        <w:spacing w:after="0"/>
        <w:tabs>
          <w:tab w:leader="none" w:pos="21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o</w:t>
      </w:r>
    </w:p>
    <w:p>
      <w:pPr>
        <w:spacing w:after="0" w:line="165" w:lineRule="exact"/>
        <w:rPr>
          <w:rFonts w:ascii="Arial" w:cs="Arial" w:eastAsia="Arial" w:hAnsi="Arial"/>
          <w:sz w:val="15"/>
          <w:szCs w:val="15"/>
          <w:color w:val="auto"/>
        </w:rPr>
      </w:pPr>
    </w:p>
    <w:p>
      <w:pPr>
        <w:ind w:left="2120" w:hanging="1127"/>
        <w:spacing w:after="0"/>
        <w:tabs>
          <w:tab w:leader="none" w:pos="21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22" w:lineRule="exact"/>
        <w:rPr>
          <w:sz w:val="20"/>
          <w:szCs w:val="20"/>
          <w:color w:val="auto"/>
        </w:rPr>
      </w:pPr>
    </w:p>
    <w:p>
      <w:pPr>
        <w:ind w:left="980" w:hanging="608"/>
        <w:spacing w:after="0"/>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22" w:lineRule="exact"/>
        <w:rPr>
          <w:sz w:val="20"/>
          <w:szCs w:val="20"/>
          <w:color w:val="auto"/>
        </w:rPr>
      </w:pPr>
    </w:p>
    <w:p>
      <w:pPr>
        <w:ind w:left="980" w:right="6259" w:hanging="608"/>
        <w:spacing w:after="0" w:line="272" w:lineRule="auto"/>
        <w:tabs>
          <w:tab w:leader="none" w:pos="9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Citizenship or Place of Organization British Virgin Islands</w:t>
      </w:r>
    </w:p>
    <w:p>
      <w:pPr>
        <w:spacing w:after="0" w:line="257" w:lineRule="exact"/>
        <w:rPr>
          <w:sz w:val="20"/>
          <w:szCs w:val="20"/>
          <w:color w:val="auto"/>
        </w:rPr>
      </w:pPr>
    </w:p>
    <w:p>
      <w:pPr>
        <w:ind w:left="2420" w:right="6479" w:hanging="237"/>
        <w:spacing w:after="0" w:line="328" w:lineRule="auto"/>
        <w:tabs>
          <w:tab w:leader="none" w:pos="2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49530</wp:posOffset>
            </wp:positionV>
            <wp:extent cx="4980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80"/>
        <w:spacing w:after="0"/>
        <w:tabs>
          <w:tab w:leader="none" w:pos="2400" w:val="left"/>
        </w:tabs>
        <w:rPr>
          <w:sz w:val="20"/>
          <w:szCs w:val="20"/>
          <w:color w:val="auto"/>
        </w:rPr>
      </w:pPr>
      <w:r>
        <w:rPr>
          <w:rFonts w:ascii="Arial" w:cs="Arial" w:eastAsia="Arial" w:hAnsi="Arial"/>
          <w:sz w:val="15"/>
          <w:szCs w:val="15"/>
          <w:color w:val="auto"/>
        </w:rPr>
        <w:t>6</w:t>
        <w:tab/>
        <w:t>Shared Voting Power</w:t>
      </w:r>
    </w:p>
    <w:p>
      <w:pPr>
        <w:spacing w:after="0" w:line="225" w:lineRule="auto"/>
        <w:rPr>
          <w:sz w:val="20"/>
          <w:szCs w:val="20"/>
          <w:color w:val="auto"/>
        </w:rPr>
      </w:pPr>
      <w:r>
        <w:rPr>
          <w:rFonts w:ascii="Arial" w:cs="Arial" w:eastAsia="Arial" w:hAnsi="Arial"/>
          <w:sz w:val="15"/>
          <w:szCs w:val="15"/>
          <w:color w:val="auto"/>
        </w:rPr>
        <w:t>Shares</w:t>
      </w:r>
    </w:p>
    <w:p>
      <w:pPr>
        <w:ind w:left="2420"/>
        <w:spacing w:after="0"/>
        <w:rPr>
          <w:sz w:val="20"/>
          <w:szCs w:val="20"/>
          <w:color w:val="auto"/>
        </w:rPr>
      </w:pPr>
      <w:r>
        <w:rPr>
          <w:rFonts w:ascii="Arial" w:cs="Arial" w:eastAsia="Arial" w:hAnsi="Arial"/>
          <w:sz w:val="15"/>
          <w:szCs w:val="15"/>
          <w:color w:val="auto"/>
        </w:rPr>
        <w:t>2,500,580 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Owned by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80"/>
        <w:spacing w:after="0" w:line="225" w:lineRule="auto"/>
        <w:tabs>
          <w:tab w:leader="none" w:pos="2400" w:val="left"/>
        </w:tabs>
        <w:rPr>
          <w:sz w:val="20"/>
          <w:szCs w:val="20"/>
          <w:color w:val="auto"/>
        </w:rPr>
      </w:pPr>
      <w:r>
        <w:rPr>
          <w:rFonts w:ascii="Arial" w:cs="Arial" w:eastAsia="Arial" w:hAnsi="Arial"/>
          <w:sz w:val="15"/>
          <w:szCs w:val="15"/>
          <w:color w:val="auto"/>
        </w:rPr>
        <w:t>7</w:t>
        <w:tab/>
        <w:t>Sole Dispositive Power</w:t>
      </w:r>
    </w:p>
    <w:p>
      <w:pPr>
        <w:spacing w:after="0" w:line="225" w:lineRule="auto"/>
        <w:rPr>
          <w:sz w:val="20"/>
          <w:szCs w:val="20"/>
          <w:color w:val="auto"/>
        </w:rPr>
      </w:pPr>
      <w:r>
        <w:rPr>
          <w:rFonts w:ascii="Arial" w:cs="Arial" w:eastAsia="Arial" w:hAnsi="Arial"/>
          <w:sz w:val="15"/>
          <w:szCs w:val="15"/>
          <w:color w:val="auto"/>
        </w:rPr>
        <w:t>Reporting</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74" w:lineRule="exact"/>
        <w:rPr>
          <w:sz w:val="20"/>
          <w:szCs w:val="20"/>
          <w:color w:val="auto"/>
        </w:rPr>
      </w:pPr>
    </w:p>
    <w:p>
      <w:pPr>
        <w:ind w:left="2420" w:hanging="237"/>
        <w:spacing w:after="0"/>
        <w:tabs>
          <w:tab w:leader="none" w:pos="2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33" w:lineRule="exact"/>
        <w:rPr>
          <w:rFonts w:ascii="Arial" w:cs="Arial" w:eastAsia="Arial" w:hAnsi="Arial"/>
          <w:sz w:val="15"/>
          <w:szCs w:val="15"/>
          <w:color w:val="auto"/>
        </w:rPr>
      </w:pPr>
    </w:p>
    <w:p>
      <w:pPr>
        <w:ind w:left="2420"/>
        <w:spacing w:after="0"/>
        <w:rPr>
          <w:rFonts w:ascii="Arial" w:cs="Arial" w:eastAsia="Arial" w:hAnsi="Arial"/>
          <w:sz w:val="15"/>
          <w:szCs w:val="15"/>
          <w:color w:val="auto"/>
        </w:rPr>
      </w:pPr>
      <w:r>
        <w:rPr>
          <w:rFonts w:ascii="Arial" w:cs="Arial" w:eastAsia="Arial" w:hAnsi="Arial"/>
          <w:sz w:val="15"/>
          <w:szCs w:val="15"/>
          <w:color w:val="auto"/>
        </w:rPr>
        <w:t>2,500,580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108585</wp:posOffset>
            </wp:positionV>
            <wp:extent cx="4980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right="4719" w:hanging="608"/>
        <w:spacing w:after="0" w:line="272" w:lineRule="auto"/>
        <w:tabs>
          <w:tab w:leader="none" w:pos="9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2,500,580 ordinary shares. See Item 4</w:t>
      </w:r>
    </w:p>
    <w:p>
      <w:pPr>
        <w:spacing w:after="0" w:line="257" w:lineRule="exact"/>
        <w:rPr>
          <w:sz w:val="20"/>
          <w:szCs w:val="20"/>
          <w:color w:val="auto"/>
        </w:rPr>
      </w:pPr>
    </w:p>
    <w:p>
      <w:pPr>
        <w:ind w:left="980" w:hanging="608"/>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left="980" w:right="5599" w:hanging="608"/>
        <w:spacing w:after="0" w:line="272" w:lineRule="auto"/>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Percent of Class Represented by Amount in Row (9) 5.5%. See Item 4.</w:t>
      </w:r>
    </w:p>
    <w:p>
      <w:pPr>
        <w:spacing w:after="0" w:line="270" w:lineRule="exact"/>
        <w:rPr>
          <w:rFonts w:ascii="Arial" w:cs="Arial" w:eastAsia="Arial" w:hAnsi="Arial"/>
          <w:sz w:val="15"/>
          <w:szCs w:val="15"/>
          <w:color w:val="auto"/>
        </w:rPr>
      </w:pPr>
    </w:p>
    <w:p>
      <w:pPr>
        <w:ind w:left="980" w:hanging="608"/>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70"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CO</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64897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700" cy="25400"/>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3" w:name="page4"/>
    <w:bookmarkEnd w:id="3"/>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5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9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iClick Interactive Asia Group Limited (the “Issuer”)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174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487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15/F, Prosperity Millennia Plaza</w:t>
      </w:r>
    </w:p>
    <w:p>
      <w:pPr>
        <w:spacing w:after="0" w:line="225" w:lineRule="auto"/>
        <w:rPr>
          <w:sz w:val="20"/>
          <w:szCs w:val="20"/>
          <w:color w:val="auto"/>
        </w:rPr>
      </w:pPr>
      <w:r>
        <w:rPr>
          <w:rFonts w:ascii="Arial" w:cs="Arial" w:eastAsia="Arial" w:hAnsi="Arial"/>
          <w:sz w:val="15"/>
          <w:szCs w:val="15"/>
          <w:color w:val="auto"/>
        </w:rPr>
        <w:t>663 King’s Road, Quarry Bay</w:t>
      </w:r>
    </w:p>
    <w:p>
      <w:pPr>
        <w:spacing w:after="0"/>
        <w:rPr>
          <w:sz w:val="20"/>
          <w:szCs w:val="20"/>
          <w:color w:val="auto"/>
        </w:rPr>
      </w:pPr>
      <w:r>
        <w:rPr>
          <w:rFonts w:ascii="Arial" w:cs="Arial" w:eastAsia="Arial" w:hAnsi="Arial"/>
          <w:sz w:val="15"/>
          <w:szCs w:val="15"/>
          <w:color w:val="auto"/>
        </w:rPr>
        <w:t>Hong Kong S.A.R.</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24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Wing Hong Sammy Hsieh</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62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Wing Hong Sammy Hsieh</w:t>
      </w:r>
    </w:p>
    <w:p>
      <w:pPr>
        <w:spacing w:after="0" w:line="225" w:lineRule="auto"/>
        <w:rPr>
          <w:sz w:val="20"/>
          <w:szCs w:val="20"/>
          <w:color w:val="auto"/>
        </w:rPr>
      </w:pPr>
      <w:r>
        <w:rPr>
          <w:rFonts w:ascii="Arial" w:cs="Arial" w:eastAsia="Arial" w:hAnsi="Arial"/>
          <w:sz w:val="15"/>
          <w:szCs w:val="15"/>
          <w:color w:val="auto"/>
        </w:rPr>
        <w:t>15/F, Prosperity Millennia Plaza</w:t>
      </w:r>
    </w:p>
    <w:p>
      <w:pPr>
        <w:spacing w:after="0" w:line="225" w:lineRule="auto"/>
        <w:rPr>
          <w:sz w:val="20"/>
          <w:szCs w:val="20"/>
          <w:color w:val="auto"/>
        </w:rPr>
      </w:pPr>
      <w:r>
        <w:rPr>
          <w:rFonts w:ascii="Arial" w:cs="Arial" w:eastAsia="Arial" w:hAnsi="Arial"/>
          <w:sz w:val="15"/>
          <w:szCs w:val="15"/>
          <w:color w:val="auto"/>
        </w:rPr>
        <w:t>663 King’s Road, Quarry Bay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Hong Kong S.A.R.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Vistra Corporate Services Centre</w:t>
      </w:r>
    </w:p>
    <w:p>
      <w:pPr>
        <w:spacing w:after="0" w:line="225" w:lineRule="auto"/>
        <w:rPr>
          <w:sz w:val="20"/>
          <w:szCs w:val="20"/>
          <w:color w:val="auto"/>
        </w:rPr>
      </w:pPr>
      <w:r>
        <w:rPr>
          <w:rFonts w:ascii="Arial" w:cs="Arial" w:eastAsia="Arial" w:hAnsi="Arial"/>
          <w:sz w:val="15"/>
          <w:szCs w:val="15"/>
          <w:color w:val="auto"/>
        </w:rPr>
        <w:t>Wickhams Cay II</w:t>
      </w:r>
    </w:p>
    <w:p>
      <w:pPr>
        <w:spacing w:after="0" w:line="225" w:lineRule="auto"/>
        <w:rPr>
          <w:sz w:val="20"/>
          <w:szCs w:val="20"/>
          <w:color w:val="auto"/>
        </w:rPr>
      </w:pPr>
      <w:r>
        <w:rPr>
          <w:rFonts w:ascii="Arial" w:cs="Arial" w:eastAsia="Arial" w:hAnsi="Arial"/>
          <w:sz w:val="15"/>
          <w:szCs w:val="15"/>
          <w:color w:val="auto"/>
        </w:rPr>
        <w:t>Road Town, Tortola, VG1110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British Virgin Islands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Citizenship</w:t>
      </w:r>
      <w:r>
        <w:rPr>
          <w:rFonts w:ascii="Arial" w:cs="Arial" w:eastAsia="Arial" w:hAnsi="Arial"/>
          <w:sz w:val="15"/>
          <w:szCs w:val="15"/>
          <w:b w:val="1"/>
          <w:b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Wing Hong Sammy Hsieh — Hong Kong S.A.R.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 — British Virgin Islands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Title of Class of Securities</w:t>
      </w:r>
      <w:r>
        <w:rPr>
          <w:rFonts w:ascii="Arial" w:cs="Arial" w:eastAsia="Arial" w:hAnsi="Arial"/>
          <w:sz w:val="15"/>
          <w:szCs w:val="15"/>
          <w:b w:val="1"/>
          <w:bCs w:val="1"/>
          <w:color w:val="auto"/>
        </w:rPr>
        <w:t>:</w:t>
      </w:r>
    </w:p>
    <w:p>
      <w:pPr>
        <w:spacing w:after="0" w:line="23"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80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G47048 106</w:t>
      </w:r>
    </w:p>
    <w:p>
      <w:pPr>
        <w:spacing w:after="0" w:line="200" w:lineRule="exact"/>
        <w:rPr>
          <w:sz w:val="20"/>
          <w:szCs w:val="20"/>
          <w:color w:val="auto"/>
        </w:rPr>
      </w:pPr>
    </w:p>
    <w:p>
      <w:pPr>
        <w:sectPr>
          <w:pgSz w:w="11900" w:h="16856" w:orient="portrait"/>
          <w:cols w:equalWidth="0" w:num="2">
            <w:col w:w="680" w:space="460"/>
            <w:col w:w="10080"/>
          </w:cols>
          <w:pgMar w:left="320" w:top="346" w:right="359" w:bottom="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4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8140" w:type="dxa"/>
            <w:vAlign w:val="bottom"/>
            <w:gridSpan w:val="4"/>
          </w:tcPr>
          <w:p>
            <w:pPr>
              <w:spacing w:after="0"/>
              <w:rPr>
                <w:sz w:val="20"/>
                <w:szCs w:val="20"/>
                <w:color w:val="auto"/>
              </w:rPr>
            </w:pPr>
            <w:r>
              <w:rPr>
                <w:rFonts w:ascii="Arial" w:cs="Arial" w:eastAsia="Arial" w:hAnsi="Arial"/>
                <w:sz w:val="15"/>
                <w:szCs w:val="15"/>
                <w:b w:val="1"/>
                <w:bCs w:val="1"/>
                <w:color w:val="auto"/>
              </w:rPr>
              <w:t>If this statement is filed pursuant to §§ 240.13d-1(b), or 240.13d-2(b) or (c), check whether the persons filing is a:</w:t>
            </w:r>
          </w:p>
        </w:tc>
      </w:tr>
      <w:tr>
        <w:trPr>
          <w:trHeight w:val="338"/>
        </w:trPr>
        <w:tc>
          <w:tcPr>
            <w:tcW w:w="1140" w:type="dxa"/>
            <w:vAlign w:val="bottom"/>
          </w:tcPr>
          <w:p>
            <w:pPr>
              <w:spacing w:after="0"/>
              <w:rPr>
                <w:sz w:val="24"/>
                <w:szCs w:val="24"/>
                <w:color w:val="auto"/>
              </w:rPr>
            </w:pPr>
          </w:p>
        </w:tc>
        <w:tc>
          <w:tcPr>
            <w:tcW w:w="808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Not applicable</w:t>
            </w:r>
          </w:p>
        </w:tc>
        <w:tc>
          <w:tcPr>
            <w:tcW w:w="6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8080" w:type="dxa"/>
            <w:vAlign w:val="bottom"/>
            <w:gridSpan w:val="3"/>
          </w:tcPr>
          <w:p>
            <w:pPr>
              <w:jc w:val="right"/>
              <w:ind w:right="3300"/>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24"/>
                <w:szCs w:val="24"/>
                <w:color w:val="auto"/>
              </w:rPr>
            </w:pPr>
          </w:p>
        </w:tc>
      </w:tr>
      <w:tr>
        <w:trPr>
          <w:trHeight w:val="533"/>
        </w:trPr>
        <w:tc>
          <w:tcPr>
            <w:tcW w:w="1140" w:type="dxa"/>
            <w:vAlign w:val="bottom"/>
          </w:tcPr>
          <w:p>
            <w:pPr>
              <w:spacing w:after="0"/>
              <w:rPr>
                <w:sz w:val="20"/>
                <w:szCs w:val="20"/>
                <w:color w:val="auto"/>
              </w:rPr>
            </w:pPr>
            <w:r>
              <w:rPr>
                <w:rFonts w:ascii="Arial" w:cs="Arial" w:eastAsia="Arial" w:hAnsi="Arial"/>
                <w:sz w:val="15"/>
                <w:szCs w:val="15"/>
                <w:b w:val="1"/>
                <w:bCs w:val="1"/>
                <w:color w:val="auto"/>
              </w:rPr>
              <w:t>Item 4.</w:t>
            </w:r>
          </w:p>
        </w:tc>
        <w:tc>
          <w:tcPr>
            <w:tcW w:w="400" w:type="dxa"/>
            <w:vAlign w:val="bottom"/>
          </w:tcPr>
          <w:p>
            <w:pPr>
              <w:spacing w:after="0"/>
              <w:rPr>
                <w:sz w:val="24"/>
                <w:szCs w:val="24"/>
                <w:color w:val="auto"/>
              </w:rPr>
            </w:pPr>
          </w:p>
        </w:tc>
        <w:tc>
          <w:tcPr>
            <w:tcW w:w="7740" w:type="dxa"/>
            <w:vAlign w:val="bottom"/>
            <w:gridSpan w:val="3"/>
          </w:tcPr>
          <w:p>
            <w:pPr>
              <w:spacing w:after="0"/>
              <w:rPr>
                <w:sz w:val="20"/>
                <w:szCs w:val="20"/>
                <w:color w:val="auto"/>
              </w:rPr>
            </w:pPr>
            <w:r>
              <w:rPr>
                <w:rFonts w:ascii="Arial" w:cs="Arial" w:eastAsia="Arial" w:hAnsi="Arial"/>
                <w:sz w:val="15"/>
                <w:szCs w:val="15"/>
                <w:b w:val="1"/>
                <w:bCs w:val="1"/>
                <w:color w:val="auto"/>
              </w:rPr>
              <w:t>Ownership</w:t>
            </w: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following information with respect to the ownership of the Class A Ordinary Shares by each of the reporting persons is provided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Sole Power</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Sole Power</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Shared</w:t>
            </w:r>
          </w:p>
        </w:tc>
      </w:tr>
      <w:tr>
        <w:trPr>
          <w:trHeight w:val="229"/>
        </w:trPr>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to</w:t>
            </w:r>
          </w:p>
        </w:tc>
        <w:tc>
          <w:tcPr>
            <w:tcW w:w="900" w:type="dxa"/>
            <w:vAlign w:val="bottom"/>
          </w:tcPr>
          <w:p>
            <w:pPr>
              <w:jc w:val="center"/>
              <w:ind w:left="304"/>
              <w:spacing w:after="0"/>
              <w:rPr>
                <w:sz w:val="20"/>
                <w:szCs w:val="20"/>
                <w:color w:val="auto"/>
              </w:rPr>
            </w:pPr>
            <w:r>
              <w:rPr>
                <w:rFonts w:ascii="Arial" w:cs="Arial" w:eastAsia="Arial" w:hAnsi="Arial"/>
                <w:sz w:val="15"/>
                <w:szCs w:val="15"/>
                <w:b w:val="1"/>
                <w:bCs w:val="1"/>
                <w:color w:val="auto"/>
              </w:rPr>
              <w:t>Shared</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to Dispose</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Power to</w:t>
            </w:r>
          </w:p>
        </w:tc>
      </w:tr>
      <w:tr>
        <w:trPr>
          <w:trHeight w:val="230"/>
        </w:trPr>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Amount</w:t>
            </w: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Percent</w:t>
            </w: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Vote or</w:t>
            </w:r>
          </w:p>
        </w:tc>
        <w:tc>
          <w:tcPr>
            <w:tcW w:w="900" w:type="dxa"/>
            <w:vAlign w:val="bottom"/>
          </w:tcPr>
          <w:p>
            <w:pPr>
              <w:jc w:val="center"/>
              <w:ind w:left="284"/>
              <w:spacing w:after="0"/>
              <w:rPr>
                <w:sz w:val="20"/>
                <w:szCs w:val="20"/>
                <w:color w:val="auto"/>
              </w:rPr>
            </w:pPr>
            <w:r>
              <w:rPr>
                <w:rFonts w:ascii="Arial" w:cs="Arial" w:eastAsia="Arial" w:hAnsi="Arial"/>
                <w:sz w:val="15"/>
                <w:szCs w:val="15"/>
                <w:b w:val="1"/>
                <w:bCs w:val="1"/>
                <w:color w:val="auto"/>
              </w:rPr>
              <w:t>Power</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or to</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Dispose or to</w:t>
            </w:r>
          </w:p>
        </w:tc>
      </w:tr>
      <w:tr>
        <w:trPr>
          <w:trHeight w:val="230"/>
        </w:trPr>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Beneficially</w:t>
            </w:r>
          </w:p>
        </w:tc>
        <w:tc>
          <w:tcPr>
            <w:tcW w:w="15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of</w:t>
            </w: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Direct</w:t>
            </w:r>
          </w:p>
        </w:tc>
        <w:tc>
          <w:tcPr>
            <w:tcW w:w="15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9"/>
              </w:rPr>
              <w:t>to Vote or to</w:t>
            </w: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Direct the</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rPr>
              <w:t>Direct the</w:t>
            </w:r>
          </w:p>
        </w:tc>
      </w:tr>
      <w:tr>
        <w:trPr>
          <w:trHeight w:val="249"/>
        </w:trPr>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Reporting Person:</w:t>
            </w:r>
          </w:p>
        </w:tc>
        <w:tc>
          <w:tcPr>
            <w:tcW w:w="2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Owned:</w:t>
            </w:r>
          </w:p>
        </w:tc>
        <w:tc>
          <w:tcPr>
            <w:tcW w:w="2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Class:(1)</w:t>
            </w:r>
          </w:p>
        </w:tc>
        <w:tc>
          <w:tcPr>
            <w:tcW w:w="2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the Vote:</w:t>
            </w:r>
          </w:p>
        </w:tc>
        <w:tc>
          <w:tcPr>
            <w:tcW w:w="2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Direct the Vote:</w:t>
            </w:r>
          </w:p>
        </w:tc>
        <w:tc>
          <w:tcPr>
            <w:tcW w:w="26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Disposition of:</w:t>
            </w:r>
          </w:p>
        </w:tc>
        <w:tc>
          <w:tcPr>
            <w:tcW w:w="2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Disposition of:</w:t>
            </w:r>
          </w:p>
        </w:tc>
      </w:tr>
      <w:tr>
        <w:trPr>
          <w:trHeight w:val="215"/>
        </w:trPr>
        <w:tc>
          <w:tcPr>
            <w:tcW w:w="2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Wing Hong Sammy Hsieh</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2,627,028(2)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5.8%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126,448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2,500,580</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7"/>
              </w:rPr>
              <w:t>(2)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126,448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2,500,580 (2)</w:t>
            </w:r>
          </w:p>
        </w:tc>
      </w:tr>
      <w:tr>
        <w:trPr>
          <w:trHeight w:val="210"/>
        </w:trPr>
        <w:tc>
          <w:tcPr>
            <w:tcW w:w="2120" w:type="dxa"/>
            <w:vAlign w:val="bottom"/>
            <w:gridSpan w:val="2"/>
          </w:tcPr>
          <w:p>
            <w:pPr>
              <w:spacing w:after="0"/>
              <w:rPr>
                <w:sz w:val="20"/>
                <w:szCs w:val="20"/>
                <w:color w:val="auto"/>
              </w:rPr>
            </w:pPr>
            <w:r>
              <w:rPr>
                <w:rFonts w:ascii="Arial" w:cs="Arial" w:eastAsia="Arial" w:hAnsi="Arial"/>
                <w:sz w:val="15"/>
                <w:szCs w:val="15"/>
                <w:color w:val="auto"/>
              </w:rPr>
              <w:t>Bubinga Holdings Limited</w:t>
            </w:r>
          </w:p>
        </w:tc>
        <w:tc>
          <w:tcPr>
            <w:tcW w:w="1260" w:type="dxa"/>
            <w:vAlign w:val="bottom"/>
          </w:tcPr>
          <w:p>
            <w:pPr>
              <w:jc w:val="center"/>
              <w:spacing w:after="0"/>
              <w:rPr>
                <w:sz w:val="20"/>
                <w:szCs w:val="20"/>
                <w:color w:val="auto"/>
              </w:rPr>
            </w:pPr>
            <w:r>
              <w:rPr>
                <w:rFonts w:ascii="Arial" w:cs="Arial" w:eastAsia="Arial" w:hAnsi="Arial"/>
                <w:sz w:val="15"/>
                <w:szCs w:val="15"/>
                <w:color w:val="auto"/>
              </w:rPr>
              <w:t>2,500,580(3)</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w w:val="99"/>
              </w:rPr>
              <w:t>5.5%</w:t>
            </w:r>
          </w:p>
        </w:tc>
        <w:tc>
          <w:tcPr>
            <w:tcW w:w="240" w:type="dxa"/>
            <w:vAlign w:val="bottom"/>
          </w:tcPr>
          <w:p>
            <w:pPr>
              <w:spacing w:after="0"/>
              <w:rPr>
                <w:sz w:val="18"/>
                <w:szCs w:val="18"/>
                <w:color w:val="auto"/>
              </w:rPr>
            </w:pPr>
          </w:p>
        </w:tc>
        <w:tc>
          <w:tcPr>
            <w:tcW w:w="1260" w:type="dxa"/>
            <w:vAlign w:val="bottom"/>
          </w:tcPr>
          <w:p>
            <w:pPr>
              <w:jc w:val="right"/>
              <w:ind w:right="524"/>
              <w:spacing w:after="0"/>
              <w:rPr>
                <w:sz w:val="20"/>
                <w:szCs w:val="20"/>
                <w:color w:val="auto"/>
              </w:rPr>
            </w:pPr>
            <w:r>
              <w:rPr>
                <w:rFonts w:ascii="Arial" w:cs="Arial" w:eastAsia="Arial" w:hAnsi="Arial"/>
                <w:sz w:val="15"/>
                <w:szCs w:val="15"/>
                <w:color w:val="auto"/>
              </w:rPr>
              <w:t>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2,500,580</w:t>
            </w:r>
          </w:p>
        </w:tc>
        <w:tc>
          <w:tcPr>
            <w:tcW w:w="360" w:type="dxa"/>
            <w:vAlign w:val="bottom"/>
          </w:tcPr>
          <w:p>
            <w:pPr>
              <w:jc w:val="right"/>
              <w:ind w:right="84"/>
              <w:spacing w:after="0"/>
              <w:rPr>
                <w:sz w:val="20"/>
                <w:szCs w:val="20"/>
                <w:color w:val="auto"/>
              </w:rPr>
            </w:pPr>
            <w:r>
              <w:rPr>
                <w:rFonts w:ascii="Arial" w:cs="Arial" w:eastAsia="Arial" w:hAnsi="Arial"/>
                <w:sz w:val="15"/>
                <w:szCs w:val="15"/>
                <w:color w:val="auto"/>
                <w:w w:val="97"/>
              </w:rPr>
              <w:t>(3)</w:t>
            </w:r>
          </w:p>
        </w:tc>
        <w:tc>
          <w:tcPr>
            <w:tcW w:w="260" w:type="dxa"/>
            <w:vAlign w:val="bottom"/>
          </w:tcPr>
          <w:p>
            <w:pPr>
              <w:spacing w:after="0"/>
              <w:rPr>
                <w:sz w:val="18"/>
                <w:szCs w:val="18"/>
                <w:color w:val="auto"/>
              </w:rPr>
            </w:pPr>
          </w:p>
        </w:tc>
        <w:tc>
          <w:tcPr>
            <w:tcW w:w="1280" w:type="dxa"/>
            <w:vAlign w:val="bottom"/>
          </w:tcPr>
          <w:p>
            <w:pPr>
              <w:jc w:val="right"/>
              <w:ind w:right="524"/>
              <w:spacing w:after="0"/>
              <w:rPr>
                <w:sz w:val="20"/>
                <w:szCs w:val="20"/>
                <w:color w:val="auto"/>
              </w:rPr>
            </w:pPr>
            <w:r>
              <w:rPr>
                <w:rFonts w:ascii="Arial" w:cs="Arial" w:eastAsia="Arial" w:hAnsi="Arial"/>
                <w:sz w:val="15"/>
                <w:szCs w:val="15"/>
                <w:color w:val="auto"/>
              </w:rPr>
              <w:t>0</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2,500,580 (3)</w:t>
            </w:r>
          </w:p>
        </w:tc>
      </w:tr>
    </w:tbl>
    <w:p>
      <w:pPr>
        <w:spacing w:after="0" w:line="320" w:lineRule="exact"/>
        <w:rPr>
          <w:sz w:val="20"/>
          <w:szCs w:val="20"/>
          <w:color w:val="auto"/>
        </w:rPr>
      </w:pPr>
    </w:p>
    <w:p>
      <w:pPr>
        <w:ind w:right="60" w:firstLine="8"/>
        <w:spacing w:after="0" w:line="232" w:lineRule="auto"/>
        <w:tabs>
          <w:tab w:leader="none" w:pos="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percentages of the class of securities beneficially owned by each reporting person is based on 45,205,666 ordinary shares, comprised of 40,385,058 Class A Ordinary Shares and 4,820,608 Class B Ordinary Shares, outstanding as of September 30, 2020, as reported in the Issuer’s Form 6-K filed with the Securities and Exchange Commission (the “SEC”) on November 24, 2020, and the number of ordinary shares such person or group has the right to acquire upon the exercise of options, warrants or other rights within 60 days after December 31, 2020.</w:t>
      </w:r>
    </w:p>
    <w:p>
      <w:pPr>
        <w:spacing w:after="0" w:line="1" w:lineRule="exact"/>
        <w:rPr>
          <w:rFonts w:ascii="Arial" w:cs="Arial" w:eastAsia="Arial" w:hAnsi="Arial"/>
          <w:sz w:val="15"/>
          <w:szCs w:val="15"/>
          <w:color w:val="auto"/>
        </w:rPr>
      </w:pPr>
    </w:p>
    <w:p>
      <w:pPr>
        <w:ind w:right="140" w:firstLine="8"/>
        <w:spacing w:after="0"/>
        <w:tabs>
          <w:tab w:leader="none" w:pos="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(i) 2,500,580 Class B Ordinary Shares held by Bubinga Holdings Limited, which may be converted into 2,500,580 Class A Ordinary Shares at any time by the holder thereof; (ii) 116,031 Class A Ordinary Shares held by Mr. Wing Hong Sammy Hsieh; and (iii) 10,417 Class A Ordinary Shares that Mr. Wing Hong Sammy Hsieh has the right to obtain upon conversion of certain restricted share units it holds. Mr. Wing Hong Sammy Hsieh is the sole director of Bubinga Holdings Limited.</w:t>
      </w:r>
    </w:p>
    <w:p>
      <w:pPr>
        <w:spacing w:after="0" w:line="130" w:lineRule="exact"/>
        <w:rPr>
          <w:rFonts w:ascii="Arial" w:cs="Arial" w:eastAsia="Arial" w:hAnsi="Arial"/>
          <w:sz w:val="15"/>
          <w:szCs w:val="15"/>
          <w:color w:val="auto"/>
        </w:rPr>
      </w:pPr>
    </w:p>
    <w:p>
      <w:pPr>
        <w:ind w:right="180" w:firstLine="8"/>
        <w:spacing w:after="0" w:line="244" w:lineRule="auto"/>
        <w:tabs>
          <w:tab w:leader="none" w:pos="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2,500,580 Class B Ordinary Shares held by Bubinga Holdings Limited, which may be converted into 2,500,580 Class A Ordinary Shares at any time by the holder thereof.</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000" w:type="dxa"/>
            <w:vAlign w:val="bottom"/>
          </w:tcPr>
          <w:p>
            <w:pPr>
              <w:spacing w:after="0"/>
              <w:rPr>
                <w:sz w:val="20"/>
                <w:szCs w:val="20"/>
                <w:color w:val="auto"/>
              </w:rPr>
            </w:pPr>
            <w:r>
              <w:rPr>
                <w:rFonts w:ascii="Arial" w:cs="Arial" w:eastAsia="Arial" w:hAnsi="Arial"/>
                <w:sz w:val="15"/>
                <w:szCs w:val="15"/>
                <w:b w:val="1"/>
                <w:bCs w:val="1"/>
                <w:color w:val="auto"/>
              </w:rPr>
              <w:t>Item 5.</w:t>
            </w:r>
          </w:p>
        </w:tc>
        <w:tc>
          <w:tcPr>
            <w:tcW w:w="9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Ownership of Five Percent or Less of a Class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Arial" w:cs="Arial" w:eastAsia="Arial" w:hAnsi="Arial"/>
                <w:sz w:val="15"/>
                <w:szCs w:val="15"/>
                <w:color w:val="auto"/>
              </w:rPr>
              <w:t>Not applicable</w:t>
            </w: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00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9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Ownership of More than Five Percent on Behalf of Another Person</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Arial" w:cs="Arial" w:eastAsia="Arial" w:hAnsi="Arial"/>
                <w:sz w:val="15"/>
                <w:szCs w:val="15"/>
                <w:color w:val="auto"/>
              </w:rPr>
              <w:t>Not applicable</w:t>
            </w: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Item 7.</w:t>
            </w:r>
          </w:p>
        </w:tc>
        <w:tc>
          <w:tcPr>
            <w:tcW w:w="9260" w:type="dxa"/>
            <w:vAlign w:val="bottom"/>
          </w:tcPr>
          <w:p>
            <w:pPr>
              <w:spacing w:after="0"/>
              <w:rPr>
                <w:sz w:val="20"/>
                <w:szCs w:val="20"/>
                <w:color w:val="auto"/>
              </w:rPr>
            </w:pPr>
            <w:r>
              <w:rPr>
                <w:rFonts w:ascii="Arial" w:cs="Arial" w:eastAsia="Arial" w:hAnsi="Arial"/>
                <w:sz w:val="15"/>
                <w:szCs w:val="15"/>
                <w:b w:val="1"/>
                <w:bCs w:val="1"/>
                <w:color w:val="auto"/>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185"/>
        </w:trPr>
        <w:tc>
          <w:tcPr>
            <w:tcW w:w="1000" w:type="dxa"/>
            <w:vAlign w:val="bottom"/>
            <w:vMerge w:val="continue"/>
          </w:tcPr>
          <w:p>
            <w:pPr>
              <w:spacing w:after="0"/>
              <w:rPr>
                <w:sz w:val="16"/>
                <w:szCs w:val="16"/>
                <w:color w:val="auto"/>
              </w:rPr>
            </w:pPr>
          </w:p>
        </w:tc>
        <w:tc>
          <w:tcPr>
            <w:tcW w:w="9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Company</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2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or Control Person</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Arial" w:cs="Arial" w:eastAsia="Arial" w:hAnsi="Arial"/>
                <w:sz w:val="15"/>
                <w:szCs w:val="15"/>
                <w:color w:val="auto"/>
              </w:rPr>
              <w:t>Not applicable</w:t>
            </w: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000" w:type="dxa"/>
            <w:vAlign w:val="bottom"/>
          </w:tcPr>
          <w:p>
            <w:pPr>
              <w:spacing w:after="0"/>
              <w:rPr>
                <w:sz w:val="20"/>
                <w:szCs w:val="20"/>
                <w:color w:val="auto"/>
              </w:rPr>
            </w:pPr>
            <w:r>
              <w:rPr>
                <w:rFonts w:ascii="Arial" w:cs="Arial" w:eastAsia="Arial" w:hAnsi="Arial"/>
                <w:sz w:val="15"/>
                <w:szCs w:val="15"/>
                <w:b w:val="1"/>
                <w:bCs w:val="1"/>
                <w:color w:val="auto"/>
              </w:rPr>
              <w:t>Item 8.</w:t>
            </w:r>
          </w:p>
        </w:tc>
        <w:tc>
          <w:tcPr>
            <w:tcW w:w="9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Identification and Classification of Members of the Group</w:t>
            </w: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0"/>
                <w:szCs w:val="20"/>
                <w:color w:val="auto"/>
              </w:rPr>
            </w:pPr>
            <w:r>
              <w:rPr>
                <w:rFonts w:ascii="Arial" w:cs="Arial" w:eastAsia="Arial" w:hAnsi="Arial"/>
                <w:sz w:val="15"/>
                <w:szCs w:val="15"/>
                <w:color w:val="auto"/>
              </w:rPr>
              <w:t>Not applicable</w:t>
            </w: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000" w:type="dxa"/>
            <w:vAlign w:val="bottom"/>
          </w:tcPr>
          <w:p>
            <w:pPr>
              <w:spacing w:after="0"/>
              <w:rPr>
                <w:sz w:val="20"/>
                <w:szCs w:val="20"/>
                <w:color w:val="auto"/>
              </w:rPr>
            </w:pPr>
            <w:r>
              <w:rPr>
                <w:rFonts w:ascii="Arial" w:cs="Arial" w:eastAsia="Arial" w:hAnsi="Arial"/>
                <w:sz w:val="15"/>
                <w:szCs w:val="15"/>
                <w:b w:val="1"/>
                <w:bCs w:val="1"/>
                <w:color w:val="auto"/>
              </w:rPr>
              <w:t>Item 9.</w:t>
            </w:r>
          </w:p>
        </w:tc>
        <w:tc>
          <w:tcPr>
            <w:tcW w:w="9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Notice of Dissolution of Group</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56" w:orient="portrait"/>
          <w:cols w:equalWidth="0" w:num="1">
            <w:col w:w="11220"/>
          </w:cols>
          <w:pgMar w:left="320" w:top="346" w:right="359" w:bottom="0" w:gutter="0" w:footer="0" w:header="0"/>
          <w:type w:val="continuous"/>
        </w:sectPr>
      </w:pPr>
    </w:p>
    <w:bookmarkStart w:id="4" w:name="page5"/>
    <w:bookmarkEnd w:id="4"/>
    <w:p>
      <w:pPr>
        <w:ind w:left="39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106680</wp:posOffset>
            </wp:positionV>
            <wp:extent cx="7149465"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606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5" w:name="page6"/>
    <w:bookmarkEnd w:id="5"/>
    <w:p>
      <w:pPr>
        <w:ind w:left="60"/>
        <w:spacing w:after="0"/>
        <w:tabs>
          <w:tab w:leader="none" w:pos="16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5"/>
          <w:szCs w:val="15"/>
          <w:b w:val="1"/>
          <w:bCs w:val="1"/>
          <w:u w:val="single" w:color="auto"/>
          <w:color w:val="auto"/>
        </w:rPr>
        <w:t>Certifications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Not applicable</w:t>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10, 2021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6"/>
                <w:szCs w:val="16"/>
                <w:color w:val="auto"/>
              </w:rPr>
              <w:t>Wing Hong Sammy Hsieh</w:t>
            </w:r>
          </w:p>
        </w:tc>
        <w:tc>
          <w:tcPr>
            <w:tcW w:w="1740" w:type="dxa"/>
            <w:vAlign w:val="bottom"/>
          </w:tcPr>
          <w:p>
            <w:pPr>
              <w:spacing w:after="0"/>
              <w:rPr>
                <w:sz w:val="18"/>
                <w:szCs w:val="18"/>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Wing Hong Sammy Hsieh</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85"/>
        </w:trPr>
        <w:tc>
          <w:tcPr>
            <w:tcW w:w="3500" w:type="dxa"/>
            <w:vAlign w:val="bottom"/>
          </w:tcPr>
          <w:p>
            <w:pPr>
              <w:spacing w:after="0"/>
              <w:rPr>
                <w:sz w:val="20"/>
                <w:szCs w:val="20"/>
                <w:color w:val="auto"/>
              </w:rPr>
            </w:pPr>
            <w:r>
              <w:rPr>
                <w:rFonts w:ascii="Arial" w:cs="Arial" w:eastAsia="Arial" w:hAnsi="Arial"/>
                <w:sz w:val="16"/>
                <w:szCs w:val="16"/>
                <w:color w:val="auto"/>
              </w:rPr>
              <w:t>Bubinga Holdings Limited</w:t>
            </w:r>
          </w:p>
        </w:tc>
        <w:tc>
          <w:tcPr>
            <w:tcW w:w="17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420" w:type="dxa"/>
            <w:vAlign w:val="bottom"/>
            <w:gridSpan w:val="2"/>
          </w:tcPr>
          <w:p>
            <w:pPr>
              <w:spacing w:after="0"/>
              <w:rPr>
                <w:sz w:val="20"/>
                <w:szCs w:val="20"/>
                <w:color w:val="auto"/>
              </w:rPr>
            </w:pPr>
            <w:r>
              <w:rPr>
                <w:rFonts w:ascii="Arial" w:cs="Arial" w:eastAsia="Arial" w:hAnsi="Arial"/>
                <w:sz w:val="16"/>
                <w:szCs w:val="16"/>
                <w:color w:val="auto"/>
              </w:rPr>
              <w:t>/s/ Wing Hong Sammy Hsieh</w:t>
            </w:r>
          </w:p>
        </w:tc>
        <w:tc>
          <w:tcPr>
            <w:tcW w:w="940" w:type="dxa"/>
            <w:vAlign w:val="bottom"/>
          </w:tcPr>
          <w:p>
            <w:pPr>
              <w:spacing w:after="0"/>
              <w:rPr>
                <w:sz w:val="24"/>
                <w:szCs w:val="24"/>
                <w:color w:val="auto"/>
              </w:rPr>
            </w:pPr>
          </w:p>
        </w:tc>
      </w:tr>
      <w:tr>
        <w:trPr>
          <w:trHeight w:val="164"/>
        </w:trPr>
        <w:tc>
          <w:tcPr>
            <w:tcW w:w="3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line="165" w:lineRule="exact"/>
              <w:rPr>
                <w:sz w:val="20"/>
                <w:szCs w:val="20"/>
                <w:color w:val="auto"/>
              </w:rPr>
            </w:pPr>
            <w:r>
              <w:rPr>
                <w:rFonts w:ascii="Arial" w:cs="Arial" w:eastAsia="Arial" w:hAnsi="Arial"/>
                <w:sz w:val="16"/>
                <w:szCs w:val="16"/>
                <w:color w:val="auto"/>
              </w:rPr>
              <w:t>Name:</w:t>
            </w:r>
          </w:p>
        </w:tc>
        <w:tc>
          <w:tcPr>
            <w:tcW w:w="4360" w:type="dxa"/>
            <w:vAlign w:val="bottom"/>
            <w:tcBorders>
              <w:top w:val="single" w:sz="8" w:color="auto"/>
            </w:tcBorders>
          </w:tcPr>
          <w:p>
            <w:pPr>
              <w:spacing w:after="0" w:line="165" w:lineRule="exact"/>
              <w:rPr>
                <w:sz w:val="20"/>
                <w:szCs w:val="20"/>
                <w:color w:val="auto"/>
              </w:rPr>
            </w:pPr>
            <w:r>
              <w:rPr>
                <w:rFonts w:ascii="Arial" w:cs="Arial" w:eastAsia="Arial" w:hAnsi="Arial"/>
                <w:sz w:val="16"/>
                <w:szCs w:val="16"/>
                <w:color w:val="auto"/>
              </w:rPr>
              <w:t>Wing Hong Sammy Hsieh</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9"/>
        </w:trPr>
        <w:tc>
          <w:tcPr>
            <w:tcW w:w="3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4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940" w:type="dxa"/>
            <w:vAlign w:val="bottom"/>
          </w:tcPr>
          <w:p>
            <w:pPr>
              <w:spacing w:after="0"/>
              <w:rPr>
                <w:sz w:val="19"/>
                <w:szCs w:val="19"/>
                <w:color w:val="auto"/>
              </w:rPr>
            </w:pPr>
          </w:p>
        </w:tc>
      </w:tr>
      <w:tr>
        <w:trPr>
          <w:trHeight w:val="392"/>
        </w:trPr>
        <w:tc>
          <w:tcPr>
            <w:tcW w:w="3500" w:type="dxa"/>
            <w:vAlign w:val="bottom"/>
          </w:tcPr>
          <w:p>
            <w:pPr>
              <w:spacing w:after="0"/>
              <w:rPr>
                <w:sz w:val="24"/>
                <w:szCs w:val="24"/>
                <w:color w:val="auto"/>
              </w:rPr>
            </w:pPr>
          </w:p>
        </w:tc>
        <w:tc>
          <w:tcPr>
            <w:tcW w:w="2400" w:type="dxa"/>
            <w:vAlign w:val="bottom"/>
            <w:gridSpan w:val="2"/>
          </w:tcPr>
          <w:p>
            <w:pPr>
              <w:jc w:val="right"/>
              <w:ind w:right="579"/>
              <w:spacing w:after="0"/>
              <w:rPr>
                <w:sz w:val="20"/>
                <w:szCs w:val="20"/>
                <w:color w:val="auto"/>
              </w:rPr>
            </w:pPr>
            <w:r>
              <w:rPr>
                <w:rFonts w:ascii="Arial" w:cs="Arial" w:eastAsia="Arial" w:hAnsi="Arial"/>
                <w:sz w:val="16"/>
                <w:szCs w:val="16"/>
                <w:color w:val="auto"/>
              </w:rPr>
              <w:t>6</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0"/>
        </w:trPr>
        <w:tc>
          <w:tcPr>
            <w:tcW w:w="35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r>
      <w:tr>
        <w:trPr>
          <w:trHeight w:val="378"/>
        </w:trPr>
        <w:tc>
          <w:tcPr>
            <w:tcW w:w="35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1714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6" w:name="page7"/>
    <w:bookmarkEnd w:id="6"/>
    <w:p>
      <w:pPr>
        <w:jc w:val="center"/>
        <w:ind w:right="-200"/>
        <w:spacing w:after="0"/>
        <w:rPr>
          <w:sz w:val="20"/>
          <w:szCs w:val="20"/>
          <w:color w:val="auto"/>
        </w:rPr>
      </w:pPr>
      <w:r>
        <w:rPr>
          <w:rFonts w:ascii="Arial" w:cs="Arial" w:eastAsia="Arial" w:hAnsi="Arial"/>
          <w:sz w:val="16"/>
          <w:szCs w:val="16"/>
          <w:b w:val="1"/>
          <w:bCs w:val="1"/>
          <w:color w:val="auto"/>
        </w:rPr>
        <w:t>LIST OF EXHIBITS</w:t>
      </w:r>
    </w:p>
    <w:p>
      <w:pPr>
        <w:spacing w:after="0" w:line="19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19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5405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169"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hereby execute this Agreement as of February 10, 2021.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20"/>
                <w:szCs w:val="20"/>
                <w:color w:val="auto"/>
              </w:rPr>
            </w:pPr>
            <w:r>
              <w:rPr>
                <w:rFonts w:ascii="Arial" w:cs="Arial" w:eastAsia="Arial" w:hAnsi="Arial"/>
                <w:sz w:val="16"/>
                <w:szCs w:val="16"/>
                <w:color w:val="auto"/>
              </w:rPr>
              <w:t>Wing Hong Sammy Hsieh</w:t>
            </w:r>
          </w:p>
        </w:tc>
        <w:tc>
          <w:tcPr>
            <w:tcW w:w="5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/s/ Wing Hong Sammy Hsieh</w:t>
            </w:r>
          </w:p>
        </w:tc>
        <w:tc>
          <w:tcPr>
            <w:tcW w:w="60" w:type="dxa"/>
            <w:vAlign w:val="bottom"/>
          </w:tcPr>
          <w:p>
            <w:pPr>
              <w:spacing w:after="0"/>
              <w:rPr>
                <w:sz w:val="18"/>
                <w:szCs w:val="18"/>
                <w:color w:val="auto"/>
              </w:rPr>
            </w:pPr>
          </w:p>
        </w:tc>
      </w:tr>
      <w:tr>
        <w:trPr>
          <w:trHeight w:val="358"/>
        </w:trPr>
        <w:tc>
          <w:tcPr>
            <w:tcW w:w="5240" w:type="dxa"/>
            <w:vAlign w:val="bottom"/>
          </w:tcPr>
          <w:p>
            <w:pPr>
              <w:spacing w:after="0"/>
              <w:rPr>
                <w:sz w:val="20"/>
                <w:szCs w:val="20"/>
                <w:color w:val="auto"/>
              </w:rPr>
            </w:pPr>
            <w:r>
              <w:rPr>
                <w:rFonts w:ascii="Arial" w:cs="Arial" w:eastAsia="Arial" w:hAnsi="Arial"/>
                <w:sz w:val="16"/>
                <w:szCs w:val="16"/>
                <w:color w:val="auto"/>
              </w:rPr>
              <w:t>Bubinga Holdings Limited</w:t>
            </w:r>
          </w:p>
        </w:tc>
        <w:tc>
          <w:tcPr>
            <w:tcW w:w="680" w:type="dxa"/>
            <w:vAlign w:val="bottom"/>
          </w:tcPr>
          <w:p>
            <w:pPr>
              <w:spacing w:after="0"/>
              <w:rPr>
                <w:sz w:val="20"/>
                <w:szCs w:val="20"/>
                <w:color w:val="auto"/>
              </w:rPr>
            </w:pPr>
            <w:r>
              <w:rPr>
                <w:rFonts w:ascii="Arial" w:cs="Arial" w:eastAsia="Arial" w:hAnsi="Arial"/>
                <w:sz w:val="16"/>
                <w:szCs w:val="16"/>
                <w:color w:val="auto"/>
              </w:rPr>
              <w:t>By:</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/s/ Wing Hong Sammy Hsieh</w:t>
            </w:r>
          </w:p>
        </w:tc>
      </w:tr>
      <w:tr>
        <w:trPr>
          <w:trHeight w:val="164"/>
        </w:trPr>
        <w:tc>
          <w:tcPr>
            <w:tcW w:w="5240" w:type="dxa"/>
            <w:vAlign w:val="bottom"/>
          </w:tcPr>
          <w:p>
            <w:pPr>
              <w:spacing w:after="0"/>
              <w:rPr>
                <w:sz w:val="14"/>
                <w:szCs w:val="14"/>
                <w:color w:val="auto"/>
              </w:rPr>
            </w:pPr>
          </w:p>
        </w:tc>
        <w:tc>
          <w:tcPr>
            <w:tcW w:w="680" w:type="dxa"/>
            <w:vAlign w:val="bottom"/>
          </w:tcPr>
          <w:p>
            <w:pPr>
              <w:spacing w:after="0" w:line="165" w:lineRule="exact"/>
              <w:rPr>
                <w:sz w:val="20"/>
                <w:szCs w:val="20"/>
                <w:color w:val="auto"/>
              </w:rPr>
            </w:pPr>
            <w:r>
              <w:rPr>
                <w:rFonts w:ascii="Arial" w:cs="Arial" w:eastAsia="Arial" w:hAnsi="Arial"/>
                <w:sz w:val="16"/>
                <w:szCs w:val="16"/>
                <w:color w:val="auto"/>
              </w:rPr>
              <w:t>Name:</w:t>
            </w:r>
          </w:p>
        </w:tc>
        <w:tc>
          <w:tcPr>
            <w:tcW w:w="4340" w:type="dxa"/>
            <w:vAlign w:val="bottom"/>
            <w:tcBorders>
              <w:top w:val="single" w:sz="8" w:color="auto"/>
            </w:tcBorders>
          </w:tcPr>
          <w:p>
            <w:pPr>
              <w:spacing w:after="0" w:line="165" w:lineRule="exact"/>
              <w:rPr>
                <w:sz w:val="20"/>
                <w:szCs w:val="20"/>
                <w:color w:val="auto"/>
              </w:rPr>
            </w:pPr>
            <w:r>
              <w:rPr>
                <w:rFonts w:ascii="Arial" w:cs="Arial" w:eastAsia="Arial" w:hAnsi="Arial"/>
                <w:sz w:val="16"/>
                <w:szCs w:val="16"/>
                <w:color w:val="auto"/>
              </w:rPr>
              <w:t>Wing Hong Sammy Hsieh</w:t>
            </w:r>
          </w:p>
        </w:tc>
        <w:tc>
          <w:tcPr>
            <w:tcW w:w="60" w:type="dxa"/>
            <w:vAlign w:val="bottom"/>
          </w:tcPr>
          <w:p>
            <w:pPr>
              <w:spacing w:after="0"/>
              <w:rPr>
                <w:sz w:val="14"/>
                <w:szCs w:val="14"/>
                <w:color w:val="auto"/>
              </w:rPr>
            </w:pPr>
          </w:p>
        </w:tc>
      </w:tr>
      <w:tr>
        <w:trPr>
          <w:trHeight w:val="219"/>
        </w:trPr>
        <w:tc>
          <w:tcPr>
            <w:tcW w:w="524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44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299"/>
        </w:trPr>
        <w:tc>
          <w:tcPr>
            <w:tcW w:w="5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4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sectPr>
      <w:pgSz w:w="11900" w:h="16838" w:orient="portrait"/>
      <w:cols w:equalWidth="0" w:num="1">
        <w:col w:w="11120"/>
      </w:cols>
      <w:pgMar w:left="32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8"/>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2"/>
      <w:numFmt w:val="bullet"/>
      <w:start w:val="1"/>
    </w:lvl>
    <w:lvl w:ilvl="1">
      <w:lvlJc w:val="left"/>
      <w:lvlText w:val="(%2)"/>
      <w:numFmt w:val="lowerLetter"/>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5"/>
      <w:numFmt w:val="bullet"/>
      <w:start w:val="1"/>
    </w:lvl>
  </w:abstractNum>
  <w:abstractNum w:abstractNumId="14">
    <w:nsid w:val="4E6AFB66"/>
    <w:multiLevelType w:val="hybridMultilevel"/>
    <w:lvl w:ilvl="0">
      <w:lvlJc w:val="left"/>
      <w:lvlText w:val="8"/>
      <w:numFmt w:val="bullet"/>
      <w:start w:val="1"/>
    </w:lvl>
  </w:abstractNum>
  <w:abstractNum w:abstractNumId="15">
    <w:nsid w:val="25E45D32"/>
    <w:multiLevelType w:val="hybridMultilevel"/>
    <w:lvl w:ilvl="0">
      <w:lvlJc w:val="left"/>
      <w:lvlText w:val="9"/>
      <w:numFmt w:val="bullet"/>
      <w:start w:val="1"/>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2021-02-10T15:16:35Z</dcterms:created>
  <dcterms:modified xsi:type="dcterms:W3CDTF">2021-02-10T15:16:35Z</dcterms:modified>
</cp:coreProperties>
</file>