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Prosperity Millennia Plaza</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23, 2024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Blake Grady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Tina Chalk</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Mergers &amp; Acquisitions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iClick Interactive Asia Group Limited</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Schedule 13E-3/A filed January 10, 2024 by Jian Tang et al.</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005-90348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Grady and Ms. Chalk:</w:t>
      </w:r>
    </w:p>
    <w:p>
      <w:pPr>
        <w:spacing w:after="0" w:line="225"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letter is submitted by iClick Interactive Asia Group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response to the comments that you provided on behalf of the staff of the Division of Corporation Finance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with respect to the Company’s Amendment No.1 to Schedule 13E-3, including the amended proxy statement, File No. 005-90348, filed on January 10, 2024 (the “</w:t>
      </w:r>
      <w:r>
        <w:rPr>
          <w:rFonts w:ascii="Times New Roman" w:cs="Times New Roman" w:eastAsia="Times New Roman" w:hAnsi="Times New Roman"/>
          <w:sz w:val="18"/>
          <w:szCs w:val="18"/>
          <w:u w:val="single" w:color="auto"/>
          <w:color w:val="auto"/>
        </w:rPr>
        <w:t>Schedule 13E-3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No.1</w:t>
      </w:r>
      <w:r>
        <w:rPr>
          <w:rFonts w:ascii="Times New Roman" w:cs="Times New Roman" w:eastAsia="Times New Roman" w:hAnsi="Times New Roman"/>
          <w:sz w:val="18"/>
          <w:szCs w:val="18"/>
          <w:color w:val="auto"/>
        </w:rPr>
        <w:t>”), as set forth in your letter to the Company dated January 17, 2024.</w:t>
      </w:r>
    </w:p>
    <w:p>
      <w:pPr>
        <w:spacing w:after="0" w:line="18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to respond to the Staff’s comments and also to bring down certain disclosure to the date of this letter, the Company is also filing via EDGAR under separate cover Amendment No. 2 to the Schedule 13E-3 Amendment No.1 (the “</w:t>
      </w:r>
      <w:r>
        <w:rPr>
          <w:rFonts w:ascii="Times New Roman" w:cs="Times New Roman" w:eastAsia="Times New Roman" w:hAnsi="Times New Roman"/>
          <w:sz w:val="18"/>
          <w:szCs w:val="18"/>
          <w:u w:val="single" w:color="auto"/>
          <w:color w:val="auto"/>
        </w:rPr>
        <w:t>Schedule 13E-3 Amendment No.2</w:t>
      </w:r>
      <w:r>
        <w:rPr>
          <w:rFonts w:ascii="Times New Roman" w:cs="Times New Roman" w:eastAsia="Times New Roman" w:hAnsi="Times New Roman"/>
          <w:sz w:val="18"/>
          <w:szCs w:val="18"/>
          <w:color w:val="auto"/>
        </w:rPr>
        <w:t>”). Capitalized terms used but not defined herein have the meanings assigned to such terms in the Schedule 13E-3 Amendment No. 2.</w:t>
      </w:r>
    </w:p>
    <w:p>
      <w:pPr>
        <w:spacing w:after="0" w:line="176"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reference purposes, the text of the comments contained in your letter have been reproduced herein (in bold), with the Company’s response below each such comment.</w:t>
      </w:r>
    </w:p>
    <w:p>
      <w:pPr>
        <w:spacing w:after="0" w:line="3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13E-3/A filed January 10,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0"/>
          <w:szCs w:val="20"/>
          <w:color w:val="auto"/>
        </w:rPr>
      </w:pPr>
    </w:p>
    <w:p>
      <w:pPr>
        <w:ind w:left="660" w:hanging="652"/>
        <w:spacing w:after="0" w:line="255"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Refer to comment three, which we reissue in part. In this respect, we note your statement that “[e]xcept for the disclosure as revised and summarized in the amended proxy statement ... there were no substantive discussions with or presentations by Houlihan Lokey concerning the financial analysis or fairness of the Merger Consideration.” However, Item 1015(a) of Regulation M-A and Item 9 of Schedule 13E-3 require disclosure about </w:t>
      </w:r>
      <w:r>
        <w:rPr>
          <w:rFonts w:ascii="Times New Roman" w:cs="Times New Roman" w:eastAsia="Times New Roman" w:hAnsi="Times New Roman"/>
          <w:sz w:val="18"/>
          <w:szCs w:val="18"/>
          <w:b w:val="1"/>
          <w:bCs w:val="1"/>
          <w:i w:val="1"/>
          <w:iCs w:val="1"/>
          <w:color w:val="auto"/>
        </w:rPr>
        <w:t>any</w:t>
      </w:r>
      <w:r>
        <w:rPr>
          <w:rFonts w:ascii="Times New Roman" w:cs="Times New Roman" w:eastAsia="Times New Roman" w:hAnsi="Times New Roman"/>
          <w:sz w:val="18"/>
          <w:szCs w:val="18"/>
          <w:b w:val="1"/>
          <w:bCs w:val="1"/>
          <w:color w:val="auto"/>
        </w:rPr>
        <w:t xml:space="preserve"> report, opinion or appraisal that is materially related to the transaction, not simply those relating to the financial analysis or fairness of the Merger Consideration. Please revise or advise. Among other matters, your response should make clear whether Houlihan Lokey provided written materials to a filing person or its representatives that have not already been filed as exhibits. If so, but you do not believe those materials must be filed or described in your filing, your response should outline your views on why those materials are not materially related to the going private transaction.</w:t>
      </w:r>
    </w:p>
    <w:p>
      <w:pPr>
        <w:spacing w:after="0" w:line="188" w:lineRule="exact"/>
        <w:rPr>
          <w:rFonts w:ascii="Times New Roman" w:cs="Times New Roman" w:eastAsia="Times New Roman" w:hAnsi="Times New Roman"/>
          <w:sz w:val="18"/>
          <w:szCs w:val="18"/>
          <w:b w:val="1"/>
          <w:bCs w:val="1"/>
          <w:color w:val="auto"/>
        </w:rPr>
      </w:pPr>
    </w:p>
    <w:p>
      <w:pPr>
        <w:ind w:left="660" w:right="2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Response: The Company respectfully advises the Staff that except for the fairness opinion delivered to the Special Committee by Houlihan Lokey in connection with the Merger, none of the Special Committee, the Company, or the Company’s affiliates received any other report, opinion, or appraisal from any outside third party that is materially related to the Merger. In response to the Staff’s comment, the proxy statement has been revised to include such statement. Please refer to pages 9 and 53 of the amended proxy statement in the Schedule 13E-3 Amendment No.2.</w:t>
      </w:r>
    </w:p>
    <w:p>
      <w:pPr>
        <w:spacing w:after="0" w:line="164"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disclosed on page 31 of the amended proxy statement in the Schedule 13E-3 Amendment No.2, on May 5, 2023, per the Special Committee’s request, Houlihan Lokey sent an email to Prospera and Ropes and encouraged the Buyer Consortium to submit a revised and improved offer to increase the offer price; in the meeting with the Special Committee on May 24, 2023, Houlihan Lokey further reported to the Special Committee on such offer price increase request. Later on the same date, per the Special Committee’s request at the meeting, Houlihan Lokey sent to the Special Committee an offer price increase case study regarding certain going-private transactions that have been closed since 2020 (the “</w:t>
      </w:r>
      <w:r>
        <w:rPr>
          <w:rFonts w:ascii="Times New Roman" w:cs="Times New Roman" w:eastAsia="Times New Roman" w:hAnsi="Times New Roman"/>
          <w:sz w:val="18"/>
          <w:szCs w:val="18"/>
          <w:u w:val="single" w:color="auto"/>
          <w:color w:val="auto"/>
        </w:rPr>
        <w:t>Case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Study</w:t>
      </w:r>
      <w:r>
        <w:rPr>
          <w:rFonts w:ascii="Times New Roman" w:cs="Times New Roman" w:eastAsia="Times New Roman" w:hAnsi="Times New Roman"/>
          <w:sz w:val="18"/>
          <w:szCs w:val="18"/>
          <w:color w:val="auto"/>
        </w:rPr>
        <w:t>”), which sets forth, among other things, initial offer prices, final offer prices and percentages of price increase for each of such transactions. Given all the information in the Case Study is derived from publicly available information and not related to the specifics of the Company, the Company does not believe that the Case Study is materially related to the Merger and needs to be filed or described in the Schedule 13E-3 Amendment No.2. For the Staff’s ease of reference, a copy of the Case Study is being provided to the Staff via email.</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acknowledges that:</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responsible for the adequacy and accuracy of the disclosure in the Schedule 13E-3 Amendment No.2;</w:t>
      </w:r>
    </w:p>
    <w:p>
      <w:pPr>
        <w:spacing w:after="0" w:line="22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SEC from taking any action with respect to the Schedule 13E-3 Amendment No.2;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SEC or any person under the federal securities laws of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 similar written acknowledgement by each of Filing Persons other than the Company.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appreciates the Staff’s attention to the review of the Schedule 13E-3 Amendment No.2. Please do not hesitate to contact the undersigned via e-mail at philip.kan@i-click.com or Ms. Denise Shiu of Cleary Gottlieb Steen &amp; Hamilton LLP by telephone at + 86 10 5920 1080 or via e-mail at dshiu@cgsh.com, if you have any questions regarding the Schedule 13E-3 Amendment No.2 or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 w:name="page4"/>
    <w:bookmarkEnd w:id="3"/>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Philip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Philip Kan</w:t>
      </w:r>
    </w:p>
    <w:p>
      <w:pPr>
        <w:spacing w:after="0" w:line="23" w:lineRule="exact"/>
        <w:rPr>
          <w:sz w:val="20"/>
          <w:szCs w:val="20"/>
          <w:color w:val="auto"/>
        </w:rPr>
      </w:pPr>
    </w:p>
    <w:p>
      <w:pPr>
        <w:jc w:val="right"/>
        <w:spacing w:after="0"/>
        <w:tabs>
          <w:tab w:leader="none" w:pos="4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Chairperson of the Special Committee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Ms. Denise Shiu (Cleary Gottlieb Steen &amp;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In response to the comments of the staff (the “</w:t>
      </w:r>
      <w:r>
        <w:rPr>
          <w:rFonts w:ascii="Times New Roman" w:cs="Times New Roman" w:eastAsia="Times New Roman" w:hAnsi="Times New Roman"/>
          <w:sz w:val="17"/>
          <w:szCs w:val="17"/>
          <w:u w:val="single" w:color="auto"/>
          <w:color w:val="auto"/>
        </w:rPr>
        <w:t>Staff</w:t>
      </w:r>
      <w:r>
        <w:rPr>
          <w:rFonts w:ascii="Times New Roman" w:cs="Times New Roman" w:eastAsia="Times New Roman" w:hAnsi="Times New Roman"/>
          <w:sz w:val="17"/>
          <w:szCs w:val="17"/>
          <w:color w:val="auto"/>
        </w:rPr>
        <w:t>”) of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contained in its letter dated January 17, 2024 with respect to the Schedule 13E-3/A, File No. 005-90348 (the “</w:t>
      </w:r>
      <w:r>
        <w:rPr>
          <w:rFonts w:ascii="Times New Roman" w:cs="Times New Roman" w:eastAsia="Times New Roman" w:hAnsi="Times New Roman"/>
          <w:sz w:val="17"/>
          <w:szCs w:val="17"/>
          <w:u w:val="single" w:color="auto"/>
          <w:color w:val="auto"/>
        </w:rPr>
        <w:t>Schedule 13E-3 Amendment No.1</w:t>
      </w:r>
      <w:r>
        <w:rPr>
          <w:rFonts w:ascii="Times New Roman" w:cs="Times New Roman" w:eastAsia="Times New Roman" w:hAnsi="Times New Roman"/>
          <w:sz w:val="17"/>
          <w:szCs w:val="17"/>
          <w:color w:val="auto"/>
        </w:rPr>
        <w:t>”), filed on January 10, 2024 by the Company and the other Filing Persons named therein, the undersigned hereby acknowledges that in connection with Amendment No. 2 to the Schedule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13E-3 Amendment No.1 filed concurrently with the submission of this response, as well as any subsequent amendment thereto filed with the Commission:</w:t>
      </w:r>
    </w:p>
    <w:p>
      <w:pPr>
        <w:spacing w:after="0" w:line="21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Person is responsible for the adequacy and accuracy of the disclosure in the filings;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filings; and</w:t>
      </w:r>
    </w:p>
    <w:p>
      <w:pPr>
        <w:spacing w:after="0" w:line="16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Person may not assert Staff comments as a defense in any proceeding initiated by the Commission or any person under the federal securities laws of the United States.</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Jian Tang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Igomax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Jian Tang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Wing Hong Sammy Hsieh</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Bubinga Holdings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Wing Hong Sammy Hsieh</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5" w:name="page6"/>
    <w:bookmarkEnd w:id="5"/>
    <w:p>
      <w:pPr>
        <w:ind w:left="4520"/>
        <w:spacing w:after="0"/>
        <w:rPr>
          <w:sz w:val="20"/>
          <w:szCs w:val="20"/>
          <w:color w:val="auto"/>
        </w:rPr>
      </w:pPr>
      <w:r>
        <w:rPr>
          <w:rFonts w:ascii="Times New Roman" w:cs="Times New Roman" w:eastAsia="Times New Roman" w:hAnsi="Times New Roman"/>
          <w:sz w:val="18"/>
          <w:szCs w:val="18"/>
          <w:b w:val="1"/>
          <w:bCs w:val="1"/>
          <w:color w:val="auto"/>
        </w:rPr>
        <w:t>Huang Jianjun</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Rise Chain Investment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Huang Jianjun</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Capable Excel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Wong Siu 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Wong Siu Wa</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Cheer Lead Global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Hui Tung Wai</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Creative Big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Chiu Sin Nang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Name: Chiu Sin Nang Kenny</w:t>
      </w:r>
    </w:p>
    <w:p>
      <w:pPr>
        <w:spacing w:after="0" w:line="3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Huge Superpower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Deng Yazhi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Deng Yazhi</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color w:val="auto"/>
        </w:rPr>
        <w:t>Infinity Global Fund SPC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Hui Tung Wai</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Integrated Asset Management (Asia) Ltd.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Yam Tak Cheung</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Marine Central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Huang Jianjun</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Chan Nai Hang</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Chan Nai 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Likeable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Hin Wah Desmond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Hin Wah Desmond Chu</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Imen Yee May Pang</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Imen Yee May Pang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471805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8"/>
          <w:szCs w:val="18"/>
          <w:b w:val="1"/>
          <w:bCs w:val="1"/>
          <w:color w:val="auto"/>
        </w:rPr>
        <w:t>Chik Yu Chung Roni</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/s/ Chik Yu Chung Roni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24765</wp:posOffset>
            </wp:positionV>
            <wp:extent cx="35572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Tse Kok Yu Ryan</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Tse Kok Yu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Tsang Hing Sze</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Tsang Hing Sze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Lau Ying Wai</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Lau Ying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Yang Xin</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Yang Xin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Zhao Yong</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Zhao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2024-07-05T23:15:07Z</dcterms:created>
  <dcterms:modified xsi:type="dcterms:W3CDTF">2024-07-05T23:15:07Z</dcterms:modified>
</cp:coreProperties>
</file>