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0"/>
          <w:szCs w:val="20"/>
          <w:b w:val="1"/>
          <w:bCs w:val="1"/>
          <w:color w:val="auto"/>
        </w:rPr>
        <w:t>UNITED STATES</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138"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SCHEDULE 13G/A</w:t>
      </w:r>
    </w:p>
    <w:p>
      <w:pPr>
        <w:spacing w:after="0" w:line="171"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(Amendment No.1)*</w:t>
      </w:r>
    </w:p>
    <w:p>
      <w:pPr>
        <w:spacing w:after="0" w:line="133"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4" w:lineRule="exact"/>
        <w:rPr>
          <w:sz w:val="24"/>
          <w:szCs w:val="24"/>
          <w:color w:val="auto"/>
        </w:rPr>
      </w:pPr>
    </w:p>
    <w:p>
      <w:pPr>
        <w:ind w:left="5120"/>
        <w:spacing w:after="0"/>
        <w:rPr>
          <w:sz w:val="20"/>
          <w:szCs w:val="20"/>
          <w:color w:val="auto"/>
        </w:rPr>
      </w:pPr>
      <w:r>
        <w:rPr>
          <w:rFonts w:ascii="Arial" w:cs="Arial" w:eastAsia="Arial" w:hAnsi="Arial"/>
          <w:sz w:val="16"/>
          <w:szCs w:val="16"/>
          <w:color w:val="auto"/>
        </w:rPr>
        <w:t>(Name of Issuer)</w:t>
      </w:r>
    </w:p>
    <w:p>
      <w:pPr>
        <w:spacing w:after="0" w:line="161"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Class A ordinary shares, par value of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(Title of Class of Securities)</w:t>
      </w:r>
    </w:p>
    <w:p>
      <w:pPr>
        <w:spacing w:after="0" w:line="174"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(CUSIP Number)</w:t>
      </w:r>
    </w:p>
    <w:p>
      <w:pPr>
        <w:spacing w:after="0" w:line="174"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(Date of Event Which Requires Filing of this Statement)</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59" w:lineRule="exact"/>
        <w:rPr>
          <w:sz w:val="24"/>
          <w:szCs w:val="24"/>
          <w:color w:val="auto"/>
        </w:rPr>
      </w:pPr>
    </w:p>
    <w:p>
      <w:pPr>
        <w:ind w:left="1140" w:hanging="632"/>
        <w:spacing w:after="0"/>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w:t>
      </w:r>
    </w:p>
    <w:p>
      <w:pPr>
        <w:spacing w:after="0" w:line="86" w:lineRule="exact"/>
        <w:rPr>
          <w:rFonts w:ascii="Arial" w:cs="Arial" w:eastAsia="Arial" w:hAnsi="Arial"/>
          <w:sz w:val="16"/>
          <w:szCs w:val="16"/>
          <w:color w:val="auto"/>
        </w:rPr>
      </w:pPr>
    </w:p>
    <w:p>
      <w:pPr>
        <w:ind w:left="1140" w:hanging="632"/>
        <w:spacing w:after="0"/>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w:t>
      </w:r>
    </w:p>
    <w:p>
      <w:pPr>
        <w:spacing w:after="0" w:line="8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XRule 13d-1(d)</w:t>
      </w:r>
    </w:p>
    <w:p>
      <w:pPr>
        <w:spacing w:after="0" w:line="235"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7"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605155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450" w:right="419" w:bottom="1440" w:gutter="0" w:footer="0" w:header="0"/>
        </w:sectPr>
      </w:pPr>
    </w:p>
    <w:bookmarkStart w:id="1" w:name="page2"/>
    <w:bookmarkEnd w:id="1"/>
    <w:p>
      <w:pPr>
        <w:ind w:left="1000" w:right="8400" w:hanging="614"/>
        <w:spacing w:after="0" w:line="242" w:lineRule="auto"/>
        <w:tabs>
          <w:tab w:leader="none" w:pos="1000" w:val="left"/>
        </w:tabs>
        <w:numPr>
          <w:ilvl w:val="0"/>
          <w:numId w:val="2"/>
        </w:numPr>
        <w:rPr>
          <w:rFonts w:ascii="Arial" w:cs="Arial" w:eastAsia="Arial" w:hAnsi="Arial"/>
          <w:sz w:val="15"/>
          <w:szCs w:val="15"/>
          <w:color w:val="auto"/>
        </w:rPr>
      </w:pPr>
      <w:r>
        <w:rPr>
          <w:rFonts w:ascii="Arial" w:cs="Arial" w:eastAsia="Arial" w:hAnsi="Arial"/>
          <w:sz w:val="15"/>
          <w:szCs w:val="15"/>
          <w:color w:val="auto"/>
        </w:rPr>
        <w:t>Names of Reporting Persons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21590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67" w:lineRule="exact"/>
        <w:rPr>
          <w:sz w:val="20"/>
          <w:szCs w:val="20"/>
          <w:color w:val="auto"/>
        </w:rPr>
      </w:pPr>
    </w:p>
    <w:p>
      <w:pPr>
        <w:ind w:left="1000" w:hanging="614"/>
        <w:spacing w:after="0"/>
        <w:tabs>
          <w:tab w:leader="none" w:pos="10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Check the Appropriate Box if a Member of a Group</w:t>
      </w:r>
    </w:p>
    <w:p>
      <w:pPr>
        <w:spacing w:after="0" w:line="111" w:lineRule="exact"/>
        <w:rPr>
          <w:rFonts w:ascii="Arial" w:cs="Arial" w:eastAsia="Arial" w:hAnsi="Arial"/>
          <w:sz w:val="15"/>
          <w:szCs w:val="15"/>
          <w:color w:val="auto"/>
        </w:rPr>
      </w:pPr>
    </w:p>
    <w:p>
      <w:pPr>
        <w:ind w:left="2160" w:hanging="1153"/>
        <w:spacing w:after="0"/>
        <w:tabs>
          <w:tab w:leader="none" w:pos="2160" w:val="left"/>
        </w:tabs>
        <w:numPr>
          <w:ilvl w:val="1"/>
          <w:numId w:val="3"/>
        </w:numPr>
        <w:rPr>
          <w:rFonts w:ascii="Arial" w:cs="Arial" w:eastAsia="Arial" w:hAnsi="Arial"/>
          <w:sz w:val="15"/>
          <w:szCs w:val="15"/>
          <w:color w:val="auto"/>
        </w:rPr>
      </w:pPr>
      <w:r>
        <w:rPr>
          <w:rFonts w:ascii="Arial" w:cs="Arial" w:eastAsia="Arial" w:hAnsi="Arial"/>
          <w:sz w:val="15"/>
          <w:szCs w:val="15"/>
          <w:color w:val="auto"/>
        </w:rPr>
        <w:t>o</w:t>
      </w:r>
    </w:p>
    <w:p>
      <w:pPr>
        <w:spacing w:after="0" w:line="138" w:lineRule="exact"/>
        <w:rPr>
          <w:rFonts w:ascii="Arial" w:cs="Arial" w:eastAsia="Arial" w:hAnsi="Arial"/>
          <w:sz w:val="15"/>
          <w:szCs w:val="15"/>
          <w:color w:val="auto"/>
        </w:rPr>
      </w:pPr>
    </w:p>
    <w:p>
      <w:pPr>
        <w:ind w:left="2160" w:hanging="1153"/>
        <w:spacing w:after="0"/>
        <w:tabs>
          <w:tab w:leader="none" w:pos="2160" w:val="left"/>
        </w:tabs>
        <w:numPr>
          <w:ilvl w:val="1"/>
          <w:numId w:val="3"/>
        </w:numPr>
        <w:rPr>
          <w:rFonts w:ascii="Arial" w:cs="Arial" w:eastAsia="Arial" w:hAnsi="Arial"/>
          <w:sz w:val="15"/>
          <w:szCs w:val="15"/>
          <w:color w:val="auto"/>
        </w:rPr>
      </w:pPr>
      <w:r>
        <w:rPr>
          <w:rFonts w:ascii="Arial" w:cs="Arial" w:eastAsia="Arial" w:hAnsi="Arial"/>
          <w:sz w:val="15"/>
          <w:szCs w:val="15"/>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-158115</wp:posOffset>
            </wp:positionV>
            <wp:extent cx="5908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29845</wp:posOffset>
            </wp:positionV>
            <wp:extent cx="5908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280" w:lineRule="exact"/>
        <w:rPr>
          <w:sz w:val="20"/>
          <w:szCs w:val="20"/>
          <w:color w:val="auto"/>
        </w:rPr>
      </w:pPr>
    </w:p>
    <w:p>
      <w:pPr>
        <w:ind w:left="1000" w:hanging="614"/>
        <w:spacing w:after="0"/>
        <w:tabs>
          <w:tab w:leader="none" w:pos="1000" w:val="left"/>
        </w:tabs>
        <w:numPr>
          <w:ilvl w:val="0"/>
          <w:numId w:val="4"/>
        </w:numPr>
        <w:rPr>
          <w:rFonts w:ascii="Arial" w:cs="Arial" w:eastAsia="Arial" w:hAnsi="Arial"/>
          <w:sz w:val="15"/>
          <w:szCs w:val="15"/>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29845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80" w:lineRule="exact"/>
        <w:rPr>
          <w:sz w:val="20"/>
          <w:szCs w:val="20"/>
          <w:color w:val="auto"/>
        </w:rPr>
      </w:pPr>
    </w:p>
    <w:p>
      <w:pPr>
        <w:ind w:left="1000" w:right="8220" w:hanging="614"/>
        <w:spacing w:after="0" w:line="242" w:lineRule="auto"/>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Citizenship or Place of Organization Hong Kong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29845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16"/>
                <w:szCs w:val="16"/>
                <w:color w:val="auto"/>
              </w:rPr>
            </w:pPr>
          </w:p>
        </w:tc>
        <w:tc>
          <w:tcPr>
            <w:tcW w:w="1240" w:type="dxa"/>
            <w:vAlign w:val="bottom"/>
          </w:tcPr>
          <w:p>
            <w:pPr>
              <w:jc w:val="right"/>
              <w:ind w:right="563"/>
              <w:spacing w:after="0"/>
              <w:rPr>
                <w:sz w:val="20"/>
                <w:szCs w:val="20"/>
                <w:color w:val="auto"/>
              </w:rPr>
            </w:pPr>
            <w:r>
              <w:rPr>
                <w:rFonts w:ascii="Arial" w:cs="Arial" w:eastAsia="Arial" w:hAnsi="Arial"/>
                <w:sz w:val="15"/>
                <w:szCs w:val="15"/>
                <w:color w:val="auto"/>
              </w:rPr>
              <w:t>5</w:t>
            </w:r>
          </w:p>
        </w:tc>
        <w:tc>
          <w:tcPr>
            <w:tcW w:w="8740" w:type="dxa"/>
            <w:vAlign w:val="bottom"/>
          </w:tcPr>
          <w:p>
            <w:pPr>
              <w:ind w:left="60"/>
              <w:spacing w:after="0"/>
              <w:rPr>
                <w:sz w:val="20"/>
                <w:szCs w:val="20"/>
                <w:color w:val="auto"/>
              </w:rPr>
            </w:pPr>
            <w:r>
              <w:rPr>
                <w:rFonts w:ascii="Arial" w:cs="Arial" w:eastAsia="Arial" w:hAnsi="Arial"/>
                <w:sz w:val="15"/>
                <w:szCs w:val="15"/>
                <w:color w:val="auto"/>
              </w:rPr>
              <w:t>Sole Voting Power</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740" w:type="dxa"/>
            <w:vAlign w:val="bottom"/>
          </w:tcPr>
          <w:p>
            <w:pPr>
              <w:ind w:left="6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1400" w:type="dxa"/>
            <w:vAlign w:val="bottom"/>
            <w:vMerge w:val="restart"/>
          </w:tcPr>
          <w:p>
            <w:pPr>
              <w:spacing w:after="0"/>
              <w:rPr>
                <w:sz w:val="20"/>
                <w:szCs w:val="20"/>
                <w:color w:val="auto"/>
              </w:rPr>
            </w:pPr>
            <w:r>
              <w:rPr>
                <w:rFonts w:ascii="Arial" w:cs="Arial" w:eastAsia="Arial" w:hAnsi="Arial"/>
                <w:sz w:val="15"/>
                <w:szCs w:val="15"/>
                <w:color w:val="auto"/>
              </w:rPr>
              <w:t>Number of</w:t>
            </w:r>
          </w:p>
        </w:tc>
        <w:tc>
          <w:tcPr>
            <w:tcW w:w="1240" w:type="dxa"/>
            <w:vAlign w:val="bottom"/>
          </w:tcPr>
          <w:p>
            <w:pPr>
              <w:jc w:val="right"/>
              <w:ind w:right="563"/>
              <w:spacing w:after="0"/>
              <w:rPr>
                <w:sz w:val="20"/>
                <w:szCs w:val="20"/>
                <w:color w:val="auto"/>
              </w:rPr>
            </w:pPr>
            <w:r>
              <w:rPr>
                <w:rFonts w:ascii="Arial" w:cs="Arial" w:eastAsia="Arial" w:hAnsi="Arial"/>
                <w:sz w:val="15"/>
                <w:szCs w:val="15"/>
                <w:color w:val="auto"/>
              </w:rPr>
              <w:t>6</w:t>
            </w:r>
          </w:p>
        </w:tc>
        <w:tc>
          <w:tcPr>
            <w:tcW w:w="8740" w:type="dxa"/>
            <w:vAlign w:val="bottom"/>
          </w:tcPr>
          <w:p>
            <w:pPr>
              <w:ind w:left="6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86"/>
        </w:trPr>
        <w:tc>
          <w:tcPr>
            <w:tcW w:w="140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8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5"/>
                <w:szCs w:val="15"/>
                <w:color w:val="auto"/>
              </w:rPr>
              <w:t>Shares</w:t>
            </w:r>
          </w:p>
        </w:tc>
        <w:tc>
          <w:tcPr>
            <w:tcW w:w="1240" w:type="dxa"/>
            <w:vAlign w:val="bottom"/>
          </w:tcPr>
          <w:p>
            <w:pPr>
              <w:spacing w:after="0"/>
              <w:rPr>
                <w:sz w:val="14"/>
                <w:szCs w:val="14"/>
                <w:color w:val="auto"/>
              </w:rPr>
            </w:pPr>
          </w:p>
        </w:tc>
        <w:tc>
          <w:tcPr>
            <w:tcW w:w="8740" w:type="dxa"/>
            <w:vAlign w:val="bottom"/>
            <w:vMerge w:val="restart"/>
          </w:tcPr>
          <w:p>
            <w:pPr>
              <w:ind w:left="60"/>
              <w:spacing w:after="0"/>
              <w:rPr>
                <w:sz w:val="20"/>
                <w:szCs w:val="20"/>
                <w:color w:val="auto"/>
              </w:rPr>
            </w:pPr>
            <w:r>
              <w:rPr>
                <w:rFonts w:ascii="Arial" w:cs="Arial" w:eastAsia="Arial" w:hAnsi="Arial"/>
                <w:sz w:val="15"/>
                <w:szCs w:val="15"/>
                <w:color w:val="auto"/>
              </w:rPr>
              <w:t>2,500,580 ordinary shares. See Item 4.</w:t>
            </w:r>
          </w:p>
        </w:tc>
        <w:tc>
          <w:tcPr>
            <w:tcW w:w="0" w:type="dxa"/>
            <w:vAlign w:val="bottom"/>
          </w:tcPr>
          <w:p>
            <w:pPr>
              <w:spacing w:after="0"/>
              <w:rPr>
                <w:sz w:val="1"/>
                <w:szCs w:val="1"/>
                <w:color w:val="auto"/>
              </w:rPr>
            </w:pPr>
          </w:p>
        </w:tc>
      </w:tr>
      <w:tr>
        <w:trPr>
          <w:trHeight w:val="76"/>
        </w:trPr>
        <w:tc>
          <w:tcPr>
            <w:tcW w:w="1400" w:type="dxa"/>
            <w:vAlign w:val="bottom"/>
            <w:vMerge w:val="restart"/>
          </w:tcPr>
          <w:p>
            <w:pPr>
              <w:spacing w:after="0" w:line="162" w:lineRule="exact"/>
              <w:rPr>
                <w:sz w:val="20"/>
                <w:szCs w:val="20"/>
                <w:color w:val="auto"/>
              </w:rPr>
            </w:pPr>
            <w:r>
              <w:rPr>
                <w:rFonts w:ascii="Arial" w:cs="Arial" w:eastAsia="Arial" w:hAnsi="Arial"/>
                <w:sz w:val="15"/>
                <w:szCs w:val="15"/>
                <w:color w:val="auto"/>
              </w:rPr>
              <w:t>Beneficially</w:t>
            </w:r>
          </w:p>
        </w:tc>
        <w:tc>
          <w:tcPr>
            <w:tcW w:w="1240" w:type="dxa"/>
            <w:vAlign w:val="bottom"/>
          </w:tcPr>
          <w:p>
            <w:pPr>
              <w:spacing w:after="0"/>
              <w:rPr>
                <w:sz w:val="6"/>
                <w:szCs w:val="6"/>
                <w:color w:val="auto"/>
              </w:rPr>
            </w:pPr>
          </w:p>
        </w:tc>
        <w:tc>
          <w:tcPr>
            <w:tcW w:w="8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40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8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400" w:type="dxa"/>
            <w:vAlign w:val="bottom"/>
            <w:vMerge w:val="restart"/>
          </w:tcPr>
          <w:p>
            <w:pPr>
              <w:spacing w:after="0" w:line="162" w:lineRule="exact"/>
              <w:rPr>
                <w:sz w:val="20"/>
                <w:szCs w:val="20"/>
                <w:color w:val="auto"/>
              </w:rPr>
            </w:pPr>
            <w:r>
              <w:rPr>
                <w:rFonts w:ascii="Arial" w:cs="Arial" w:eastAsia="Arial" w:hAnsi="Arial"/>
                <w:sz w:val="15"/>
                <w:szCs w:val="15"/>
                <w:color w:val="auto"/>
              </w:rPr>
              <w:t>Owned by</w:t>
            </w:r>
          </w:p>
        </w:tc>
        <w:tc>
          <w:tcPr>
            <w:tcW w:w="1240" w:type="dxa"/>
            <w:vAlign w:val="bottom"/>
          </w:tcPr>
          <w:p>
            <w:pPr>
              <w:spacing w:after="0"/>
              <w:rPr>
                <w:sz w:val="4"/>
                <w:szCs w:val="4"/>
                <w:color w:val="auto"/>
              </w:rPr>
            </w:pPr>
          </w:p>
        </w:tc>
        <w:tc>
          <w:tcPr>
            <w:tcW w:w="8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40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8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5"/>
                <w:szCs w:val="15"/>
                <w:color w:val="auto"/>
              </w:rPr>
              <w:t>Each</w:t>
            </w:r>
          </w:p>
        </w:tc>
        <w:tc>
          <w:tcPr>
            <w:tcW w:w="124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5"/>
                <w:szCs w:val="15"/>
                <w:color w:val="auto"/>
              </w:rPr>
              <w:t>Reporting</w:t>
            </w:r>
          </w:p>
        </w:tc>
        <w:tc>
          <w:tcPr>
            <w:tcW w:w="1240" w:type="dxa"/>
            <w:vAlign w:val="bottom"/>
            <w:vMerge w:val="restart"/>
          </w:tcPr>
          <w:p>
            <w:pPr>
              <w:jc w:val="right"/>
              <w:ind w:right="563"/>
              <w:spacing w:after="0"/>
              <w:rPr>
                <w:sz w:val="20"/>
                <w:szCs w:val="20"/>
                <w:color w:val="auto"/>
              </w:rPr>
            </w:pPr>
            <w:r>
              <w:rPr>
                <w:rFonts w:ascii="Arial" w:cs="Arial" w:eastAsia="Arial" w:hAnsi="Arial"/>
                <w:sz w:val="15"/>
                <w:szCs w:val="15"/>
                <w:color w:val="auto"/>
              </w:rPr>
              <w:t>7</w:t>
            </w:r>
          </w:p>
        </w:tc>
        <w:tc>
          <w:tcPr>
            <w:tcW w:w="8740" w:type="dxa"/>
            <w:vAlign w:val="bottom"/>
            <w:vMerge w:val="restart"/>
          </w:tcPr>
          <w:p>
            <w:pPr>
              <w:ind w:left="60"/>
              <w:spacing w:after="0"/>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84"/>
        </w:trPr>
        <w:tc>
          <w:tcPr>
            <w:tcW w:w="1400" w:type="dxa"/>
            <w:vAlign w:val="bottom"/>
          </w:tcPr>
          <w:p>
            <w:pPr>
              <w:spacing w:after="0"/>
              <w:rPr>
                <w:sz w:val="20"/>
                <w:szCs w:val="20"/>
                <w:color w:val="auto"/>
              </w:rPr>
            </w:pPr>
            <w:r>
              <w:rPr>
                <w:rFonts w:ascii="Arial" w:cs="Arial" w:eastAsia="Arial" w:hAnsi="Arial"/>
                <w:sz w:val="15"/>
                <w:szCs w:val="15"/>
                <w:color w:val="auto"/>
              </w:rPr>
              <w:t>Person With:</w:t>
            </w:r>
          </w:p>
        </w:tc>
        <w:tc>
          <w:tcPr>
            <w:tcW w:w="1240" w:type="dxa"/>
            <w:vAlign w:val="bottom"/>
            <w:vMerge w:val="continue"/>
          </w:tcPr>
          <w:p>
            <w:pPr>
              <w:spacing w:after="0"/>
              <w:rPr>
                <w:sz w:val="16"/>
                <w:szCs w:val="16"/>
                <w:color w:val="auto"/>
              </w:rPr>
            </w:pPr>
          </w:p>
        </w:tc>
        <w:tc>
          <w:tcPr>
            <w:tcW w:w="8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740" w:type="dxa"/>
            <w:vAlign w:val="bottom"/>
          </w:tcPr>
          <w:p>
            <w:pPr>
              <w:ind w:left="6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1240" w:type="dxa"/>
            <w:vAlign w:val="bottom"/>
          </w:tcPr>
          <w:p>
            <w:pPr>
              <w:jc w:val="right"/>
              <w:ind w:right="563"/>
              <w:spacing w:after="0"/>
              <w:rPr>
                <w:sz w:val="20"/>
                <w:szCs w:val="20"/>
                <w:color w:val="auto"/>
              </w:rPr>
            </w:pPr>
            <w:r>
              <w:rPr>
                <w:rFonts w:ascii="Arial" w:cs="Arial" w:eastAsia="Arial" w:hAnsi="Arial"/>
                <w:sz w:val="15"/>
                <w:szCs w:val="15"/>
                <w:color w:val="auto"/>
              </w:rPr>
              <w:t>8</w:t>
            </w:r>
          </w:p>
        </w:tc>
        <w:tc>
          <w:tcPr>
            <w:tcW w:w="8740" w:type="dxa"/>
            <w:vAlign w:val="bottom"/>
          </w:tcPr>
          <w:p>
            <w:pPr>
              <w:ind w:left="6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740" w:type="dxa"/>
            <w:vAlign w:val="bottom"/>
          </w:tcPr>
          <w:p>
            <w:pPr>
              <w:ind w:left="60"/>
              <w:spacing w:after="0"/>
              <w:rPr>
                <w:sz w:val="20"/>
                <w:szCs w:val="20"/>
                <w:color w:val="auto"/>
              </w:rPr>
            </w:pPr>
            <w:r>
              <w:rPr>
                <w:rFonts w:ascii="Arial" w:cs="Arial" w:eastAsia="Arial" w:hAnsi="Arial"/>
                <w:sz w:val="15"/>
                <w:szCs w:val="15"/>
                <w:color w:val="auto"/>
              </w:rPr>
              <w:t>2,500,580 ordinary shares. See Item 4.</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1000" w:right="5920" w:hanging="614"/>
        <w:spacing w:after="0" w:line="242" w:lineRule="auto"/>
        <w:tabs>
          <w:tab w:leader="none" w:pos="1000" w:val="left"/>
        </w:tabs>
        <w:numPr>
          <w:ilvl w:val="0"/>
          <w:numId w:val="6"/>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2,500,580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21590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67" w:lineRule="exact"/>
        <w:rPr>
          <w:sz w:val="20"/>
          <w:szCs w:val="20"/>
          <w:color w:val="auto"/>
        </w:rPr>
      </w:pPr>
    </w:p>
    <w:p>
      <w:pPr>
        <w:ind w:left="1020" w:right="7500" w:hanging="634"/>
        <w:spacing w:after="0" w:line="242" w:lineRule="auto"/>
        <w:tabs>
          <w:tab w:leader="none" w:pos="1015" w:val="left"/>
        </w:tabs>
        <w:numPr>
          <w:ilvl w:val="0"/>
          <w:numId w:val="7"/>
        </w:numPr>
        <w:rPr>
          <w:rFonts w:ascii="Arial" w:cs="Arial" w:eastAsia="Arial" w:hAnsi="Arial"/>
          <w:sz w:val="15"/>
          <w:szCs w:val="15"/>
          <w:color w:val="auto"/>
        </w:rPr>
      </w:pPr>
      <w:r>
        <w:rPr>
          <w:rFonts w:ascii="Arial" w:cs="Arial" w:eastAsia="Arial" w:hAnsi="Arial"/>
          <w:sz w:val="15"/>
          <w:szCs w:val="15"/>
          <w:color w:val="auto"/>
        </w:rPr>
        <w:t>Check if the Aggregate Amount in Row (9) Excludes Certain Shares o</w:t>
      </w:r>
    </w:p>
    <w:p>
      <w:pPr>
        <w:spacing w:after="0" w:line="286" w:lineRule="exact"/>
        <w:rPr>
          <w:rFonts w:ascii="Arial" w:cs="Arial" w:eastAsia="Arial" w:hAnsi="Arial"/>
          <w:sz w:val="15"/>
          <w:szCs w:val="15"/>
          <w:color w:val="auto"/>
        </w:rPr>
      </w:pPr>
    </w:p>
    <w:p>
      <w:pPr>
        <w:ind w:left="1020" w:right="6820" w:hanging="634"/>
        <w:spacing w:after="0" w:line="242" w:lineRule="auto"/>
        <w:tabs>
          <w:tab w:leader="none" w:pos="1015" w:val="left"/>
        </w:tabs>
        <w:numPr>
          <w:ilvl w:val="0"/>
          <w:numId w:val="7"/>
        </w:numPr>
        <w:rPr>
          <w:rFonts w:ascii="Arial" w:cs="Arial" w:eastAsia="Arial" w:hAnsi="Arial"/>
          <w:sz w:val="15"/>
          <w:szCs w:val="15"/>
          <w:color w:val="auto"/>
        </w:rPr>
      </w:pPr>
      <w:r>
        <w:rPr>
          <w:rFonts w:ascii="Arial" w:cs="Arial" w:eastAsia="Arial" w:hAnsi="Arial"/>
          <w:sz w:val="15"/>
          <w:szCs w:val="15"/>
          <w:color w:val="auto"/>
        </w:rPr>
        <w:t>Percent of Class Represented by Amount in Row (9) 8.7%. See Item 4.</w:t>
      </w:r>
    </w:p>
    <w:p>
      <w:pPr>
        <w:spacing w:after="0" w:line="289" w:lineRule="exact"/>
        <w:rPr>
          <w:rFonts w:ascii="Arial" w:cs="Arial" w:eastAsia="Arial" w:hAnsi="Arial"/>
          <w:sz w:val="15"/>
          <w:szCs w:val="15"/>
          <w:color w:val="auto"/>
        </w:rPr>
      </w:pPr>
    </w:p>
    <w:p>
      <w:pPr>
        <w:ind w:left="1000" w:hanging="614"/>
        <w:spacing w:after="0"/>
        <w:tabs>
          <w:tab w:leader="none" w:pos="10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Type of Reporting Person</w:t>
      </w:r>
    </w:p>
    <w:p>
      <w:pPr>
        <w:ind w:left="1020"/>
        <w:spacing w:after="0"/>
        <w:rPr>
          <w:rFonts w:ascii="Arial" w:cs="Arial" w:eastAsia="Arial" w:hAnsi="Arial"/>
          <w:sz w:val="15"/>
          <w:szCs w:val="15"/>
          <w:color w:val="auto"/>
        </w:rPr>
      </w:pPr>
      <w:r>
        <w:rPr>
          <w:rFonts w:ascii="Arial" w:cs="Arial" w:eastAsia="Arial" w:hAnsi="Arial"/>
          <w:sz w:val="15"/>
          <w:szCs w:val="15"/>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-784225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-372745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29845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2" w:name="page3"/>
    <w:bookmarkEnd w:id="2"/>
    <w:p>
      <w:pPr>
        <w:ind w:left="1000" w:right="8400" w:hanging="614"/>
        <w:spacing w:after="0" w:line="242" w:lineRule="auto"/>
        <w:tabs>
          <w:tab w:leader="none" w:pos="1000" w:val="left"/>
        </w:tabs>
        <w:numPr>
          <w:ilvl w:val="0"/>
          <w:numId w:val="8"/>
        </w:numPr>
        <w:rPr>
          <w:rFonts w:ascii="Arial" w:cs="Arial" w:eastAsia="Arial" w:hAnsi="Arial"/>
          <w:sz w:val="15"/>
          <w:szCs w:val="15"/>
          <w:color w:val="auto"/>
        </w:rPr>
      </w:pPr>
      <w:r>
        <w:rPr>
          <w:rFonts w:ascii="Arial" w:cs="Arial" w:eastAsia="Arial" w:hAnsi="Arial"/>
          <w:sz w:val="15"/>
          <w:szCs w:val="15"/>
          <w:color w:val="auto"/>
        </w:rPr>
        <w:t>Names of Reporting Persons Bubinga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21590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67" w:lineRule="exact"/>
        <w:rPr>
          <w:sz w:val="20"/>
          <w:szCs w:val="20"/>
          <w:color w:val="auto"/>
        </w:rPr>
      </w:pPr>
    </w:p>
    <w:p>
      <w:pPr>
        <w:ind w:left="1000" w:hanging="614"/>
        <w:spacing w:after="0"/>
        <w:tabs>
          <w:tab w:leader="none" w:pos="100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Check the Appropriate Box if a Member of a Group</w:t>
      </w:r>
    </w:p>
    <w:p>
      <w:pPr>
        <w:spacing w:after="0" w:line="111" w:lineRule="exact"/>
        <w:rPr>
          <w:rFonts w:ascii="Arial" w:cs="Arial" w:eastAsia="Arial" w:hAnsi="Arial"/>
          <w:sz w:val="15"/>
          <w:szCs w:val="15"/>
          <w:color w:val="auto"/>
        </w:rPr>
      </w:pPr>
    </w:p>
    <w:p>
      <w:pPr>
        <w:ind w:left="2160" w:hanging="1153"/>
        <w:spacing w:after="0"/>
        <w:tabs>
          <w:tab w:leader="none" w:pos="2160" w:val="left"/>
        </w:tabs>
        <w:numPr>
          <w:ilvl w:val="1"/>
          <w:numId w:val="9"/>
        </w:numPr>
        <w:rPr>
          <w:rFonts w:ascii="Arial" w:cs="Arial" w:eastAsia="Arial" w:hAnsi="Arial"/>
          <w:sz w:val="15"/>
          <w:szCs w:val="15"/>
          <w:color w:val="auto"/>
        </w:rPr>
      </w:pPr>
      <w:r>
        <w:rPr>
          <w:rFonts w:ascii="Arial" w:cs="Arial" w:eastAsia="Arial" w:hAnsi="Arial"/>
          <w:sz w:val="15"/>
          <w:szCs w:val="15"/>
          <w:color w:val="auto"/>
        </w:rPr>
        <w:t>o</w:t>
      </w:r>
    </w:p>
    <w:p>
      <w:pPr>
        <w:spacing w:after="0" w:line="138" w:lineRule="exact"/>
        <w:rPr>
          <w:rFonts w:ascii="Arial" w:cs="Arial" w:eastAsia="Arial" w:hAnsi="Arial"/>
          <w:sz w:val="15"/>
          <w:szCs w:val="15"/>
          <w:color w:val="auto"/>
        </w:rPr>
      </w:pPr>
    </w:p>
    <w:p>
      <w:pPr>
        <w:ind w:left="2160" w:hanging="1153"/>
        <w:spacing w:after="0"/>
        <w:tabs>
          <w:tab w:leader="none" w:pos="2160" w:val="left"/>
        </w:tabs>
        <w:numPr>
          <w:ilvl w:val="1"/>
          <w:numId w:val="9"/>
        </w:numPr>
        <w:rPr>
          <w:rFonts w:ascii="Arial" w:cs="Arial" w:eastAsia="Arial" w:hAnsi="Arial"/>
          <w:sz w:val="15"/>
          <w:szCs w:val="15"/>
          <w:color w:val="auto"/>
        </w:rPr>
      </w:pPr>
      <w:r>
        <w:rPr>
          <w:rFonts w:ascii="Arial" w:cs="Arial" w:eastAsia="Arial" w:hAnsi="Arial"/>
          <w:sz w:val="15"/>
          <w:szCs w:val="15"/>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-158115</wp:posOffset>
            </wp:positionV>
            <wp:extent cx="59086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08675"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29845</wp:posOffset>
            </wp:positionV>
            <wp:extent cx="59086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280" w:lineRule="exact"/>
        <w:rPr>
          <w:sz w:val="20"/>
          <w:szCs w:val="20"/>
          <w:color w:val="auto"/>
        </w:rPr>
      </w:pPr>
    </w:p>
    <w:p>
      <w:pPr>
        <w:ind w:left="1000" w:hanging="614"/>
        <w:spacing w:after="0"/>
        <w:tabs>
          <w:tab w:leader="none" w:pos="10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29845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80" w:lineRule="exact"/>
        <w:rPr>
          <w:sz w:val="20"/>
          <w:szCs w:val="20"/>
          <w:color w:val="auto"/>
        </w:rPr>
      </w:pPr>
    </w:p>
    <w:p>
      <w:pPr>
        <w:ind w:left="1000" w:right="7940" w:hanging="614"/>
        <w:spacing w:after="0" w:line="242" w:lineRule="auto"/>
        <w:tabs>
          <w:tab w:leader="none" w:pos="10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29845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00" w:type="dxa"/>
            <w:vAlign w:val="bottom"/>
          </w:tcPr>
          <w:p>
            <w:pPr>
              <w:spacing w:after="0"/>
              <w:rPr>
                <w:sz w:val="18"/>
                <w:szCs w:val="18"/>
                <w:color w:val="auto"/>
              </w:rPr>
            </w:pPr>
          </w:p>
        </w:tc>
        <w:tc>
          <w:tcPr>
            <w:tcW w:w="1240" w:type="dxa"/>
            <w:vAlign w:val="bottom"/>
          </w:tcPr>
          <w:p>
            <w:pPr>
              <w:jc w:val="right"/>
              <w:ind w:right="563"/>
              <w:spacing w:after="0"/>
              <w:rPr>
                <w:sz w:val="20"/>
                <w:szCs w:val="20"/>
                <w:color w:val="auto"/>
              </w:rPr>
            </w:pPr>
            <w:r>
              <w:rPr>
                <w:rFonts w:ascii="Arial" w:cs="Arial" w:eastAsia="Arial" w:hAnsi="Arial"/>
                <w:sz w:val="15"/>
                <w:szCs w:val="15"/>
                <w:color w:val="auto"/>
              </w:rPr>
              <w:t>5</w:t>
            </w:r>
          </w:p>
        </w:tc>
        <w:tc>
          <w:tcPr>
            <w:tcW w:w="8740" w:type="dxa"/>
            <w:vAlign w:val="bottom"/>
          </w:tcPr>
          <w:p>
            <w:pPr>
              <w:ind w:left="60"/>
              <w:spacing w:after="0"/>
              <w:rPr>
                <w:sz w:val="20"/>
                <w:szCs w:val="20"/>
                <w:color w:val="auto"/>
              </w:rPr>
            </w:pPr>
            <w:r>
              <w:rPr>
                <w:rFonts w:ascii="Arial" w:cs="Arial" w:eastAsia="Arial" w:hAnsi="Arial"/>
                <w:sz w:val="15"/>
                <w:szCs w:val="15"/>
                <w:color w:val="auto"/>
              </w:rPr>
              <w:t>Sole Voting Power</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740" w:type="dxa"/>
            <w:vAlign w:val="bottom"/>
          </w:tcPr>
          <w:p>
            <w:pPr>
              <w:ind w:left="6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1400" w:type="dxa"/>
            <w:vAlign w:val="bottom"/>
          </w:tcPr>
          <w:p>
            <w:pPr>
              <w:spacing w:after="0"/>
              <w:rPr>
                <w:sz w:val="24"/>
                <w:szCs w:val="24"/>
                <w:color w:val="auto"/>
              </w:rPr>
            </w:pPr>
          </w:p>
        </w:tc>
        <w:tc>
          <w:tcPr>
            <w:tcW w:w="1240" w:type="dxa"/>
            <w:vAlign w:val="bottom"/>
          </w:tcPr>
          <w:p>
            <w:pPr>
              <w:jc w:val="right"/>
              <w:ind w:right="563"/>
              <w:spacing w:after="0"/>
              <w:rPr>
                <w:sz w:val="20"/>
                <w:szCs w:val="20"/>
                <w:color w:val="auto"/>
              </w:rPr>
            </w:pPr>
            <w:r>
              <w:rPr>
                <w:rFonts w:ascii="Arial" w:cs="Arial" w:eastAsia="Arial" w:hAnsi="Arial"/>
                <w:sz w:val="15"/>
                <w:szCs w:val="15"/>
                <w:color w:val="auto"/>
              </w:rPr>
              <w:t>6</w:t>
            </w:r>
          </w:p>
        </w:tc>
        <w:tc>
          <w:tcPr>
            <w:tcW w:w="8740" w:type="dxa"/>
            <w:vAlign w:val="bottom"/>
          </w:tcPr>
          <w:p>
            <w:pPr>
              <w:ind w:left="60"/>
              <w:spacing w:after="0"/>
              <w:rPr>
                <w:sz w:val="20"/>
                <w:szCs w:val="20"/>
                <w:color w:val="auto"/>
              </w:rPr>
            </w:pPr>
            <w:r>
              <w:rPr>
                <w:rFonts w:ascii="Arial" w:cs="Arial" w:eastAsia="Arial" w:hAnsi="Arial"/>
                <w:sz w:val="15"/>
                <w:szCs w:val="15"/>
                <w:color w:val="auto"/>
              </w:rPr>
              <w:t>Shared Voting Power</w:t>
            </w:r>
          </w:p>
        </w:tc>
        <w:tc>
          <w:tcPr>
            <w:tcW w:w="0" w:type="dxa"/>
            <w:vAlign w:val="bottom"/>
          </w:tcPr>
          <w:p>
            <w:pPr>
              <w:spacing w:after="0"/>
              <w:rPr>
                <w:sz w:val="1"/>
                <w:szCs w:val="1"/>
                <w:color w:val="auto"/>
              </w:rPr>
            </w:pPr>
          </w:p>
        </w:tc>
      </w:tr>
      <w:tr>
        <w:trPr>
          <w:trHeight w:val="288"/>
        </w:trPr>
        <w:tc>
          <w:tcPr>
            <w:tcW w:w="1400" w:type="dxa"/>
            <w:vAlign w:val="bottom"/>
          </w:tcPr>
          <w:p>
            <w:pPr>
              <w:spacing w:after="0"/>
              <w:rPr>
                <w:sz w:val="20"/>
                <w:szCs w:val="20"/>
                <w:color w:val="auto"/>
              </w:rPr>
            </w:pPr>
            <w:r>
              <w:rPr>
                <w:rFonts w:ascii="Arial" w:cs="Arial" w:eastAsia="Arial" w:hAnsi="Arial"/>
                <w:sz w:val="15"/>
                <w:szCs w:val="15"/>
                <w:color w:val="auto"/>
              </w:rPr>
              <w:t>Number of</w:t>
            </w:r>
          </w:p>
        </w:tc>
        <w:tc>
          <w:tcPr>
            <w:tcW w:w="1240" w:type="dxa"/>
            <w:vAlign w:val="bottom"/>
          </w:tcPr>
          <w:p>
            <w:pPr>
              <w:spacing w:after="0"/>
              <w:rPr>
                <w:sz w:val="24"/>
                <w:szCs w:val="24"/>
                <w:color w:val="auto"/>
              </w:rPr>
            </w:pPr>
          </w:p>
        </w:tc>
        <w:tc>
          <w:tcPr>
            <w:tcW w:w="8740" w:type="dxa"/>
            <w:vAlign w:val="bottom"/>
          </w:tcPr>
          <w:p>
            <w:pPr>
              <w:ind w:left="60"/>
              <w:spacing w:after="0"/>
              <w:rPr>
                <w:sz w:val="20"/>
                <w:szCs w:val="20"/>
                <w:color w:val="auto"/>
              </w:rPr>
            </w:pPr>
            <w:r>
              <w:rPr>
                <w:rFonts w:ascii="Arial" w:cs="Arial" w:eastAsia="Arial" w:hAnsi="Arial"/>
                <w:sz w:val="15"/>
                <w:szCs w:val="15"/>
                <w:color w:val="auto"/>
              </w:rPr>
              <w:t>2,500,580 ordinary shares. See Item 4.</w:t>
            </w:r>
          </w:p>
        </w:tc>
        <w:tc>
          <w:tcPr>
            <w:tcW w:w="0" w:type="dxa"/>
            <w:vAlign w:val="bottom"/>
          </w:tcPr>
          <w:p>
            <w:pPr>
              <w:spacing w:after="0"/>
              <w:rPr>
                <w:sz w:val="1"/>
                <w:szCs w:val="1"/>
                <w:color w:val="auto"/>
              </w:rPr>
            </w:pPr>
          </w:p>
        </w:tc>
      </w:tr>
      <w:tr>
        <w:trPr>
          <w:trHeight w:val="172"/>
        </w:trPr>
        <w:tc>
          <w:tcPr>
            <w:tcW w:w="1400" w:type="dxa"/>
            <w:vAlign w:val="bottom"/>
          </w:tcPr>
          <w:p>
            <w:pPr>
              <w:spacing w:after="0" w:line="162" w:lineRule="exact"/>
              <w:rPr>
                <w:sz w:val="20"/>
                <w:szCs w:val="20"/>
                <w:color w:val="auto"/>
              </w:rPr>
            </w:pPr>
            <w:r>
              <w:rPr>
                <w:rFonts w:ascii="Arial" w:cs="Arial" w:eastAsia="Arial" w:hAnsi="Arial"/>
                <w:sz w:val="15"/>
                <w:szCs w:val="15"/>
                <w:color w:val="auto"/>
              </w:rPr>
              <w:t>Shares</w:t>
            </w:r>
          </w:p>
        </w:tc>
        <w:tc>
          <w:tcPr>
            <w:tcW w:w="1240" w:type="dxa"/>
            <w:vAlign w:val="bottom"/>
          </w:tcPr>
          <w:p>
            <w:pPr>
              <w:spacing w:after="0"/>
              <w:rPr>
                <w:sz w:val="15"/>
                <w:szCs w:val="15"/>
                <w:color w:val="auto"/>
              </w:rPr>
            </w:pPr>
          </w:p>
        </w:tc>
        <w:tc>
          <w:tcPr>
            <w:tcW w:w="8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400" w:type="dxa"/>
            <w:vAlign w:val="bottom"/>
          </w:tcPr>
          <w:p>
            <w:pPr>
              <w:spacing w:after="0" w:line="132" w:lineRule="exact"/>
              <w:rPr>
                <w:sz w:val="20"/>
                <w:szCs w:val="20"/>
                <w:color w:val="auto"/>
              </w:rPr>
            </w:pPr>
            <w:r>
              <w:rPr>
                <w:rFonts w:ascii="Arial" w:cs="Arial" w:eastAsia="Arial" w:hAnsi="Arial"/>
                <w:sz w:val="15"/>
                <w:szCs w:val="15"/>
                <w:color w:val="auto"/>
              </w:rPr>
              <w:t>Beneficially</w:t>
            </w:r>
          </w:p>
        </w:tc>
        <w:tc>
          <w:tcPr>
            <w:tcW w:w="124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5"/>
                <w:szCs w:val="15"/>
                <w:color w:val="auto"/>
              </w:rPr>
              <w:t>Owned by</w:t>
            </w:r>
          </w:p>
        </w:tc>
        <w:tc>
          <w:tcPr>
            <w:tcW w:w="124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5"/>
                <w:szCs w:val="15"/>
                <w:color w:val="auto"/>
              </w:rPr>
              <w:t>Each</w:t>
            </w:r>
          </w:p>
        </w:tc>
        <w:tc>
          <w:tcPr>
            <w:tcW w:w="1240" w:type="dxa"/>
            <w:vAlign w:val="bottom"/>
            <w:vMerge w:val="restart"/>
          </w:tcPr>
          <w:p>
            <w:pPr>
              <w:jc w:val="right"/>
              <w:ind w:right="563"/>
              <w:spacing w:after="0"/>
              <w:rPr>
                <w:sz w:val="20"/>
                <w:szCs w:val="20"/>
                <w:color w:val="auto"/>
              </w:rPr>
            </w:pPr>
            <w:r>
              <w:rPr>
                <w:rFonts w:ascii="Arial" w:cs="Arial" w:eastAsia="Arial" w:hAnsi="Arial"/>
                <w:sz w:val="15"/>
                <w:szCs w:val="15"/>
                <w:color w:val="auto"/>
              </w:rPr>
              <w:t>7</w:t>
            </w:r>
          </w:p>
        </w:tc>
        <w:tc>
          <w:tcPr>
            <w:tcW w:w="8740" w:type="dxa"/>
            <w:vAlign w:val="bottom"/>
            <w:vMerge w:val="restart"/>
          </w:tcPr>
          <w:p>
            <w:pPr>
              <w:ind w:left="60"/>
              <w:spacing w:after="0"/>
              <w:rPr>
                <w:sz w:val="20"/>
                <w:szCs w:val="20"/>
                <w:color w:val="auto"/>
              </w:rPr>
            </w:pPr>
            <w:r>
              <w:rPr>
                <w:rFonts w:ascii="Arial" w:cs="Arial" w:eastAsia="Arial" w:hAnsi="Arial"/>
                <w:sz w:val="15"/>
                <w:szCs w:val="15"/>
                <w:color w:val="auto"/>
              </w:rPr>
              <w:t>Sole Dispositive Power</w:t>
            </w:r>
          </w:p>
        </w:tc>
        <w:tc>
          <w:tcPr>
            <w:tcW w:w="0" w:type="dxa"/>
            <w:vAlign w:val="bottom"/>
          </w:tcPr>
          <w:p>
            <w:pPr>
              <w:spacing w:after="0"/>
              <w:rPr>
                <w:sz w:val="1"/>
                <w:szCs w:val="1"/>
                <w:color w:val="auto"/>
              </w:rPr>
            </w:pPr>
          </w:p>
        </w:tc>
      </w:tr>
      <w:tr>
        <w:trPr>
          <w:trHeight w:val="117"/>
        </w:trPr>
        <w:tc>
          <w:tcPr>
            <w:tcW w:w="1400" w:type="dxa"/>
            <w:vAlign w:val="bottom"/>
            <w:vMerge w:val="restart"/>
          </w:tcPr>
          <w:p>
            <w:pPr>
              <w:spacing w:after="0" w:line="162" w:lineRule="exact"/>
              <w:rPr>
                <w:sz w:val="20"/>
                <w:szCs w:val="20"/>
                <w:color w:val="auto"/>
              </w:rPr>
            </w:pPr>
            <w:r>
              <w:rPr>
                <w:rFonts w:ascii="Arial" w:cs="Arial" w:eastAsia="Arial" w:hAnsi="Arial"/>
                <w:sz w:val="15"/>
                <w:szCs w:val="15"/>
                <w:color w:val="auto"/>
              </w:rPr>
              <w:t>Reporting</w:t>
            </w:r>
          </w:p>
        </w:tc>
        <w:tc>
          <w:tcPr>
            <w:tcW w:w="1240" w:type="dxa"/>
            <w:vAlign w:val="bottom"/>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400" w:type="dxa"/>
            <w:vAlign w:val="bottom"/>
            <w:vMerge w:val="continue"/>
          </w:tcPr>
          <w:p>
            <w:pPr>
              <w:spacing w:after="0"/>
              <w:rPr>
                <w:sz w:val="3"/>
                <w:szCs w:val="3"/>
                <w:color w:val="auto"/>
              </w:rPr>
            </w:pPr>
          </w:p>
        </w:tc>
        <w:tc>
          <w:tcPr>
            <w:tcW w:w="1240" w:type="dxa"/>
            <w:vAlign w:val="bottom"/>
          </w:tcPr>
          <w:p>
            <w:pPr>
              <w:spacing w:after="0"/>
              <w:rPr>
                <w:sz w:val="3"/>
                <w:szCs w:val="3"/>
                <w:color w:val="auto"/>
              </w:rPr>
            </w:pPr>
          </w:p>
        </w:tc>
        <w:tc>
          <w:tcPr>
            <w:tcW w:w="8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400" w:type="dxa"/>
            <w:vAlign w:val="bottom"/>
          </w:tcPr>
          <w:p>
            <w:pPr>
              <w:spacing w:after="0"/>
              <w:rPr>
                <w:sz w:val="20"/>
                <w:szCs w:val="20"/>
                <w:color w:val="auto"/>
              </w:rPr>
            </w:pPr>
            <w:r>
              <w:rPr>
                <w:rFonts w:ascii="Arial" w:cs="Arial" w:eastAsia="Arial" w:hAnsi="Arial"/>
                <w:sz w:val="15"/>
                <w:szCs w:val="15"/>
                <w:color w:val="auto"/>
              </w:rPr>
              <w:t>Person With:</w:t>
            </w:r>
          </w:p>
        </w:tc>
        <w:tc>
          <w:tcPr>
            <w:tcW w:w="1240" w:type="dxa"/>
            <w:vAlign w:val="bottom"/>
          </w:tcPr>
          <w:p>
            <w:pPr>
              <w:spacing w:after="0"/>
              <w:rPr>
                <w:sz w:val="16"/>
                <w:szCs w:val="16"/>
                <w:color w:val="auto"/>
              </w:rPr>
            </w:pPr>
          </w:p>
        </w:tc>
        <w:tc>
          <w:tcPr>
            <w:tcW w:w="8740" w:type="dxa"/>
            <w:vAlign w:val="bottom"/>
            <w:vMerge w:val="restart"/>
          </w:tcPr>
          <w:p>
            <w:pPr>
              <w:ind w:left="6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1"/>
        </w:trPr>
        <w:tc>
          <w:tcPr>
            <w:tcW w:w="1400" w:type="dxa"/>
            <w:vAlign w:val="bottom"/>
          </w:tcPr>
          <w:p>
            <w:pPr>
              <w:spacing w:after="0"/>
              <w:rPr>
                <w:sz w:val="24"/>
                <w:szCs w:val="24"/>
                <w:color w:val="auto"/>
              </w:rPr>
            </w:pPr>
          </w:p>
        </w:tc>
        <w:tc>
          <w:tcPr>
            <w:tcW w:w="1240" w:type="dxa"/>
            <w:vAlign w:val="bottom"/>
          </w:tcPr>
          <w:p>
            <w:pPr>
              <w:jc w:val="right"/>
              <w:ind w:right="563"/>
              <w:spacing w:after="0"/>
              <w:rPr>
                <w:sz w:val="20"/>
                <w:szCs w:val="20"/>
                <w:color w:val="auto"/>
              </w:rPr>
            </w:pPr>
            <w:r>
              <w:rPr>
                <w:rFonts w:ascii="Arial" w:cs="Arial" w:eastAsia="Arial" w:hAnsi="Arial"/>
                <w:sz w:val="15"/>
                <w:szCs w:val="15"/>
                <w:color w:val="auto"/>
              </w:rPr>
              <w:t>8</w:t>
            </w:r>
          </w:p>
        </w:tc>
        <w:tc>
          <w:tcPr>
            <w:tcW w:w="8740" w:type="dxa"/>
            <w:vAlign w:val="bottom"/>
          </w:tcPr>
          <w:p>
            <w:pPr>
              <w:ind w:left="60"/>
              <w:spacing w:after="0"/>
              <w:rPr>
                <w:sz w:val="20"/>
                <w:szCs w:val="20"/>
                <w:color w:val="auto"/>
              </w:rPr>
            </w:pPr>
            <w:r>
              <w:rPr>
                <w:rFonts w:ascii="Arial" w:cs="Arial" w:eastAsia="Arial" w:hAnsi="Arial"/>
                <w:sz w:val="15"/>
                <w:szCs w:val="15"/>
                <w:color w:val="auto"/>
              </w:rPr>
              <w:t>Shared Dispositive Power</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740" w:type="dxa"/>
            <w:vAlign w:val="bottom"/>
          </w:tcPr>
          <w:p>
            <w:pPr>
              <w:ind w:left="60"/>
              <w:spacing w:after="0"/>
              <w:rPr>
                <w:sz w:val="20"/>
                <w:szCs w:val="20"/>
                <w:color w:val="auto"/>
              </w:rPr>
            </w:pPr>
            <w:r>
              <w:rPr>
                <w:rFonts w:ascii="Arial" w:cs="Arial" w:eastAsia="Arial" w:hAnsi="Arial"/>
                <w:sz w:val="15"/>
                <w:szCs w:val="15"/>
                <w:color w:val="auto"/>
              </w:rPr>
              <w:t>2,500,580 ordinary shares. See Item 4.</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1000" w:right="5920" w:hanging="614"/>
        <w:spacing w:after="0" w:line="242" w:lineRule="auto"/>
        <w:tabs>
          <w:tab w:leader="none" w:pos="10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2,500,580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21590</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67" w:lineRule="exact"/>
        <w:rPr>
          <w:sz w:val="20"/>
          <w:szCs w:val="20"/>
          <w:color w:val="auto"/>
        </w:rPr>
      </w:pPr>
    </w:p>
    <w:p>
      <w:pPr>
        <w:ind w:left="1000" w:hanging="614"/>
        <w:spacing w:after="0"/>
        <w:tabs>
          <w:tab w:leader="none" w:pos="10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Check if the Aggregate Amount in Row (9) Excludes Certain Shares o</w:t>
      </w:r>
    </w:p>
    <w:p>
      <w:pPr>
        <w:spacing w:after="0" w:line="300" w:lineRule="exact"/>
        <w:rPr>
          <w:rFonts w:ascii="Arial" w:cs="Arial" w:eastAsia="Arial" w:hAnsi="Arial"/>
          <w:sz w:val="15"/>
          <w:szCs w:val="15"/>
          <w:color w:val="auto"/>
        </w:rPr>
      </w:pPr>
    </w:p>
    <w:p>
      <w:pPr>
        <w:ind w:left="1000" w:hanging="614"/>
        <w:spacing w:after="0"/>
        <w:tabs>
          <w:tab w:leader="none" w:pos="10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Percent of Class Represented by Amount in Row (9) 8.7%. See Item 4.</w:t>
      </w:r>
    </w:p>
    <w:p>
      <w:pPr>
        <w:spacing w:after="0" w:line="303" w:lineRule="exact"/>
        <w:rPr>
          <w:rFonts w:ascii="Arial" w:cs="Arial" w:eastAsia="Arial" w:hAnsi="Arial"/>
          <w:sz w:val="15"/>
          <w:szCs w:val="15"/>
          <w:color w:val="auto"/>
        </w:rPr>
      </w:pPr>
    </w:p>
    <w:p>
      <w:pPr>
        <w:ind w:left="1000" w:hanging="614"/>
        <w:spacing w:after="0"/>
        <w:tabs>
          <w:tab w:leader="none" w:pos="10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Type of Reporting Person</w:t>
      </w:r>
    </w:p>
    <w:p>
      <w:pPr>
        <w:ind w:left="1020"/>
        <w:spacing w:after="0"/>
        <w:rPr>
          <w:rFonts w:ascii="Arial" w:cs="Arial" w:eastAsia="Arial" w:hAnsi="Arial"/>
          <w:sz w:val="15"/>
          <w:szCs w:val="15"/>
          <w:color w:val="auto"/>
        </w:rPr>
      </w:pPr>
      <w:r>
        <w:rPr>
          <w:rFonts w:ascii="Arial" w:cs="Arial" w:eastAsia="Arial" w:hAnsi="Arial"/>
          <w:sz w:val="15"/>
          <w:szCs w:val="15"/>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-681355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-372745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29845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1100" w:type="dxa"/>
            <w:vAlign w:val="bottom"/>
          </w:tcPr>
          <w:p>
            <w:pPr>
              <w:spacing w:after="0"/>
              <w:rPr>
                <w:sz w:val="20"/>
                <w:szCs w:val="20"/>
                <w:color w:val="auto"/>
              </w:rPr>
            </w:pPr>
            <w:r>
              <w:rPr>
                <w:rFonts w:ascii="Arial" w:cs="Arial" w:eastAsia="Arial" w:hAnsi="Arial"/>
                <w:sz w:val="15"/>
                <w:szCs w:val="15"/>
                <w:b w:val="1"/>
                <w:bCs w:val="1"/>
                <w:color w:val="auto"/>
              </w:rPr>
              <w:t>Item 1(a).</w:t>
            </w:r>
          </w:p>
        </w:tc>
        <w:tc>
          <w:tcPr>
            <w:tcW w:w="10320" w:type="dxa"/>
            <w:vAlign w:val="bottom"/>
            <w:gridSpan w:val="9"/>
          </w:tcPr>
          <w:p>
            <w:pPr>
              <w:spacing w:after="0"/>
              <w:rPr>
                <w:sz w:val="20"/>
                <w:szCs w:val="20"/>
                <w:color w:val="auto"/>
              </w:rPr>
            </w:pPr>
            <w:r>
              <w:rPr>
                <w:rFonts w:ascii="Arial" w:cs="Arial" w:eastAsia="Arial" w:hAnsi="Arial"/>
                <w:sz w:val="15"/>
                <w:szCs w:val="15"/>
                <w:b w:val="1"/>
                <w:bCs w:val="1"/>
                <w:color w:val="auto"/>
              </w:rPr>
              <w:t>Name of Issuer:</w:t>
            </w:r>
          </w:p>
        </w:tc>
      </w:tr>
      <w:tr>
        <w:trPr>
          <w:trHeight w:val="156"/>
        </w:trPr>
        <w:tc>
          <w:tcPr>
            <w:tcW w:w="1100" w:type="dxa"/>
            <w:vAlign w:val="bottom"/>
          </w:tcPr>
          <w:p>
            <w:pPr>
              <w:spacing w:after="0"/>
              <w:rPr>
                <w:sz w:val="13"/>
                <w:szCs w:val="13"/>
                <w:color w:val="auto"/>
              </w:rPr>
            </w:pPr>
          </w:p>
        </w:tc>
        <w:tc>
          <w:tcPr>
            <w:tcW w:w="1140" w:type="dxa"/>
            <w:vAlign w:val="bottom"/>
            <w:tcBorders>
              <w:top w:val="single" w:sz="8" w:color="auto"/>
              <w:bottom w:val="single" w:sz="8" w:color="auto"/>
            </w:tcBorders>
            <w:gridSpan w:val="3"/>
          </w:tcPr>
          <w:p>
            <w:pPr>
              <w:spacing w:after="0" w:line="156" w:lineRule="exact"/>
              <w:rPr>
                <w:sz w:val="20"/>
                <w:szCs w:val="20"/>
                <w:color w:val="auto"/>
              </w:rPr>
            </w:pPr>
            <w:r>
              <w:rPr>
                <w:rFonts w:ascii="Arial" w:cs="Arial" w:eastAsia="Arial" w:hAnsi="Arial"/>
                <w:sz w:val="15"/>
                <w:szCs w:val="15"/>
                <w:color w:val="auto"/>
              </w:rPr>
              <w:t>iClick Interactive</w:t>
            </w:r>
          </w:p>
        </w:tc>
        <w:tc>
          <w:tcPr>
            <w:tcW w:w="9180" w:type="dxa"/>
            <w:vAlign w:val="bottom"/>
            <w:tcBorders>
              <w:bottom w:val="single" w:sz="8" w:color="auto"/>
            </w:tcBorders>
            <w:gridSpan w:val="6"/>
          </w:tcPr>
          <w:p>
            <w:pPr>
              <w:ind w:left="20"/>
              <w:spacing w:after="0" w:line="156" w:lineRule="exact"/>
              <w:rPr>
                <w:sz w:val="20"/>
                <w:szCs w:val="20"/>
                <w:color w:val="auto"/>
              </w:rPr>
            </w:pPr>
            <w:r>
              <w:rPr>
                <w:rFonts w:ascii="Arial" w:cs="Arial" w:eastAsia="Arial" w:hAnsi="Arial"/>
                <w:sz w:val="15"/>
                <w:szCs w:val="15"/>
                <w:color w:val="auto"/>
              </w:rPr>
              <w:t>Asia Group Limited (the “Issuer”)</w:t>
            </w:r>
          </w:p>
        </w:tc>
      </w:tr>
      <w:tr>
        <w:trPr>
          <w:trHeight w:val="264"/>
        </w:trPr>
        <w:tc>
          <w:tcPr>
            <w:tcW w:w="1100" w:type="dxa"/>
            <w:vAlign w:val="bottom"/>
          </w:tcPr>
          <w:p>
            <w:pPr>
              <w:spacing w:after="0"/>
              <w:rPr>
                <w:sz w:val="20"/>
                <w:szCs w:val="20"/>
                <w:color w:val="auto"/>
              </w:rPr>
            </w:pPr>
            <w:r>
              <w:rPr>
                <w:rFonts w:ascii="Arial" w:cs="Arial" w:eastAsia="Arial" w:hAnsi="Arial"/>
                <w:sz w:val="15"/>
                <w:szCs w:val="15"/>
                <w:b w:val="1"/>
                <w:bCs w:val="1"/>
                <w:color w:val="auto"/>
              </w:rPr>
              <w:t>Item 1(b).</w:t>
            </w:r>
          </w:p>
        </w:tc>
        <w:tc>
          <w:tcPr>
            <w:tcW w:w="10320" w:type="dxa"/>
            <w:vAlign w:val="bottom"/>
            <w:gridSpan w:val="9"/>
          </w:tcPr>
          <w:p>
            <w:pPr>
              <w:spacing w:after="0"/>
              <w:rPr>
                <w:sz w:val="20"/>
                <w:szCs w:val="20"/>
                <w:color w:val="auto"/>
              </w:rPr>
            </w:pPr>
            <w:r>
              <w:rPr>
                <w:rFonts w:ascii="Arial" w:cs="Arial" w:eastAsia="Arial" w:hAnsi="Arial"/>
                <w:sz w:val="15"/>
                <w:szCs w:val="15"/>
                <w:b w:val="1"/>
                <w:bCs w:val="1"/>
                <w:color w:val="auto"/>
              </w:rPr>
              <w:t>Address of Issuer’s Principal Executive Offices:</w:t>
            </w:r>
          </w:p>
        </w:tc>
      </w:tr>
      <w:tr>
        <w:trPr>
          <w:trHeight w:val="152"/>
        </w:trPr>
        <w:tc>
          <w:tcPr>
            <w:tcW w:w="1100" w:type="dxa"/>
            <w:vAlign w:val="bottom"/>
          </w:tcPr>
          <w:p>
            <w:pPr>
              <w:spacing w:after="0"/>
              <w:rPr>
                <w:sz w:val="13"/>
                <w:szCs w:val="13"/>
                <w:color w:val="auto"/>
              </w:rPr>
            </w:pPr>
          </w:p>
        </w:tc>
        <w:tc>
          <w:tcPr>
            <w:tcW w:w="3480" w:type="dxa"/>
            <w:vAlign w:val="bottom"/>
            <w:tcBorders>
              <w:top w:val="single" w:sz="8" w:color="auto"/>
            </w:tcBorders>
            <w:gridSpan w:val="6"/>
          </w:tcPr>
          <w:p>
            <w:pPr>
              <w:spacing w:after="0" w:line="152" w:lineRule="exact"/>
              <w:rPr>
                <w:sz w:val="20"/>
                <w:szCs w:val="20"/>
                <w:color w:val="auto"/>
              </w:rPr>
            </w:pPr>
            <w:r>
              <w:rPr>
                <w:rFonts w:ascii="Arial" w:cs="Arial" w:eastAsia="Arial" w:hAnsi="Arial"/>
                <w:sz w:val="15"/>
                <w:szCs w:val="15"/>
                <w:color w:val="auto"/>
              </w:rPr>
              <w:t>15/F, Prosperity Millennia Plaza</w:t>
            </w:r>
          </w:p>
        </w:tc>
        <w:tc>
          <w:tcPr>
            <w:tcW w:w="9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9"/>
          </w:tcPr>
          <w:p>
            <w:pPr>
              <w:spacing w:after="0" w:line="162" w:lineRule="exact"/>
              <w:rPr>
                <w:sz w:val="20"/>
                <w:szCs w:val="20"/>
                <w:color w:val="auto"/>
              </w:rPr>
            </w:pPr>
            <w:r>
              <w:rPr>
                <w:rFonts w:ascii="Arial" w:cs="Arial" w:eastAsia="Arial" w:hAnsi="Arial"/>
                <w:sz w:val="15"/>
                <w:szCs w:val="15"/>
                <w:color w:val="auto"/>
              </w:rPr>
              <w:t>663 King’s Road, Quarry Bay</w:t>
            </w:r>
          </w:p>
        </w:tc>
      </w:tr>
      <w:tr>
        <w:trPr>
          <w:trHeight w:val="165"/>
        </w:trPr>
        <w:tc>
          <w:tcPr>
            <w:tcW w:w="1100" w:type="dxa"/>
            <w:vAlign w:val="bottom"/>
          </w:tcPr>
          <w:p>
            <w:pPr>
              <w:spacing w:after="0"/>
              <w:rPr>
                <w:sz w:val="14"/>
                <w:szCs w:val="14"/>
                <w:color w:val="auto"/>
              </w:rPr>
            </w:pPr>
          </w:p>
        </w:tc>
        <w:tc>
          <w:tcPr>
            <w:tcW w:w="10320" w:type="dxa"/>
            <w:vAlign w:val="bottom"/>
            <w:tcBorders>
              <w:bottom w:val="single" w:sz="8" w:color="auto"/>
            </w:tcBorders>
            <w:gridSpan w:val="9"/>
          </w:tcPr>
          <w:p>
            <w:pPr>
              <w:spacing w:after="0" w:line="166" w:lineRule="exact"/>
              <w:rPr>
                <w:sz w:val="20"/>
                <w:szCs w:val="20"/>
                <w:color w:val="auto"/>
              </w:rPr>
            </w:pPr>
            <w:r>
              <w:rPr>
                <w:rFonts w:ascii="Arial" w:cs="Arial" w:eastAsia="Arial" w:hAnsi="Arial"/>
                <w:sz w:val="15"/>
                <w:szCs w:val="15"/>
                <w:color w:val="auto"/>
              </w:rPr>
              <w:t>Hong Kong S.A.R.</w:t>
            </w:r>
          </w:p>
        </w:tc>
      </w:tr>
      <w:tr>
        <w:trPr>
          <w:trHeight w:val="264"/>
        </w:trPr>
        <w:tc>
          <w:tcPr>
            <w:tcW w:w="1100" w:type="dxa"/>
            <w:vAlign w:val="bottom"/>
          </w:tcPr>
          <w:p>
            <w:pPr>
              <w:spacing w:after="0"/>
              <w:rPr>
                <w:sz w:val="20"/>
                <w:szCs w:val="20"/>
                <w:color w:val="auto"/>
              </w:rPr>
            </w:pPr>
            <w:r>
              <w:rPr>
                <w:rFonts w:ascii="Arial" w:cs="Arial" w:eastAsia="Arial" w:hAnsi="Arial"/>
                <w:sz w:val="15"/>
                <w:szCs w:val="15"/>
                <w:b w:val="1"/>
                <w:bCs w:val="1"/>
                <w:color w:val="auto"/>
              </w:rPr>
              <w:t>Item 2(a).</w:t>
            </w:r>
          </w:p>
        </w:tc>
        <w:tc>
          <w:tcPr>
            <w:tcW w:w="10320" w:type="dxa"/>
            <w:vAlign w:val="bottom"/>
            <w:gridSpan w:val="9"/>
          </w:tcPr>
          <w:p>
            <w:pPr>
              <w:spacing w:after="0"/>
              <w:rPr>
                <w:sz w:val="20"/>
                <w:szCs w:val="20"/>
                <w:color w:val="auto"/>
              </w:rPr>
            </w:pPr>
            <w:r>
              <w:rPr>
                <w:rFonts w:ascii="Arial" w:cs="Arial" w:eastAsia="Arial" w:hAnsi="Arial"/>
                <w:sz w:val="15"/>
                <w:szCs w:val="15"/>
                <w:b w:val="1"/>
                <w:bCs w:val="1"/>
                <w:color w:val="auto"/>
              </w:rPr>
              <w:t>Name of Person Filing:</w:t>
            </w:r>
          </w:p>
        </w:tc>
      </w:tr>
      <w:tr>
        <w:trPr>
          <w:trHeight w:val="178"/>
        </w:trPr>
        <w:tc>
          <w:tcPr>
            <w:tcW w:w="1100" w:type="dxa"/>
            <w:vAlign w:val="bottom"/>
          </w:tcPr>
          <w:p>
            <w:pPr>
              <w:spacing w:after="0"/>
              <w:rPr>
                <w:sz w:val="15"/>
                <w:szCs w:val="15"/>
                <w:color w:val="auto"/>
              </w:rPr>
            </w:pPr>
          </w:p>
        </w:tc>
        <w:tc>
          <w:tcPr>
            <w:tcW w:w="1660" w:type="dxa"/>
            <w:vAlign w:val="bottom"/>
            <w:tcBorders>
              <w:top w:val="single" w:sz="8" w:color="auto"/>
            </w:tcBorders>
            <w:gridSpan w:val="4"/>
          </w:tcPr>
          <w:p>
            <w:pPr>
              <w:spacing w:after="0"/>
              <w:rPr>
                <w:sz w:val="20"/>
                <w:szCs w:val="20"/>
                <w:color w:val="auto"/>
              </w:rPr>
            </w:pPr>
            <w:r>
              <w:rPr>
                <w:rFonts w:ascii="Arial" w:cs="Arial" w:eastAsia="Arial" w:hAnsi="Arial"/>
                <w:sz w:val="15"/>
                <w:szCs w:val="15"/>
                <w:color w:val="auto"/>
                <w:w w:val="95"/>
              </w:rPr>
              <w:t>Wing Hong Sammy Hsieh</w:t>
            </w:r>
          </w:p>
        </w:tc>
        <w:tc>
          <w:tcPr>
            <w:tcW w:w="300" w:type="dxa"/>
            <w:vAlign w:val="bottom"/>
          </w:tcPr>
          <w:p>
            <w:pPr>
              <w:spacing w:after="0"/>
              <w:rPr>
                <w:sz w:val="15"/>
                <w:szCs w:val="15"/>
                <w:color w:val="auto"/>
              </w:rPr>
            </w:pPr>
          </w:p>
        </w:tc>
        <w:tc>
          <w:tcPr>
            <w:tcW w:w="2440" w:type="dxa"/>
            <w:vAlign w:val="bottom"/>
            <w:gridSpan w:val="2"/>
          </w:tcPr>
          <w:p>
            <w:pPr>
              <w:spacing w:after="0"/>
              <w:rPr>
                <w:sz w:val="15"/>
                <w:szCs w:val="15"/>
                <w:color w:val="auto"/>
              </w:rPr>
            </w:pPr>
          </w:p>
        </w:tc>
        <w:tc>
          <w:tcPr>
            <w:tcW w:w="374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02"/>
        </w:trPr>
        <w:tc>
          <w:tcPr>
            <w:tcW w:w="1100" w:type="dxa"/>
            <w:vAlign w:val="bottom"/>
          </w:tcPr>
          <w:p>
            <w:pPr>
              <w:spacing w:after="0"/>
              <w:rPr>
                <w:sz w:val="24"/>
                <w:szCs w:val="24"/>
                <w:color w:val="auto"/>
              </w:rPr>
            </w:pPr>
          </w:p>
        </w:tc>
        <w:tc>
          <w:tcPr>
            <w:tcW w:w="10320" w:type="dxa"/>
            <w:vAlign w:val="bottom"/>
            <w:tcBorders>
              <w:bottom w:val="single" w:sz="8" w:color="auto"/>
            </w:tcBorders>
            <w:gridSpan w:val="9"/>
          </w:tcPr>
          <w:p>
            <w:pPr>
              <w:spacing w:after="0"/>
              <w:rPr>
                <w:sz w:val="20"/>
                <w:szCs w:val="20"/>
                <w:color w:val="auto"/>
              </w:rPr>
            </w:pPr>
            <w:r>
              <w:rPr>
                <w:rFonts w:ascii="Arial" w:cs="Arial" w:eastAsia="Arial" w:hAnsi="Arial"/>
                <w:sz w:val="15"/>
                <w:szCs w:val="15"/>
                <w:color w:val="auto"/>
              </w:rPr>
              <w:t>Bubinga Holdings Limited</w:t>
            </w:r>
          </w:p>
        </w:tc>
      </w:tr>
      <w:tr>
        <w:trPr>
          <w:trHeight w:val="264"/>
        </w:trPr>
        <w:tc>
          <w:tcPr>
            <w:tcW w:w="1100" w:type="dxa"/>
            <w:vAlign w:val="bottom"/>
          </w:tcPr>
          <w:p>
            <w:pPr>
              <w:spacing w:after="0"/>
              <w:rPr>
                <w:sz w:val="20"/>
                <w:szCs w:val="20"/>
                <w:color w:val="auto"/>
              </w:rPr>
            </w:pPr>
            <w:r>
              <w:rPr>
                <w:rFonts w:ascii="Arial" w:cs="Arial" w:eastAsia="Arial" w:hAnsi="Arial"/>
                <w:sz w:val="15"/>
                <w:szCs w:val="15"/>
                <w:b w:val="1"/>
                <w:bCs w:val="1"/>
                <w:color w:val="auto"/>
              </w:rPr>
              <w:t>Item 2(b).</w:t>
            </w:r>
          </w:p>
        </w:tc>
        <w:tc>
          <w:tcPr>
            <w:tcW w:w="10320" w:type="dxa"/>
            <w:vAlign w:val="bottom"/>
            <w:gridSpan w:val="9"/>
          </w:tcPr>
          <w:p>
            <w:pPr>
              <w:spacing w:after="0"/>
              <w:rPr>
                <w:sz w:val="20"/>
                <w:szCs w:val="20"/>
                <w:color w:val="auto"/>
              </w:rPr>
            </w:pPr>
            <w:r>
              <w:rPr>
                <w:rFonts w:ascii="Arial" w:cs="Arial" w:eastAsia="Arial" w:hAnsi="Arial"/>
                <w:sz w:val="15"/>
                <w:szCs w:val="15"/>
                <w:b w:val="1"/>
                <w:bCs w:val="1"/>
                <w:color w:val="auto"/>
              </w:rPr>
              <w:t>Address of Principal Business Office, or, if none, Residence</w:t>
            </w:r>
            <w:r>
              <w:rPr>
                <w:rFonts w:ascii="Arial" w:cs="Arial" w:eastAsia="Arial" w:hAnsi="Arial"/>
                <w:sz w:val="15"/>
                <w:szCs w:val="15"/>
                <w:color w:val="auto"/>
              </w:rPr>
              <w:t>:</w:t>
            </w:r>
          </w:p>
        </w:tc>
      </w:tr>
      <w:tr>
        <w:trPr>
          <w:trHeight w:val="152"/>
        </w:trPr>
        <w:tc>
          <w:tcPr>
            <w:tcW w:w="1100" w:type="dxa"/>
            <w:vAlign w:val="bottom"/>
          </w:tcPr>
          <w:p>
            <w:pPr>
              <w:spacing w:after="0"/>
              <w:rPr>
                <w:sz w:val="13"/>
                <w:szCs w:val="13"/>
                <w:color w:val="auto"/>
              </w:rPr>
            </w:pPr>
          </w:p>
        </w:tc>
        <w:tc>
          <w:tcPr>
            <w:tcW w:w="4400" w:type="dxa"/>
            <w:vAlign w:val="bottom"/>
            <w:tcBorders>
              <w:top w:val="single" w:sz="8" w:color="auto"/>
            </w:tcBorders>
            <w:gridSpan w:val="7"/>
          </w:tcPr>
          <w:p>
            <w:pPr>
              <w:spacing w:after="0" w:line="152" w:lineRule="exact"/>
              <w:rPr>
                <w:sz w:val="20"/>
                <w:szCs w:val="20"/>
                <w:color w:val="auto"/>
              </w:rPr>
            </w:pPr>
            <w:r>
              <w:rPr>
                <w:rFonts w:ascii="Arial" w:cs="Arial" w:eastAsia="Arial" w:hAnsi="Arial"/>
                <w:sz w:val="15"/>
                <w:szCs w:val="15"/>
                <w:color w:val="auto"/>
              </w:rPr>
              <w:t>Wing Hong Sammy Hsieh</w:t>
            </w:r>
          </w:p>
        </w:tc>
        <w:tc>
          <w:tcPr>
            <w:tcW w:w="374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9"/>
          </w:tcPr>
          <w:p>
            <w:pPr>
              <w:spacing w:after="0" w:line="162" w:lineRule="exact"/>
              <w:rPr>
                <w:sz w:val="20"/>
                <w:szCs w:val="20"/>
                <w:color w:val="auto"/>
              </w:rPr>
            </w:pPr>
            <w:r>
              <w:rPr>
                <w:rFonts w:ascii="Arial" w:cs="Arial" w:eastAsia="Arial" w:hAnsi="Arial"/>
                <w:sz w:val="15"/>
                <w:szCs w:val="15"/>
                <w:color w:val="auto"/>
              </w:rPr>
              <w:t>15/F, Prosperity Millennia Plaza</w:t>
            </w:r>
          </w:p>
        </w:tc>
      </w:tr>
      <w:tr>
        <w:trPr>
          <w:trHeight w:val="162"/>
        </w:trPr>
        <w:tc>
          <w:tcPr>
            <w:tcW w:w="1100" w:type="dxa"/>
            <w:vAlign w:val="bottom"/>
          </w:tcPr>
          <w:p>
            <w:pPr>
              <w:spacing w:after="0"/>
              <w:rPr>
                <w:sz w:val="14"/>
                <w:szCs w:val="14"/>
                <w:color w:val="auto"/>
              </w:rPr>
            </w:pPr>
          </w:p>
        </w:tc>
        <w:tc>
          <w:tcPr>
            <w:tcW w:w="10320" w:type="dxa"/>
            <w:vAlign w:val="bottom"/>
            <w:gridSpan w:val="9"/>
          </w:tcPr>
          <w:p>
            <w:pPr>
              <w:spacing w:after="0" w:line="162" w:lineRule="exact"/>
              <w:rPr>
                <w:sz w:val="20"/>
                <w:szCs w:val="20"/>
                <w:color w:val="auto"/>
              </w:rPr>
            </w:pPr>
            <w:r>
              <w:rPr>
                <w:rFonts w:ascii="Arial" w:cs="Arial" w:eastAsia="Arial" w:hAnsi="Arial"/>
                <w:sz w:val="15"/>
                <w:szCs w:val="15"/>
                <w:color w:val="auto"/>
              </w:rPr>
              <w:t>663 King’s Road, Quarry Bay</w:t>
            </w:r>
          </w:p>
        </w:tc>
      </w:tr>
      <w:tr>
        <w:trPr>
          <w:trHeight w:val="184"/>
        </w:trPr>
        <w:tc>
          <w:tcPr>
            <w:tcW w:w="1100" w:type="dxa"/>
            <w:vAlign w:val="bottom"/>
          </w:tcPr>
          <w:p>
            <w:pPr>
              <w:spacing w:after="0"/>
              <w:rPr>
                <w:sz w:val="16"/>
                <w:szCs w:val="16"/>
                <w:color w:val="auto"/>
              </w:rPr>
            </w:pPr>
          </w:p>
        </w:tc>
        <w:tc>
          <w:tcPr>
            <w:tcW w:w="10320" w:type="dxa"/>
            <w:vAlign w:val="bottom"/>
            <w:gridSpan w:val="9"/>
          </w:tcPr>
          <w:p>
            <w:pPr>
              <w:spacing w:after="0"/>
              <w:rPr>
                <w:sz w:val="20"/>
                <w:szCs w:val="20"/>
                <w:color w:val="auto"/>
              </w:rPr>
            </w:pPr>
            <w:r>
              <w:rPr>
                <w:rFonts w:ascii="Arial" w:cs="Arial" w:eastAsia="Arial" w:hAnsi="Arial"/>
                <w:sz w:val="15"/>
                <w:szCs w:val="15"/>
                <w:color w:val="auto"/>
              </w:rPr>
              <w:t>Hong Kong S.A.R.</w:t>
            </w:r>
          </w:p>
        </w:tc>
      </w:tr>
      <w:tr>
        <w:trPr>
          <w:trHeight w:val="261"/>
        </w:trPr>
        <w:tc>
          <w:tcPr>
            <w:tcW w:w="1100" w:type="dxa"/>
            <w:vAlign w:val="bottom"/>
          </w:tcPr>
          <w:p>
            <w:pPr>
              <w:spacing w:after="0"/>
              <w:rPr>
                <w:sz w:val="22"/>
                <w:szCs w:val="22"/>
                <w:color w:val="auto"/>
              </w:rPr>
            </w:pPr>
          </w:p>
        </w:tc>
        <w:tc>
          <w:tcPr>
            <w:tcW w:w="10320" w:type="dxa"/>
            <w:vAlign w:val="bottom"/>
            <w:gridSpan w:val="9"/>
          </w:tcPr>
          <w:p>
            <w:pPr>
              <w:spacing w:after="0"/>
              <w:rPr>
                <w:sz w:val="20"/>
                <w:szCs w:val="20"/>
                <w:color w:val="auto"/>
              </w:rPr>
            </w:pPr>
            <w:r>
              <w:rPr>
                <w:rFonts w:ascii="Arial" w:cs="Arial" w:eastAsia="Arial" w:hAnsi="Arial"/>
                <w:sz w:val="15"/>
                <w:szCs w:val="15"/>
                <w:color w:val="auto"/>
              </w:rPr>
              <w:t>Bubinga Holdings Limited</w:t>
            </w:r>
          </w:p>
        </w:tc>
      </w:tr>
      <w:tr>
        <w:trPr>
          <w:trHeight w:val="162"/>
        </w:trPr>
        <w:tc>
          <w:tcPr>
            <w:tcW w:w="1100" w:type="dxa"/>
            <w:vAlign w:val="bottom"/>
          </w:tcPr>
          <w:p>
            <w:pPr>
              <w:spacing w:after="0"/>
              <w:rPr>
                <w:sz w:val="14"/>
                <w:szCs w:val="14"/>
                <w:color w:val="auto"/>
              </w:rPr>
            </w:pPr>
          </w:p>
        </w:tc>
        <w:tc>
          <w:tcPr>
            <w:tcW w:w="10320" w:type="dxa"/>
            <w:vAlign w:val="bottom"/>
            <w:gridSpan w:val="9"/>
          </w:tcPr>
          <w:p>
            <w:pPr>
              <w:spacing w:after="0" w:line="162" w:lineRule="exact"/>
              <w:rPr>
                <w:sz w:val="20"/>
                <w:szCs w:val="20"/>
                <w:color w:val="auto"/>
              </w:rPr>
            </w:pPr>
            <w:r>
              <w:rPr>
                <w:rFonts w:ascii="Arial" w:cs="Arial" w:eastAsia="Arial" w:hAnsi="Arial"/>
                <w:sz w:val="15"/>
                <w:szCs w:val="15"/>
                <w:color w:val="auto"/>
              </w:rPr>
              <w:t>Vistra Corporate Services Centre</w:t>
            </w:r>
          </w:p>
        </w:tc>
      </w:tr>
      <w:tr>
        <w:trPr>
          <w:trHeight w:val="162"/>
        </w:trPr>
        <w:tc>
          <w:tcPr>
            <w:tcW w:w="1100" w:type="dxa"/>
            <w:vAlign w:val="bottom"/>
          </w:tcPr>
          <w:p>
            <w:pPr>
              <w:spacing w:after="0"/>
              <w:rPr>
                <w:sz w:val="14"/>
                <w:szCs w:val="14"/>
                <w:color w:val="auto"/>
              </w:rPr>
            </w:pPr>
          </w:p>
        </w:tc>
        <w:tc>
          <w:tcPr>
            <w:tcW w:w="10320" w:type="dxa"/>
            <w:vAlign w:val="bottom"/>
            <w:gridSpan w:val="9"/>
          </w:tcPr>
          <w:p>
            <w:pPr>
              <w:spacing w:after="0" w:line="162" w:lineRule="exact"/>
              <w:rPr>
                <w:sz w:val="20"/>
                <w:szCs w:val="20"/>
                <w:color w:val="auto"/>
              </w:rPr>
            </w:pPr>
            <w:r>
              <w:rPr>
                <w:rFonts w:ascii="Arial" w:cs="Arial" w:eastAsia="Arial" w:hAnsi="Arial"/>
                <w:sz w:val="15"/>
                <w:szCs w:val="15"/>
                <w:color w:val="auto"/>
              </w:rPr>
              <w:t>Wickhams Cay II</w:t>
            </w:r>
          </w:p>
        </w:tc>
      </w:tr>
      <w:tr>
        <w:trPr>
          <w:trHeight w:val="162"/>
        </w:trPr>
        <w:tc>
          <w:tcPr>
            <w:tcW w:w="1100" w:type="dxa"/>
            <w:vAlign w:val="bottom"/>
          </w:tcPr>
          <w:p>
            <w:pPr>
              <w:spacing w:after="0"/>
              <w:rPr>
                <w:sz w:val="14"/>
                <w:szCs w:val="14"/>
                <w:color w:val="auto"/>
              </w:rPr>
            </w:pPr>
          </w:p>
        </w:tc>
        <w:tc>
          <w:tcPr>
            <w:tcW w:w="10320" w:type="dxa"/>
            <w:vAlign w:val="bottom"/>
            <w:gridSpan w:val="9"/>
          </w:tcPr>
          <w:p>
            <w:pPr>
              <w:spacing w:after="0" w:line="162" w:lineRule="exact"/>
              <w:rPr>
                <w:sz w:val="20"/>
                <w:szCs w:val="20"/>
                <w:color w:val="auto"/>
              </w:rPr>
            </w:pPr>
            <w:r>
              <w:rPr>
                <w:rFonts w:ascii="Arial" w:cs="Arial" w:eastAsia="Arial" w:hAnsi="Arial"/>
                <w:sz w:val="15"/>
                <w:szCs w:val="15"/>
                <w:color w:val="auto"/>
              </w:rPr>
              <w:t>Road Town, Tortola, VG1110</w:t>
            </w:r>
          </w:p>
        </w:tc>
      </w:tr>
      <w:tr>
        <w:trPr>
          <w:trHeight w:val="165"/>
        </w:trPr>
        <w:tc>
          <w:tcPr>
            <w:tcW w:w="1100" w:type="dxa"/>
            <w:vAlign w:val="bottom"/>
          </w:tcPr>
          <w:p>
            <w:pPr>
              <w:spacing w:after="0"/>
              <w:rPr>
                <w:sz w:val="14"/>
                <w:szCs w:val="14"/>
                <w:color w:val="auto"/>
              </w:rPr>
            </w:pPr>
          </w:p>
        </w:tc>
        <w:tc>
          <w:tcPr>
            <w:tcW w:w="10320" w:type="dxa"/>
            <w:vAlign w:val="bottom"/>
            <w:tcBorders>
              <w:bottom w:val="single" w:sz="8" w:color="auto"/>
            </w:tcBorders>
            <w:gridSpan w:val="9"/>
          </w:tcPr>
          <w:p>
            <w:pPr>
              <w:spacing w:after="0" w:line="166" w:lineRule="exact"/>
              <w:rPr>
                <w:sz w:val="20"/>
                <w:szCs w:val="20"/>
                <w:color w:val="auto"/>
              </w:rPr>
            </w:pPr>
            <w:r>
              <w:rPr>
                <w:rFonts w:ascii="Arial" w:cs="Arial" w:eastAsia="Arial" w:hAnsi="Arial"/>
                <w:sz w:val="15"/>
                <w:szCs w:val="15"/>
                <w:color w:val="auto"/>
              </w:rPr>
              <w:t>British Virgin Islands</w:t>
            </w:r>
          </w:p>
        </w:tc>
      </w:tr>
      <w:tr>
        <w:trPr>
          <w:trHeight w:val="264"/>
        </w:trPr>
        <w:tc>
          <w:tcPr>
            <w:tcW w:w="1100" w:type="dxa"/>
            <w:vAlign w:val="bottom"/>
          </w:tcPr>
          <w:p>
            <w:pPr>
              <w:spacing w:after="0"/>
              <w:rPr>
                <w:sz w:val="20"/>
                <w:szCs w:val="20"/>
                <w:color w:val="auto"/>
              </w:rPr>
            </w:pPr>
            <w:r>
              <w:rPr>
                <w:rFonts w:ascii="Arial" w:cs="Arial" w:eastAsia="Arial" w:hAnsi="Arial"/>
                <w:sz w:val="15"/>
                <w:szCs w:val="15"/>
                <w:b w:val="1"/>
                <w:bCs w:val="1"/>
                <w:color w:val="auto"/>
              </w:rPr>
              <w:t>Item 2(c).</w:t>
            </w:r>
          </w:p>
        </w:tc>
        <w:tc>
          <w:tcPr>
            <w:tcW w:w="10320" w:type="dxa"/>
            <w:vAlign w:val="bottom"/>
            <w:gridSpan w:val="9"/>
          </w:tcPr>
          <w:p>
            <w:pPr>
              <w:spacing w:after="0"/>
              <w:rPr>
                <w:sz w:val="20"/>
                <w:szCs w:val="20"/>
                <w:color w:val="auto"/>
              </w:rPr>
            </w:pPr>
            <w:r>
              <w:rPr>
                <w:rFonts w:ascii="Arial" w:cs="Arial" w:eastAsia="Arial" w:hAnsi="Arial"/>
                <w:sz w:val="15"/>
                <w:szCs w:val="15"/>
                <w:b w:val="1"/>
                <w:bCs w:val="1"/>
                <w:color w:val="auto"/>
              </w:rPr>
              <w:t>Citizenship:</w:t>
            </w:r>
          </w:p>
        </w:tc>
      </w:tr>
      <w:tr>
        <w:trPr>
          <w:trHeight w:val="178"/>
        </w:trPr>
        <w:tc>
          <w:tcPr>
            <w:tcW w:w="1100" w:type="dxa"/>
            <w:vAlign w:val="bottom"/>
          </w:tcPr>
          <w:p>
            <w:pPr>
              <w:spacing w:after="0"/>
              <w:rPr>
                <w:sz w:val="15"/>
                <w:szCs w:val="15"/>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Wing Hong</w:t>
            </w:r>
          </w:p>
        </w:tc>
        <w:tc>
          <w:tcPr>
            <w:tcW w:w="9460" w:type="dxa"/>
            <w:vAlign w:val="bottom"/>
            <w:gridSpan w:val="7"/>
          </w:tcPr>
          <w:p>
            <w:pPr>
              <w:spacing w:after="0"/>
              <w:rPr>
                <w:sz w:val="20"/>
                <w:szCs w:val="20"/>
                <w:color w:val="auto"/>
              </w:rPr>
            </w:pPr>
            <w:r>
              <w:rPr>
                <w:rFonts w:ascii="Arial" w:cs="Arial" w:eastAsia="Arial" w:hAnsi="Arial"/>
                <w:sz w:val="15"/>
                <w:szCs w:val="15"/>
                <w:color w:val="auto"/>
              </w:rPr>
              <w:t>Sammy Hsieh — Hong Kong S.A.R.</w:t>
            </w:r>
          </w:p>
        </w:tc>
      </w:tr>
      <w:tr>
        <w:trPr>
          <w:trHeight w:val="261"/>
        </w:trPr>
        <w:tc>
          <w:tcPr>
            <w:tcW w:w="1100" w:type="dxa"/>
            <w:vAlign w:val="bottom"/>
          </w:tcPr>
          <w:p>
            <w:pPr>
              <w:spacing w:after="0"/>
              <w:rPr>
                <w:sz w:val="22"/>
                <w:szCs w:val="22"/>
                <w:color w:val="auto"/>
              </w:rPr>
            </w:pPr>
          </w:p>
        </w:tc>
        <w:tc>
          <w:tcPr>
            <w:tcW w:w="10320" w:type="dxa"/>
            <w:vAlign w:val="bottom"/>
            <w:tcBorders>
              <w:bottom w:val="single" w:sz="8" w:color="auto"/>
            </w:tcBorders>
            <w:gridSpan w:val="9"/>
          </w:tcPr>
          <w:p>
            <w:pPr>
              <w:spacing w:after="0"/>
              <w:rPr>
                <w:sz w:val="20"/>
                <w:szCs w:val="20"/>
                <w:color w:val="auto"/>
              </w:rPr>
            </w:pPr>
            <w:r>
              <w:rPr>
                <w:rFonts w:ascii="Arial" w:cs="Arial" w:eastAsia="Arial" w:hAnsi="Arial"/>
                <w:sz w:val="15"/>
                <w:szCs w:val="15"/>
                <w:color w:val="auto"/>
              </w:rPr>
              <w:t>Bubinga Holdings Limited — British Virgin Islands</w:t>
            </w:r>
          </w:p>
        </w:tc>
      </w:tr>
      <w:tr>
        <w:trPr>
          <w:trHeight w:val="264"/>
        </w:trPr>
        <w:tc>
          <w:tcPr>
            <w:tcW w:w="1100" w:type="dxa"/>
            <w:vAlign w:val="bottom"/>
          </w:tcPr>
          <w:p>
            <w:pPr>
              <w:spacing w:after="0"/>
              <w:rPr>
                <w:sz w:val="20"/>
                <w:szCs w:val="20"/>
                <w:color w:val="auto"/>
              </w:rPr>
            </w:pPr>
            <w:r>
              <w:rPr>
                <w:rFonts w:ascii="Arial" w:cs="Arial" w:eastAsia="Arial" w:hAnsi="Arial"/>
                <w:sz w:val="15"/>
                <w:szCs w:val="15"/>
                <w:b w:val="1"/>
                <w:bCs w:val="1"/>
                <w:color w:val="auto"/>
              </w:rPr>
              <w:t>Item 2(d).</w:t>
            </w:r>
          </w:p>
        </w:tc>
        <w:tc>
          <w:tcPr>
            <w:tcW w:w="10320" w:type="dxa"/>
            <w:vAlign w:val="bottom"/>
            <w:gridSpan w:val="9"/>
          </w:tcPr>
          <w:p>
            <w:pPr>
              <w:spacing w:after="0"/>
              <w:rPr>
                <w:sz w:val="20"/>
                <w:szCs w:val="20"/>
                <w:color w:val="auto"/>
              </w:rPr>
            </w:pPr>
            <w:r>
              <w:rPr>
                <w:rFonts w:ascii="Arial" w:cs="Arial" w:eastAsia="Arial" w:hAnsi="Arial"/>
                <w:sz w:val="15"/>
                <w:szCs w:val="15"/>
                <w:b w:val="1"/>
                <w:bCs w:val="1"/>
                <w:color w:val="auto"/>
              </w:rPr>
              <w:t>Title of Class of Securities:</w:t>
            </w:r>
          </w:p>
        </w:tc>
      </w:tr>
      <w:tr>
        <w:trPr>
          <w:trHeight w:val="152"/>
        </w:trPr>
        <w:tc>
          <w:tcPr>
            <w:tcW w:w="1100" w:type="dxa"/>
            <w:vAlign w:val="bottom"/>
          </w:tcPr>
          <w:p>
            <w:pPr>
              <w:spacing w:after="0"/>
              <w:rPr>
                <w:sz w:val="13"/>
                <w:szCs w:val="13"/>
                <w:color w:val="auto"/>
              </w:rPr>
            </w:pPr>
          </w:p>
        </w:tc>
        <w:tc>
          <w:tcPr>
            <w:tcW w:w="1960" w:type="dxa"/>
            <w:vAlign w:val="bottom"/>
            <w:tcBorders>
              <w:top w:val="single" w:sz="8" w:color="auto"/>
            </w:tcBorders>
            <w:gridSpan w:val="5"/>
          </w:tcPr>
          <w:p>
            <w:pPr>
              <w:spacing w:after="0" w:line="152" w:lineRule="exact"/>
              <w:rPr>
                <w:sz w:val="20"/>
                <w:szCs w:val="20"/>
                <w:color w:val="auto"/>
              </w:rPr>
            </w:pPr>
            <w:r>
              <w:rPr>
                <w:rFonts w:ascii="Arial" w:cs="Arial" w:eastAsia="Arial" w:hAnsi="Arial"/>
                <w:sz w:val="15"/>
                <w:szCs w:val="15"/>
                <w:color w:val="auto"/>
              </w:rPr>
              <w:t>Class A ordinary shares, par</w:t>
            </w:r>
          </w:p>
        </w:tc>
        <w:tc>
          <w:tcPr>
            <w:tcW w:w="8360" w:type="dxa"/>
            <w:vAlign w:val="bottom"/>
            <w:gridSpan w:val="4"/>
          </w:tcPr>
          <w:p>
            <w:pPr>
              <w:ind w:left="20"/>
              <w:spacing w:after="0" w:line="152" w:lineRule="exact"/>
              <w:rPr>
                <w:sz w:val="20"/>
                <w:szCs w:val="20"/>
                <w:color w:val="auto"/>
              </w:rPr>
            </w:pPr>
            <w:r>
              <w:rPr>
                <w:rFonts w:ascii="Arial" w:cs="Arial" w:eastAsia="Arial" w:hAnsi="Arial"/>
                <w:sz w:val="15"/>
                <w:szCs w:val="15"/>
                <w:color w:val="auto"/>
              </w:rPr>
              <w:t>value of $0.001 per share (the “Class A Ordinary Shares”). The Issuer’s ordinary shares consist of Class A Ordinary</w:t>
            </w:r>
          </w:p>
        </w:tc>
      </w:tr>
      <w:tr>
        <w:trPr>
          <w:trHeight w:val="162"/>
        </w:trPr>
        <w:tc>
          <w:tcPr>
            <w:tcW w:w="1100" w:type="dxa"/>
            <w:vAlign w:val="bottom"/>
          </w:tcPr>
          <w:p>
            <w:pPr>
              <w:spacing w:after="0"/>
              <w:rPr>
                <w:sz w:val="14"/>
                <w:szCs w:val="14"/>
                <w:color w:val="auto"/>
              </w:rPr>
            </w:pPr>
          </w:p>
        </w:tc>
        <w:tc>
          <w:tcPr>
            <w:tcW w:w="10320" w:type="dxa"/>
            <w:vAlign w:val="bottom"/>
            <w:gridSpan w:val="9"/>
          </w:tcPr>
          <w:p>
            <w:pPr>
              <w:spacing w:after="0" w:line="162" w:lineRule="exact"/>
              <w:rPr>
                <w:sz w:val="20"/>
                <w:szCs w:val="20"/>
                <w:color w:val="auto"/>
              </w:rPr>
            </w:pPr>
            <w:r>
              <w:rPr>
                <w:rFonts w:ascii="Arial" w:cs="Arial" w:eastAsia="Arial" w:hAnsi="Arial"/>
                <w:sz w:val="15"/>
                <w:szCs w:val="15"/>
                <w:color w:val="auto"/>
              </w:rPr>
              <w:t>Shares and Class B ordinary shares, par value of $0.001 per share (“Class B Ordinary Shares”). The rights of the holders of Class A Ordinary Shares</w:t>
            </w:r>
          </w:p>
        </w:tc>
      </w:tr>
      <w:tr>
        <w:trPr>
          <w:trHeight w:val="162"/>
        </w:trPr>
        <w:tc>
          <w:tcPr>
            <w:tcW w:w="1100" w:type="dxa"/>
            <w:vAlign w:val="bottom"/>
          </w:tcPr>
          <w:p>
            <w:pPr>
              <w:spacing w:after="0"/>
              <w:rPr>
                <w:sz w:val="14"/>
                <w:szCs w:val="14"/>
                <w:color w:val="auto"/>
              </w:rPr>
            </w:pPr>
          </w:p>
        </w:tc>
        <w:tc>
          <w:tcPr>
            <w:tcW w:w="10320" w:type="dxa"/>
            <w:vAlign w:val="bottom"/>
            <w:gridSpan w:val="9"/>
          </w:tcPr>
          <w:p>
            <w:pPr>
              <w:spacing w:after="0" w:line="162" w:lineRule="exact"/>
              <w:rPr>
                <w:sz w:val="20"/>
                <w:szCs w:val="20"/>
                <w:color w:val="auto"/>
              </w:rPr>
            </w:pPr>
            <w:r>
              <w:rPr>
                <w:rFonts w:ascii="Arial" w:cs="Arial" w:eastAsia="Arial" w:hAnsi="Arial"/>
                <w:sz w:val="15"/>
                <w:szCs w:val="15"/>
                <w:color w:val="auto"/>
              </w:rPr>
              <w:t>and Class B Ordinary Shares are identical, except with respect to conversion rights and voting rights. Each Class B Ordinary Share is convertible at the</w:t>
            </w:r>
          </w:p>
        </w:tc>
      </w:tr>
      <w:tr>
        <w:trPr>
          <w:trHeight w:val="162"/>
        </w:trPr>
        <w:tc>
          <w:tcPr>
            <w:tcW w:w="1100" w:type="dxa"/>
            <w:vAlign w:val="bottom"/>
          </w:tcPr>
          <w:p>
            <w:pPr>
              <w:spacing w:after="0"/>
              <w:rPr>
                <w:sz w:val="14"/>
                <w:szCs w:val="14"/>
                <w:color w:val="auto"/>
              </w:rPr>
            </w:pPr>
          </w:p>
        </w:tc>
        <w:tc>
          <w:tcPr>
            <w:tcW w:w="10320" w:type="dxa"/>
            <w:vAlign w:val="bottom"/>
            <w:gridSpan w:val="9"/>
          </w:tcPr>
          <w:p>
            <w:pPr>
              <w:spacing w:after="0" w:line="162" w:lineRule="exact"/>
              <w:rPr>
                <w:sz w:val="20"/>
                <w:szCs w:val="20"/>
                <w:color w:val="auto"/>
              </w:rPr>
            </w:pPr>
            <w:r>
              <w:rPr>
                <w:rFonts w:ascii="Arial" w:cs="Arial" w:eastAsia="Arial" w:hAnsi="Arial"/>
                <w:sz w:val="15"/>
                <w:szCs w:val="15"/>
                <w:color w:val="auto"/>
              </w:rPr>
              <w:t>option of the holder at any time into one Class A Ordinary Share. Each Class B Ordinary Share is entitled to twenty (20) votes per share, whereas each</w:t>
            </w:r>
          </w:p>
        </w:tc>
      </w:tr>
      <w:tr>
        <w:trPr>
          <w:trHeight w:val="165"/>
        </w:trPr>
        <w:tc>
          <w:tcPr>
            <w:tcW w:w="1100" w:type="dxa"/>
            <w:vAlign w:val="bottom"/>
          </w:tcPr>
          <w:p>
            <w:pPr>
              <w:spacing w:after="0"/>
              <w:rPr>
                <w:sz w:val="14"/>
                <w:szCs w:val="14"/>
                <w:color w:val="auto"/>
              </w:rPr>
            </w:pPr>
          </w:p>
        </w:tc>
        <w:tc>
          <w:tcPr>
            <w:tcW w:w="10320" w:type="dxa"/>
            <w:vAlign w:val="bottom"/>
            <w:tcBorders>
              <w:bottom w:val="single" w:sz="8" w:color="auto"/>
            </w:tcBorders>
            <w:gridSpan w:val="9"/>
          </w:tcPr>
          <w:p>
            <w:pPr>
              <w:spacing w:after="0" w:line="166" w:lineRule="exact"/>
              <w:rPr>
                <w:sz w:val="20"/>
                <w:szCs w:val="20"/>
                <w:color w:val="auto"/>
              </w:rPr>
            </w:pPr>
            <w:r>
              <w:rPr>
                <w:rFonts w:ascii="Arial" w:cs="Arial" w:eastAsia="Arial" w:hAnsi="Arial"/>
                <w:sz w:val="15"/>
                <w:szCs w:val="15"/>
                <w:color w:val="auto"/>
              </w:rPr>
              <w:t>Class A Ordinary Share is entitled to one vote per share.</w:t>
            </w:r>
          </w:p>
        </w:tc>
      </w:tr>
      <w:tr>
        <w:trPr>
          <w:trHeight w:val="264"/>
        </w:trPr>
        <w:tc>
          <w:tcPr>
            <w:tcW w:w="1100" w:type="dxa"/>
            <w:vAlign w:val="bottom"/>
          </w:tcPr>
          <w:p>
            <w:pPr>
              <w:spacing w:after="0"/>
              <w:rPr>
                <w:sz w:val="20"/>
                <w:szCs w:val="20"/>
                <w:color w:val="auto"/>
              </w:rPr>
            </w:pPr>
            <w:r>
              <w:rPr>
                <w:rFonts w:ascii="Arial" w:cs="Arial" w:eastAsia="Arial" w:hAnsi="Arial"/>
                <w:sz w:val="15"/>
                <w:szCs w:val="15"/>
                <w:b w:val="1"/>
                <w:bCs w:val="1"/>
                <w:color w:val="auto"/>
              </w:rPr>
              <w:t>Item 2(e)</w:t>
            </w:r>
          </w:p>
        </w:tc>
        <w:tc>
          <w:tcPr>
            <w:tcW w:w="10320" w:type="dxa"/>
            <w:vAlign w:val="bottom"/>
            <w:gridSpan w:val="9"/>
          </w:tcPr>
          <w:p>
            <w:pPr>
              <w:spacing w:after="0"/>
              <w:rPr>
                <w:sz w:val="20"/>
                <w:szCs w:val="20"/>
                <w:color w:val="auto"/>
              </w:rPr>
            </w:pPr>
            <w:r>
              <w:rPr>
                <w:rFonts w:ascii="Arial" w:cs="Arial" w:eastAsia="Arial" w:hAnsi="Arial"/>
                <w:sz w:val="15"/>
                <w:szCs w:val="15"/>
                <w:b w:val="1"/>
                <w:bCs w:val="1"/>
                <w:color w:val="auto"/>
              </w:rPr>
              <w:t>CUSIP No.:</w:t>
            </w:r>
          </w:p>
        </w:tc>
      </w:tr>
      <w:tr>
        <w:trPr>
          <w:trHeight w:val="156"/>
        </w:trPr>
        <w:tc>
          <w:tcPr>
            <w:tcW w:w="1100" w:type="dxa"/>
            <w:vAlign w:val="bottom"/>
          </w:tcPr>
          <w:p>
            <w:pPr>
              <w:spacing w:after="0"/>
              <w:rPr>
                <w:sz w:val="13"/>
                <w:szCs w:val="13"/>
                <w:color w:val="auto"/>
              </w:rPr>
            </w:pPr>
          </w:p>
        </w:tc>
        <w:tc>
          <w:tcPr>
            <w:tcW w:w="8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w w:val="94"/>
              </w:rPr>
              <w:t>G47048 106</w:t>
            </w:r>
          </w:p>
        </w:tc>
        <w:tc>
          <w:tcPr>
            <w:tcW w:w="7340" w:type="dxa"/>
            <w:vAlign w:val="bottom"/>
            <w:tcBorders>
              <w:bottom w:val="single" w:sz="8" w:color="auto"/>
            </w:tcBorders>
            <w:gridSpan w:val="7"/>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5"/>
                <w:szCs w:val="15"/>
                <w:b w:val="1"/>
                <w:bCs w:val="1"/>
                <w:color w:val="auto"/>
              </w:rPr>
              <w:t>Item 3.</w:t>
            </w:r>
          </w:p>
        </w:tc>
        <w:tc>
          <w:tcPr>
            <w:tcW w:w="10320" w:type="dxa"/>
            <w:vAlign w:val="bottom"/>
            <w:gridSpan w:val="9"/>
          </w:tcPr>
          <w:p>
            <w:pPr>
              <w:spacing w:after="0"/>
              <w:rPr>
                <w:sz w:val="20"/>
                <w:szCs w:val="20"/>
                <w:color w:val="auto"/>
              </w:rPr>
            </w:pPr>
            <w:r>
              <w:rPr>
                <w:rFonts w:ascii="Arial" w:cs="Arial" w:eastAsia="Arial" w:hAnsi="Arial"/>
                <w:sz w:val="15"/>
                <w:szCs w:val="15"/>
                <w:b w:val="1"/>
                <w:bCs w:val="1"/>
                <w:color w:val="auto"/>
              </w:rPr>
              <w:t>If this statement is filed pursuant to §§ 240.13d-1(b), or 240.13d-2(b) or (c), check whether the persons filing is a:</w:t>
            </w:r>
          </w:p>
        </w:tc>
      </w:tr>
      <w:tr>
        <w:trPr>
          <w:trHeight w:val="296"/>
        </w:trPr>
        <w:tc>
          <w:tcPr>
            <w:tcW w:w="1100" w:type="dxa"/>
            <w:vAlign w:val="bottom"/>
          </w:tcPr>
          <w:p>
            <w:pPr>
              <w:spacing w:after="0"/>
              <w:rPr>
                <w:sz w:val="24"/>
                <w:szCs w:val="24"/>
                <w:color w:val="auto"/>
              </w:rPr>
            </w:pPr>
          </w:p>
        </w:tc>
        <w:tc>
          <w:tcPr>
            <w:tcW w:w="8140" w:type="dxa"/>
            <w:vAlign w:val="bottom"/>
            <w:tcBorders>
              <w:top w:val="single" w:sz="8" w:color="auto"/>
            </w:tcBorders>
            <w:gridSpan w:val="8"/>
          </w:tcPr>
          <w:p>
            <w:pPr>
              <w:spacing w:after="0"/>
              <w:rPr>
                <w:sz w:val="20"/>
                <w:szCs w:val="20"/>
                <w:color w:val="auto"/>
              </w:rPr>
            </w:pPr>
            <w:r>
              <w:rPr>
                <w:rFonts w:ascii="Arial" w:cs="Arial" w:eastAsia="Arial" w:hAnsi="Arial"/>
                <w:sz w:val="15"/>
                <w:szCs w:val="15"/>
                <w:color w:val="auto"/>
              </w:rPr>
              <w:t>Not applicable</w:t>
            </w: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5"/>
          <w:szCs w:val="15"/>
          <w:b w:val="1"/>
          <w:bCs w:val="1"/>
          <w:u w:val="single" w:color="auto"/>
          <w:color w:val="auto"/>
        </w:rPr>
        <w:t>Ownership</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information with respect to the ownership of the Class A Ordinary Shares by each of the reporting persons is provided as of December 31,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Sole Power</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Shared</w:t>
            </w:r>
          </w:p>
        </w:tc>
      </w:t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8"/>
              </w:rPr>
              <w:t>to</w:t>
            </w:r>
          </w:p>
        </w:tc>
        <w:tc>
          <w:tcPr>
            <w:tcW w:w="14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rPr>
              <w:t>Shared</w:t>
            </w:r>
          </w:p>
        </w:tc>
        <w:tc>
          <w:tcPr>
            <w:tcW w:w="14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rPr>
              <w:t>Sole Power to</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Power to</w:t>
            </w:r>
          </w:p>
        </w:tc>
      </w:t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Amount</w:t>
            </w:r>
          </w:p>
        </w:tc>
        <w:tc>
          <w:tcPr>
            <w:tcW w:w="14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Percent</w:t>
            </w:r>
          </w:p>
        </w:tc>
        <w:tc>
          <w:tcPr>
            <w:tcW w:w="14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6"/>
              </w:rPr>
              <w:t>Vote or</w:t>
            </w:r>
          </w:p>
        </w:tc>
        <w:tc>
          <w:tcPr>
            <w:tcW w:w="14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Power</w:t>
            </w:r>
          </w:p>
        </w:tc>
        <w:tc>
          <w:tcPr>
            <w:tcW w:w="14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rPr>
              <w:t>Dispose or to</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Dispose or to</w:t>
            </w:r>
          </w:p>
        </w:tc>
      </w:t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Beneficially</w:t>
            </w:r>
          </w:p>
        </w:tc>
        <w:tc>
          <w:tcPr>
            <w:tcW w:w="14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8"/>
              </w:rPr>
              <w:t>of</w:t>
            </w:r>
          </w:p>
        </w:tc>
        <w:tc>
          <w:tcPr>
            <w:tcW w:w="14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8"/>
              </w:rPr>
              <w:t>Direct</w:t>
            </w:r>
          </w:p>
        </w:tc>
        <w:tc>
          <w:tcPr>
            <w:tcW w:w="14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9"/>
              </w:rPr>
              <w:t>to Vote or to</w:t>
            </w:r>
          </w:p>
        </w:tc>
        <w:tc>
          <w:tcPr>
            <w:tcW w:w="14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rPr>
              <w:t>Direct the</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rPr>
              <w:t>Direct the</w:t>
            </w:r>
          </w:p>
        </w:tc>
      </w:tr>
      <w:tr>
        <w:trPr>
          <w:trHeight w:val="183"/>
        </w:trPr>
        <w:tc>
          <w:tcPr>
            <w:tcW w:w="26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Reporting Person:</w:t>
            </w:r>
          </w:p>
        </w:tc>
        <w:tc>
          <w:tcPr>
            <w:tcW w:w="12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Owned:</w:t>
            </w:r>
          </w:p>
        </w:tc>
        <w:tc>
          <w:tcPr>
            <w:tcW w:w="12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Class:(1)</w:t>
            </w:r>
          </w:p>
        </w:tc>
        <w:tc>
          <w:tcPr>
            <w:tcW w:w="12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the Vote:</w:t>
            </w:r>
          </w:p>
        </w:tc>
        <w:tc>
          <w:tcPr>
            <w:tcW w:w="1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Direct the Vote:</w:t>
            </w:r>
          </w:p>
        </w:tc>
        <w:tc>
          <w:tcPr>
            <w:tcW w:w="1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Disposition of:</w:t>
            </w:r>
          </w:p>
        </w:tc>
        <w:tc>
          <w:tcPr>
            <w:tcW w:w="1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Disposition of:</w:t>
            </w:r>
          </w:p>
        </w:tc>
      </w:tr>
      <w:tr>
        <w:trPr>
          <w:trHeight w:val="169"/>
        </w:trPr>
        <w:tc>
          <w:tcPr>
            <w:tcW w:w="274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Wing Hong Sammy Hsieh</w:t>
            </w: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2,500,580(2)</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jc w:val="center"/>
              <w:spacing w:after="0" w:line="169" w:lineRule="exact"/>
              <w:rPr>
                <w:sz w:val="20"/>
                <w:szCs w:val="20"/>
                <w:color w:val="auto"/>
              </w:rPr>
            </w:pPr>
            <w:r>
              <w:rPr>
                <w:rFonts w:ascii="Arial" w:cs="Arial" w:eastAsia="Arial" w:hAnsi="Arial"/>
                <w:sz w:val="15"/>
                <w:szCs w:val="15"/>
                <w:color w:val="auto"/>
              </w:rPr>
              <w:t>8.7%</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jc w:val="center"/>
              <w:spacing w:after="0" w:line="169" w:lineRule="exact"/>
              <w:rPr>
                <w:sz w:val="20"/>
                <w:szCs w:val="20"/>
                <w:color w:val="auto"/>
              </w:rPr>
            </w:pPr>
            <w:r>
              <w:rPr>
                <w:rFonts w:ascii="Arial" w:cs="Arial" w:eastAsia="Arial" w:hAnsi="Arial"/>
                <w:sz w:val="15"/>
                <w:szCs w:val="15"/>
                <w:color w:val="auto"/>
              </w:rPr>
              <w:t>0</w:t>
            </w: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2,500,580(2)</w:t>
            </w: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line="169" w:lineRule="exact"/>
              <w:rPr>
                <w:sz w:val="20"/>
                <w:szCs w:val="20"/>
                <w:color w:val="auto"/>
              </w:rPr>
            </w:pPr>
            <w:r>
              <w:rPr>
                <w:rFonts w:ascii="Arial" w:cs="Arial" w:eastAsia="Arial" w:hAnsi="Arial"/>
                <w:sz w:val="15"/>
                <w:szCs w:val="15"/>
                <w:color w:val="auto"/>
                <w:w w:val="95"/>
              </w:rPr>
              <w:t>0</w:t>
            </w: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2,500,580(2)</w:t>
            </w:r>
          </w:p>
        </w:tc>
      </w:tr>
      <w:tr>
        <w:trPr>
          <w:trHeight w:val="195"/>
        </w:trPr>
        <w:tc>
          <w:tcPr>
            <w:tcW w:w="2740" w:type="dxa"/>
            <w:vAlign w:val="bottom"/>
            <w:gridSpan w:val="2"/>
          </w:tcPr>
          <w:p>
            <w:pPr>
              <w:spacing w:after="0"/>
              <w:rPr>
                <w:sz w:val="20"/>
                <w:szCs w:val="20"/>
                <w:color w:val="auto"/>
              </w:rPr>
            </w:pPr>
            <w:r>
              <w:rPr>
                <w:rFonts w:ascii="Arial" w:cs="Arial" w:eastAsia="Arial" w:hAnsi="Arial"/>
                <w:sz w:val="15"/>
                <w:szCs w:val="15"/>
                <w:color w:val="auto"/>
              </w:rPr>
              <w:t>Bubinga Holdings Limited</w:t>
            </w:r>
          </w:p>
        </w:tc>
        <w:tc>
          <w:tcPr>
            <w:tcW w:w="1340" w:type="dxa"/>
            <w:vAlign w:val="bottom"/>
          </w:tcPr>
          <w:p>
            <w:pPr>
              <w:jc w:val="right"/>
              <w:spacing w:after="0"/>
              <w:rPr>
                <w:sz w:val="20"/>
                <w:szCs w:val="20"/>
                <w:color w:val="auto"/>
              </w:rPr>
            </w:pPr>
            <w:r>
              <w:rPr>
                <w:rFonts w:ascii="Arial" w:cs="Arial" w:eastAsia="Arial" w:hAnsi="Arial"/>
                <w:sz w:val="15"/>
                <w:szCs w:val="15"/>
                <w:color w:val="auto"/>
              </w:rPr>
              <w:t>2,500,580(3)</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0</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2,500,580(3)</w:t>
            </w:r>
          </w:p>
        </w:tc>
        <w:tc>
          <w:tcPr>
            <w:tcW w:w="1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w w:val="95"/>
              </w:rPr>
              <w:t>0</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2,500,580(3)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13290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47" w:lineRule="exact"/>
        <w:rPr>
          <w:sz w:val="20"/>
          <w:szCs w:val="20"/>
          <w:color w:val="auto"/>
        </w:rPr>
      </w:pPr>
    </w:p>
    <w:p>
      <w:pPr>
        <w:ind w:left="420" w:right="340" w:hanging="358"/>
        <w:spacing w:after="0" w:line="235" w:lineRule="auto"/>
        <w:tabs>
          <w:tab w:leader="none" w:pos="4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percentages set forth in this Schedule 13G are calculated based upon an aggregate of 28,584,491 ordinary shares, comprised of 23,763,883 Class A Ordinary Shares and 4,820,608 Class B Ordinary Shares, outstanding as of September 30, 2019, as reported in the Issuer’s Form 6-K filed with the Securities and Exchange Commission (the “SEC”) on November 27, 2019.</w:t>
      </w:r>
    </w:p>
    <w:p>
      <w:pPr>
        <w:spacing w:after="0" w:line="101" w:lineRule="exact"/>
        <w:rPr>
          <w:rFonts w:ascii="Arial" w:cs="Arial" w:eastAsia="Arial" w:hAnsi="Arial"/>
          <w:sz w:val="15"/>
          <w:szCs w:val="15"/>
          <w:color w:val="auto"/>
        </w:rPr>
      </w:pPr>
    </w:p>
    <w:p>
      <w:pPr>
        <w:ind w:left="420" w:right="240" w:hanging="358"/>
        <w:spacing w:after="0" w:line="242" w:lineRule="auto"/>
        <w:tabs>
          <w:tab w:leader="none" w:pos="4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(i) 2,500,580 Class B Ordinary Shares held by Bubinga Holdings Limited, which may be converted into 2,500,580 Class A Ordinary Shares at any time by the holder thereof. Mr. Wing Hong Sammy Hsieh is the sole director of Bubinga Holdings Limited.</w:t>
      </w:r>
    </w:p>
    <w:p>
      <w:pPr>
        <w:spacing w:after="0" w:line="97" w:lineRule="exact"/>
        <w:rPr>
          <w:rFonts w:ascii="Arial" w:cs="Arial" w:eastAsia="Arial" w:hAnsi="Arial"/>
          <w:sz w:val="15"/>
          <w:szCs w:val="15"/>
          <w:color w:val="auto"/>
        </w:rPr>
      </w:pPr>
    </w:p>
    <w:p>
      <w:pPr>
        <w:ind w:left="420" w:right="240" w:hanging="358"/>
        <w:spacing w:after="0" w:line="242" w:lineRule="auto"/>
        <w:tabs>
          <w:tab w:leader="none" w:pos="4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(i) 2,500,580 Class B Ordinary Shares held by Bubinga Holdings Limited, which may be converted into 2,500,580 Class A Ordinary Shares at any time by the holder thereof.</w:t>
      </w:r>
    </w:p>
    <w:p>
      <w:pPr>
        <w:spacing w:after="0" w:line="147"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Five Percent or Less of a Class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377"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5"/>
          <w:szCs w:val="15"/>
          <w:b w:val="1"/>
          <w:bCs w:val="1"/>
          <w:u w:val="single" w:color="auto"/>
          <w:color w:val="auto"/>
        </w:rPr>
        <w:t>Ownership of More than Five Percent on Behalf of Another Person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282" w:lineRule="exact"/>
        <w:rPr>
          <w:sz w:val="20"/>
          <w:szCs w:val="20"/>
          <w:color w:val="auto"/>
        </w:rPr>
      </w:pPr>
    </w:p>
    <w:p>
      <w:pPr>
        <w:ind w:left="1060" w:right="1600" w:hanging="1052"/>
        <w:spacing w:after="0" w:line="267" w:lineRule="auto"/>
        <w:tabs>
          <w:tab w:leader="none" w:pos="104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5"/>
          <w:szCs w:val="15"/>
          <w:b w:val="1"/>
          <w:bCs w:val="1"/>
          <w:u w:val="single" w:color="auto"/>
          <w:color w:val="auto"/>
        </w:rPr>
        <w:t>Identification and Classification of the Subsidiary Which Acquired the Security Being Reported on By the Parent Holding Company or Control Person</w:t>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44"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5"/>
          <w:szCs w:val="15"/>
          <w:b w:val="1"/>
          <w:bCs w:val="1"/>
          <w:u w:val="single" w:color="auto"/>
          <w:color w:val="auto"/>
        </w:rPr>
        <w:t>Identification and Classification of Members of the Group</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363" w:lineRule="exact"/>
        <w:rPr>
          <w:sz w:val="20"/>
          <w:szCs w:val="20"/>
          <w:color w:val="auto"/>
        </w:rPr>
      </w:pPr>
    </w:p>
    <w:p>
      <w:pPr>
        <w:spacing w:after="0"/>
        <w:tabs>
          <w:tab w:leader="none" w:pos="104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5"/>
          <w:szCs w:val="15"/>
          <w:b w:val="1"/>
          <w:bCs w:val="1"/>
          <w:u w:val="single" w:color="auto"/>
          <w:color w:val="auto"/>
        </w:rPr>
        <w:t>Notice of Dissolution of Group</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5" w:name="page6"/>
    <w:bookmarkEnd w:id="5"/>
    <w:p>
      <w:pPr>
        <w:spacing w:after="0"/>
        <w:tabs>
          <w:tab w:leader="none" w:pos="120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5"/>
          <w:szCs w:val="15"/>
          <w:b w:val="1"/>
          <w:bCs w:val="1"/>
          <w:u w:val="single" w:color="auto"/>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SIGNATURE</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11, 2020</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20"/>
                <w:szCs w:val="20"/>
                <w:color w:val="auto"/>
              </w:rPr>
            </w:pPr>
            <w:r>
              <w:rPr>
                <w:rFonts w:ascii="Arial" w:cs="Arial" w:eastAsia="Arial" w:hAnsi="Arial"/>
                <w:sz w:val="16"/>
                <w:szCs w:val="16"/>
                <w:color w:val="auto"/>
              </w:rPr>
              <w:t>Wing Hong Sammy Hsieh</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Wing Hong Sammy Hsieh</w:t>
            </w:r>
          </w:p>
        </w:tc>
      </w:tr>
      <w:tr>
        <w:trPr>
          <w:trHeight w:val="385"/>
        </w:trPr>
        <w:tc>
          <w:tcPr>
            <w:tcW w:w="5800" w:type="dxa"/>
            <w:vAlign w:val="bottom"/>
          </w:tcPr>
          <w:p>
            <w:pPr>
              <w:spacing w:after="0"/>
              <w:rPr>
                <w:sz w:val="20"/>
                <w:szCs w:val="20"/>
                <w:color w:val="auto"/>
              </w:rPr>
            </w:pPr>
            <w:r>
              <w:rPr>
                <w:rFonts w:ascii="Arial" w:cs="Arial" w:eastAsia="Arial" w:hAnsi="Arial"/>
                <w:sz w:val="16"/>
                <w:szCs w:val="16"/>
                <w:color w:val="auto"/>
              </w:rPr>
              <w:t>Bubinga Holdings Limited</w:t>
            </w:r>
          </w:p>
        </w:tc>
        <w:tc>
          <w:tcPr>
            <w:tcW w:w="760" w:type="dxa"/>
            <w:vAlign w:val="bottom"/>
          </w:tcPr>
          <w:p>
            <w:pPr>
              <w:spacing w:after="0"/>
              <w:rPr>
                <w:sz w:val="20"/>
                <w:szCs w:val="20"/>
                <w:color w:val="auto"/>
              </w:rPr>
            </w:pPr>
            <w:r>
              <w:rPr>
                <w:rFonts w:ascii="Arial" w:cs="Arial" w:eastAsia="Arial" w:hAnsi="Arial"/>
                <w:sz w:val="16"/>
                <w:szCs w:val="16"/>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Wing Hong Sammy Hsieh</w:t>
            </w:r>
          </w:p>
        </w:tc>
      </w:tr>
      <w:tr>
        <w:trPr>
          <w:trHeight w:val="190"/>
        </w:trPr>
        <w:tc>
          <w:tcPr>
            <w:tcW w:w="580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Name:</w:t>
            </w:r>
          </w:p>
        </w:tc>
        <w:tc>
          <w:tcPr>
            <w:tcW w:w="4800" w:type="dxa"/>
            <w:vAlign w:val="bottom"/>
          </w:tcPr>
          <w:p>
            <w:pPr>
              <w:spacing w:after="0"/>
              <w:rPr>
                <w:sz w:val="20"/>
                <w:szCs w:val="20"/>
                <w:color w:val="auto"/>
              </w:rPr>
            </w:pPr>
            <w:r>
              <w:rPr>
                <w:rFonts w:ascii="Arial" w:cs="Arial" w:eastAsia="Arial" w:hAnsi="Arial"/>
                <w:sz w:val="16"/>
                <w:szCs w:val="16"/>
                <w:color w:val="auto"/>
              </w:rPr>
              <w:t>Wing Hong Sammy Hsieh</w:t>
            </w:r>
          </w:p>
        </w:tc>
      </w:tr>
      <w:tr>
        <w:trPr>
          <w:trHeight w:val="230"/>
        </w:trPr>
        <w:tc>
          <w:tcPr>
            <w:tcW w:w="580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Title:</w:t>
            </w:r>
          </w:p>
        </w:tc>
        <w:tc>
          <w:tcPr>
            <w:tcW w:w="4800" w:type="dxa"/>
            <w:vAlign w:val="bottom"/>
          </w:tcPr>
          <w:p>
            <w:pPr>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6" w:name="page7"/>
    <w:bookmarkEnd w:id="6"/>
    <w:p>
      <w:pPr>
        <w:jc w:val="right"/>
        <w:ind w:right="3799"/>
        <w:spacing w:after="0"/>
        <w:rPr>
          <w:sz w:val="20"/>
          <w:szCs w:val="20"/>
          <w:color w:val="auto"/>
        </w:rPr>
      </w:pPr>
      <w:r>
        <w:rPr>
          <w:rFonts w:ascii="Arial" w:cs="Arial" w:eastAsia="Arial" w:hAnsi="Arial"/>
          <w:sz w:val="16"/>
          <w:szCs w:val="16"/>
          <w:b w:val="1"/>
          <w:bCs w:val="1"/>
          <w:color w:val="auto"/>
        </w:rPr>
        <w:t>LIST OF EXHIBITS</w:t>
      </w:r>
    </w:p>
    <w:p>
      <w:pPr>
        <w:spacing w:after="0" w:line="214"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Exhibit 99.1 — </w:t>
      </w:r>
      <w:hyperlink w:anchor="page8">
        <w:r>
          <w:rPr>
            <w:rFonts w:ascii="Arial" w:cs="Arial" w:eastAsia="Arial" w:hAnsi="Arial"/>
            <w:sz w:val="16"/>
            <w:szCs w:val="16"/>
            <w:u w:val="single" w:color="auto"/>
            <w:color w:val="0000EE"/>
          </w:rPr>
          <w:t>Joint Filing Agreement</w:t>
        </w:r>
      </w:hyperlink>
    </w:p>
    <w:p>
      <w:pPr>
        <w:spacing w:after="0" w:line="200" w:lineRule="exact"/>
        <w:rPr>
          <w:sz w:val="20"/>
          <w:szCs w:val="20"/>
          <w:color w:val="auto"/>
        </w:rPr>
      </w:pPr>
    </w:p>
    <w:p>
      <w:pPr>
        <w:spacing w:after="0" w:line="205"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219"/>
          </w:cols>
          <w:pgMar w:left="240" w:top="35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b w:val="1"/>
          <w:bCs w:val="1"/>
          <w:color w:val="auto"/>
        </w:rPr>
        <w:t>Exhibit 99.1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JOINT FILING AGREEMENT</w:t>
      </w:r>
    </w:p>
    <w:p>
      <w:pPr>
        <w:spacing w:after="0" w:line="209" w:lineRule="exact"/>
        <w:rPr>
          <w:sz w:val="20"/>
          <w:szCs w:val="20"/>
          <w:color w:val="auto"/>
        </w:rPr>
      </w:pPr>
    </w:p>
    <w:p>
      <w:pPr>
        <w:ind w:right="120"/>
        <w:spacing w:after="0" w:line="231" w:lineRule="auto"/>
        <w:rPr>
          <w:sz w:val="20"/>
          <w:szCs w:val="20"/>
          <w:color w:val="auto"/>
        </w:rPr>
      </w:pPr>
      <w:r>
        <w:rPr>
          <w:rFonts w:ascii="Arial" w:cs="Arial" w:eastAsia="Arial" w:hAnsi="Arial"/>
          <w:sz w:val="15"/>
          <w:szCs w:val="15"/>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hereby execute this Agreement as of February 11, 2020.</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780" w:type="dxa"/>
            <w:vAlign w:val="bottom"/>
          </w:tcPr>
          <w:p>
            <w:pPr>
              <w:spacing w:after="0"/>
              <w:rPr>
                <w:sz w:val="20"/>
                <w:szCs w:val="20"/>
                <w:color w:val="auto"/>
              </w:rPr>
            </w:pPr>
            <w:r>
              <w:rPr>
                <w:rFonts w:ascii="Arial" w:cs="Arial" w:eastAsia="Arial" w:hAnsi="Arial"/>
                <w:sz w:val="16"/>
                <w:szCs w:val="16"/>
                <w:color w:val="auto"/>
              </w:rPr>
              <w:t>Wing Hong Sammy Hsieh</w:t>
            </w:r>
          </w:p>
        </w:tc>
        <w:tc>
          <w:tcPr>
            <w:tcW w:w="1940" w:type="dxa"/>
            <w:vAlign w:val="bottom"/>
          </w:tcPr>
          <w:p>
            <w:pPr>
              <w:spacing w:after="0"/>
              <w:rPr>
                <w:sz w:val="16"/>
                <w:szCs w:val="16"/>
                <w:color w:val="auto"/>
              </w:rPr>
            </w:pPr>
          </w:p>
        </w:tc>
        <w:tc>
          <w:tcPr>
            <w:tcW w:w="56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/s/ Wing Hong Sammy Hsieh</w:t>
            </w:r>
          </w:p>
        </w:tc>
      </w:tr>
      <w:tr>
        <w:trPr>
          <w:trHeight w:val="183"/>
        </w:trPr>
        <w:tc>
          <w:tcPr>
            <w:tcW w:w="3780" w:type="dxa"/>
            <w:vAlign w:val="bottom"/>
          </w:tcPr>
          <w:p>
            <w:pPr>
              <w:spacing w:after="0" w:line="183" w:lineRule="exact"/>
              <w:rPr>
                <w:sz w:val="20"/>
                <w:szCs w:val="20"/>
                <w:color w:val="auto"/>
              </w:rPr>
            </w:pPr>
            <w:r>
              <w:rPr>
                <w:rFonts w:ascii="Arial" w:cs="Arial" w:eastAsia="Arial" w:hAnsi="Arial"/>
                <w:sz w:val="16"/>
                <w:szCs w:val="16"/>
                <w:color w:val="auto"/>
              </w:rPr>
              <w:t>Bubinga Holdings Limited</w:t>
            </w:r>
          </w:p>
        </w:tc>
        <w:tc>
          <w:tcPr>
            <w:tcW w:w="2440" w:type="dxa"/>
            <w:vAlign w:val="bottom"/>
            <w:gridSpan w:val="2"/>
          </w:tcPr>
          <w:p>
            <w:pPr>
              <w:ind w:left="1920"/>
              <w:spacing w:after="0" w:line="183" w:lineRule="exact"/>
              <w:rPr>
                <w:sz w:val="20"/>
                <w:szCs w:val="20"/>
                <w:color w:val="auto"/>
              </w:rPr>
            </w:pPr>
            <w:r>
              <w:rPr>
                <w:rFonts w:ascii="Arial" w:cs="Arial" w:eastAsia="Arial" w:hAnsi="Arial"/>
                <w:sz w:val="16"/>
                <w:szCs w:val="16"/>
                <w:color w:val="auto"/>
              </w:rPr>
              <w:t>By:</w:t>
            </w:r>
          </w:p>
        </w:tc>
        <w:tc>
          <w:tcPr>
            <w:tcW w:w="60" w:type="dxa"/>
            <w:vAlign w:val="bottom"/>
          </w:tcPr>
          <w:p>
            <w:pPr>
              <w:spacing w:after="0"/>
              <w:rPr>
                <w:sz w:val="15"/>
                <w:szCs w:val="15"/>
                <w:color w:val="auto"/>
              </w:rPr>
            </w:pPr>
          </w:p>
        </w:tc>
        <w:tc>
          <w:tcPr>
            <w:tcW w:w="510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/s/ Wing Hong Sammy Hsieh</w:t>
            </w:r>
          </w:p>
        </w:tc>
      </w:tr>
      <w:tr>
        <w:trPr>
          <w:trHeight w:val="184"/>
        </w:trPr>
        <w:tc>
          <w:tcPr>
            <w:tcW w:w="3780" w:type="dxa"/>
            <w:vAlign w:val="bottom"/>
          </w:tcPr>
          <w:p>
            <w:pPr>
              <w:spacing w:after="0"/>
              <w:rPr>
                <w:sz w:val="16"/>
                <w:szCs w:val="16"/>
                <w:color w:val="auto"/>
              </w:rPr>
            </w:pPr>
          </w:p>
        </w:tc>
        <w:tc>
          <w:tcPr>
            <w:tcW w:w="2440" w:type="dxa"/>
            <w:vAlign w:val="bottom"/>
            <w:gridSpan w:val="2"/>
          </w:tcPr>
          <w:p>
            <w:pPr>
              <w:ind w:left="1920"/>
              <w:spacing w:after="0" w:line="177" w:lineRule="exact"/>
              <w:rPr>
                <w:sz w:val="20"/>
                <w:szCs w:val="20"/>
                <w:color w:val="auto"/>
              </w:rPr>
            </w:pPr>
            <w:r>
              <w:rPr>
                <w:rFonts w:ascii="Arial" w:cs="Arial" w:eastAsia="Arial" w:hAnsi="Arial"/>
                <w:sz w:val="16"/>
                <w:szCs w:val="16"/>
                <w:color w:val="auto"/>
              </w:rPr>
              <w:t>Name:</w:t>
            </w:r>
          </w:p>
        </w:tc>
        <w:tc>
          <w:tcPr>
            <w:tcW w:w="6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Wing Hong Sammy Hsieh</w:t>
            </w:r>
          </w:p>
        </w:tc>
      </w:tr>
      <w:tr>
        <w:trPr>
          <w:trHeight w:val="195"/>
        </w:trPr>
        <w:tc>
          <w:tcPr>
            <w:tcW w:w="3780" w:type="dxa"/>
            <w:vAlign w:val="bottom"/>
          </w:tcPr>
          <w:p>
            <w:pPr>
              <w:spacing w:after="0"/>
              <w:rPr>
                <w:sz w:val="16"/>
                <w:szCs w:val="16"/>
                <w:color w:val="auto"/>
              </w:rPr>
            </w:pPr>
          </w:p>
        </w:tc>
        <w:tc>
          <w:tcPr>
            <w:tcW w:w="2440" w:type="dxa"/>
            <w:vAlign w:val="bottom"/>
            <w:gridSpan w:val="2"/>
          </w:tcPr>
          <w:p>
            <w:pPr>
              <w:ind w:left="1920"/>
              <w:spacing w:after="0"/>
              <w:rPr>
                <w:sz w:val="20"/>
                <w:szCs w:val="20"/>
                <w:color w:val="auto"/>
              </w:rPr>
            </w:pPr>
            <w:r>
              <w:rPr>
                <w:rFonts w:ascii="Arial" w:cs="Arial" w:eastAsia="Arial" w:hAnsi="Arial"/>
                <w:sz w:val="16"/>
                <w:szCs w:val="16"/>
                <w:color w:val="auto"/>
              </w:rPr>
              <w:t>Title:</w:t>
            </w:r>
          </w:p>
        </w:tc>
        <w:tc>
          <w:tcPr>
            <w:tcW w:w="5160" w:type="dxa"/>
            <w:vAlign w:val="bottom"/>
            <w:gridSpan w:val="2"/>
          </w:tcPr>
          <w:p>
            <w:pPr>
              <w:ind w:left="60"/>
              <w:spacing w:after="0"/>
              <w:rPr>
                <w:sz w:val="20"/>
                <w:szCs w:val="20"/>
                <w:color w:val="auto"/>
              </w:rPr>
            </w:pPr>
            <w:r>
              <w:rPr>
                <w:rFonts w:ascii="Arial" w:cs="Arial" w:eastAsia="Arial" w:hAnsi="Arial"/>
                <w:sz w:val="16"/>
                <w:szCs w:val="16"/>
                <w:color w:val="auto"/>
              </w:rPr>
              <w:t>Director</w:t>
            </w: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9"/>
      <w:numFmt w:val="bullet"/>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2"/>
      <w:numFmt w:val="bullet"/>
      <w:start w:val="1"/>
    </w:lvl>
    <w:lvl w:ilvl="1">
      <w:lvlJc w:val="left"/>
      <w:lvlText w:val="(%2)"/>
      <w:numFmt w:val="lowerLetter"/>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4"/>
      <w:numFmt w:val="bullet"/>
      <w:start w:val="1"/>
    </w:lvl>
  </w:abstractNum>
  <w:abstractNum w:abstractNumId="11">
    <w:nsid w:val="3352255A"/>
    <w:multiLevelType w:val="hybridMultilevel"/>
    <w:lvl w:ilvl="0">
      <w:lvlJc w:val="left"/>
      <w:lvlText w:val="9"/>
      <w:numFmt w:val="bullet"/>
      <w:start w:val="1"/>
    </w:lvl>
  </w:abstractNum>
  <w:abstractNum w:abstractNumId="12">
    <w:nsid w:val="109CF92E"/>
    <w:multiLevelType w:val="hybridMultilevel"/>
    <w:lvl w:ilvl="0">
      <w:lvlJc w:val="left"/>
      <w:lvlText w:val="%1"/>
      <w:numFmt w:val="decimal"/>
      <w:start w:val="10"/>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2020-02-11T08:54:02Z</dcterms:created>
  <dcterms:modified xsi:type="dcterms:W3CDTF">2020-02-11T08:54:02Z</dcterms:modified>
</cp:coreProperties>
</file>