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December 18,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333-221034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6"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940" w:type="dxa"/>
            <w:vAlign w:val="bottom"/>
          </w:tcPr>
          <w:p>
            <w:pPr>
              <w:jc w:val="center"/>
              <w:ind w:right="945"/>
              <w:spacing w:after="0"/>
              <w:rPr>
                <w:sz w:val="20"/>
                <w:szCs w:val="20"/>
                <w:color w:val="auto"/>
              </w:rPr>
            </w:pPr>
            <w:r>
              <w:rPr>
                <w:rFonts w:ascii="Arial" w:cs="Arial" w:eastAsia="Arial" w:hAnsi="Arial"/>
                <w:sz w:val="16"/>
                <w:szCs w:val="16"/>
                <w:b w:val="1"/>
                <w:bCs w:val="1"/>
                <w:color w:val="auto"/>
                <w:w w:val="91"/>
              </w:rPr>
              <w:t>Cayman Islands</w:t>
            </w:r>
          </w:p>
        </w:tc>
        <w:tc>
          <w:tcPr>
            <w:tcW w:w="398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7372</w:t>
            </w:r>
          </w:p>
        </w:tc>
        <w:tc>
          <w:tcPr>
            <w:tcW w:w="2260" w:type="dxa"/>
            <w:vAlign w:val="bottom"/>
          </w:tcPr>
          <w:p>
            <w:pPr>
              <w:jc w:val="center"/>
              <w:ind w:left="106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40" w:type="dxa"/>
            <w:vAlign w:val="bottom"/>
          </w:tcPr>
          <w:p>
            <w:pPr>
              <w:jc w:val="center"/>
              <w:ind w:right="9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25"/>
              <w:spacing w:after="0"/>
              <w:rPr>
                <w:sz w:val="20"/>
                <w:szCs w:val="20"/>
                <w:color w:val="auto"/>
              </w:rPr>
            </w:pPr>
            <w:r>
              <w:rPr>
                <w:rFonts w:ascii="Arial" w:cs="Arial" w:eastAsia="Arial" w:hAnsi="Arial"/>
                <w:sz w:val="14"/>
                <w:szCs w:val="14"/>
                <w:b w:val="1"/>
                <w:bCs w:val="1"/>
                <w:color w:val="auto"/>
                <w:w w:val="95"/>
              </w:rPr>
              <w:t>Incorporation or Organization)</w:t>
            </w:r>
          </w:p>
        </w:tc>
        <w:tc>
          <w:tcPr>
            <w:tcW w:w="398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15/F</w:t>
      </w:r>
    </w:p>
    <w:p>
      <w:pPr>
        <w:jc w:val="center"/>
        <w:spacing w:after="0" w:line="226" w:lineRule="auto"/>
        <w:rPr>
          <w:sz w:val="20"/>
          <w:szCs w:val="20"/>
          <w:color w:val="auto"/>
        </w:rPr>
      </w:pPr>
      <w:r>
        <w:rPr>
          <w:rFonts w:ascii="Arial" w:cs="Arial" w:eastAsia="Arial" w:hAnsi="Arial"/>
          <w:sz w:val="14"/>
          <w:szCs w:val="14"/>
          <w:b w:val="1"/>
          <w:bCs w:val="1"/>
          <w:color w:val="auto"/>
        </w:rPr>
        <w:t>Prosperity Millennia Plaza</w:t>
      </w:r>
    </w:p>
    <w:p>
      <w:pPr>
        <w:jc w:val="center"/>
        <w:spacing w:after="0" w:line="222" w:lineRule="auto"/>
        <w:rPr>
          <w:sz w:val="20"/>
          <w:szCs w:val="20"/>
          <w:color w:val="auto"/>
        </w:rPr>
      </w:pPr>
      <w:r>
        <w:rPr>
          <w:rFonts w:ascii="Arial" w:cs="Arial" w:eastAsia="Arial" w:hAnsi="Arial"/>
          <w:sz w:val="14"/>
          <w:szCs w:val="14"/>
          <w:b w:val="1"/>
          <w:bCs w:val="1"/>
          <w:color w:val="auto"/>
        </w:rPr>
        <w:t>663 King’s Road, Quarry Bay</w:t>
      </w:r>
    </w:p>
    <w:p>
      <w:pPr>
        <w:jc w:val="center"/>
        <w:spacing w:after="0" w:line="221" w:lineRule="auto"/>
        <w:rPr>
          <w:sz w:val="20"/>
          <w:szCs w:val="20"/>
          <w:color w:val="auto"/>
        </w:rPr>
      </w:pPr>
      <w:r>
        <w:rPr>
          <w:rFonts w:ascii="Arial" w:cs="Arial" w:eastAsia="Arial" w:hAnsi="Arial"/>
          <w:sz w:val="14"/>
          <w:szCs w:val="14"/>
          <w:b w:val="1"/>
          <w:bCs w:val="1"/>
          <w:color w:val="auto"/>
        </w:rPr>
        <w:t>Hong Kong S.A.R., People’s Republic of China</w:t>
      </w:r>
    </w:p>
    <w:p>
      <w:pPr>
        <w:jc w:val="center"/>
        <w:spacing w:after="0" w:line="222" w:lineRule="auto"/>
        <w:rPr>
          <w:sz w:val="20"/>
          <w:szCs w:val="20"/>
          <w:color w:val="auto"/>
        </w:rPr>
      </w:pPr>
      <w:r>
        <w:rPr>
          <w:rFonts w:ascii="Arial" w:cs="Arial" w:eastAsia="Arial" w:hAnsi="Arial"/>
          <w:sz w:val="14"/>
          <w:szCs w:val="14"/>
          <w:b w:val="1"/>
          <w:bCs w:val="1"/>
          <w:color w:val="auto"/>
        </w:rPr>
        <w:t>Tel: +852 3700 9000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Law Debenture Corporate Services, Inc.</w:t>
      </w:r>
    </w:p>
    <w:p>
      <w:pPr>
        <w:jc w:val="center"/>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spacing w:after="0" w:line="221" w:lineRule="auto"/>
        <w:rPr>
          <w:sz w:val="20"/>
          <w:szCs w:val="20"/>
          <w:color w:val="auto"/>
        </w:rPr>
      </w:pPr>
      <w:r>
        <w:rPr>
          <w:rFonts w:ascii="Arial" w:cs="Arial" w:eastAsia="Arial" w:hAnsi="Arial"/>
          <w:sz w:val="14"/>
          <w:szCs w:val="14"/>
          <w:b w:val="1"/>
          <w:bCs w:val="1"/>
          <w:color w:val="auto"/>
        </w:rPr>
        <w:t>(212) 750-6474</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3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right="100"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41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82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78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43"/>
              <w:spacing w:after="0" w:line="122" w:lineRule="exact"/>
              <w:rPr>
                <w:sz w:val="20"/>
                <w:szCs w:val="20"/>
                <w:color w:val="auto"/>
              </w:rPr>
            </w:pPr>
            <w:r>
              <w:rPr>
                <w:rFonts w:ascii="Arial" w:cs="Arial" w:eastAsia="Arial" w:hAnsi="Arial"/>
                <w:sz w:val="11"/>
                <w:szCs w:val="11"/>
                <w:b w:val="1"/>
                <w:bCs w:val="1"/>
                <w:color w:val="auto"/>
                <w:w w:val="87"/>
              </w:rPr>
              <w:t>Amount to be</w:t>
            </w: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82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6"/>
              </w:rPr>
              <w:t>aggregate offering</w:t>
            </w:r>
          </w:p>
        </w:tc>
        <w:tc>
          <w:tcPr>
            <w:tcW w:w="178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41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1"/>
                <w:szCs w:val="11"/>
                <w:b w:val="1"/>
                <w:bCs w:val="1"/>
                <w:color w:val="auto"/>
              </w:rPr>
              <w:t>Title of Each Class of Securities to Be Registered</w:t>
            </w:r>
            <w:r>
              <w:rPr>
                <w:rFonts w:ascii="Arial" w:cs="Arial" w:eastAsia="Arial" w:hAnsi="Arial"/>
                <w:sz w:val="9"/>
                <w:szCs w:val="9"/>
                <w:b w:val="1"/>
                <w:bCs w:val="1"/>
                <w:color w:val="auto"/>
              </w:rPr>
              <w:t>(1)(2)</w:t>
            </w:r>
          </w:p>
        </w:tc>
        <w:tc>
          <w:tcPr>
            <w:tcW w:w="18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7"/>
              </w:rPr>
              <w:t>registered</w:t>
            </w:r>
            <w:r>
              <w:rPr>
                <w:rFonts w:ascii="Arial" w:cs="Arial" w:eastAsia="Arial" w:hAnsi="Arial"/>
                <w:sz w:val="9"/>
                <w:szCs w:val="9"/>
                <w:b w:val="1"/>
                <w:bCs w:val="1"/>
                <w:color w:val="auto"/>
                <w:w w:val="87"/>
              </w:rPr>
              <w:t>(2)(3)</w:t>
            </w:r>
          </w:p>
        </w:tc>
        <w:tc>
          <w:tcPr>
            <w:tcW w:w="18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1"/>
                <w:szCs w:val="11"/>
                <w:b w:val="1"/>
                <w:bCs w:val="1"/>
                <w:color w:val="auto"/>
                <w:w w:val="89"/>
              </w:rPr>
              <w:t>per share</w:t>
            </w:r>
            <w:r>
              <w:rPr>
                <w:rFonts w:ascii="Arial" w:cs="Arial" w:eastAsia="Arial" w:hAnsi="Arial"/>
                <w:sz w:val="9"/>
                <w:szCs w:val="9"/>
                <w:b w:val="1"/>
                <w:bCs w:val="1"/>
                <w:color w:val="auto"/>
                <w:w w:val="89"/>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9"/>
                <w:szCs w:val="9"/>
                <w:b w:val="1"/>
                <w:bCs w:val="1"/>
                <w:color w:val="auto"/>
                <w:w w:val="91"/>
              </w:rPr>
              <w:t>(3)</w:t>
            </w:r>
          </w:p>
        </w:tc>
        <w:tc>
          <w:tcPr>
            <w:tcW w:w="17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90"/>
              </w:rPr>
              <w:t>registration fee</w:t>
            </w:r>
            <w:r>
              <w:rPr>
                <w:rFonts w:ascii="Arial" w:cs="Arial" w:eastAsia="Arial" w:hAnsi="Arial"/>
                <w:sz w:val="9"/>
                <w:szCs w:val="9"/>
                <w:b w:val="1"/>
                <w:bCs w:val="1"/>
                <w:color w:val="auto"/>
                <w:w w:val="90"/>
              </w:rPr>
              <w:t>(4)</w:t>
            </w:r>
          </w:p>
        </w:tc>
      </w:tr>
      <w:tr>
        <w:trPr>
          <w:trHeight w:val="142"/>
        </w:trPr>
        <w:tc>
          <w:tcPr>
            <w:tcW w:w="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Class A Ordinary Shares, par value US$0.001 per share</w:t>
            </w:r>
          </w:p>
        </w:tc>
        <w:tc>
          <w:tcPr>
            <w:tcW w:w="1840" w:type="dxa"/>
            <w:vAlign w:val="bottom"/>
            <w:tcBorders>
              <w:bottom w:val="single" w:sz="8" w:color="auto"/>
              <w:right w:val="single" w:sz="8" w:color="auto"/>
            </w:tcBorders>
          </w:tcPr>
          <w:p>
            <w:pPr>
              <w:jc w:val="center"/>
              <w:ind w:left="43"/>
              <w:spacing w:after="0" w:line="143" w:lineRule="exact"/>
              <w:rPr>
                <w:sz w:val="20"/>
                <w:szCs w:val="20"/>
                <w:color w:val="auto"/>
              </w:rPr>
            </w:pPr>
            <w:r>
              <w:rPr>
                <w:rFonts w:ascii="Arial" w:cs="Arial" w:eastAsia="Arial" w:hAnsi="Arial"/>
                <w:sz w:val="13"/>
                <w:szCs w:val="13"/>
                <w:color w:val="auto"/>
                <w:w w:val="86"/>
              </w:rPr>
              <w:t>2,156,250</w:t>
            </w:r>
          </w:p>
        </w:tc>
        <w:tc>
          <w:tcPr>
            <w:tcW w:w="1840" w:type="dxa"/>
            <w:vAlign w:val="bottom"/>
            <w:tcBorders>
              <w:bottom w:val="single" w:sz="8" w:color="auto"/>
              <w:right w:val="single" w:sz="8" w:color="auto"/>
            </w:tcBorders>
          </w:tcPr>
          <w:p>
            <w:pPr>
              <w:jc w:val="center"/>
              <w:ind w:left="25"/>
              <w:spacing w:after="0" w:line="143" w:lineRule="exact"/>
              <w:rPr>
                <w:sz w:val="20"/>
                <w:szCs w:val="20"/>
                <w:color w:val="auto"/>
              </w:rPr>
            </w:pPr>
            <w:r>
              <w:rPr>
                <w:rFonts w:ascii="Arial" w:cs="Arial" w:eastAsia="Arial" w:hAnsi="Arial"/>
                <w:sz w:val="13"/>
                <w:szCs w:val="13"/>
                <w:color w:val="auto"/>
                <w:w w:val="89"/>
              </w:rPr>
              <w:t>US$18.00</w:t>
            </w:r>
          </w:p>
        </w:tc>
        <w:tc>
          <w:tcPr>
            <w:tcW w:w="1820" w:type="dxa"/>
            <w:vAlign w:val="bottom"/>
            <w:tcBorders>
              <w:bottom w:val="single" w:sz="8" w:color="auto"/>
              <w:right w:val="single" w:sz="8" w:color="auto"/>
            </w:tcBorders>
          </w:tcPr>
          <w:p>
            <w:pPr>
              <w:jc w:val="center"/>
              <w:ind w:left="5"/>
              <w:spacing w:after="0" w:line="143" w:lineRule="exact"/>
              <w:rPr>
                <w:sz w:val="20"/>
                <w:szCs w:val="20"/>
                <w:color w:val="auto"/>
              </w:rPr>
            </w:pPr>
            <w:r>
              <w:rPr>
                <w:rFonts w:ascii="Arial" w:cs="Arial" w:eastAsia="Arial" w:hAnsi="Arial"/>
                <w:sz w:val="13"/>
                <w:szCs w:val="13"/>
                <w:color w:val="auto"/>
                <w:w w:val="88"/>
              </w:rPr>
              <w:t>US$38,812,500</w:t>
            </w:r>
          </w:p>
        </w:tc>
        <w:tc>
          <w:tcPr>
            <w:tcW w:w="1780" w:type="dxa"/>
            <w:vAlign w:val="bottom"/>
            <w:tcBorders>
              <w:bottom w:val="single" w:sz="8" w:color="auto"/>
            </w:tcBorders>
          </w:tcPr>
          <w:p>
            <w:pPr>
              <w:jc w:val="center"/>
              <w:ind w:left="23"/>
              <w:spacing w:after="0" w:line="143" w:lineRule="exact"/>
              <w:rPr>
                <w:sz w:val="20"/>
                <w:szCs w:val="20"/>
                <w:color w:val="auto"/>
              </w:rPr>
            </w:pPr>
            <w:r>
              <w:rPr>
                <w:rFonts w:ascii="Arial" w:cs="Arial" w:eastAsia="Arial" w:hAnsi="Arial"/>
                <w:sz w:val="13"/>
                <w:szCs w:val="13"/>
                <w:color w:val="auto"/>
                <w:w w:val="86"/>
              </w:rPr>
              <w:t>US$4,832.16</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right="360" w:hanging="332"/>
        <w:spacing w:after="0" w:line="224"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333-221860). Two American depositary shares represent one class A ordinary share.</w:t>
      </w:r>
    </w:p>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13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EB0029"/>
        </w:rPr>
        <w:t>SUBJECT TO COMPLETION, DATED DECEMBER 18, 2017</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EB0029"/>
        </w:rPr>
        <w:t>PRELIMINARY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3,750,000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1,875,000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This is the initial public offering of our American Depositary Shares, or ADSs. We are selling 3,750,000 ADSs. Two ADSs represent one Class A ordinary share, par value US$0.001 per share. We currently expect the initial public offering price to be between US$8.00 and US$9.00 per ADS.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granted the underwriters an option to purchase up to 562,500 additional ADSs to cover over-allotments.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have been approved to have the ADSs listed on the NASDAQ Global Market under the symbol “ICLK”.</w:t>
      </w:r>
    </w:p>
    <w:p>
      <w:pPr>
        <w:spacing w:after="0" w:line="17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w:t>
      </w:r>
    </w:p>
    <w:p>
      <w:pPr>
        <w:spacing w:after="0" w:line="215"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Public</w:t>
            </w:r>
          </w:p>
        </w:tc>
        <w:tc>
          <w:tcPr>
            <w:tcW w:w="9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Underwriting</w:t>
            </w:r>
          </w:p>
        </w:tc>
        <w:tc>
          <w:tcPr>
            <w:tcW w:w="9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2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9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920" w:type="dxa"/>
            <w:vAlign w:val="bottom"/>
            <w:gridSpan w:val="2"/>
          </w:tcPr>
          <w:p>
            <w:pPr>
              <w:ind w:left="960"/>
              <w:spacing w:after="0"/>
              <w:rPr>
                <w:sz w:val="20"/>
                <w:szCs w:val="20"/>
                <w:color w:val="auto"/>
              </w:rPr>
            </w:pPr>
            <w:r>
              <w:rPr>
                <w:rFonts w:ascii="Arial" w:cs="Arial" w:eastAsia="Arial" w:hAnsi="Arial"/>
                <w:sz w:val="14"/>
                <w:szCs w:val="14"/>
                <w:b w:val="1"/>
                <w:bCs w:val="1"/>
                <w:color w:val="auto"/>
                <w:w w:val="88"/>
              </w:rPr>
              <w:t>Commissions</w:t>
            </w:r>
            <w:r>
              <w:rPr>
                <w:rFonts w:ascii="Arial" w:cs="Arial" w:eastAsia="Arial" w:hAnsi="Arial"/>
                <w:sz w:val="12"/>
                <w:szCs w:val="12"/>
                <w:b w:val="1"/>
                <w:bCs w:val="1"/>
                <w:color w:val="auto"/>
                <w:w w:val="88"/>
              </w:rPr>
              <w:t>(1)</w:t>
            </w:r>
          </w:p>
        </w:tc>
        <w:tc>
          <w:tcPr>
            <w:tcW w:w="9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ind w:left="1660"/>
              <w:spacing w:after="0"/>
              <w:rPr>
                <w:sz w:val="20"/>
                <w:szCs w:val="20"/>
                <w:color w:val="auto"/>
              </w:rPr>
            </w:pPr>
            <w:r>
              <w:rPr>
                <w:rFonts w:ascii="Arial" w:cs="Arial" w:eastAsia="Arial" w:hAnsi="Arial"/>
                <w:sz w:val="18"/>
                <w:szCs w:val="18"/>
                <w:color w:val="auto"/>
              </w:rPr>
              <w:t>US$</w:t>
            </w:r>
          </w:p>
        </w:tc>
        <w:tc>
          <w:tcPr>
            <w:tcW w:w="1920" w:type="dxa"/>
            <w:vAlign w:val="bottom"/>
            <w:gridSpan w:val="2"/>
          </w:tcPr>
          <w:p>
            <w:pPr>
              <w:ind w:left="960"/>
              <w:spacing w:after="0"/>
              <w:rPr>
                <w:sz w:val="20"/>
                <w:szCs w:val="20"/>
                <w:color w:val="auto"/>
              </w:rPr>
            </w:pPr>
            <w:r>
              <w:rPr>
                <w:rFonts w:ascii="Arial" w:cs="Arial" w:eastAsia="Arial" w:hAnsi="Arial"/>
                <w:sz w:val="18"/>
                <w:szCs w:val="18"/>
                <w:color w:val="auto"/>
              </w:rPr>
              <w:t>US$</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 description of compensation payable to the underwriters, see “Underwriting.”</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 approximately 18.7% of our total issued and outstanding share capital immediately after the completion of this offering and 82.1% of the aggregate voting power of our total issued and outstanding share capital immediately after the completion of this offering, assuming an initial offering price of US$8.50 per ADS, which is the midpoint of the estimated range and assuming the underwriters do not exercise their over-allotment option.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7"/>
              </w:rPr>
              <w:t>The underwriters expect to deliver the ADSs to purchasers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700" w:val="left"/>
        </w:tabs>
        <w:rPr>
          <w:sz w:val="20"/>
          <w:szCs w:val="20"/>
          <w:color w:val="auto"/>
        </w:rPr>
      </w:pPr>
      <w:r>
        <w:rPr>
          <w:rFonts w:ascii="Arial" w:cs="Arial" w:eastAsia="Arial" w:hAnsi="Arial"/>
          <w:sz w:val="21"/>
          <w:szCs w:val="21"/>
          <w:b w:val="1"/>
          <w:bCs w:val="1"/>
          <w:color w:val="auto"/>
        </w:rPr>
        <w:t>Roth Capital Partners</w:t>
      </w:r>
      <w:r>
        <w:rPr>
          <w:sz w:val="20"/>
          <w:szCs w:val="20"/>
          <w:color w:val="auto"/>
        </w:rPr>
        <w:tab/>
      </w:r>
      <w:r>
        <w:rPr>
          <w:rFonts w:ascii="Arial" w:cs="Arial" w:eastAsia="Arial" w:hAnsi="Arial"/>
          <w:sz w:val="18"/>
          <w:szCs w:val="18"/>
          <w:b w:val="1"/>
          <w:bCs w:val="1"/>
          <w:color w:val="auto"/>
        </w:rPr>
        <w:t>Shenwan Hongyuan Securities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Network 1 Financial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8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420"/>
          </w:cols>
          <w:pgMar w:left="240" w:top="459" w:right="239" w:bottom="838"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220345</wp:posOffset>
            </wp:positionV>
            <wp:extent cx="5548630" cy="711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580" w:type="dxa"/>
            <w:vAlign w:val="bottom"/>
            <w:gridSpan w:val="8"/>
            <w:vMerge w:val="restart"/>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5220" w:type="dxa"/>
            <w:vAlign w:val="bottom"/>
            <w:gridSpan w:val="13"/>
            <w:vMerge w:val="restart"/>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Industry</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520" w:type="dxa"/>
            <w:vAlign w:val="bottom"/>
            <w:gridSpan w:val="6"/>
            <w:vMerge w:val="continue"/>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22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62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220" w:type="dxa"/>
            <w:vAlign w:val="bottom"/>
            <w:gridSpan w:val="1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Special Note Regarding Forward-Looking Statements and</w:t>
              </w:r>
            </w:hyperlink>
          </w:p>
        </w:tc>
        <w:tc>
          <w:tcPr>
            <w:tcW w:w="9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Regulation</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Industry Data</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63</w:t>
            </w:r>
          </w:p>
        </w:tc>
        <w:tc>
          <w:tcPr>
            <w:tcW w:w="5220" w:type="dxa"/>
            <w:vAlign w:val="bottom"/>
            <w:gridSpan w:val="1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Use of Proceeds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64</w:t>
            </w:r>
          </w:p>
        </w:tc>
        <w:tc>
          <w:tcPr>
            <w:tcW w:w="5220" w:type="dxa"/>
            <w:vAlign w:val="bottom"/>
            <w:gridSpan w:val="1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Policy</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65</w:t>
            </w:r>
          </w:p>
        </w:tc>
        <w:tc>
          <w:tcPr>
            <w:tcW w:w="5220" w:type="dxa"/>
            <w:vAlign w:val="bottom"/>
            <w:gridSpan w:val="1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66</w:t>
            </w:r>
          </w:p>
        </w:tc>
        <w:tc>
          <w:tcPr>
            <w:tcW w:w="5220" w:type="dxa"/>
            <w:vAlign w:val="bottom"/>
            <w:gridSpan w:val="1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Dilution</w:t>
              </w:r>
            </w:hyperlink>
          </w:p>
        </w:tc>
        <w:tc>
          <w:tcPr>
            <w:tcW w:w="400" w:type="dxa"/>
            <w:vAlign w:val="bottom"/>
            <w:gridSpan w:val="2"/>
          </w:tcPr>
          <w:p>
            <w:pPr>
              <w:spacing w:after="0"/>
              <w:rPr>
                <w:sz w:val="17"/>
                <w:szCs w:val="17"/>
                <w:color w:val="auto"/>
              </w:rPr>
            </w:pPr>
          </w:p>
        </w:tc>
        <w:tc>
          <w:tcPr>
            <w:tcW w:w="41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69</w:t>
            </w: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Description of American Depositary Shares</w:t>
              </w:r>
            </w:hyperlink>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Exchange Rate Information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72</w:t>
            </w:r>
          </w:p>
        </w:tc>
        <w:tc>
          <w:tcPr>
            <w:tcW w:w="5220" w:type="dxa"/>
            <w:vAlign w:val="bottom"/>
            <w:gridSpan w:val="1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Enforceability of Civil Liabilities</w:t>
              </w:r>
            </w:hyperlink>
          </w:p>
        </w:tc>
        <w:tc>
          <w:tcPr>
            <w:tcW w:w="27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73</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207">
              <w:r>
                <w:rPr>
                  <w:rFonts w:ascii="Arial" w:cs="Arial" w:eastAsia="Arial" w:hAnsi="Arial"/>
                  <w:sz w:val="18"/>
                  <w:szCs w:val="18"/>
                  <w:color w:val="0000EE"/>
                  <w:w w:val="81"/>
                </w:rPr>
                <w:t>Taxation</w:t>
              </w:r>
            </w:hyperlink>
          </w:p>
        </w:tc>
        <w:tc>
          <w:tcPr>
            <w:tcW w:w="4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Corporate History and Structure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75</w:t>
            </w:r>
          </w:p>
        </w:tc>
        <w:tc>
          <w:tcPr>
            <w:tcW w:w="5220" w:type="dxa"/>
            <w:vAlign w:val="bottom"/>
            <w:gridSpan w:val="1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Selected Consolidated Financial and Other Data</w:t>
              </w:r>
            </w:hyperlink>
          </w:p>
        </w:tc>
        <w:tc>
          <w:tcPr>
            <w:tcW w:w="164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81</w:t>
            </w: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Expenses Relating to This Offering</w:t>
              </w:r>
            </w:hyperlink>
          </w:p>
        </w:tc>
        <w:tc>
          <w:tcPr>
            <w:tcW w:w="2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and Results of Operations</w:t>
              </w:r>
            </w:hyperlink>
          </w:p>
        </w:tc>
        <w:tc>
          <w:tcPr>
            <w:tcW w:w="250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25">
              <w:r>
                <w:rPr>
                  <w:rFonts w:ascii="Arial" w:cs="Arial" w:eastAsia="Arial" w:hAnsi="Arial"/>
                  <w:sz w:val="18"/>
                  <w:szCs w:val="18"/>
                  <w:color w:val="0000EE"/>
                  <w:w w:val="91"/>
                </w:rPr>
                <w:t>Experts</w:t>
              </w:r>
            </w:hyperlink>
          </w:p>
        </w:tc>
        <w:tc>
          <w:tcPr>
            <w:tcW w:w="420" w:type="dxa"/>
            <w:vAlign w:val="bottom"/>
            <w:tcBorders>
              <w:top w:val="single" w:sz="8" w:color="0000EE"/>
            </w:tcBorders>
            <w:gridSpan w:val="3"/>
          </w:tcPr>
          <w:p>
            <w:pPr>
              <w:spacing w:after="0"/>
              <w:rPr>
                <w:sz w:val="17"/>
                <w:szCs w:val="17"/>
                <w:color w:val="auto"/>
              </w:rPr>
            </w:pPr>
          </w:p>
        </w:tc>
        <w:tc>
          <w:tcPr>
            <w:tcW w:w="4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226">
              <w:r>
                <w:rPr>
                  <w:rFonts w:ascii="Arial" w:cs="Arial" w:eastAsia="Arial" w:hAnsi="Arial"/>
                  <w:sz w:val="18"/>
                  <w:szCs w:val="18"/>
                  <w:color w:val="0000EE"/>
                  <w:w w:val="93"/>
                </w:rPr>
                <w:t>Where You Can Find Additional Information</w:t>
              </w:r>
            </w:hyperlink>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in August,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September 30, 2017, we covered approximately 74,000 mobile apps and 2.6 million websites. We work closely with our content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distribution partners to facilitate innovative and effective audience engagement. In 2016, our gross billing from mobile audience solutions and other solutions amounted to US$112.4 million and US$123.9 million, respectively. In the nine months ended September 30, 2017, our gross billing from mobile audience solutions and other solutions amounted to US$104.5 million and US$57.4 million, respectively.</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levels of internal resources and sophistication of our clients. Our clients may choose to access our solutions through (i) self-service, when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5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generate revenues primarily from clients’ marketing spend through our platform as they utilize our solutions, and to a lesser extent from incentives granted by certain publisher.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the client base for other solutions to focus on profitability and liquidity. Our net revenues grew by 46.2% from US$65.2 million in 2015 to US$95.4 million in 2016 and by 22.1% from US$70.0 million in the nine months ended September 30, 2016 to US$85.5 million in the same period in 2017. Our net loss amounted to US$39.7 million, US$27.3 million and US$15.9 million in 2015, 2016 and the nine months ended September 30,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78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have smaller marketing departments, thereby creating opportunities for independent online marketing technology companies like us to provide value added service.</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060" w:right="300" w:hanging="323"/>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independent online marketing technology platform in China with a highly scalable and flexible business model. </w:t>
      </w:r>
      <w:r>
        <w:rPr>
          <w:rFonts w:ascii="Arial" w:cs="Arial" w:eastAsia="Arial" w:hAnsi="Arial"/>
          <w:sz w:val="17"/>
          <w:szCs w:val="17"/>
          <w:color w:val="auto"/>
        </w:rPr>
        <w:t>We were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online marketing technology platform in China in terms of gross billing in 2016, according to Frost &amp; Sullivan. Our gross billing reached US$236.3 million and US$161.9 million in 2016 and the nine months ended September 30, 2017, leading to net revenues of US$95.4 million and US$85.5 million during these periods. We are also one of the first independent online marketing technology platforms in China to apply a data-driven approach to address marketers’ needs.</w:t>
      </w:r>
    </w:p>
    <w:p>
      <w:pPr>
        <w:spacing w:after="0" w:line="77" w:lineRule="exact"/>
        <w:rPr>
          <w:rFonts w:ascii="Arial" w:cs="Arial" w:eastAsia="Arial" w:hAnsi="Arial"/>
          <w:sz w:val="17"/>
          <w:szCs w:val="17"/>
          <w:color w:val="auto"/>
        </w:rPr>
      </w:pPr>
    </w:p>
    <w:p>
      <w:pPr>
        <w:jc w:val="both"/>
        <w:ind w:left="1060" w:right="160" w:hanging="323"/>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59" w:lineRule="exact"/>
        <w:rPr>
          <w:rFonts w:ascii="Arial" w:cs="Arial" w:eastAsia="Arial" w:hAnsi="Arial"/>
          <w:sz w:val="16"/>
          <w:szCs w:val="16"/>
          <w:color w:val="auto"/>
        </w:rPr>
      </w:pPr>
    </w:p>
    <w:p>
      <w:pPr>
        <w:ind w:left="1060" w:right="40" w:hanging="323"/>
        <w:spacing w:after="0" w:line="29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7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diverse and loyal client base. </w:t>
      </w:r>
      <w:r>
        <w:rPr>
          <w:rFonts w:ascii="Arial" w:cs="Arial" w:eastAsia="Arial" w:hAnsi="Arial"/>
          <w:sz w:val="17"/>
          <w:szCs w:val="17"/>
          <w:color w:val="auto"/>
        </w:rPr>
        <w:t>We have a strong and diverse client base from a broad range of industry verticals, including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finance, entertainment and media, and E-commerce. Our clients included over 150 multinational companies in 2016 and the nine months ended September 30, 2017, respectively, making us the No.1 independent online marketing technology platform bridging the largest number of multinational companies to the Chinese market, according to Frost &amp; Sullivan. Our diverse client base also includes small and medium-sized enterprises. We provide tailored and user-friendly solutions to cater to marketers and marketing agencies of different levels of sophistication and from different industry verticals.</w:t>
      </w:r>
    </w:p>
    <w:p>
      <w:pPr>
        <w:spacing w:after="0" w:line="83" w:lineRule="exact"/>
        <w:rPr>
          <w:rFonts w:ascii="Arial" w:cs="Arial" w:eastAsia="Arial" w:hAnsi="Arial"/>
          <w:sz w:val="17"/>
          <w:szCs w:val="17"/>
          <w:color w:val="auto"/>
        </w:rPr>
      </w:pPr>
    </w:p>
    <w:p>
      <w:pPr>
        <w:ind w:left="1060" w:right="180" w:hanging="323"/>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knowledge and familiarity with China’s online marketing industry. </w:t>
      </w:r>
      <w:r>
        <w:rPr>
          <w:rFonts w:ascii="Arial" w:cs="Arial" w:eastAsia="Arial" w:hAnsi="Arial"/>
          <w:sz w:val="16"/>
          <w:szCs w:val="16"/>
          <w:color w:val="auto"/>
        </w:rPr>
        <w:t>We provide marketers with one-stop access to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cooperation with leading online channels covering approximately 74,000 mobile apps and 2.6 million websites in the 30 days leading up to September 30, 2017, to help marketers, especially multinational marketers, navigate through the fragmented landscapes to identify and reach their potential customers.</w:t>
      </w:r>
    </w:p>
    <w:p>
      <w:pPr>
        <w:spacing w:after="0" w:line="87" w:lineRule="exact"/>
        <w:rPr>
          <w:sz w:val="20"/>
          <w:szCs w:val="20"/>
          <w:color w:val="auto"/>
        </w:rPr>
      </w:pPr>
    </w:p>
    <w:p>
      <w:pPr>
        <w:ind w:left="1060" w:right="2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120" w:hanging="323"/>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diversify our client base. </w:t>
      </w:r>
      <w:r>
        <w:rPr>
          <w:rFonts w:ascii="Arial" w:cs="Arial" w:eastAsia="Arial" w:hAnsi="Arial"/>
          <w:sz w:val="16"/>
          <w:szCs w:val="16"/>
          <w:color w:val="auto"/>
        </w:rPr>
        <w:t>We plan to continue to optimize and diversify our client base, including attracting clients to use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52" w:lineRule="exact"/>
        <w:rPr>
          <w:rFonts w:ascii="Arial" w:cs="Arial" w:eastAsia="Arial" w:hAnsi="Arial"/>
          <w:sz w:val="16"/>
          <w:szCs w:val="16"/>
          <w:color w:val="auto"/>
        </w:rPr>
      </w:pPr>
    </w:p>
    <w:p>
      <w:pPr>
        <w:ind w:left="1060" w:right="2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marketing spend on our platform. </w:t>
      </w:r>
      <w:r>
        <w:rPr>
          <w:rFonts w:ascii="Arial" w:cs="Arial" w:eastAsia="Arial" w:hAnsi="Arial"/>
          <w:sz w:val="18"/>
          <w:szCs w:val="18"/>
          <w:color w:val="auto"/>
        </w:rPr>
        <w:t>We intend to offer new features and enhanced functionalities on our platform to provide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right="40" w:hanging="323"/>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20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right="2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 existing clients;</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73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400" w:hanging="324"/>
        <w:spacing w:after="0" w:line="253"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8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Offshore Incorporations (Cayman) Limited, P.O. Box 31119 Grand Pavilion, Hibiscus Way, 802 West Bay Road, Grand Cayman, KY1-1205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“end marketers” refers to marketers that are represented by our marketing agency clients and have no direct contractual relationship with us;</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83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0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right="36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clients” refers to entities which enter into marketing campaign contracts with us and incur marketing spend during the relevant period;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marketers” refers to both direct marketer clients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or Hong Kong dollars referred to in this prospectus could have been or could be converted into U.S. dollars at any particular rate or at all. On December 8, 2017, the noon buying rate for Renminbi was RMB6.6199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33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459" w:right="47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Offering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currently estimate that the initial public offering price will be between US$8.00 and US$9.00 per ADS.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3,750,000 ADSs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3,750,000 ADSs (or 4,312,500 ADSs if the underwriters exercise their option to purchase additional ADSs in full)</w:t>
      </w:r>
    </w:p>
    <w:p>
      <w:pPr>
        <w:spacing w:after="0" w:line="197" w:lineRule="exact"/>
        <w:rPr>
          <w:sz w:val="20"/>
          <w:szCs w:val="20"/>
          <w:color w:val="auto"/>
        </w:rPr>
      </w:pPr>
    </w:p>
    <w:p>
      <w:pPr>
        <w:sectPr>
          <w:pgSz w:w="11900" w:h="16838" w:orient="portrait"/>
          <w:cols w:equalWidth="0" w:num="2">
            <w:col w:w="3760" w:space="620"/>
            <w:col w:w="6800"/>
          </w:cols>
          <w:pgMar w:left="240" w:top="459" w:right="47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25,778,183 ordinary shares, comprised of 20,957,575 Class A ordinary shares and 4,820,608 Class B ordinary shares (or 26,059,433 ordinary shares if the underwriters exercise their option to purchase additional ADSs representing ordinary shares in full, comprised of 21,238,825 Class A ordinary shares and 4,820,608 Class B ordinary shares), assuming an initial offering price of US$8.50 per ADS, which is the midpoint of the estimated range. See “Capitalization.”</w:t>
      </w:r>
    </w:p>
    <w:p>
      <w:pPr>
        <w:spacing w:after="0" w:line="200" w:lineRule="exact"/>
        <w:rPr>
          <w:sz w:val="20"/>
          <w:szCs w:val="20"/>
          <w:color w:val="auto"/>
        </w:rPr>
      </w:pPr>
    </w:p>
    <w:p>
      <w:pPr>
        <w:sectPr>
          <w:pgSz w:w="11900" w:h="16838" w:orient="portrait"/>
          <w:cols w:equalWidth="0" w:num="2">
            <w:col w:w="3860" w:space="520"/>
            <w:col w:w="6800"/>
          </w:cols>
          <w:pgMar w:left="240" w:top="459" w:right="47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562,500 ADSs from us.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ADSs represent one Class A ordinary share, par value US$0.001 per share.</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62" w:lineRule="exact"/>
        <w:rPr>
          <w:sz w:val="20"/>
          <w:szCs w:val="20"/>
          <w:color w:val="auto"/>
        </w:rPr>
      </w:pPr>
    </w:p>
    <w:p>
      <w:pPr>
        <w:ind w:left="4380"/>
        <w:spacing w:after="0" w:line="286" w:lineRule="auto"/>
        <w:rPr>
          <w:sz w:val="20"/>
          <w:szCs w:val="20"/>
          <w:color w:val="auto"/>
        </w:rPr>
      </w:pPr>
      <w:r>
        <w:rPr>
          <w:rFonts w:ascii="Arial" w:cs="Arial" w:eastAsia="Arial" w:hAnsi="Arial"/>
          <w:sz w:val="17"/>
          <w:szCs w:val="17"/>
          <w:color w:val="auto"/>
        </w:rPr>
        <w:t>The depositary will be the holder of the Class A ordinary shares underlying the ADSs and you will have the rights of an ADS holder as provided in the deposit agreement among us, the depositary and holders and beneficial owners of ADSs from time to time.</w:t>
      </w:r>
    </w:p>
    <w:p>
      <w:pPr>
        <w:spacing w:after="0" w:line="193" w:lineRule="exact"/>
        <w:rPr>
          <w:sz w:val="20"/>
          <w:szCs w:val="20"/>
          <w:color w:val="auto"/>
        </w:rPr>
      </w:pPr>
    </w:p>
    <w:p>
      <w:pPr>
        <w:ind w:left="4380" w:right="400"/>
        <w:spacing w:after="0" w:line="342" w:lineRule="auto"/>
        <w:rPr>
          <w:sz w:val="20"/>
          <w:szCs w:val="20"/>
          <w:color w:val="auto"/>
        </w:rPr>
      </w:pPr>
      <w:r>
        <w:rPr>
          <w:rFonts w:ascii="Arial" w:cs="Arial" w:eastAsia="Arial" w:hAnsi="Arial"/>
          <w:sz w:val="16"/>
          <w:szCs w:val="16"/>
          <w:color w:val="auto"/>
        </w:rPr>
        <w:t>You may surrender your ADSs to the depositary to withdraw the Class A ordinary shares underlying your ADSs. The depositary will charge you a fee for such an exchange.</w:t>
      </w:r>
    </w:p>
    <w:p>
      <w:pPr>
        <w:spacing w:after="0" w:line="151"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93" w:lineRule="exact"/>
        <w:rPr>
          <w:sz w:val="20"/>
          <w:szCs w:val="20"/>
          <w:color w:val="auto"/>
        </w:rPr>
      </w:pPr>
    </w:p>
    <w:p>
      <w:pPr>
        <w:ind w:left="4380" w:right="22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section in this prospectus entitled “Description of American Depositary Shares.” You should also read the deposit agreement, which is an exhibit to the registration statement that includes this prospectus.</w:t>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240" w:top="459" w:right="47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343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3434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expect that we will receive net proceeds of approximately US$25.1 million from this offering, assuming an initial public offering price of US$8.50 per ADS, which is the midpoint of the estimated range of the initial public offering price, after deducting underwriting discounts and commissions and estimated offering expenses payable by us.</w:t>
      </w:r>
    </w:p>
    <w:p>
      <w:pPr>
        <w:spacing w:after="0" w:line="19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4380" w:right="40"/>
        <w:spacing w:after="0" w:line="291" w:lineRule="auto"/>
        <w:rPr>
          <w:sz w:val="20"/>
          <w:szCs w:val="20"/>
          <w:color w:val="auto"/>
        </w:rPr>
      </w:pPr>
      <w:r>
        <w:rPr>
          <w:rFonts w:ascii="Arial" w:cs="Arial" w:eastAsia="Arial" w:hAnsi="Arial"/>
          <w:sz w:val="16"/>
          <w:szCs w:val="16"/>
          <w:color w:val="auto"/>
        </w:rPr>
        <w:t>We plan to use the net proceeds from this offering primarily for research and development and big data deep learning capabilities and capacities; the development and expansion of our suite of solutions and service offerings; sales and marketing activities to attract, in particular, more clients to use our solutions on a self-serve basis, and clients from additional industry verticals and geographic markets; and other general corporate purposes and for investment, acquisition and business collaboration opportunities that complement or enhance our existing operations and are strategically beneficial to our long-term goals.</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220"/>
          </w:cols>
          <w:pgMar w:left="240" w:top="459" w:right="439" w:bottom="1440" w:gutter="0" w:footer="0" w:header="0"/>
          <w:type w:val="continuous"/>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We have been approved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9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22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nine months ended September 30, 2016 and 2017 and as of September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240" w:top="459"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our summary consolidated statement of comprehensive income for the years ended December 31, 2015 and 2016 and for the nine months ended September 30, 2016 and 2017.</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(US$ in thousands, except for per share and share data)</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65,242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95,357</w:t>
            </w:r>
          </w:p>
        </w:tc>
        <w:tc>
          <w:tcPr>
            <w:tcW w:w="1040" w:type="dxa"/>
            <w:vAlign w:val="bottom"/>
          </w:tcPr>
          <w:p>
            <w:pPr>
              <w:jc w:val="right"/>
              <w:spacing w:after="0"/>
              <w:rPr>
                <w:sz w:val="20"/>
                <w:szCs w:val="20"/>
                <w:color w:val="auto"/>
              </w:rPr>
            </w:pPr>
            <w:r>
              <w:rPr>
                <w:rFonts w:ascii="Arial" w:cs="Arial" w:eastAsia="Arial" w:hAnsi="Arial"/>
                <w:sz w:val="18"/>
                <w:szCs w:val="18"/>
                <w:color w:val="auto"/>
              </w:rPr>
              <w:t>69,973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(34,531)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(61,048)</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(8,106)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(6,480)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(31,385)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(12,745)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(7,165)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(52,236)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(19,390)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(39,714)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(27,330)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8"/>
              </w:rPr>
              <w:t>Accretion to convertible redeemable preferred shares redemption value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(1,982)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2,591</w:t>
            </w:r>
          </w:p>
        </w:tc>
        <w:tc>
          <w:tcPr>
            <w:tcW w:w="4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(41,797)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(29,659)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w:t>
            </w: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Limited</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(39,843)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(27,469)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per share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648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summary consolidated balance sheet data as of December 31, 2015, 2016 and September 30, 2017.</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and US$602 as of December 31, 2015, 2016 and September 30, 2017, respectively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28,423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30,694</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24,793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34,409</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14,804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169,640</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115,124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126,572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118,829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(55,929)</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(64,312)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169,640</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7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(US$ in</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(US$ in</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178,239</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236,253</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179,812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8"/>
              </w:rPr>
              <w:t>161,854</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112,403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104,438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136,916</w:t>
            </w: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123,850</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95,856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57,416</w:t>
            </w: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65,242</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95,357</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69,973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85,497</w:t>
            </w: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11,908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67,252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53,334</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37,596</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18,245</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net loss</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(8,999)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80" w:hanging="324"/>
        <w:spacing w:after="0" w:line="25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60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 / (less):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tcPr>
          <w:p>
            <w:pPr>
              <w:jc w:val="right"/>
              <w:spacing w:after="0"/>
              <w:rPr>
                <w:sz w:val="20"/>
                <w:szCs w:val="20"/>
                <w:color w:val="auto"/>
              </w:rPr>
            </w:pPr>
            <w:r>
              <w:rPr>
                <w:rFonts w:ascii="Arial" w:cs="Arial" w:eastAsia="Arial" w:hAnsi="Arial"/>
                <w:sz w:val="18"/>
                <w:szCs w:val="18"/>
                <w:color w:val="auto"/>
              </w:rPr>
              <w:t>1,082</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5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207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(1,497)</w:t>
            </w:r>
          </w:p>
        </w:tc>
        <w:tc>
          <w:tcPr>
            <w:tcW w:w="620" w:type="dxa"/>
            <w:vAlign w:val="bottom"/>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 in growth in recent periods, and our historical growth rates may not be indicative of our future growth.</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nine months ended September 30, 2017 compared to the same period in 2016 due to a decrease in gross billing from other solutions as we optimized our client base for other solutions to focus on profitability and liquidity. In future periods, our gross billing and net revenues could further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US$67.3 million in 2015, 2016 and the nine months ended September 30, 2017, respectively, gross margins for our mobile audience solutions remained relatively low and decreased during these periods, which contributed to the decrease in our overall gross profit margin from 47.1% in 2015 to 36.0% in 2016 and further to 23.2% in the nine months ended September 30, 2017. As we continue to prioritize the execution of our mobile strategy and face increasing competition and pricing pressure for our mobile audience solutions, our profit margin could be materially and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incurred net losses of US$39.7 million in 2015, US$27.3 million in 2016, US$8.4 million in the nine months ended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US$15.9 million in the nine months ended September 30, 2017. As of September 30, 2017, we had an accumulated deficit of US$140.3 million. We will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generate increased revenue levels in future periods to become profitable, and, even if we do, we may not be able to improve our profitability as we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continue to expend significant funds to grow our marketing and sales operations, develop and enhance our data analytic capabilities, scale our data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and services capabilities and expand into new market segments. Our efforts to grow our business may be more costly than we expect,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able to increase our revenue enough to offset our operating expenses. We may incur significant losses in the future for a number of reasons,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other risks described in this prospectus, and unforeseen expenses, difficulties, complications and delays and other unknown events. If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unable to achieve or sustain profitability, the market price of our ADSs may significantly decrease.</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“Management’s Discussion and Analysis of Financial Condition and Results of Operations — Key Operating and Financial Metrics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w:t>
      </w:r>
    </w:p>
    <w:p>
      <w:pPr>
        <w:ind w:right="100"/>
        <w:spacing w:after="0" w:line="252" w:lineRule="auto"/>
        <w:rPr>
          <w:sz w:val="20"/>
          <w:szCs w:val="20"/>
          <w:color w:val="auto"/>
        </w:rPr>
      </w:pPr>
      <w:r>
        <w:rPr>
          <w:rFonts w:ascii="Arial" w:cs="Arial" w:eastAsia="Arial" w:hAnsi="Arial"/>
          <w:sz w:val="18"/>
          <w:szCs w:val="18"/>
          <w:color w:val="auto"/>
        </w:rPr>
        <w:t>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the nine months ended September 30, 2017, we had one client that contributed to more than 10% of our net revenues, which was a marketer in the entertainment industry and contributed to 11% of our net revenues.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we started a comprehensive review of the client base for other solutions in 2016 to focus on profitability and liquidity. For example, we terminated relationship with certain clients for our other solutions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they had relatively long account receivable cycles and yielded relatively low operating profit margins. Some of these clients were large marketers and had individually accounted for more than 5% of our annual gross billing historically. As a result, gross billing from our other solutions decreased by 9.5% from US$136.9 million in 2015 to US$123.9 million in 2016 and by 40.1% from US$95.9 million in the nine months ended September 30, 2016 to US$57.4 million in the same period in 2017. In addition,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and by 26.6% from 2,079 in the nine months ended September 30, 2016 to 1,528 in the same period in 2017.</w:t>
      </w:r>
    </w:p>
    <w:p>
      <w:pPr>
        <w:spacing w:after="0" w:line="16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clients, including over 1,800 direct marketer clients and over 500 marketing agency clients, which represented over 1,100 end marketers and a significant portion of our gross billing and net revenues. In the nine months ended September 30, 2017, we had over 1,500 clients, including over 1,100 direct marketer clients and over 400 agency clients, which represented over 1,200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w:t>
      </w:r>
    </w:p>
    <w:p>
      <w:pPr>
        <w:spacing w:after="0" w:line="252" w:lineRule="auto"/>
        <w:rPr>
          <w:sz w:val="20"/>
          <w:szCs w:val="20"/>
          <w:color w:val="auto"/>
        </w:rPr>
      </w:pPr>
      <w:r>
        <w:rPr>
          <w:rFonts w:ascii="Arial" w:cs="Arial" w:eastAsia="Arial" w:hAnsi="Arial"/>
          <w:sz w:val="18"/>
          <w:szCs w:val="18"/>
          <w:color w:val="auto"/>
        </w:rPr>
        <w:t>88.6% of our media costs in 2015, 2016 and the nine months ended September 30, 2017, respectively. Media costs for content distribution opportunities on our largest channel partner in each of 2015, 2016 and the nine months ended September 30, 2017 accounted for 55.0%, 42.2% and 61.1% of our media costs, respectively, during the relevant periods, and media costs for content distribution opportunities on our second largest channel partner in each of 2015, 2016 and the nine months ended September 30, 2017 accounted for 22.6%, 36.1% and 25.7%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the content distribution channel under our sales agency arrangement expired on December 31, 2016 and as of the date of this prospectus, we have not yet executed and are negotiating a new written contract with this content distribution channel. The new contract may require us to pay a significant deposit, which will be forfeited in whole or in part depending on the extent to which we meet the annual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In addition, the new contract may impose quarterly minimum marketing spend threshold and if we fail to meet such threshold for some consecutive quarters, the content distribution channel may terminate the contract. Net revenues from this content distribution channel under our sales agency arrangement were US$7.1 million and US$7.9 million in 2015 and 2016, and US$6.6 million and US$6.0 million for the nine months ended September 30, 2016 and 2017, representing 10.9%, 8.3%, 9.4% and 7.0% of our total net revenues for the respective periods.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6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“Management’s Discussion and Analysis of Financial Condition and Results of Operations — Key Operating and Financial Metrics — Net Revenues,” “— Critical Accounting Policies —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New technologies and methods of online marketing present an evolving competitive challenge, as market participants upgrade or expand their service offerings to capture more marketing spend from marketers.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Moreover, civil claims may be filed against us for fraud, defamation, subversion, negligence, copyright or trademark infringement or other violations due to the nature and content of the information for which we provide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5"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8" w:lineRule="exact"/>
        <w:rPr>
          <w:sz w:val="20"/>
          <w:szCs w:val="20"/>
          <w:color w:val="auto"/>
        </w:rPr>
      </w:pPr>
    </w:p>
    <w:p>
      <w:pPr>
        <w:ind w:left="900" w:right="5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September 30, 2017, we had US$48.5 million of goodwill, which represented approximately 31.7%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7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Wing Hong Sammy Hsieh, Yau Ping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nine months ended September 30, 2017, OptAim contributed 63.5% to our gross billing and 76.6% of our net revenues.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amount of government involvement, level of development, growth rate, control of foreign exchange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80"/>
        <w:spacing w:after="0" w:line="267"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a substantial portion of our revenues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7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been approved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plan to use the net proceeds from this offering for the following purposes: (i) approximately US$11.0 million of the net proceeds for research and development and expansion of our suite of solutions and service offerings; and (ii) approximately US$5.0 million of the net proceeds for sales and marketing. We also plan to use the net proceeds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Immediately after the completion of this offering, our ordinary shares will consist of 20,957,575 Class A ordinary shares and 4,820,608 Class B ordinary shares, assuming an initial offering price of US$8.50 per ADS, which is the midpoint of the estimated range and assuming the underwriters do not exercise their option to purchase additional ADSs.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Immediately prior to the completion of this offering, all of the then outstanding ordinary shares held by Mr. Sammy Hsieh and Mr. Jian Tang will be re-designated as Class B ordinary shares. Mr. Hsieh and Mr. Tang, who beneficially own 21.4% of the aggregate voting power of our company as of the date of this prospectus, will beneficially own approximately 82.1% of the aggregate voting power of our company immediately after the completion of this offering due to the disparate voting powers associated with our dual-class share structure, assuming an initial offering price of US$8.50 per ADS, which is the midpoint of the estimated range and assuming the underwriters do not exercise their over-allotment option. See “Capitalization” and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directors and officers will collectively own an aggregate of 83.0% of the total voting power of our outstanding ordinary shares immediately upon completion of this offering, assuming an initial offering price of US$8.50 per ADS, which is the midpoint of the estimated range and assuming the underwriters do not exercise their over-allotment option. See “Capitalization” and “Principal Shareholders.” As a result, they have substantial influence over our business, including significant corporate actions such as change of directors, mergers, change of control transactions and other significant corporate actions.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adopted a stock option plan in 2010, or the 2010 Plan. We adopted another share incentive plan in 2017, or the 2017 Plan, in October 2017.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account for compensation costs for all share incentives using a fair-value based method and recognize expenses in our consolidated statements of comprehensive income in accordance with U.S. GAAP. Under our 2010 Plan,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per ADS is US$9.10 or above, the 120,067 options granted to Wing Hong Sammy Hsieh and 29,933 options granted to Yau Ping Ricky Ng will become immediately vested and exercisable prior to our listing and we expect Wing Hong Sammy Hsieh and Yau Ping Ricky Ng to exercise these options prior to our listing. This would also result in a share-based compensation expense of US$1.3 million in the fourth quarter of 2017.</w:t>
      </w:r>
    </w:p>
    <w:p>
      <w:pPr>
        <w:spacing w:after="0" w:line="16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our 2010 Plan, the maximum aggregate number of ordinary shares which may be issued pursuant to all awards under the plan is 2,398,137. As of the date of this prospectus, options to purchase 1,542,793 ordinary shares are outstanding, including unvested options to purchase 501,144 ordinary shares, and vested and unexercised options to purchase 1,041,649 ordinary shares. Under the 2017 Plan that will be effective upon completion of this offering,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7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3,750,000 ADSs (representing 1,875,000 Class A ordinary shares) outstanding immediately after this offering, or 4,312,500 ADSs (representing 2,156,250 Class A ordinary shares) if the underwriters exercise their over-allotment option in full.</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52" w:lineRule="exact"/>
        <w:rPr>
          <w:sz w:val="20"/>
          <w:szCs w:val="20"/>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adopted effective immediately prior to the completion of this offering will contain anti-takeover provisions that could discourage a third party from acquiring us and adversely affect the rights of holders of our Class A ordinary shares and ADSs.</w:t>
      </w:r>
    </w:p>
    <w:p>
      <w:pPr>
        <w:spacing w:after="0" w:line="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adopted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completion of this offering, we will follow our home country practices and rely on certain exemptions provided by the Nasdaq Stock Market Rules to a foreign private issuer, including exemptions from the requirements to have:</w:t>
      </w:r>
    </w:p>
    <w:p>
      <w:pPr>
        <w:spacing w:after="0" w:line="9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 shares on a per ADS basis. As a result, you will experience immediate and substantial dilution of US$7.30 per ADS, representing the difference between the assumed initial public offering price of US$8.50 per ADS, the midpoint of the estimated range of the initial public offering price, and our net tangible book value per ADS of US$1.20 as of September 30, 2017, after giving effect to the net proceeds to us from this offering. In addition, you may experience further dilution to the extent that our ordinary shares are issued upon the exercise of any share options or warrants. See “Dilution” for a more complete description of how the value of your investment in our ADSs will be diluted upon completion of this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incur additional legal, accounting and other expenses as a public reporting company, particularly after we cease to qualify as an emerging growth company, which occurs on the earliest of (a) the last day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6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54"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US$25.1 million, or approximately US$29.5 million if the underwriters exercise their option to purchase additional ADSs in full, after deducting underwriting discounts and commissions and the estimated offering expenses payable by us. These estimates are based upon an assumed initial offering price of US$8.50 per ADS, the midpoint of the range shown on the front cover page of this prospectus. A US$1.00 change in the assumed initial public offering price of US$8.50 per ADS would, in the case of an increase, increase and, in the case of a decrease, decrease the net proceeds of this offering by US$3.5 million, or approximately US$4.0 million if the underwriters exercise their option to purchase additional ADSs in full, assuming an initial public offering price of US$8.50 per ADS, the midpoint of the range shown on the front cover page of this prospectus and after deducting underwriting discounts and commissions and the estimated offering expenses payable by us.</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US$11.0 million of the net proceeds for research and development and expansion of our suite of solutions and service offerings;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US$5.0 million of the net proceeds for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20" w:hanging="325"/>
        <w:spacing w:after="0" w:line="272"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basis to reflect (i) the automatic conversion of all our preferred shares and redeemable ordinary shares into 10,268,077 Class A ordinary shares on a one-for-one basis upon completion of the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and (iii) the redesignation of all of the remaining ordinary shares into Class A ordinary shares on a one-for-one basis immediately prior to the completion of this offering; and</w:t>
      </w:r>
    </w:p>
    <w:p>
      <w:pPr>
        <w:spacing w:after="0" w:line="83" w:lineRule="exact"/>
        <w:rPr>
          <w:rFonts w:ascii="Arial" w:cs="Arial" w:eastAsia="Arial" w:hAnsi="Arial"/>
          <w:sz w:val="17"/>
          <w:szCs w:val="17"/>
          <w:color w:val="auto"/>
        </w:rPr>
      </w:pPr>
    </w:p>
    <w:p>
      <w:pPr>
        <w:ind w:left="900" w:right="20" w:hanging="325"/>
        <w:spacing w:after="0" w:line="28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outstanding preferred shares and redeemable ordinary shares into 10,268,077 Class A ordinary shares on a one-for-one basis immediately upon completion of this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(iii) the redesignation of all of the remaining ordinary shares into Class A ordinary shares on a one-for-one basis immediately prior to the completion of this offering, and (iv) the sale of 1,875,000 Class A ordinary shares in the form of ADSs by us in this offering at an assumed initial public offering price of US$8.50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6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120,067 options that were granted to Wing Hong Sammy Hsieh and 29,933 options that were granted to Yau Ping Ricky Ng under our 2010 Plan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is US$9.10 per ADS or above, these options will become immediately vested and exercisable prior to our listing and we expect Wing Hong Sammy Hsieh and Yau Ping Ricky Ng to exercise these options prior to our listing.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5"/>
              </w:rPr>
              <w:t>As of September 30, 2017</w:t>
            </w: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98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Actual</w:t>
            </w:r>
          </w:p>
        </w:tc>
        <w:tc>
          <w:tcPr>
            <w:tcW w:w="15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Pro Forma</w:t>
            </w:r>
          </w:p>
        </w:tc>
        <w:tc>
          <w:tcPr>
            <w:tcW w:w="118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 in thousands)</w:t>
            </w: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2,476,190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6"/>
              </w:rPr>
              <w:t>pro forma and a pro forma as adjusted basis; redemption amount of US$7,234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5,683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authorized as; 1,889,249 shares issued and outstanding on an actual basis; none outstanding on</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a pro forma and a pro forma as adjusted basis; redemption amount of US$15,055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10,326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C convertible redeemable preferred shares (US$0.001 par value; 1,650,000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1,599,186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US$23,614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10,733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D convertible redeemable preferred shares (US$0.001 par value; 4,500,000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authorized; 2,493,018 shares issued and outstanding on an actual basis; none outstanding on a</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US$64,815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43,956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1,068,114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US$29,059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18,845</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on an</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 basis; none outstanding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16,724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Shareholders’ (deficit)/equity:</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(US$0.001 par value; 37,150,000 shares authorized; 13,633,106 shares issued</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and outstanding on an actual basis; 19,080,575 Class A ordinary shares and 4,820,608 Class B</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ordinary shares outstanding on a pro forma basis; and 20,955,575 Class A ordinary shares and</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4,820,608 Class B ordinary shares outstanding on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Class A ordinary shares</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w w:val="93"/>
              </w:rPr>
              <w:t>Treasury shares (2,125,382 shares on an actual, a pro forma and a pro forma as adjusted basis)</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(2,121)</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(2,121)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(2)(3)</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66,349</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240,546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268,609</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0"/>
        </w:trPr>
        <w:tc>
          <w:tcPr>
            <w:tcW w:w="7540" w:type="dxa"/>
            <w:vAlign w:val="bottom"/>
          </w:tcPr>
          <w:p>
            <w:pPr>
              <w:ind w:left="5620"/>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As of September 30, 2017</w:t>
            </w:r>
          </w:p>
        </w:tc>
        <w:tc>
          <w:tcPr>
            <w:tcW w:w="2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Actual</w:t>
            </w: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Pro Forma</w:t>
            </w:r>
          </w:p>
        </w:tc>
        <w:tc>
          <w:tcPr>
            <w:tcW w:w="2480" w:type="dxa"/>
            <w:vAlign w:val="bottom"/>
          </w:tcPr>
          <w:p>
            <w:pPr>
              <w:jc w:val="right"/>
              <w:ind w:right="837"/>
              <w:spacing w:after="0" w:line="119" w:lineRule="exact"/>
              <w:rPr>
                <w:sz w:val="20"/>
                <w:szCs w:val="20"/>
                <w:color w:val="auto"/>
              </w:rPr>
            </w:pPr>
            <w:r>
              <w:rPr>
                <w:rFonts w:ascii="Arial" w:cs="Arial" w:eastAsia="Arial" w:hAnsi="Arial"/>
                <w:sz w:val="13"/>
                <w:szCs w:val="13"/>
                <w:b w:val="1"/>
                <w:bCs w:val="1"/>
                <w:color w:val="auto"/>
              </w:rPr>
              <w:t>Pro Forma</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8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rPr>
              <w:t>(US$ in thousands)</w:t>
            </w:r>
          </w:p>
        </w:tc>
        <w:tc>
          <w:tcPr>
            <w:tcW w:w="2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(3,310)</w:t>
            </w:r>
          </w:p>
        </w:tc>
        <w:tc>
          <w:tcPr>
            <w:tcW w:w="2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(3,310)</w:t>
            </w:r>
          </w:p>
        </w:tc>
        <w:tc>
          <w:tcPr>
            <w:tcW w:w="2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(140,269)</w:t>
            </w:r>
          </w:p>
        </w:tc>
        <w:tc>
          <w:tcPr>
            <w:tcW w:w="2440" w:type="dxa"/>
            <w:vAlign w:val="bottom"/>
            <w:gridSpan w:val="2"/>
          </w:tcPr>
          <w:p>
            <w:pPr>
              <w:jc w:val="right"/>
              <w:ind w:right="360"/>
              <w:spacing w:after="0"/>
              <w:rPr>
                <w:sz w:val="20"/>
                <w:szCs w:val="20"/>
                <w:color w:val="auto"/>
              </w:rPr>
            </w:pPr>
            <w:r>
              <w:rPr>
                <w:rFonts w:ascii="Arial" w:cs="Arial" w:eastAsia="Arial" w:hAnsi="Arial"/>
                <w:sz w:val="18"/>
                <w:szCs w:val="18"/>
                <w:color w:val="auto"/>
              </w:rPr>
              <w:t>(140,269)</w:t>
            </w: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(141,478)</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(deficit)/equity</w:t>
            </w:r>
            <w:r>
              <w:rPr>
                <w:rFonts w:ascii="Arial" w:cs="Arial" w:eastAsia="Arial" w:hAnsi="Arial"/>
                <w:sz w:val="15"/>
                <w:szCs w:val="15"/>
                <w:color w:val="auto"/>
              </w:rPr>
              <w:t>(1)(3)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(79,256)</w:t>
            </w:r>
          </w:p>
        </w:tc>
        <w:tc>
          <w:tcPr>
            <w:tcW w:w="2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94,951</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Total mezzanine equity and shareholders’</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equity</w:t>
            </w:r>
            <w:r>
              <w:rPr>
                <w:rFonts w:ascii="Arial" w:cs="Arial" w:eastAsia="Arial" w:hAnsi="Arial"/>
                <w:sz w:val="15"/>
                <w:szCs w:val="15"/>
                <w:color w:val="auto"/>
              </w:rPr>
              <w:t>(1)(3)</w:t>
            </w:r>
          </w:p>
        </w:tc>
        <w:tc>
          <w:tcPr>
            <w:tcW w:w="1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27,011</w:t>
            </w:r>
          </w:p>
        </w:tc>
        <w:tc>
          <w:tcPr>
            <w:tcW w:w="42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420" w:type="dxa"/>
            <w:vAlign w:val="bottom"/>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460" w:hanging="332"/>
        <w:spacing w:after="0" w:line="248"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3"/>
          <w:szCs w:val="13"/>
          <w:color w:val="auto"/>
        </w:rPr>
        <w:t>The pro forma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340" w:right="40" w:hanging="332"/>
        <w:spacing w:after="0" w:line="221"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US$8.50 per ADS, the midpoint of the estimated range of the initial public offering price shows on the front cover of this prospectus, would, in the case of an increase, increase and, in the case of a decrease, decrease each of additional paid-in capital, total shareholders’ deficit and total mezzanine equity and shareholders’ deficit by US$3.5 million.</w:t>
      </w:r>
    </w:p>
    <w:p>
      <w:pPr>
        <w:spacing w:after="0" w:line="1" w:lineRule="exact"/>
        <w:rPr>
          <w:rFonts w:ascii="Arial" w:cs="Arial" w:eastAsia="Arial" w:hAnsi="Arial"/>
          <w:sz w:val="12"/>
          <w:szCs w:val="12"/>
          <w:color w:val="auto"/>
        </w:rPr>
      </w:pPr>
    </w:p>
    <w:p>
      <w:pPr>
        <w:ind w:left="340" w:hanging="332"/>
        <w:spacing w:after="0" w:line="249"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3"/>
          <w:szCs w:val="13"/>
          <w:color w:val="auto"/>
        </w:rPr>
        <w:t>The pro forma as adjusted amounts include (i) the impact of the derecognition of derivative liabilities amounting to US$67.9 million in relation to the conversion and redemption features of the convertible redeemable preferred shares upon the completion of this offering; and (ii) an expense of US$1.2 million as a result of redesignation of certain of our ordinary shares into Class B ordinary shares upon completion of this offering. Our receipt of waiver to amend the definition of qualified initial public offering as described in “Description of Share Capital — History of Security Issuances”, which made the anti-dilution provision in relation to the convertible redeemable preferred shares inapplicable, does not have any net impact to our capitalization.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negative net tangible book value as of September 30, 2017 was approximately US$33.1 million, or US$2.43 per ordinary share as of that date, and US$1.21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Dilution is determined by subtracting net tangible book value per ordinary share after giving effect to the additional proceeds we will receive from the offering after deducting underwriting discounts and commissions and estimated offering expenses payable by us, from the assumed initial public offering price, which is the midpoint of the estimated initial public offering price range set forth on the cover page of the prospectus adjusted to reflect the ADS-to-Class A ordinary share ratio.</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Without taking into account any other changes in net tangible book value after September 30, 2017, other than to give effect to (i) the automatic conversion of all of our issued and outstanding convertible preferred shares and redeemable ordinary shares into 10,268,077 Class A ordinary shares concurrently with the completion of this offering and (ii) the issuance and sale by us of 1,875,000 Class A ordinary shares in the form of ADSs in this offering at an assumed initial public offering price of US$8.50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 net tangible book value as of September 30, 2017 would have been US$61.7 million, or US$2.39 per outstanding ordinary share and US$1.20 per ADS. This represents an immediate increase in pro forma net tangible book value of US$0.93 per ordinary share and US$0.47 per ADS to the existing shareholders and an immediate dilution in net tangible book value of US$14.61 per ordinary share and US$7.30 per ADS to investors purchasing ADSs in this offering. The following table illustrates such dilution: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Per ordinary</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932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share</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September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net tangible book value per ordinary share after giving effect to the automatic conversion of all of our issued</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convertible preferred shares and redeemable ordinary shares into ordinary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2"/>
        </w:trPr>
        <w:tc>
          <w:tcPr>
            <w:tcW w:w="9320" w:type="dxa"/>
            <w:vAlign w:val="bottom"/>
          </w:tcPr>
          <w:p>
            <w:pPr>
              <w:spacing w:after="0" w:line="201" w:lineRule="exact"/>
              <w:rPr>
                <w:sz w:val="20"/>
                <w:szCs w:val="20"/>
                <w:color w:val="auto"/>
              </w:rPr>
            </w:pPr>
            <w:r>
              <w:rPr>
                <w:rFonts w:ascii="Arial" w:cs="Arial" w:eastAsia="Arial" w:hAnsi="Arial"/>
                <w:sz w:val="18"/>
                <w:szCs w:val="18"/>
                <w:color w:val="auto"/>
                <w:w w:val="98"/>
              </w:rPr>
              <w:t>Pro forma as adjusted net tangible book value per ordinary share after giving effect to (i) the automatic conversion of all</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of our issued and outstanding convertible preferred shares into ordinary shares and (ii) the issuance of 1,875,000</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tcPr>
          <w:p>
            <w:pPr>
              <w:ind w:left="180"/>
              <w:spacing w:after="0"/>
              <w:rPr>
                <w:sz w:val="20"/>
                <w:szCs w:val="20"/>
                <w:color w:val="auto"/>
              </w:rPr>
            </w:pPr>
            <w:r>
              <w:rPr>
                <w:rFonts w:ascii="Arial" w:cs="Arial" w:eastAsia="Arial" w:hAnsi="Arial"/>
                <w:sz w:val="18"/>
                <w:szCs w:val="18"/>
                <w:color w:val="auto"/>
              </w:rPr>
              <w:t>ordinary shares in the form of 3,750,000 ADSs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 US$1.00 increase (decrease) in the assumed initial public offering price of US$8.50 per ADS (the mid-point of the estimated initial public offering price range shown on the cover page of this prospectus) would increase (decrease) our pro forma net tangible book value after giving effect to the offering by US$3.5 million, the pro forma net tangible book value per ordinary share and per ADS after giving effect to the automatic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conversion of our convertible preferred shares and this offering by US$0.13 per ordinary share and US$0.07 per ADS and the dilution in pro forma net tangible book value per ordinary share and per ADS to new investors in this offering by US$1.87 per ordinary share and US$0.93 per ADS, assuming no change to the number of ADSs offered by us as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Ordinary Shares</w:t>
            </w:r>
          </w:p>
        </w:tc>
        <w:tc>
          <w:tcPr>
            <w:tcW w:w="252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Average Price per</w:t>
            </w:r>
          </w:p>
        </w:tc>
        <w:tc>
          <w:tcPr>
            <w:tcW w:w="24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Ordinary Share</w:t>
            </w:r>
          </w:p>
        </w:tc>
        <w:tc>
          <w:tcPr>
            <w:tcW w:w="2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23,901,183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118,103,595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US$4.94</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1,875,000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31,875,000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US$17.00</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25,776,183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149,978,595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US$1.00 increase (decrease) in the assumed public offering price of US$8.50 per ADS (the mid-point of the estimated initial public offering price range shown on the cover page of this prospectus) would increase (decrease) total consideration paid by new investors by US$3.8 million, assuming that the number of shares offered by us, as set forth on the cover page of this prospectus, remains the same.</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As of the date of this prospectus, options to purchase 1,542,793 ordinary shares are outstanding, including unvested options to purchase 501,144 ordinary shares, and vested and unexercised options to purchase 1,041,649 ordinary shares. To the extent that any of the unvested options later vest are exercised to purchase ordinary shares, there will be further dilution to new investors.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92"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referred to in this prospectus could have been or could be converted into U.S. dollars at any particular rate or at all. On December 8, 2017, the noon buying rate for Renminbi was RMB6.6199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July</w:t>
            </w:r>
          </w:p>
        </w:tc>
        <w:tc>
          <w:tcPr>
            <w:tcW w:w="720" w:type="dxa"/>
            <w:vAlign w:val="bottom"/>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6.7679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6.7240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6.5888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6.6670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September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6.6533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6.5697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6.4773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6.6591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6.6167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6.6533</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November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6.6090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6.6200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6.5967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6.6385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(through December 8,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6.6167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6.6136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Source: Federal Reserve Statistical Release</w:t>
      </w:r>
    </w:p>
    <w:p>
      <w:pPr>
        <w:ind w:left="340" w:right="40" w:hanging="332"/>
        <w:spacing w:after="0" w:line="237"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 Asia.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217285" cy="5385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17285"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line="253"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clients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clients</w:t>
      </w:r>
    </w:p>
    <w:p>
      <w:pPr>
        <w:spacing w:after="0" w:line="142" w:lineRule="exact"/>
        <w:rPr>
          <w:rFonts w:ascii="Arial" w:cs="Arial" w:eastAsia="Arial" w:hAnsi="Arial"/>
          <w:sz w:val="17"/>
          <w:szCs w:val="17"/>
          <w:color w:val="auto"/>
        </w:rPr>
      </w:pPr>
    </w:p>
    <w:p>
      <w:pPr>
        <w:ind w:left="900" w:right="8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Anhui Zhiyunzhong Information Technology Co., Ltd.: primarily focusing on providing mobile audience solutions to PRC clients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clients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clients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and its subsidiary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w:t>
      </w:r>
    </w:p>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nine months ended September 30, 2016 and 2017 and the selected consolidated balance sheet data as of September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w w:val="93"/>
              </w:rPr>
              <w:t>(US$ in thousands, except for per share and share data)</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65,242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95,357</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69,973</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(34,531)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(61,048)</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(8,106)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(8,584)</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(6,480)</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(31,385)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(12,745)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(7,165)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(52,236)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(107)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791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(19,390)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8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(39,714)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5"/>
              </w:rPr>
              <w:t>Accretion to convertible redeemable preferred shares redemption value</w:t>
            </w: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(1,982)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(41,797)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(29,659)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(10,107)</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w w:val="95"/>
              </w:rPr>
              <w:t>Comprehensive loss attributable to iClick Interactive Asia Group Limited</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81</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6280" w:type="dxa"/>
            <w:vAlign w:val="bottom"/>
          </w:tcPr>
          <w:p>
            <w:pPr>
              <w:spacing w:after="0"/>
              <w:rPr>
                <w:sz w:val="13"/>
                <w:szCs w:val="13"/>
                <w:color w:val="auto"/>
              </w:rPr>
            </w:pPr>
          </w:p>
        </w:tc>
        <w:tc>
          <w:tcPr>
            <w:tcW w:w="4260" w:type="dxa"/>
            <w:vAlign w:val="bottom"/>
            <w:gridSpan w:val="7"/>
          </w:tcPr>
          <w:p>
            <w:pPr>
              <w:ind w:left="820"/>
              <w:spacing w:after="0" w:line="155"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0"/>
        </w:trPr>
        <w:tc>
          <w:tcPr>
            <w:tcW w:w="6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September 30,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US$1,693 and US$602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as of December 31, 2015, 2016 and September 30, 2017, respectively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28,423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30,694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3,642</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34,409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19,095</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14,804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48,496</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48,496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146,110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169,640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115,124</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126,572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5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83,210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104,383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(55,929)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(64,312)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169,640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50"/>
              <w:spacing w:after="0"/>
              <w:rPr>
                <w:sz w:val="20"/>
                <w:szCs w:val="20"/>
                <w:color w:val="auto"/>
              </w:rPr>
            </w:pPr>
            <w:r>
              <w:rPr>
                <w:rFonts w:ascii="Arial" w:cs="Arial" w:eastAsia="Arial" w:hAnsi="Arial"/>
                <w:sz w:val="18"/>
                <w:szCs w:val="18"/>
                <w:color w:val="auto"/>
              </w:rPr>
              <w:t>82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US$20.5 million, or 24.4%, from US$84.0 million in the nine months ended September 30, 2016 to US$104.5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64.5% of our total gross billing in the nine months ended September 30, 2017, compared to 46.7% in the same period in 2016. Our net revenues from mobile audience solutions represented 60.6% of our net revenues in 2016, compared to 18.3% in 2015 and 78.7% of our net revenues in the nine months ended September 30, 2017, compared to 60.0% in the same period in 2016. In addition to mobile audience solutions, we have other online marketing solutions that are primarily focused on non-mobile app channels and search engine marketing.</w:t>
      </w:r>
    </w:p>
    <w:p>
      <w:pPr>
        <w:spacing w:after="0" w:line="17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sophistication of clients. Clients may choose to access our solutions either through (i) self-service, when they have the flexibility to utilize our solutions “a la carte” to complement their existing marketing resources, or through (ii) managed service, when our account management team provides in-depth services that suit clients’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clients refer to entities which enter into marketing campaign contracts with us and incur marketing spend during the relevant period. They include direct marketer clients and marketing agencies clients. We derived over 70% of our gross billing from direct marketer clients in 2015 and 2016 and around 60% of our gross billing from direct marketer clients in the nine months ended September 30, 2017.</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to a lesser extent from incentives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publisher under our sales agency arrangement. Our gross billing grew by 32.5% from US$178.2 million in 2015 to US$236.3 million in 2016. Our gross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billings decreased by 10.0% from US$179.8 million in the nine months ended September 30, 2016 to US$161.9 million in the same period in 2017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gross billing from other solutions as we terminated relationship with certain clients of other solutions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as part of our efforts to optimize the client base for other solutions to focus on profitability and liquidity. Our net revenues grew by 46.2%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US$65.2 million in 2015 to US$95.4 million in 2016 and by 22.1% from US$70.0 million in the nine months ended September 30, 2016 to US$85.5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same period in 2017. Our net loss amounted to US$39.7 million, US$27.3 million and US$15.9 million in 2015, 2016 and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as of and for the years ended December 31, 2015 and 2016 included elsewhere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OptAim contributed US$41.1 million to our gross billing and US$11.7 million to our net revenues from July 24, 2015, when we acquired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to December 31, 2015, contributed US$105.7 million to our gross billing and US$51.1 million to our net revenues in 2016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US$102.7 million to our gross billing and US$65.5 million to our net revenues in the nine months ended September 30, 2017. Intangible assets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acquisition of OptAim are amortized. Amortization expenses of US$1.8 million, US$4.0 million and US$3.0 million were recognized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our cost of revenues in 2015, 2016 and the nine months ended September 30, 2017, respectively. In addition, as of September 30, 2017, we had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US$48.5 million of goodwill, which represented approximately 31.7% of our total assets, primarily related to our acquisition of OptAim. Goodwill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and is not amortized, but is reviewed for impairment at least annually or more frequently if impairment indicators arise.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charges could substantially affect our results of operations in the periods of such charges. In addition, impairment charges would negatively impact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ratios and could limit our ability to obtain financing in the future. See “Risk Factors — Risks Related to Our Business and Industry — We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to record significant impairment charges as a result of our acquisition of OptAim.”</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49.1% in the nine months ended September 30, 2016 to 34.1% in the same period in 2017 in part due to our streamlining of sales and marketing and general and administrative functions as we further integrated OptAim’s operations, which had been completed by the end of June 30, 2017.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4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(US$ in</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billing</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178,239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236,253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179,812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w w:val="98"/>
              </w:rPr>
              <w:t>161,854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83,956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104,438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136,916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123,850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95,856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57,416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65,242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95,357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69,973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85,497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42,018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67,252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53,334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37,596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27,955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18,245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net loss</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(8,999)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(6,715)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280" w:hanging="332"/>
        <w:spacing w:after="0" w:line="253"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Gross billing derived from our sales agency arrangement was US$32.9 million and US$42.8 million in 2015 and 2016, and US$33.2 million and US$27.0 million in the nine months ended September 30, 2016 and 2017, respectively, none of which was recognized as net revenues for the respective periods.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Gross billing derived from our cost-plus marketing campaigns was US$106.6 million and US$121.4 million in 2015 and 2016, and US$94.3 million and US$62.4 million in the nine months ended September 30, 2016 and 2017, respectively, out of which US$19.5 million, US$15.4 million, US$11.1 million and US$7.0 million was recognized as net revenues for the respective periods.</w:t>
      </w:r>
    </w:p>
    <w:p>
      <w:pPr>
        <w:spacing w:after="0" w:line="18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Gross billing derived from our specified action marketing campaigns was US$38.7 million and US$72.1 million in 2015 and 2016, and US$52.3 million and US$72.5 million in the nine months ended September 30, 2016 and 2017, respectively, all of which was recognized as net revenues for the respective periods.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Gross billing from our mobile audience solutions increased, both in absolute amount and as a percentage of total gross billing, from 2015 to 2016 and from the nine months ended September 30, 2016 to the same period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nine months ended September 30, 2016 to the same period in 2017 and from the nine months ended September 30, 2016 to the same period in 2017 as we optimized the client base for other solutions to focus on profitability and liquidity.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gross billing per client increased by US$32,020, or 47.5%, from US$67,413 in 2015 to US$99,433 in 2016, while the total number of our clients decreased by 10.1% from 2,644 in 2015 to 2,376 in 2016. Our gross billing per client increased by US$19,436, or 22.5%, from US$86,489 in the nine months ended September 30, 2016 to US$105,925 in the same period in 2017, while the total number of our clients decreased by 26.5% from 2,079 in the nine months ended September 30, 2016 to 1,528 in the same period in 2017. This was due to our efforts in optimizing the client base for other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and US$7.9 million in 2015 and 2016, and US$6.6 million and US$6.0 million in the nine months ended September 30, 2016 and 2017, respectively.</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and US$15.4 million in 2015 and 2016, and US$11.1 million and US$7.0 million in the nine months ended September 30, 2016 and 2017, respectively.</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and US$72.1 million in 2015 and 2016, and US$52.3 million and US$72.5 million in the nine months ended September 30, 2016 and 2017,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clients, including whether to conduct their marketing campaigns on a specified-action (i.e., gross) or cost-plus (i.e., net) basis in a particular period, which in turn depends on clients’ needs and goals. Please refer to “— Key Factors Affecting Our Results of Operations — Our Revenue Models” on the impact of our revenue recognition models on our results of operations.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revenues as a percentage of gross billing for mobile audience solutions increased from 28.8% in 2015 to 51.4% in 2016, and from 50.0% in the nine months ended September 30, 2016 to 64.4% in the same period in 2017 as a larger percentage of marketing campaigns involving mobile audience solutions were conducted on specified-action (i.e., gross) basis in 2016 compared to 2015 and in the nine months ended September 30, 2017 compared to the same period in 2016. US$54.2 million, or 48.2%, of gross billing from mobile audience solutions was recognized as net revenues on a gross basis in 2016, compared to US$7.9 million, or 19.1%, in 2015, and US$65.9 million, or 63.1%, of gross billing from mobile audience solutions was recognized as net revenues on a gross basis in the nine months ended September 30, 2017, compared to US$38.7 million, or 46.1%, in the same period in 2016. This was a result of the implementation of our go-to-market strategy for mobile audience solutions to capture a larger share of clients’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6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87" w:lineRule="auto"/>
        <w:rPr>
          <w:sz w:val="20"/>
          <w:szCs w:val="20"/>
          <w:color w:val="auto"/>
        </w:rPr>
      </w:pPr>
      <w:r>
        <w:rPr>
          <w:rFonts w:ascii="Arial" w:cs="Arial" w:eastAsia="Arial" w:hAnsi="Arial"/>
          <w:sz w:val="16"/>
          <w:szCs w:val="16"/>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clients of other solutions, most of which conducted their marketing campaigns on a cost-plus (i.e., net) basis as we started a comprehensive review of our client base for other solutions in 2016 to focus on profitability and liquidity. Net revenues as a percentage of gross billing for other solutions increased slightly from 29.2% in the nine months ended September 30, 2016 to 31.8% in the same period in 2017 as we terminated relationship with certain clients of other solutions with low profitability in the first half of 2017 as part of our efforts to optimize our client base for other solutions. Such positive impact on net revenues as a percentage of gross billing for other solutions was partially offset by the fact that a larger percentage of marketing campaigns involving other solutions were conducted on a cost-plus (i.e., net) basis in the nine months ended September 30, 2017 compared to the same period in 2016. US$50.9 million, or 88.6%, of gross billing from other solutions was recognized as net revenues on a net basis in the nine months ended September 30, 2017,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US$82.3 million, or 85.8%,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(8,381)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 / (less):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5,824</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713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EBITDA</w:t>
            </w:r>
          </w:p>
        </w:tc>
        <w:tc>
          <w:tcPr>
            <w:tcW w:w="2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6,494</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2,786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2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377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(2,158)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vMerge w:val="restart"/>
          </w:tcPr>
          <w:p>
            <w:pPr>
              <w:jc w:val="right"/>
              <w:ind w:right="1190"/>
              <w:spacing w:after="0"/>
              <w:rPr>
                <w:sz w:val="20"/>
                <w:szCs w:val="20"/>
                <w:color w:val="auto"/>
              </w:rPr>
            </w:pPr>
            <w:r>
              <w:rPr>
                <w:rFonts w:ascii="Arial" w:cs="Arial" w:eastAsia="Arial" w:hAnsi="Arial"/>
                <w:sz w:val="18"/>
                <w:szCs w:val="18"/>
                <w:color w:val="auto"/>
              </w:rPr>
              <w:t>88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5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(1,497)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involving our other solutions were conducted on a cost-plus (i.e., net) basis in 2016 compared to 2015 .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21.3%, 21.8%, 21.6% and 27.5% of our clients in 2015, 2016, and the nine months ended September 30, 2016 and September 30, 2017, respectively.</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8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June 30, 2017 and September 30, 2017,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millions</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6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1, 2015</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December 28, 2016</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June 30, 2017</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365"/>
        </w:trPr>
        <w:tc>
          <w:tcPr>
            <w:tcW w:w="3540" w:type="dxa"/>
            <w:vAlign w:val="bottom"/>
          </w:tcPr>
          <w:p>
            <w:pPr>
              <w:spacing w:after="0"/>
              <w:rPr>
                <w:sz w:val="24"/>
                <w:szCs w:val="24"/>
                <w:color w:val="auto"/>
              </w:rPr>
            </w:pPr>
          </w:p>
        </w:tc>
        <w:tc>
          <w:tcPr>
            <w:tcW w:w="6880" w:type="dxa"/>
            <w:vAlign w:val="bottom"/>
          </w:tcPr>
          <w:p>
            <w:pPr>
              <w:jc w:val="right"/>
              <w:ind w:right="4530"/>
              <w:spacing w:after="0"/>
              <w:rPr>
                <w:sz w:val="20"/>
                <w:szCs w:val="20"/>
                <w:color w:val="auto"/>
              </w:rPr>
            </w:pPr>
            <w:r>
              <w:rPr>
                <w:rFonts w:ascii="Arial" w:cs="Arial" w:eastAsia="Arial" w:hAnsi="Arial"/>
                <w:sz w:val="18"/>
                <w:szCs w:val="18"/>
                <w:color w:val="auto"/>
              </w:rPr>
              <w:t>95</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Weighted average cost of capital, or WACC. </w:t>
      </w:r>
      <w:r>
        <w:rPr>
          <w:rFonts w:ascii="Arial" w:cs="Arial" w:eastAsia="Arial" w:hAnsi="Arial"/>
          <w:sz w:val="18"/>
          <w:szCs w:val="18"/>
          <w:color w:val="auto"/>
        </w:rPr>
        <w:t>Our cash flows were discounted to present value using discount rates that reflect the risks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 2017 and September 30, 2017, respectively.</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2015</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June 30, 2017</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2"/>
          </w:tcPr>
          <w:p>
            <w:pPr>
              <w:jc w:val="right"/>
              <w:ind w:right="1154"/>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Ordinary Shares</w:t>
            </w:r>
          </w:p>
        </w:tc>
      </w:tr>
      <w:tr>
        <w:trPr>
          <w:trHeight w:val="142"/>
        </w:trPr>
        <w:tc>
          <w:tcPr>
            <w:tcW w:w="4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5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June 30, 2017</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and non-employees. The fair values of share options granted during the years ended December 31, 2015 and 2016 and nine months ended September 30, 2017 were estimated using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years)</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2.59%</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2.35%</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risk-free interest rate of periods within the contractual life of the share option is based on the yield of U.S. Treasury Strips sourced from Bloomberg as of the valuation dates.</w:t>
      </w:r>
    </w:p>
    <w:p>
      <w:pPr>
        <w:ind w:left="340" w:hanging="332"/>
        <w:spacing w:after="0" w:line="221"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Company has no history or expectation of paying dividends on its ordinary shares.</w:t>
      </w:r>
    </w:p>
    <w:p>
      <w:pPr>
        <w:ind w:left="340" w:hanging="332"/>
        <w:spacing w:after="0" w:line="221"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Expected volatility is estimated based on the average of historical volatilities of the comparable companies in the same industry as at the valuation dates.</w:t>
      </w: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expected term is developed by assuming the share options will be exercised towards the end of maturity dates.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(34,531)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(65,688)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(34,378)</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(29,153)</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(19,390)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(7,056)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80" w:type="dxa"/>
            <w:vAlign w:val="bottom"/>
          </w:tcPr>
          <w:p>
            <w:pPr>
              <w:jc w:val="right"/>
              <w:spacing w:after="0"/>
              <w:rPr>
                <w:sz w:val="20"/>
                <w:szCs w:val="20"/>
                <w:color w:val="auto"/>
              </w:rPr>
            </w:pPr>
            <w:r>
              <w:rPr>
                <w:rFonts w:ascii="Arial" w:cs="Arial" w:eastAsia="Arial" w:hAnsi="Arial"/>
                <w:sz w:val="18"/>
                <w:szCs w:val="18"/>
                <w:color w:val="auto"/>
              </w:rPr>
              <w:t>(8,381)</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jc w:val="center"/>
              <w:ind w:right="30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42,018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53,334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37,596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27,955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69,973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Rebates received from publishers for mobile audience</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4,555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12,145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6,241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68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16,700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14,181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of which US$4,138 thousand, US$974 thousand, US$848 thousand and US$429 thousand in 2015, 2016, nine months ended September 30, 2016 and nine months ended September 30, 2017 were received under cost-plus marketing campaigns from the publisher for which we acted as its sales agent under our sales agency arrangement.</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320" w:hanging="332"/>
        <w:spacing w:after="0" w:line="29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Exclude rebates in the amount of US$4,138 thousand, US$974 thousand, US$848 thousand and US$429 thousand in 2015, 2016, nine months ended September 30, 2016 and nine months ended September 30, 2017 received under cost-plus marketing campaigns from the publisher for which we acted as its sales agent under our sales agency arrangement.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(17,021)</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(14,721)</w:t>
            </w:r>
          </w:p>
        </w:tc>
        <w:tc>
          <w:tcPr>
            <w:tcW w:w="2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Rebates and discounts we granted for mobile audience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(7,330)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(13,131)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 for other solutions</w:t>
            </w:r>
            <w:r>
              <w:rPr>
                <w:rFonts w:ascii="Arial" w:cs="Arial" w:eastAsia="Arial" w:hAnsi="Arial"/>
                <w:sz w:val="15"/>
                <w:szCs w:val="15"/>
                <w:color w:val="auto"/>
              </w:rPr>
              <w:t>(2)</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(8,162)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Of which US$(412) thousand, US$(6,347) thousand, US$(3,996) thousand and US$(8,937) thousand were in connection with our specified action (i.e., gross) marketing campaigns, and</w:t>
      </w:r>
    </w:p>
    <w:p>
      <w:pPr>
        <w:spacing w:after="0" w:line="11" w:lineRule="exact"/>
        <w:rPr>
          <w:rFonts w:ascii="Arial" w:cs="Arial" w:eastAsia="Arial" w:hAnsi="Arial"/>
          <w:sz w:val="13"/>
          <w:szCs w:val="13"/>
          <w:color w:val="auto"/>
        </w:rPr>
      </w:pPr>
    </w:p>
    <w:p>
      <w:pPr>
        <w:ind w:left="340" w:right="120"/>
        <w:spacing w:after="0" w:line="221" w:lineRule="auto"/>
        <w:rPr>
          <w:rFonts w:ascii="Arial" w:cs="Arial" w:eastAsia="Arial" w:hAnsi="Arial"/>
          <w:sz w:val="13"/>
          <w:szCs w:val="13"/>
          <w:color w:val="auto"/>
        </w:rPr>
      </w:pPr>
      <w:r>
        <w:rPr>
          <w:rFonts w:ascii="Arial" w:cs="Arial" w:eastAsia="Arial" w:hAnsi="Arial"/>
          <w:sz w:val="14"/>
          <w:szCs w:val="14"/>
          <w:color w:val="auto"/>
        </w:rPr>
        <w:t>US$(6,408) thousand, US$(4,328) thousand, US$(3,334) thousand and US$(4,194) thousand were in connection with our cost-plus (i.e., net) marketing campaigns in 2015, 2016 and the nine months ended September 30, 2016 and 2017, respectively.</w:t>
      </w:r>
    </w:p>
    <w:p>
      <w:pPr>
        <w:ind w:left="340" w:right="240" w:hanging="332"/>
        <w:spacing w:after="0" w:line="23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Of which US$(3,620) thousand, US$(2,047) thousand, US$(1,480) thousand and US$(639) thousand were in connection with our specified action (i.e., gross) marketing campaigns, and US$(4,542) thousand, US$(4,299) thousand, US$(3,742) thousand and US$(951) thousand were in connection with our cost-plus (i.e., net) marketing campaigns in 2015, 2016 and the nine months ended September 30, 2016 and 2017, respectively.</w:t>
      </w:r>
    </w:p>
    <w:p>
      <w:pPr>
        <w:spacing w:after="0" w:line="187"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the nine months ended September 30, 2016 and 2017, we derived 53.2%, 25.3%, 24.8% and</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17.2% of our net revenues from outside China, respectively. Our net revenues from clients in China increased significantly from 2015 to 2016 and from the nine months ended September 30, 2016 compared to the same period in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from the nine months ended September 30, 2016 compared to the same period in 2017 as we continued to optimize the client base for other solutions to focus on profitability and liquidity. Clients outside of China primarily use our other solutions. The table below shows our net revenues breakdown by geographic region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52,640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34,442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16,601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732</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69,973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85,497</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jc w:val="both"/>
        <w:ind w:left="900" w:right="28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specified-action marketing campaigns</w:t>
      </w:r>
      <w:r>
        <w:rPr>
          <w:rFonts w:ascii="Arial" w:cs="Arial" w:eastAsia="Arial" w:hAnsi="Arial"/>
          <w:sz w:val="18"/>
          <w:szCs w:val="18"/>
          <w:color w:val="auto"/>
        </w:rPr>
        <w:t>. Media cost refers to cost we pay to publishers for acquisition of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opportunities, which is partially offset by rebates we receive from publishers in specified-action marketing campaigns. Media cost represented 81.8%, 88.2%, 88.0% and 92.1% of our cost of revenues in 2015, 2016 and the nine months ended September 30, 2016 and 2017, respectively.</w:t>
      </w:r>
    </w:p>
    <w:p>
      <w:pPr>
        <w:spacing w:after="0" w:line="92" w:lineRule="exact"/>
        <w:rPr>
          <w:rFonts w:ascii="Arial" w:cs="Arial" w:eastAsia="Arial" w:hAnsi="Arial"/>
          <w:sz w:val="18"/>
          <w:szCs w:val="18"/>
          <w:color w:val="auto"/>
        </w:rPr>
      </w:pPr>
    </w:p>
    <w:p>
      <w:pPr>
        <w:ind w:left="900" w:right="100" w:hanging="325"/>
        <w:spacing w:after="0" w:line="270"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Rebates we grant under our sales agency arrangement</w:t>
      </w:r>
      <w:r>
        <w:rPr>
          <w:rFonts w:ascii="Arial" w:cs="Arial" w:eastAsia="Arial" w:hAnsi="Arial"/>
          <w:sz w:val="17"/>
          <w:szCs w:val="17"/>
          <w:color w:val="auto"/>
        </w:rPr>
        <w:t>. Rebates we grant under our sales agency arrangement are recognized as cost of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represented 9.5%, 4.2%, 4.3% and 2.8% of our cost of revenues in 2015, 2016 and the nine months ended September 30,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the nine months ended September 30, 2016 to the same period in 2017 was mainly due to a decrease in gross billing under our sales agency arrangement from US$33.7 million in the nine months ended September 30, 2016 to US$27.0 million in the same period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(US$ in</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(US$ in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0"/>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(1,942)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94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68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6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100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10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audience solutions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80" w:type="dxa"/>
            <w:vAlign w:val="bottom"/>
          </w:tcPr>
          <w:p>
            <w:pPr>
              <w:jc w:val="right"/>
              <w:spacing w:after="0"/>
              <w:rPr>
                <w:sz w:val="20"/>
                <w:szCs w:val="20"/>
                <w:color w:val="auto"/>
              </w:rPr>
            </w:pPr>
            <w:r>
              <w:rPr>
                <w:rFonts w:ascii="Arial" w:cs="Arial" w:eastAsia="Arial" w:hAnsi="Arial"/>
                <w:sz w:val="18"/>
                <w:szCs w:val="18"/>
                <w:color w:val="auto"/>
              </w:rPr>
              <w:t>5,875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3,704</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11,217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left="900" w:right="62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6.8%, 6.9% and 4.7% of our cost of revenues in 2015, 2016 and the nine months ended September 30, 2016 and 2017, respectively.</w:t>
      </w:r>
    </w:p>
    <w:p>
      <w:pPr>
        <w:spacing w:after="0" w:line="18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mobile</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3,397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8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revenues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for other</w:t>
            </w:r>
          </w:p>
        </w:tc>
        <w:tc>
          <w:tcPr>
            <w:tcW w:w="94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other</w:t>
            </w:r>
          </w:p>
        </w:tc>
        <w:tc>
          <w:tcPr>
            <w:tcW w:w="9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34.1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27,314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24,760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65.9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13,751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nine months ended September 30, 2016 and 2017, which was 48.2%, 46.1% and 63.1% respectively, compared to that for our other solutions in the same period, which was 14.4%, 14.2% and 11.4%, respectively. As a result, gross profit margins for our mobile audience solutions in 2015, 2016 and the nine months ended September 30, 2016 and 2017, which were 28.5%, 16.5%, 16.1% and 9.0%, respectively, were significantly lower than those for our other solutions, which were 51.2%, 65.9%, 65.7% and 75.4%, respectively, for the same periods.</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arrangement)</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sales agency</w:t>
            </w: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2,568</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Gross profit for sales agency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tcPr>
          <w:p>
            <w:pPr>
              <w:jc w:val="right"/>
              <w:spacing w:after="0"/>
              <w:rPr>
                <w:sz w:val="20"/>
                <w:szCs w:val="20"/>
                <w:color w:val="auto"/>
              </w:rPr>
            </w:pPr>
            <w:r>
              <w:rPr>
                <w:rFonts w:ascii="Arial" w:cs="Arial" w:eastAsia="Arial" w:hAnsi="Arial"/>
                <w:sz w:val="18"/>
                <w:szCs w:val="18"/>
                <w:color w:val="auto"/>
              </w:rPr>
              <w:t>3,807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5,356</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67.6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4,653</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70.6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6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cost-plus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campaigns)</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cost-plus marketing</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Gross profit for cost-plus marketing</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12,714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82.7</w:t>
            </w:r>
          </w:p>
        </w:tc>
        <w:tc>
          <w:tcPr>
            <w:tcW w:w="680" w:type="dxa"/>
            <w:vAlign w:val="bottom"/>
          </w:tcPr>
          <w:p>
            <w:pPr>
              <w:jc w:val="right"/>
              <w:spacing w:after="0"/>
              <w:rPr>
                <w:sz w:val="20"/>
                <w:szCs w:val="20"/>
                <w:color w:val="auto"/>
              </w:rPr>
            </w:pPr>
            <w:r>
              <w:rPr>
                <w:rFonts w:ascii="Arial" w:cs="Arial" w:eastAsia="Arial" w:hAnsi="Arial"/>
                <w:sz w:val="18"/>
                <w:szCs w:val="18"/>
                <w:color w:val="auto"/>
              </w:rPr>
              <w:t>9,127</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82.1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8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campaigns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campaigns</w:t>
            </w:r>
          </w:p>
        </w:tc>
        <w:tc>
          <w:tcPr>
            <w:tcW w:w="0" w:type="dxa"/>
            <w:vAlign w:val="bottom"/>
          </w:tcPr>
          <w:p>
            <w:pPr>
              <w:spacing w:after="0"/>
              <w:rPr>
                <w:sz w:val="1"/>
                <w:szCs w:val="1"/>
                <w:color w:val="auto"/>
              </w:rPr>
            </w:pPr>
          </w:p>
        </w:tc>
      </w:tr>
      <w:tr>
        <w:trPr>
          <w:trHeight w:val="182"/>
        </w:trPr>
        <w:tc>
          <w:tcPr>
            <w:tcW w:w="2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specified action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campaigns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29,383</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55,816</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40,907</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62,509</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Gross profit for specified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action marketing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680" w:type="dxa"/>
            <w:vAlign w:val="bottom"/>
          </w:tcPr>
          <w:p>
            <w:pPr>
              <w:jc w:val="right"/>
              <w:spacing w:after="0"/>
              <w:rPr>
                <w:sz w:val="20"/>
                <w:szCs w:val="20"/>
                <w:color w:val="auto"/>
              </w:rPr>
            </w:pPr>
            <w:r>
              <w:rPr>
                <w:rFonts w:ascii="Arial" w:cs="Arial" w:eastAsia="Arial" w:hAnsi="Arial"/>
                <w:sz w:val="18"/>
                <w:szCs w:val="18"/>
                <w:color w:val="auto"/>
              </w:rPr>
              <w:t>9,301</w:t>
            </w:r>
          </w:p>
        </w:tc>
        <w:tc>
          <w:tcPr>
            <w:tcW w:w="8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66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68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(52,236)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73"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clients was US$1.7 million, US$0.1 million, US$0.0 million and US$0.0 million in 2015, 2016 and the nine months ended September 30, 2016 and 2017, respectively. Professional service fees primarily related to legal and audit service in connection with our private placements and OptAim acquisition and preparation for this offering. We expect to continue to invest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64" w:lineRule="auto"/>
        <w:rPr>
          <w:sz w:val="20"/>
          <w:szCs w:val="20"/>
          <w:color w:val="auto"/>
        </w:rPr>
      </w:pPr>
      <w:r>
        <w:rPr>
          <w:rFonts w:ascii="Arial" w:cs="Arial" w:eastAsia="Arial" w:hAnsi="Arial"/>
          <w:sz w:val="18"/>
          <w:szCs w:val="18"/>
          <w:color w:val="auto"/>
        </w:rPr>
        <w:t>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87" w:lineRule="exact"/>
        <w:rPr>
          <w:sz w:val="20"/>
          <w:szCs w:val="20"/>
          <w:color w:val="auto"/>
        </w:rPr>
      </w:pPr>
    </w:p>
    <w:p>
      <w:pPr>
        <w:ind w:left="900" w:right="6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Nine Months Ended September 30, 2017 Compared to Nine Months Ended September 30, 2016 </w:t>
      </w:r>
      <w:r>
        <w:rPr>
          <w:rFonts w:ascii="Arial" w:cs="Arial" w:eastAsia="Arial" w:hAnsi="Arial"/>
          <w:sz w:val="18"/>
          <w:szCs w:val="18"/>
          <w:b w:val="1"/>
          <w:bCs w:val="1"/>
          <w:i w:val="1"/>
          <w:iCs w:val="1"/>
          <w:color w:val="auto"/>
        </w:rPr>
        <w:t>Net Revenues</w:t>
      </w:r>
    </w:p>
    <w:p>
      <w:pPr>
        <w:jc w:val="both"/>
        <w:ind w:right="140" w:firstLine="456"/>
        <w:spacing w:after="0" w:line="264" w:lineRule="auto"/>
        <w:rPr>
          <w:sz w:val="20"/>
          <w:szCs w:val="20"/>
          <w:color w:val="auto"/>
        </w:rPr>
      </w:pPr>
      <w:r>
        <w:rPr>
          <w:rFonts w:ascii="Arial" w:cs="Arial" w:eastAsia="Arial" w:hAnsi="Arial"/>
          <w:sz w:val="18"/>
          <w:szCs w:val="18"/>
          <w:color w:val="auto"/>
        </w:rPr>
        <w:t>Our net revenues increased by US$15.5 million, or 22.1%, from US$70.0 million in the nine months ended September 30, 2016 to US$85.5 million in the same period in 2017, primarily as a result of an increase in our net revenues from our mobile audience solutions and partially offset by a decrease in our net revenues from our other solutions.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Net revenues from our mobile audience solutions increased by US$25.2 million, or 60.1% from US$42.0 million in the nine months ended September 30, 2016 to US$67.3 million in the same period in 2017 as a result of an increase in gross billing from mobile audience solutions and a larger percentage of our gross billing from mobile audience solutions being recognized as net revenues on a gross basis in the nine months ended September 30, 2017 compared to the same period in 2016. US$38.7 million, or 46.1%, of gross billing from mobile audience solutions was recognized as net revenues on a gross basis in the nine months ended September 30, 2016, compared to US$65.9 million, or 63.1%, in the same period in 2017. Rebates received from publishers and recognized as net revenues decreased by US$0.1 million or 1.7% from US$6.2 million in the nine months ended September 30, 2016 to US$6.1 million in the nine months ended September 30, 2017 for our mobile audience solutions as gross billing from mobile audience solutions that was recognized on a net basis decreased. We did not receive any incentives from the publisher under our sales agency arrangement in the nine months ended September 30, 2016 and the same period in 2017 for our mobile audience solutions. Rebates and discounts granted to our clients and recognized as deduction of revenues increased by US$5.8 million, or 79.5% from US$7.3 million in the nine months ended September 30, 2016 to US$13.1 million in the same period in 2017 for our mobile solutions as gross billing from mobile audience solutions increased.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revenues from our other solutions decreased by US$9.7 million or 34.7% from US$28.0 million in the nine months ended September 30, 2016 to US$18.2 million in the same period in 2017 primarily as a result of a decrease in gross billing from other solutions and smaller percentage of our gross billing from other solutions being recognized as net revenues on a gross basis. US$13.6 million, or 14.2%, of gross billing from other solutions was recognized as net revenues on a gross basis in the nine months ended September 30, 2016, compared to US$6.6 million, or 11.4%, in the same period in 2017. Rebates received from publishers and recognized as net revenues decreased by US$3.9 million or 73.0% from US$5.3 million in the nine months ended September 30, 2016 to US$1.4 million in the same period in 2017 for our other solutions as gross billing from other solutions that were conducted on a cost-plus basis decreased. Incentives received from the publisher under our sales agency arrangement, which were recognized as net revenues decreased by US$0.6 million, or 8.9% from US$6.6 million in the nine months ended September 30, 2016 to US$6.0 million in the same period in 2017 for our other solutions due to a decrease in gross billing under the sales agency arrangement. Rebates granted to our clients and recognized as deduction of revenues decreased by US$3.6 million, or 69.2% from US$5.2 million in the nine months ended September 30, 2017 to US$1.6 million in the same period in 2017 for our other solutions as gross billing from other solutions decreased.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202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(US$ in thousands, except %)</w:t>
            </w:r>
          </w:p>
        </w:tc>
        <w:tc>
          <w:tcPr>
            <w:tcW w:w="6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44,847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65,688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25,126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19,809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cost of revenues increased by US$20.9 million, or 46.7%, from US$44.8 million in the nine months ended September 30, 2016 to US$65.7 million in the same period in 2017, primarily as a result of an increase in media cost, which increased by US$21.1 million, or 53.6%, from US$39.4 million in the nine months ended September 30, 2016 to US$60.5 million in the same period in 2017 as a result of a larger percentage of gross billing being recognized as net revenues on a gross basis. 44.8% of our gross billing in the nine months ended September 30, 2017 was recognized as net revenues on a gross basis, compared to 29.1% in the same period in 2016. Cost of revenues for our mobile audience solutions increased by US$25.9 million, or 73.4%, from US$35.3 million to US$61.2 million, while cost of revenues for our other solutions decreased by US$5.1 million, or 53.1%, from US$9.6 million to US$4.5 million.</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US$65.9 million, or 63.1%, of gross billing from mobile audience solutions was recognized as net revenues on a gross basis in the nine months ended September 30, 2017, compared to US$38.7 million, or 46.1%, in the same period in 2016. No rebate or discount we granted was recognized as cost of revenues for our mobile audience solutions in the nine months ended September 30, 2016 or 2017. Rebates received from website publishers recognized as deduction of cost of revenues increased by US$7.5 million, or 202.7% from US$3.7 million in the nine months ended September 30, 2016 to US$11.2 million in the same period in 2017 for our mobile audience solutions as gross billing from mobile audience solutions that was recognized as net revenues on a gross basis increased.</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US$6.5 million, or 11.4%, of gross billing from other solutions was recognized as net revenues on a gross basis in the nine months ended September 30, 2017, compared to US$13.6 million or 14.2% in the same period in 2016. Rebates we granted and recognized as cost of revenues, which related to rebates we granted to marketers and marketing agencies under our sales agency arrangement decreased by US$0.1 million, or 5.3%, from US$1.9 million in the nine months ended September 30, 2016 to US$1.8 million in the same period in 2017 for other solutions in line with the decrease of gross billing from our sales agency arrangement. Rebates received from website publishers recognized as deduction of cost of revenues decreased by US$62,000, or 48.1%, from US$129,000 in the nine months ended September 30, 2016 to US$67,000 in the same period in 2017 for our other solutions as gross billing from other solutions that was recognized on a gross basis decreased.</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result of the above, our gross profit decreased from US$25.1 million in the nine months ended September 30, 2016 to US$19.8 million in the same period in 2017. Specifically, gross profit for our mobile audience solutions decreased by US$0.7 million, or 10.4%, from US$6.8 million in the nine months ended September 30, 2016 to US$6.1 million in the same period in 2017, and gross profit for our other solutions decreased by US$4.6 million, or 25.1% from US$18.4 million in the nine months ended September 30, 2016 to US$13.8 million in the same period in 2017. Our gross profit margin decreased from 35.9% in the nine months ended September 30, 2016 to 23.2% in the same period in 2017 primarily due to the expansion in our mobile audience solutions. Gross profit margin for our mobile audience solutions decreased from 16.1% in the nine months ended September 30, 2016 to 9.0% in the same period in 2017 as a result of competitive pressure and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larger percentage of gross billing for our mobile audience solutions being recognized as net revenues on a gross basis in the nine months ended September 30, 2017 compared to the same period in 2016. Gross profit margin for our other solutions increased from 65.7% in the nine months ended September 30, 2016 to 75.4% in the nine months ended September 30, 2017 as we continued to optimize the client base for other solutions to focus on profitability and liquidity and as a result of a smaller percentage of gross billing for our other solutions being recognized as net revenues on a gross basis in the nine months ended September 30, 2017 compared to the same period in 2016.</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21.6% and 27.5% of our clients in the nine months ended September 30, 2016 and September 30, 2017, respectively. In addition, consistent with the general industry trends for online marketing on mobile channels and on non-mobile channels, a larger percentage of gross billing from our mobile audience solutions was recognized as net revenues on a gross basis in the nine months ended September 30, 2017, which was 63.1%, compared to that for our other solutions in the same period, which was 11.4%. As a result, gross profit margins for our mobile audience solutions in the nine months ended September 30, 2016 and 2017 were significantly lower than those for our other solutions for the same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operating expenses decreased by US$5.2 million, or 15.2%, during the nine months ended September 30, 2017 compared to the same period in 2016, primarily due to decreases in research and development expenses, sales and marketing expenses and general and administrative expenses. Our operating expenses as a percentage of net revenues decreased from 49.1% in the nine months ended September 30, 2016 to 34.1% in the same period in 2017.</w:t>
      </w:r>
    </w:p>
    <w:p>
      <w:pPr>
        <w:spacing w:after="0" w:line="52" w:lineRule="exact"/>
        <w:rPr>
          <w:sz w:val="20"/>
          <w:szCs w:val="20"/>
          <w:color w:val="auto"/>
        </w:rPr>
      </w:pPr>
    </w:p>
    <w:p>
      <w:pPr>
        <w:ind w:left="900" w:right="140" w:hanging="325"/>
        <w:spacing w:after="0" w:line="273"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US$3.1 million, or 14.9%, from US$20.7 million in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to US$17.6 million in the same period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the nine months ended September 30, 2016 to 20.6% in the same period in 2017.</w:t>
      </w:r>
    </w:p>
    <w:p>
      <w:pPr>
        <w:spacing w:after="0" w:line="83" w:lineRule="exact"/>
        <w:rPr>
          <w:rFonts w:ascii="Arial" w:cs="Arial" w:eastAsia="Arial" w:hAnsi="Arial"/>
          <w:sz w:val="17"/>
          <w:szCs w:val="17"/>
          <w:color w:val="auto"/>
        </w:rPr>
      </w:pPr>
    </w:p>
    <w:p>
      <w:pPr>
        <w:ind w:left="900" w:right="260" w:hanging="325"/>
        <w:spacing w:after="0" w:line="27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US$0.2 million, or 3.3%, from US$7.2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2016 to US$6.9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10.2% in the nine months ended September 30, 2016 to 8.1% in the same period in 2017.</w:t>
      </w:r>
    </w:p>
    <w:p>
      <w:pPr>
        <w:spacing w:after="0" w:line="77"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US$1.9 million, or 29.4%, from US$6.5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 to US$4.6 million in the same period in 2017, primarily due to a decrease in staff costs, as we continued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to benefit from the synergies from the integration of the complementary research and development capabilities of OptAim and economies of scale. As a result, research and development expenses as a percentage of our net revenues decreased from 9.3% in the nine months ended September 30, 2016 to 5.4% in the same period in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was flat at US$0.4 million for the nine months ended September 30, 2016 and the same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other losses, net was US$0.4 million in the nine months ended September 30, 2016, compared to other gains, net of US$1.4 million in the same period in 2017. The change was primarily due to an decrease by US$1.7 million from US$0.4 million loss in the nine months ended September 30, 2016 to US$1.3 million gain in the same period in 2017 in net exchange gain mainly due to the depreciation of Renminbi against the US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fair value gain on derivative liabilities was US$1.5 million in the nine months ended September 30, 2016, compared to a fair value loss on derivative liabilities of US$7.1 million in the same period in 2017. The fair value gain or loss on derivative liabilities related to our preferred shares, the conversion and redemption features of which are required to be bifurcated and accounted for as derivative liabilities. The fair value gain on derivative liabilities of US$1.5 million in the nine months ended September 30, 2016 was primarily related to our series A, B and E preferred shares. The fair value loss on derivative liabilities of US$7.1 million in the nine months ended September 30, 2017 was primarily due to an increase in our enterprise value as a result of decrease in lack of marketability discount as we are approaching an initial public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recorded an income tax benefit of US$0.2 million in the nine months ended September 30, 2016 and an income tax expense of US$0.5 million in the same period in 2017. Such change was resulted from fluctuations of composition of loss/profit before tax of our Hong Kong and PRC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result of the foregoing, our net loss increased by 89.5% from US$8.4 million in the nine months ended September 30, 2016 to US$15.9 million in the same period in 2017.</w:t>
      </w:r>
    </w:p>
    <w:p>
      <w:pPr>
        <w:spacing w:after="0" w:line="275" w:lineRule="exact"/>
        <w:rPr>
          <w:sz w:val="20"/>
          <w:szCs w:val="20"/>
          <w:color w:val="auto"/>
        </w:rPr>
      </w:pPr>
    </w:p>
    <w:p>
      <w:pPr>
        <w:ind w:right="544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00" w:firstLine="456"/>
        <w:spacing w:after="0" w:line="342" w:lineRule="auto"/>
        <w:rPr>
          <w:sz w:val="20"/>
          <w:szCs w:val="20"/>
          <w:color w:val="auto"/>
        </w:rPr>
      </w:pPr>
      <w:r>
        <w:rPr>
          <w:rFonts w:ascii="Arial" w:cs="Arial" w:eastAsia="Arial" w:hAnsi="Arial"/>
          <w:sz w:val="16"/>
          <w:szCs w:val="16"/>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6350</wp:posOffset>
            </wp:positionV>
            <wp:extent cx="1226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700"/>
        <w:spacing w:after="0"/>
        <w:tabs>
          <w:tab w:leader="none" w:pos="107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-3175</wp:posOffset>
            </wp:positionV>
            <wp:extent cx="12261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3"/>
          <w:szCs w:val="13"/>
          <w:b w:val="1"/>
          <w:bCs w:val="1"/>
          <w:color w:val="auto"/>
        </w:rPr>
        <w:t>(US$ in thousands, except %)</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(34,531)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170"/>
              <w:spacing w:after="0"/>
              <w:rPr>
                <w:sz w:val="20"/>
                <w:szCs w:val="20"/>
                <w:color w:val="auto"/>
              </w:rPr>
            </w:pPr>
            <w:r>
              <w:rPr>
                <w:rFonts w:ascii="Arial" w:cs="Arial" w:eastAsia="Arial" w:hAnsi="Arial"/>
                <w:sz w:val="18"/>
                <w:szCs w:val="18"/>
                <w:color w:val="auto"/>
              </w:rPr>
              <w:t>30,711</w:t>
            </w:r>
          </w:p>
        </w:tc>
        <w:tc>
          <w:tcPr>
            <w:tcW w:w="920" w:type="dxa"/>
            <w:vAlign w:val="bottom"/>
          </w:tcPr>
          <w:p>
            <w:pPr>
              <w:jc w:val="right"/>
              <w:spacing w:after="0"/>
              <w:rPr>
                <w:sz w:val="20"/>
                <w:szCs w:val="20"/>
                <w:color w:val="auto"/>
              </w:rPr>
            </w:pPr>
            <w:r>
              <w:rPr>
                <w:rFonts w:ascii="Arial" w:cs="Arial" w:eastAsia="Arial" w:hAnsi="Arial"/>
                <w:sz w:val="18"/>
                <w:szCs w:val="18"/>
                <w:color w:val="auto"/>
              </w:rPr>
              <w:t>34,309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160"/>
        <w:spacing w:after="0" w:line="271" w:lineRule="auto"/>
        <w:rPr>
          <w:sz w:val="20"/>
          <w:szCs w:val="20"/>
          <w:color w:val="auto"/>
        </w:rPr>
      </w:pPr>
      <w:r>
        <w:rPr>
          <w:rFonts w:ascii="Arial" w:cs="Arial" w:eastAsia="Arial" w:hAnsi="Arial"/>
          <w:sz w:val="17"/>
          <w:szCs w:val="17"/>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420"/>
        <w:spacing w:after="0" w:line="261"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profitability and liquidity.</w:t>
      </w:r>
    </w:p>
    <w:p>
      <w:pPr>
        <w:spacing w:after="0" w:line="89" w:lineRule="exact"/>
        <w:rPr>
          <w:rFonts w:ascii="Arial" w:cs="Arial" w:eastAsia="Arial" w:hAnsi="Arial"/>
          <w:sz w:val="16"/>
          <w:szCs w:val="16"/>
          <w:color w:val="auto"/>
        </w:rPr>
      </w:pPr>
    </w:p>
    <w:p>
      <w:pPr>
        <w:ind w:left="900" w:right="120" w:hanging="325"/>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of US$18.2 million related to share based compensation of US$17.6 million to one of our founders and certain other employees in the fourth quarter of 2016, and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9" w:lineRule="auto"/>
        <w:rPr>
          <w:sz w:val="20"/>
          <w:szCs w:val="20"/>
          <w:color w:val="auto"/>
        </w:rPr>
      </w:pPr>
      <w:r>
        <w:rPr>
          <w:rFonts w:ascii="Arial" w:cs="Arial" w:eastAsia="Arial" w:hAnsi="Arial"/>
          <w:sz w:val="17"/>
          <w:szCs w:val="17"/>
          <w:color w:val="auto"/>
        </w:rPr>
        <w:t>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77" w:lineRule="exact"/>
        <w:rPr>
          <w:sz w:val="20"/>
          <w:szCs w:val="20"/>
          <w:color w:val="auto"/>
        </w:rPr>
      </w:pPr>
    </w:p>
    <w:p>
      <w:pPr>
        <w:ind w:left="900" w:right="6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US$0.5 million, or 5.9%, from US$8.1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For the Three Months Ended,</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(US$ 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25,384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(15,826)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(16,844)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(16,201)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(19,527)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(22,904)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(7,015)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(6,650)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(5,588)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(11,393)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(10,933)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(29,239)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(10,762)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(9,186)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(3,073)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(4,543)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1,674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(7,297)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(8,019)</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benefit/(expenses)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(loss)/profit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798"/>
              <w:spacing w:after="0"/>
              <w:rPr>
                <w:sz w:val="20"/>
                <w:szCs w:val="20"/>
                <w:color w:val="auto"/>
              </w:rPr>
            </w:pPr>
            <w:r>
              <w:rPr>
                <w:rFonts w:ascii="Arial" w:cs="Arial" w:eastAsia="Arial" w:hAnsi="Arial"/>
                <w:sz w:val="18"/>
                <w:szCs w:val="18"/>
                <w:color w:val="auto"/>
                <w:w w:val="93"/>
              </w:rPr>
              <w:t>114</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operating and financial metrics for each of the quarters for the period between April 1, 2016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2016</w:t>
            </w:r>
          </w:p>
        </w:tc>
        <w:tc>
          <w:tcPr>
            <w:tcW w:w="156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September 30, 2016</w:t>
            </w:r>
          </w:p>
        </w:tc>
        <w:tc>
          <w:tcPr>
            <w:tcW w:w="15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156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March 31, 2017</w:t>
            </w: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2017</w:t>
            </w:r>
          </w:p>
        </w:tc>
        <w:tc>
          <w:tcPr>
            <w:tcW w:w="1400" w:type="dxa"/>
            <w:vAlign w:val="bottom"/>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w w:val="94"/>
              </w:rPr>
              <w:t>September 30, 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20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gross</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Metrics:</w:t>
            </w: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Gross billing</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60,359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61,138</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56,441</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46,879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56,541</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58,434</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Gross billing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26,546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33,585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28,447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24,993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38,038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41,407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35"/>
        </w:trPr>
        <w:tc>
          <w:tcPr>
            <w:tcW w:w="2120" w:type="dxa"/>
            <w:vAlign w:val="bottom"/>
          </w:tcPr>
          <w:p>
            <w:pPr>
              <w:ind w:left="260"/>
              <w:spacing w:after="0" w:line="135" w:lineRule="exact"/>
              <w:rPr>
                <w:sz w:val="20"/>
                <w:szCs w:val="20"/>
                <w:color w:val="auto"/>
              </w:rPr>
            </w:pPr>
            <w:r>
              <w:rPr>
                <w:rFonts w:ascii="Arial" w:cs="Arial" w:eastAsia="Arial" w:hAnsi="Arial"/>
                <w:sz w:val="13"/>
                <w:szCs w:val="13"/>
                <w:color w:val="auto"/>
                <w:w w:val="97"/>
              </w:rPr>
              <w:t>Gross billing from other solutions</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33,813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27,553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45.1</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27,994</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49.6</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21,886</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18,503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32.7</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17,027</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Metrics: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Net revenues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24,048</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39.8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24,704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40.4</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25,384</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45.0</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25,884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55.2</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29,857</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52.8</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29,756</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Net revenues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24,991</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13,688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17,501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15,743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18,170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72.7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24,092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63.3</w:t>
            </w:r>
          </w:p>
        </w:tc>
        <w:tc>
          <w:tcPr>
            <w:tcW w:w="840" w:type="dxa"/>
            <w:vAlign w:val="bottom"/>
            <w:gridSpan w:val="2"/>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rPr>
                <w:sz w:val="20"/>
                <w:szCs w:val="20"/>
                <w:color w:val="auto"/>
              </w:rPr>
            </w:pPr>
            <w:r>
              <w:rPr>
                <w:rFonts w:ascii="Arial" w:cs="Arial" w:eastAsia="Arial" w:hAnsi="Arial"/>
                <w:sz w:val="13"/>
                <w:szCs w:val="13"/>
                <w:color w:val="auto"/>
                <w:w w:val="94"/>
              </w:rPr>
              <w:t>Net revenues from other solutions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10,360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30.6</w:t>
            </w:r>
          </w:p>
        </w:tc>
        <w:tc>
          <w:tcPr>
            <w:tcW w:w="640" w:type="dxa"/>
            <w:vAlign w:val="bottom"/>
          </w:tcPr>
          <w:p>
            <w:pPr>
              <w:jc w:val="right"/>
              <w:spacing w:after="0"/>
              <w:rPr>
                <w:sz w:val="20"/>
                <w:szCs w:val="20"/>
                <w:color w:val="auto"/>
              </w:rPr>
            </w:pPr>
            <w:r>
              <w:rPr>
                <w:rFonts w:ascii="Arial" w:cs="Arial" w:eastAsia="Arial" w:hAnsi="Arial"/>
                <w:sz w:val="13"/>
                <w:szCs w:val="13"/>
                <w:color w:val="auto"/>
              </w:rPr>
              <w:t>7,203</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26.1</w:t>
            </w:r>
          </w:p>
        </w:tc>
        <w:tc>
          <w:tcPr>
            <w:tcW w:w="640" w:type="dxa"/>
            <w:vAlign w:val="bottom"/>
          </w:tcPr>
          <w:p>
            <w:pPr>
              <w:jc w:val="right"/>
              <w:spacing w:after="0"/>
              <w:rPr>
                <w:sz w:val="20"/>
                <w:szCs w:val="20"/>
                <w:color w:val="auto"/>
              </w:rPr>
            </w:pPr>
            <w:r>
              <w:rPr>
                <w:rFonts w:ascii="Arial" w:cs="Arial" w:eastAsia="Arial" w:hAnsi="Arial"/>
                <w:sz w:val="13"/>
                <w:szCs w:val="13"/>
                <w:color w:val="auto"/>
              </w:rPr>
              <w:t>9,641</w:t>
            </w:r>
          </w:p>
        </w:tc>
        <w:tc>
          <w:tcPr>
            <w:tcW w:w="2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34.4</w:t>
            </w:r>
          </w:p>
        </w:tc>
        <w:tc>
          <w:tcPr>
            <w:tcW w:w="620" w:type="dxa"/>
            <w:vAlign w:val="bottom"/>
          </w:tcPr>
          <w:p>
            <w:pPr>
              <w:jc w:val="right"/>
              <w:spacing w:after="0"/>
              <w:rPr>
                <w:sz w:val="20"/>
                <w:szCs w:val="20"/>
                <w:color w:val="auto"/>
              </w:rPr>
            </w:pPr>
            <w:r>
              <w:rPr>
                <w:rFonts w:ascii="Arial" w:cs="Arial" w:eastAsia="Arial" w:hAnsi="Arial"/>
                <w:sz w:val="13"/>
                <w:szCs w:val="13"/>
                <w:color w:val="auto"/>
              </w:rPr>
              <w:t>7,714</w:t>
            </w:r>
          </w:p>
        </w:tc>
        <w:tc>
          <w:tcPr>
            <w:tcW w:w="2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35.2</w:t>
            </w:r>
          </w:p>
        </w:tc>
        <w:tc>
          <w:tcPr>
            <w:tcW w:w="640" w:type="dxa"/>
            <w:vAlign w:val="bottom"/>
          </w:tcPr>
          <w:p>
            <w:pPr>
              <w:jc w:val="right"/>
              <w:spacing w:after="0"/>
              <w:rPr>
                <w:sz w:val="20"/>
                <w:szCs w:val="20"/>
                <w:color w:val="auto"/>
              </w:rPr>
            </w:pPr>
            <w:r>
              <w:rPr>
                <w:rFonts w:ascii="Arial" w:cs="Arial" w:eastAsia="Arial" w:hAnsi="Arial"/>
                <w:sz w:val="13"/>
                <w:szCs w:val="13"/>
                <w:color w:val="auto"/>
              </w:rPr>
              <w:t>5,765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31.2</w:t>
            </w:r>
          </w:p>
        </w:tc>
        <w:tc>
          <w:tcPr>
            <w:tcW w:w="640" w:type="dxa"/>
            <w:vAlign w:val="bottom"/>
          </w:tcPr>
          <w:p>
            <w:pPr>
              <w:jc w:val="right"/>
              <w:spacing w:after="0"/>
              <w:rPr>
                <w:sz w:val="20"/>
                <w:szCs w:val="20"/>
                <w:color w:val="auto"/>
              </w:rPr>
            </w:pPr>
            <w:r>
              <w:rPr>
                <w:rFonts w:ascii="Arial" w:cs="Arial" w:eastAsia="Arial" w:hAnsi="Arial"/>
                <w:sz w:val="13"/>
                <w:szCs w:val="13"/>
                <w:color w:val="auto"/>
              </w:rPr>
              <w:t>4,765</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2120" w:type="dxa"/>
            <w:vAlign w:val="bottom"/>
          </w:tcPr>
          <w:p>
            <w:pPr>
              <w:spacing w:after="0"/>
              <w:rPr>
                <w:sz w:val="20"/>
                <w:szCs w:val="20"/>
                <w:color w:val="auto"/>
              </w:rPr>
            </w:pPr>
            <w:r>
              <w:rPr>
                <w:rFonts w:ascii="Arial" w:cs="Arial" w:eastAsia="Arial" w:hAnsi="Arial"/>
                <w:sz w:val="13"/>
                <w:szCs w:val="13"/>
                <w:color w:val="auto"/>
              </w:rPr>
              <w:t>Adjusted 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(2,342)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(2,238)</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(2,284)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(3,479)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(2,123)</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(1,821)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340" w:right="280" w:hanging="332"/>
        <w:spacing w:after="0" w:line="253"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EBITDA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For the Three Months Ended,</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9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(US$ in thousands)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(loss)/profit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(1,795)</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(18,949)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(12,004)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7"/>
              </w:rPr>
              <w:t>(10,241)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Add/(less):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140</w:t>
            </w: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224</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141</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(benefit)/expense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EBITDA</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(16,747)</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(10,436)</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(8,088)</w:t>
            </w:r>
          </w:p>
        </w:tc>
        <w:tc>
          <w:tcPr>
            <w:tcW w:w="880" w:type="dxa"/>
            <w:vAlign w:val="bottom"/>
          </w:tcPr>
          <w:p>
            <w:pPr>
              <w:jc w:val="right"/>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922</w:t>
            </w:r>
          </w:p>
        </w:tc>
        <w:tc>
          <w:tcPr>
            <w:tcW w:w="88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18,458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1,062</w:t>
            </w: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861</w:t>
            </w: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loss/(gain) on derivative liabilities</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4,543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(2,498)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7,297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(7,671)</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Share of loss from an equity investee</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in relation to the acquisition of OptAim</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Other gains/(losses), net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165</w:t>
            </w: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(1,911)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net loss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8"/>
              </w:rPr>
              <w:t>For the Three Months Ended,</w:t>
            </w: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(US$ in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(loss)/profit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(7,972)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(10,241)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Add: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18,458</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4,543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(1,674)</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(2,498)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7,430</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as we continued to optimize the client base for our other solutions to focus on sales profitability and liquidity, we may experience decrease in gross billing for a particular period. Furthermore, our ability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retain and attract clients may be affected by the competitiveness of our pricing and credit terms for our clients,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clients or attract new ones could adversely impact our business and results of operations.”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September 30, 2017, we had US$21.8 million in cash and cash equivalents, and borrowing capacity of US$12.1 million under our revolving credit facilities and term loan facilities of a total principal amount of US$19.9 million. As of September 30, 2017, our cash and cash equivalents primarily consisted of cash on hand, cash held at bank, and time deposits placed with banks or other financial institutions, which have original maturities of three months or less. As of September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gridSpan w:val="2"/>
          </w:tcPr>
          <w:p>
            <w:pPr>
              <w:jc w:val="right"/>
              <w:ind w:right="1028"/>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from/(used in) operating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(9,797)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299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(5,280)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investing activities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(3,493)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(2,612)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5,092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(5,084)</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on exchange rate changes on cash and cash</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(187)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(30,504)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16,947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1,898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41,131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10,395</w:t>
            </w:r>
          </w:p>
        </w:tc>
        <w:tc>
          <w:tcPr>
            <w:tcW w:w="2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10,395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10,395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27,280</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12,106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21,873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amounted to US$5.3 million in the nine months ended September 30, 2017, which was mainly attributable to a net loss of US$15.9 million and a net decrease in working capital of US$2.9 million, partially offset by non-cash items of US$13.5 million. The net decrease in working capital of US$2.9 million was primarily attributable to a decrease in accounts payable of US$6.1 million and a decrease in accrued liabilities and other current liabilities of US$4.3 million, partially offset by an increase in deferred revenue of US$4.2 million. The non-cash items of US$13.5 million were primarily attributable to fair value loss on derivative liabilities of US$7.1 million due to an increase in our enterprise value as a result of a decrease in lack of marketability discount as we are approaching an initial public offering, amortization of intangible assets of US$3.2 million relating to intangible asset and share-based compensation of US$2.8 million.</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US$2.3 million. The increase in deferred revenue of US$10.8 million was primarily driven by an increase in receipt in advance from clients. The increase in prepaid media cost of US$9.6 million was primarily driven by an increase in prepaid media cost under our sales agency arrangement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provided by investing activities in the nine months ended September 30, 2017 was US$5.1 million, due to a decrease in restricted cash of US$5.2 million.</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used in financing activities in the nine months ended September 30, 2017 was US$5.1 million, which was primarily attributable to repayments from bank borrowings of US$5.1 million.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made capital expenditures of US$2.7 million, US$0.9 million and US$0.1 million in 2015, 2016 and the nine months ended September 30, 2017, respectively. In these periods, our capital expenditures were mainly used for the purchase of property and equipment and purchase of software. Our capital expenditures for 2017 are expected to be approximately US$0.5 million, consisting primarily of expenditures related to the purchase of property and equipment and purchase of software. We will continue to make capital expenditures to support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Payment Due by Period</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Less than 1 year</w:t>
            </w:r>
          </w:p>
        </w:tc>
        <w:tc>
          <w:tcPr>
            <w:tcW w:w="1000" w:type="dxa"/>
            <w:vAlign w:val="bottom"/>
            <w:gridSpan w:val="2"/>
          </w:tcPr>
          <w:p>
            <w:pPr>
              <w:jc w:val="center"/>
              <w:ind w:left="482"/>
              <w:spacing w:after="0" w:line="119" w:lineRule="exact"/>
              <w:rPr>
                <w:sz w:val="20"/>
                <w:szCs w:val="20"/>
                <w:color w:val="auto"/>
              </w:rPr>
            </w:pPr>
            <w:r>
              <w:rPr>
                <w:rFonts w:ascii="Arial" w:cs="Arial" w:eastAsia="Arial" w:hAnsi="Arial"/>
                <w:sz w:val="13"/>
                <w:szCs w:val="13"/>
                <w:b w:val="1"/>
                <w:bCs w:val="1"/>
                <w:color w:val="auto"/>
              </w:rPr>
              <w:t>1-</w:t>
            </w:r>
          </w:p>
        </w:tc>
        <w:tc>
          <w:tcPr>
            <w:tcW w:w="620" w:type="dxa"/>
            <w:vAlign w:val="bottom"/>
          </w:tcPr>
          <w:p>
            <w:pPr>
              <w:spacing w:after="0"/>
              <w:rPr>
                <w:sz w:val="10"/>
                <w:szCs w:val="10"/>
                <w:color w:val="auto"/>
              </w:rPr>
            </w:pPr>
          </w:p>
        </w:tc>
        <w:tc>
          <w:tcPr>
            <w:tcW w:w="4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3-</w:t>
            </w:r>
          </w:p>
        </w:tc>
        <w:tc>
          <w:tcPr>
            <w:tcW w:w="6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3 years</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6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10,371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9,951</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operating lease obligations relate to our leases of office premises. We lease our office premises under a non-cancelable operating lease arrangement. Rental expenses under operating leases for 2016 and the nine months ended September 30, 2017 were US$3.0 million and US$2.0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(US$7.5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(US$9.0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2017, when the loan matures and the principal is due and payable. We are allowed to voluntarily prepay the loan without prepayment charges. As of September 30, 2017, the total outstanding amount of the revolving loan was RMB30 million (US$4.6 million) and RMB20 million (US$3.0 million) was available to be drawn under this facility.</w:t>
      </w:r>
    </w:p>
    <w:p>
      <w:pPr>
        <w:spacing w:after="0" w:line="16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right="20" w:firstLine="8"/>
        <w:spacing w:after="0" w:line="267" w:lineRule="auto"/>
        <w:tabs>
          <w:tab w:leader="none" w:pos="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September 30, 2017, the total outstanding amount of the term loan was approximately US$0.3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September 30, 2017, the total outstanding amount under the revolving loan was US$2,950,000 and US$50,000 was available to be drawn under this facility. This loan also contains certain repayable on demand clause.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September 30, 2017, we had no outstanding balance under this revolving loan.</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The non-revolving loan was fully repaid on July 28, 2017.</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(US$4.5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September 30, 2017, we had not drawn down under this revolving loan.</w:t>
      </w:r>
    </w:p>
    <w:p>
      <w:pPr>
        <w:spacing w:after="0" w:line="16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September 30, 2017, we had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Renminbi-denominated cash and cash equivalents, accounts receivable, prepaid cost and deferred revenue of RMB39.8 million, RMB164.0 million, RMB221.0 million and RMB186.0 million, respectively. We estimate that a 10% depreciation of Renminbi against the U.S. dollar based on the foreign exchange rate on September 30, 2017 would result in a change of our holding U.S. dollar equivalents of US$(0.6) million, US$(2.3) million, US$(3.1) million and US$2.6 million for cash and cash equivalents, accounts receivable, prepaid cost and deferred revenue, respectively.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September 30, 2017 would result in a decrease of US$5.3 million and US$4.1 million in our net revenues and cost of revenues in the nine months ended September 30, 2016, respectively, and a 10% depreciation of Renminbi against the U.S. dollar based on the foreign exchange rate on September 30, 2017 would result in a decrease of US$7.1 million and US$6.3 million in our net revenues and cost of revenues in the nine months ended September 30, 2017, respectively.</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September 30, 2017 was at floating rates.</w:t>
      </w:r>
    </w:p>
    <w:p>
      <w:pPr>
        <w:spacing w:after="0" w:line="166"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September 30, 2017, if interest rates increased/decreased by 1%, with all other variables having remained constant, and assuming the amount of bank borrowings outstanding at the end of the year was outstanding for the entire year, our net loss would have been US$78,452 higher/lower, respectively. These were mainly as a result of higher/lower interest expense for our bank borrowings at floating rates.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in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172085</wp:posOffset>
            </wp:positionV>
            <wp:extent cx="4373880" cy="1397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80"/>
          </w:cols>
          <w:pgMar w:left="24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differences between China’s online marketing market and US’s online marketing market include:</w:t>
      </w:r>
    </w:p>
    <w:p>
      <w:pPr>
        <w:spacing w:after="0" w:line="131" w:lineRule="exact"/>
        <w:rPr>
          <w:sz w:val="20"/>
          <w:szCs w:val="20"/>
          <w:color w:val="auto"/>
        </w:rPr>
      </w:pPr>
    </w:p>
    <w:p>
      <w:pPr>
        <w:ind w:left="900" w:right="40" w:hanging="325"/>
        <w:spacing w:after="0" w:line="289"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Diverse marketing technology market in China compared to concentrated online marketing market in the US. </w:t>
      </w:r>
      <w:r>
        <w:rPr>
          <w:rFonts w:ascii="Arial" w:cs="Arial" w:eastAsia="Arial" w:hAnsi="Arial"/>
          <w:sz w:val="16"/>
          <w:szCs w:val="16"/>
          <w:color w:val="auto"/>
        </w:rPr>
        <w:t>In the US, the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72"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Growth of real time bidding, or RTB-based display in China</w:t>
      </w:r>
      <w:r>
        <w:rPr>
          <w:rFonts w:ascii="Arial" w:cs="Arial" w:eastAsia="Arial" w:hAnsi="Arial"/>
          <w:sz w:val="18"/>
          <w:szCs w:val="18"/>
          <w:color w:val="auto"/>
        </w:rPr>
        <w:t>. Driven by the rapid development of marketing technology in China, RTB-based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technologies that assist marketers in accomplishing marketing objectives, and include client relationship management system, or CRM</w:t>
      </w:r>
      <w:r>
        <w:rPr>
          <w:rFonts w:ascii="Arial" w:cs="Arial" w:eastAsia="Arial" w:hAnsi="Arial"/>
          <w:sz w:val="18"/>
          <w:szCs w:val="18"/>
          <w:i w:val="1"/>
          <w:iCs w:val="1"/>
          <w:color w:val="auto"/>
        </w:rPr>
        <w:t xml:space="preserve"> </w:t>
      </w:r>
      <w:r>
        <w:rPr>
          <w:rFonts w:ascii="Arial" w:cs="Arial" w:eastAsia="Arial" w:hAnsi="Arial"/>
          <w:sz w:val="18"/>
          <w:szCs w:val="18"/>
          <w:color w:val="auto"/>
        </w:rPr>
        <w:t>system, marketing automation, account-based marketing, or ABM, project and product management tools.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More focused business model</w:t>
      </w:r>
      <w:r>
        <w:rPr>
          <w:rFonts w:ascii="Arial" w:cs="Arial" w:eastAsia="Arial" w:hAnsi="Arial"/>
          <w:sz w:val="16"/>
          <w:szCs w:val="16"/>
          <w:color w:val="auto"/>
        </w:rPr>
        <w:t>. The primary business focus and business models of large internet companies with extensive resources of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Baidu, Alibaba, and Tencent, are not marketing technology-oriented or to provide tailored marketing services to advertisers. Independent marketing technology companies focus on marketing technology and provide customized solutions and services to advertisers.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134620</wp:posOffset>
            </wp:positionV>
            <wp:extent cx="4699635" cy="2238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1475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clients with one-stop access to a wide variety of cross-channel content distribution opportunities, including those from the leading online publishers in China. We offer both mobile audience solutions and other solutions based on channels desired by our clients. In the 30 days leading up to September 30, 2017, we covered approximately 74,000 mobile apps and 2.6 million websites. We work closely with our content distribution partners to facilitate innovative and effective audience engagement. In the nine months ended September 30, 2017, our gross billing from mobile audience solutions and other solutions amounted to US$104.5 million and US$57.4 million, respectively.</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our client base for other solutions to focus on profitability and liquidity. Our net revenues grew by 46.2% from US$65.2 million in 2015 to US$95.4 million in 2016 and grew by 22.1% from US$70.0 million in the nine months ended September 30, 2016 to US$85.5 million in the same period in 2017. Our net loss was US$39.7 million and US$27.3 million in 2015 and 2016, respectively, and US$8.4 million and US$15.9 million in the nine months ended September 30, 2016 and 2017,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the largest independent online marketing technology platform in China in terms of gross billing in 2016, according to Frost &amp; Sullivan.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gross billing reached US$179.8 million and US$161.9 million in 2016 and the nine months ended September 30, 2017, leading to net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US$70.0 million and US$85.5 million during these periods. We are also one of the first independent online marketing technology platforms in China to apply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data-driven approach to address marketers’ needs, according to Frost &amp; Sullivan.</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measuring of the results of online marketing campaigns, to creating content catering to their potential customers across different channels. We offer both mobile audience solutions and other solutions based on channels desired by our clients. Our clients may choose to access our solutions through either self-service or managed service, which we believe are well suited to the current development stage of online marketing in China. Sophisticated marketers can access our solutions through self-service to run their campaigns on an “a-la-carte”, cost-effective basis. Through managed service, our account management team provides in-depth services utilizing our solutions, enables marketers to navigate through complicated and fragmented online marketing landscapes and manage their marketing activities based on specified objectives and budgets. Managed service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had the largest Chinese consumer data 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14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demographics, geographic location, device preference, spending history, personal interest and other online or offline behavioral pattern, which can be targeted for marketing campaigns by specific industry verticals. These user profiles are continually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occurs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client base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effective and flexible solutions, sophisticated data analytics capabilities, and market leadership position have earned us a strong and diverse client base from a broad range of industry verticals, including banking and finance, entertainment and media, and E-commerce. Our clients included over 150 multinational companies in both 2016 and nine months ended September 30, 2017, respectively, making us the No.1 independent online marketing technology platform bridging the largest number of multinational companies to the Chinese market, according to Frost &amp; Sullivan.</w:t>
      </w:r>
    </w:p>
    <w:p>
      <w:pPr>
        <w:spacing w:after="0" w:line="17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to multinational companies, our diverse client base also includes small and medium-sized enterprises. We provide tailored and user-friendly solutions to cater to marketers and marketing agencies of different levels of sophistication and from different industry verticals. This allows us to serve a wide spectrum of clients to capture the growth potentials in the market segments or industry verticals that they represent.</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Through our close working relationship with direct marketer clients, we are able to better understand and anticipate market trends, customize our solutions, foster closer client relationships and increase client loyalty and retention. We derived over 70% of our gross billing from direct marketer clients in 2015 and 2016 and around 60% of our gross billing from direct marketer clients in the nine months ended September 30, 2017. Our gross billing per client increased by 47.5% from US$67,413 in 2015 to US$99,433 in 2016. Our gross billing per client increased by 22.5% from US$86,489 in the nine months ended September 30, 2016 to US$105,925 in the same period in 2017. All of these demonstrate the stickiness of our platform and the strength of our solutions in addressing direct marketer clients’ needs through differentiated and tailored service offerings.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2.6 million websites in the 30 days leading up to September 30, 2017, to help marketers, especially multinational marketers, navigate the fragmented landscape to identify and reach their potential customers. In 2016, we derived approximately 30% of our gross billing from clients outside of China as measured by the location of our sales offices. We are also familiar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success is attributable to the deep industry experience and proven execution track record of our senior management team, with global perspectives and insightful knowledge in both technology and the online marketing industry. Our business is led by Sammy Hsieh, our chief executive officer and co-founder, Jian Tang,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team has guided us through the development of the online marketing industry in recent years, ensuring that our products and services continue to be attractive to clients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client base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plan to continue to optimize and diversify our client base, including attracting clients to use our 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3"/>
          <w:szCs w:val="13"/>
          <w:color w:val="auto"/>
        </w:rPr>
        <w:t>nd</w:t>
      </w:r>
      <w:r>
        <w:rPr>
          <w:rFonts w:ascii="Arial" w:cs="Arial" w:eastAsia="Arial" w:hAnsi="Arial"/>
          <w:sz w:val="16"/>
          <w:szCs w:val="16"/>
          <w:color w:val="auto"/>
        </w:rPr>
        <w:t xml:space="preserve"> tier and 3</w:t>
      </w:r>
      <w:r>
        <w:rPr>
          <w:rFonts w:ascii="Arial" w:cs="Arial" w:eastAsia="Arial" w:hAnsi="Arial"/>
          <w:sz w:val="13"/>
          <w:szCs w:val="13"/>
          <w:color w:val="auto"/>
        </w:rPr>
        <w:t>rd</w:t>
      </w:r>
      <w:r>
        <w:rPr>
          <w:rFonts w:ascii="Arial" w:cs="Arial" w:eastAsia="Arial" w:hAnsi="Arial"/>
          <w:sz w:val="16"/>
          <w:szCs w:val="16"/>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clients’ needs and preferences in mobile marketing campaigns and expanding and deepening cooperation with mobile content distribution channels to capture a larger share of online marketing spend on mobile channels. We also strive to diversify our client base and penetrate into new industry verticals and geographical markets to capture more growth opportunities. We plan to launch solutions with industry-specific features, such as more user data packages with industry focus, and interfaces to attract marketers and marketing agencies in additional industry verticals. In addition, we intend to continue to open overseas offices, increase our international presence and attract more overseas clients with timely and localized support. We plan to add new features to our existing solutions that are particularly relevant to overseas clients, such as multi-language, currency and time zone settings. Furthermore, we plan to roll out our self-service model in the overseas market to cater to more multinational companies. We believe this will empower a growing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number of multinational clients to transact in an automated fashion with minimal additional sales and marketing inputs from us, enabling us to scale up operations efficiently.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marketing spend on our platform</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strive to increase marketing spend of our clients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second quarter of 2018. In addition, we are working on new partnership initiatives, which would make third-party applications available to our clients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clients better monitor and optimize their campaigns.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marketers, publishers and other third parties to increase the dimensions and varieties of our data assets. We plan to work on further integration of data management platforms of our clients,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marketer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168910</wp:posOffset>
            </wp:positionV>
            <wp:extent cx="4931410" cy="3404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second quarter of 2018.</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74,000 mobile apps and 2.6 million websites that we covered, we analyzed approximately 633.5 million active profiled users in China in the 30 days leading up to September 30, 2017. According to the China Internet Network Information Center, or CNNIC, there were 731 million internet users and 695 million mobile internet users in China as of December 31, 2016. The average daily volume of the data we collected reached 0.9 terabytes in the 30 days leading up to September 30,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September 30, 2017, we analyzed approximately 633.5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September 30, 2017, we had designed an aggregate of 186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29" w:lineRule="exact"/>
        <w:rPr>
          <w:sz w:val="20"/>
          <w:szCs w:val="20"/>
          <w:color w:val="auto"/>
        </w:rPr>
      </w:pPr>
    </w:p>
    <w:p>
      <w:pPr>
        <w:ind w:left="900" w:right="100" w:hanging="325"/>
        <w:spacing w:after="0" w:line="30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60" w:hanging="325"/>
        <w:spacing w:after="0" w:line="27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100" w:hanging="325"/>
        <w:spacing w:after="0" w:line="288"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6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88.6% of our media costs in 2015, 2016 and nine months ended September 30, 2017, respectively. Media cost for content distribution opportunities on our largest channel partner in each of 2015, 2016 and the nine months ended September 30, 2017 accounted for 55.0%, 42.2% and 61.1% of our media costs during the relevant periods, respectively, and media costs for content distribution opportunities on our second largest channel partner in each of 2015, 2016 and the nine months ended September 30, 2017 accounted for 22.6%, 36.1% and 25.7%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September 30, 2017, we covered approximately 74,000 mobile apps and 2.6 million websites. In 2016, our gross billing from mobile audience solutions and other solutions amounted to US$112.4 million and US$123.9 million, accounting for 47.6% and 52.4% of our gross billing, respectively. In the nine months ended September 30, 2017, our gross billings from mobile audience solutions and other solutions amounted to US$104.5 million and US$57.4 million, accounting for 64.5% and 35.5% of our gross billing, respectively. In 2016, our net revenues from mobile audience solutions and other solutions amounted to US$57.8 million and US$37.6 million, accounting for 60.6% and 39.4% of our net revenue, respectively. In the nine months ended September 30, 2017, our net revenues from mobile audience solutions and other solutions amounted to US$67.3 million and US$18.2 million, accounting for 78.7% and 21.3% of our net revenues, respectively.</w:t>
      </w:r>
    </w:p>
    <w:p>
      <w:pPr>
        <w:spacing w:after="0" w:line="19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 relationship with us, or end marketers. During 2016, we had over 2,000 clients including over 1,800 direct marketer clients and over 500 marketing agency clients, which represented over 1,100 end marketers. In the nine months ended September 30, 2017, we had over 1,500 clients, including over 1,100 direct marketer clients and over 400 agency clients, which represented over 1,200 end marketers.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nine months ended September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 Please refer to “Management’s Discussion and Analysis of Financial Condition and Results of Operations — Key Components of Results of Operations — Net Revenues” for our net revenues breakdown by geographic region.</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clients in 2015 and 2016 and around 60% of our gross billing from direct marketer clients in the nine months ended September 30, 2017. We have been strategically optimizing the client base for other solutions to focus on profitability and liquidity. As a result of these efforts, our gross billing per client increased by US$32,020, or 47.5%, from US$67,413 in 2015 to US$99,433 in 2016, and by US$19,436, or 22.5%, from US$86,489 in the nine months ended September 30, 2016 to US$105,925 in the same period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26.5% from 2,079 in the nine months ended September 30, 2016 to 1,528 in the same period in 2017.</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the nine months ended September 30, 2017, we derived 11% of our net revenues from a marketer in the entertainment industry.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clients or attract new ones could adversely impact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September 30, 2017, we had 102 employees for sales and business development.</w:t>
      </w:r>
    </w:p>
    <w:p>
      <w:pPr>
        <w:spacing w:after="0" w:line="124"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5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2017, we had two patents in application in China, and 13 registered trademarks and trademark application in China and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2017, we had a total of 440 employees, decreasing by 20.6%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as we further integrated OptAim’s operations, which had been completed by June 30, 2017.</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software copyright owners, encouraging the development and application of computer software and promoting the development of software business.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40" w:firstLine="8"/>
        <w:spacing w:after="0" w:line="254"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prospectus.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Ad Lightning, Inc., 240 2</w:t>
      </w:r>
      <w:r>
        <w:rPr>
          <w:rFonts w:ascii="Arial" w:cs="Arial" w:eastAsia="Arial" w:hAnsi="Arial"/>
          <w:sz w:val="13"/>
          <w:szCs w:val="13"/>
          <w:color w:val="auto"/>
        </w:rPr>
        <w:t>nd</w:t>
      </w:r>
      <w:r>
        <w:rPr>
          <w:rFonts w:ascii="Arial" w:cs="Arial" w:eastAsia="Arial" w:hAnsi="Arial"/>
          <w:sz w:val="16"/>
          <w:szCs w:val="16"/>
          <w:color w:val="auto"/>
        </w:rPr>
        <w:t xml:space="preserve"> Ave. South, Suite 400, Seattle, WA 98104. The business address of Mr. Dylan Huang is Block C, Hengdian Building, No. 4 Wangjing East Road, Chaoyang District, Beijing, China. The business address of Ms. Honnus Cheung is Unit 3608, Level 36, AIA Tower, 183 Electric Road, Hong Kong.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Scott Moore*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Dylan Huang*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Honnus Cheung*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20" w:hanging="332"/>
        <w:spacing w:after="0" w:line="25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Each of Messrs. Scott Moore, Dylan Huang and Honnus Cheung has accepted our appointment to be a director of our company, effective upon the effectiveness of our registration statement on Form F-1, of which this prospectus is a part.</w:t>
      </w:r>
    </w:p>
    <w:p>
      <w:pPr>
        <w:spacing w:after="0" w:line="17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 xml:space="preserve">Mr. Yau Ping Ricky Ng </w:t>
      </w:r>
      <w:r>
        <w:rPr>
          <w:rFonts w:ascii="Arial" w:cs="Arial" w:eastAsia="Arial" w:hAnsi="Arial"/>
          <w:sz w:val="17"/>
          <w:szCs w:val="17"/>
          <w:color w:val="auto"/>
        </w:rPr>
        <w:t>is our director and co-founder. Mr. Ng has also served as director of both Aladdin Fintech (Beijing) Company Limited and</w:t>
      </w:r>
      <w:r>
        <w:rPr>
          <w:rFonts w:ascii="Arial" w:cs="Arial" w:eastAsia="Arial" w:hAnsi="Arial"/>
          <w:sz w:val="17"/>
          <w:szCs w:val="17"/>
          <w:i w:val="1"/>
          <w:iCs w:val="1"/>
          <w:color w:val="auto"/>
        </w:rPr>
        <w:t xml:space="preserve"> </w:t>
      </w:r>
      <w:r>
        <w:rPr>
          <w:rFonts w:ascii="Arial" w:cs="Arial" w:eastAsia="Arial" w:hAnsi="Arial"/>
          <w:sz w:val="17"/>
          <w:szCs w:val="17"/>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bachelor’s degree in computer science from the Chinese University of Hong Kong. Mr. Ng was named by Campaign Asia as “Digital A-list Digital Entrepreneur” in 2015 and Vmarketing as “Top 100 digital figures in 2011-2012.”</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was appointed as our director by SSG Capital in February 2011 in connection with its subscription of our ordinary and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Mr. Scott Moore </w:t>
      </w:r>
      <w:r>
        <w:rPr>
          <w:rFonts w:ascii="Arial" w:cs="Arial" w:eastAsia="Arial" w:hAnsi="Arial"/>
          <w:sz w:val="16"/>
          <w:szCs w:val="16"/>
          <w:color w:val="auto"/>
        </w:rPr>
        <w:t>will serve as our director commencing from the SEC’s declaration of effectiveness of our registration statement on Form F-1,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is a part. Mr. Moore is the founder, chief executive officer and member of the board of 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6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will serve as our director commencing from the SEC’s declaration of effectiveness of our registration statement on Form F-1,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this prospectus is a part. Mr. Huang has served as the corporate vice president, group chief technology officer and general manager at Tencent Online Media Group since 2008, leading its media’s mobile initiative. He was the senior lead program manager, program manager, software design engineer and software design engineer in test at Microsoft Corporation from 2001 to 2008. Prior to this, Mr. Huang served as product design manager at Hangzhou Fusheng Electrical Appliance Co., Ltd., previously named Fusheng Motor. Co. Mr. Huang received his bachelor’s degree and doctor’s degree in electrical engineering from Zhejiang University and his MBA degree from Washington Business School.</w:t>
      </w:r>
    </w:p>
    <w:p>
      <w:pPr>
        <w:spacing w:after="0" w:line="17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i w:val="1"/>
          <w:iCs w:val="1"/>
          <w:color w:val="auto"/>
        </w:rPr>
        <w:t xml:space="preserve">Ms. Honnus Cheung </w:t>
      </w:r>
      <w:r>
        <w:rPr>
          <w:rFonts w:ascii="Arial" w:cs="Arial" w:eastAsia="Arial" w:hAnsi="Arial"/>
          <w:sz w:val="16"/>
          <w:szCs w:val="16"/>
          <w:color w:val="auto"/>
        </w:rPr>
        <w:t>will serve as our director commencing from the SEC’s declaration of effectiveness of our registration statement on Form F-1,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this prospectus is a part. Ms. Cheung has served as the chief financial officer at Travelzoo, Asia Pacific since September 2015. Ms. Cheung served as the group chief financial officer of Travelzoo (Asia Pacific) Inc from November 2009 to August 2015 and the Asia Pacific chief financial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5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Upon the effectiveness of our registration statement on Form F-1, of which this prospectus is a part, our board of directors will consist of eight directors, 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the size of our board of directors shall be limited to nine.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7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color w:val="auto"/>
        </w:rPr>
        <w:t>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 Cheung,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9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Dylan Huang. Dylan Huang satisfies the “independence” requirements of the Listing Rules of the NASDAQ Stock Market. The compensation committee will assist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8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Wing Hong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75" w:lineRule="exact"/>
        <w:rPr>
          <w:sz w:val="20"/>
          <w:szCs w:val="20"/>
          <w:color w:val="auto"/>
        </w:rPr>
      </w:pPr>
    </w:p>
    <w:p>
      <w:pPr>
        <w:jc w:val="right"/>
        <w:ind w:right="500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48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260" w:firstLine="8"/>
        <w:spacing w:after="0" w:line="261"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twelve months ended December 31, 2016 and nine months ended September 30, 2017, we paid an aggregate of approximately US$1 million and US$0.7 million in cash to our executive officers, and we did not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1,542,793 ordinary shares are outstanding, including unvested options to purchase 501,144 ordinary shares, and vested and unexercised options to purchase 1,041,649 ordinary shares.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Vesting Schedule. </w:t>
      </w:r>
      <w:r>
        <w:rPr>
          <w:rFonts w:ascii="Arial" w:cs="Arial" w:eastAsia="Arial" w:hAnsi="Arial"/>
          <w:sz w:val="16"/>
          <w:szCs w:val="16"/>
          <w:color w:val="auto"/>
        </w:rPr>
        <w:t>Unless otherwise stated in respective grants, subject to forfeiture and arrangement on termination of employment or service, 25%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3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(US$/Share)</w:t>
            </w:r>
          </w:p>
        </w:tc>
        <w:tc>
          <w:tcPr>
            <w:tcW w:w="1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Yau</w:t>
            </w: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Ping Ricky 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4.800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21, 2013</w:t>
            </w: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0.2687 – 4.0304</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 2015</w:t>
            </w:r>
          </w:p>
        </w:tc>
        <w:tc>
          <w:tcPr>
            <w:tcW w:w="3080" w:type="dxa"/>
            <w:vAlign w:val="bottom"/>
          </w:tcPr>
          <w:p>
            <w:pPr>
              <w:spacing w:after="0"/>
              <w:rPr>
                <w:sz w:val="20"/>
                <w:szCs w:val="20"/>
                <w:color w:val="auto"/>
              </w:rPr>
            </w:pPr>
            <w:r>
              <w:rPr>
                <w:rFonts w:ascii="Arial" w:cs="Arial" w:eastAsia="Arial" w:hAnsi="Arial"/>
                <w:sz w:val="18"/>
                <w:szCs w:val="18"/>
                <w:color w:val="auto"/>
              </w:rPr>
              <w:t>August 1, 2025</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January 1, 2015</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2025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August 18, 2014</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July 1, 2024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1,272,342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0.0100 – 20.0000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April 1, 2011 to</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1, 2020 to April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Less than 1% of our total outstanding ordinary shares.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2017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 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calculations in the table below are based on 23,903,183 ordinary shares on an as-converted basis outstanding as of the date of this prospectus, which include all exercised options, but do not include granted but unexercised options, whether or not they are vested, and 25,778,183 ordinary shares outstanding immediately upon completion of this offering, assuming an initial offering price of US$8.50 per ADS, which is the midpoint of the estimated range, and assuming the number of ADSs offered by us as set forth on the cover page of the prospectus remains the same (and assuming the underwriters do not exercise their over-allotment option), including (i) 1,875,000 Class A ordinary shares to be sold by us in this offering in the form of ADSs, assuming the underwriters do not exercise their over-allotment option to purchase additional ADSs, (ii) 19,082,575 Class A ordinary shares into which all of our outstanding ordinary shares (other than 4,820,608 ordinary shares held by Mr. Sammy Hsieh and Mr. Jian Tang) and preferred shares will automatically convert and redesignate immediately prior to the completion of this offering on a one-for-one basis, and (iii) 4,820,608 Class B ordinary shares redesignated from the 4,820,608 outstanding ordinary shares held by Mr. Sammy Hsieh and Mr. Jian Tang immediately prior to the completion of this offering.</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60"/>
          </w:cols>
          <w:pgMar w:left="240" w:top="460" w:right="3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ind w:left="280"/>
              <w:spacing w:after="0"/>
              <w:rPr>
                <w:sz w:val="20"/>
                <w:szCs w:val="20"/>
                <w:color w:val="auto"/>
              </w:rPr>
            </w:pPr>
            <w:r>
              <w:rPr>
                <w:rFonts w:ascii="Arial" w:cs="Arial" w:eastAsia="Arial" w:hAnsi="Arial"/>
                <w:sz w:val="14"/>
                <w:szCs w:val="14"/>
                <w:b w:val="1"/>
                <w:bCs w:val="1"/>
                <w:color w:val="auto"/>
              </w:rPr>
              <w:t>Ordinary Shares Beneficially</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Owned After This Offering</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40" w:type="dxa"/>
            <w:vAlign w:val="bottom"/>
            <w:gridSpan w:val="3"/>
            <w:vMerge w:val="restart"/>
          </w:tcPr>
          <w:p>
            <w:pPr>
              <w:jc w:val="center"/>
              <w:ind w:left="314"/>
              <w:spacing w:after="0"/>
              <w:rPr>
                <w:sz w:val="20"/>
                <w:szCs w:val="20"/>
                <w:color w:val="auto"/>
              </w:rPr>
            </w:pPr>
            <w:r>
              <w:rPr>
                <w:rFonts w:ascii="Arial" w:cs="Arial" w:eastAsia="Arial" w:hAnsi="Arial"/>
                <w:sz w:val="14"/>
                <w:szCs w:val="14"/>
                <w:b w:val="1"/>
                <w:bCs w:val="1"/>
                <w:color w:val="auto"/>
                <w:w w:val="95"/>
              </w:rPr>
              <w:t>Ordinary Shares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Total Ordinary</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Class A Ordinary</w:t>
            </w:r>
          </w:p>
        </w:tc>
        <w:tc>
          <w:tcPr>
            <w:tcW w:w="17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 Ordinary</w:t>
            </w:r>
          </w:p>
        </w:tc>
        <w:tc>
          <w:tcPr>
            <w:tcW w:w="1020" w:type="dxa"/>
            <w:vAlign w:val="bottom"/>
            <w:gridSpan w:val="2"/>
          </w:tcPr>
          <w:p>
            <w:pPr>
              <w:jc w:val="center"/>
              <w:ind w:left="295"/>
              <w:spacing w:after="0" w:line="149" w:lineRule="exact"/>
              <w:rPr>
                <w:sz w:val="20"/>
                <w:szCs w:val="20"/>
                <w:color w:val="auto"/>
              </w:rPr>
            </w:pPr>
            <w:r>
              <w:rPr>
                <w:rFonts w:ascii="Arial" w:cs="Arial" w:eastAsia="Arial" w:hAnsi="Arial"/>
                <w:sz w:val="14"/>
                <w:szCs w:val="14"/>
                <w:b w:val="1"/>
                <w:bCs w:val="1"/>
                <w:color w:val="auto"/>
                <w:w w:val="88"/>
              </w:rPr>
              <w:t>Shares on</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Beneficially Owned Prior to</w:t>
            </w:r>
          </w:p>
        </w:tc>
        <w:tc>
          <w:tcPr>
            <w:tcW w:w="166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6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 as-converted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6"/>
              </w:rPr>
              <w:t>This Offering</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3"/>
              </w:rPr>
              <w:t>basis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7"/>
                <w:szCs w:val="7"/>
                <w:color w:val="auto"/>
              </w:rPr>
              <w:t>(i)</w:t>
            </w:r>
          </w:p>
        </w:tc>
        <w:tc>
          <w:tcPr>
            <w:tcW w:w="4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(ii)</w:t>
            </w: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2,339,480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2,340,067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954,653</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955,292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955,292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Yu Long</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Antares Au</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Dylan Huang</w:t>
            </w:r>
            <w:r>
              <w:rPr>
                <w:rFonts w:ascii="Arial" w:cs="Arial" w:eastAsia="Arial" w:hAnsi="Arial"/>
                <w:sz w:val="15"/>
                <w:szCs w:val="15"/>
                <w:color w:val="auto"/>
              </w:rPr>
              <w:t>(iii)</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Jie Jiao</w:t>
            </w:r>
          </w:p>
        </w:tc>
        <w:tc>
          <w:tcPr>
            <w:tcW w:w="1440" w:type="dxa"/>
            <w:vAlign w:val="bottom"/>
            <w:gridSpan w:val="3"/>
          </w:tcPr>
          <w:p>
            <w:pPr>
              <w:ind w:left="900"/>
              <w:spacing w:after="0"/>
              <w:rPr>
                <w:sz w:val="20"/>
                <w:szCs w:val="20"/>
                <w:color w:val="auto"/>
              </w:rPr>
            </w:pPr>
            <w:r>
              <w:rPr>
                <w:rFonts w:ascii="Arial" w:cs="Arial" w:eastAsia="Arial" w:hAnsi="Arial"/>
                <w:sz w:val="15"/>
                <w:szCs w:val="15"/>
                <w:color w:val="auto"/>
              </w:rPr>
              <w:t>(i)</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(i)</w:t>
            </w:r>
          </w:p>
        </w:tc>
        <w:tc>
          <w:tcPr>
            <w:tcW w:w="1040" w:type="dxa"/>
            <w:vAlign w:val="bottom"/>
            <w:gridSpan w:val="2"/>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(i)</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(i)</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Group</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6,165,290</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1,070,798</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4,820,608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100.0</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5,891,406</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Bertelsmann Asia Investments AG and its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affiliate</w:t>
            </w:r>
            <w:r>
              <w:rPr>
                <w:rFonts w:ascii="Arial" w:cs="Arial" w:eastAsia="Arial" w:hAnsi="Arial"/>
                <w:sz w:val="15"/>
                <w:szCs w:val="15"/>
                <w:color w:val="auto"/>
              </w:rPr>
              <w:t>(4)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3,281,417</w:t>
            </w: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3,281,417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3,281,417</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3,235,338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3,235,338</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3,235,338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2,881,030</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2,881,030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2,881,030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Czerny Holdings Limited and Cervetto</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Holdings Limited</w:t>
            </w:r>
            <w:r>
              <w:rPr>
                <w:rFonts w:ascii="Arial" w:cs="Arial" w:eastAsia="Arial" w:hAnsi="Arial"/>
                <w:sz w:val="15"/>
                <w:szCs w:val="15"/>
                <w:color w:val="auto"/>
              </w:rPr>
              <w:t>(7)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2,486,802</w:t>
            </w:r>
          </w:p>
        </w:tc>
        <w:tc>
          <w:tcPr>
            <w:tcW w:w="1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2,486,802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2,486,802</w:t>
            </w:r>
          </w:p>
        </w:tc>
        <w:tc>
          <w:tcPr>
            <w:tcW w:w="24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2,320,028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2,320,028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2,011,997</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2,011,997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2,011,997</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1,532,955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1,532,955</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1,532,955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rFonts w:ascii="Arial" w:cs="Arial" w:eastAsia="Arial" w:hAnsi="Arial"/>
          <w:sz w:val="18"/>
          <w:szCs w:val="18"/>
          <w:color w:val="auto"/>
        </w:rPr>
      </w:pPr>
    </w:p>
    <w:p>
      <w:pPr>
        <w:ind w:left="460" w:right="140" w:hanging="452"/>
        <w:spacing w:after="0" w:line="25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shares beneficially owned by such person or group by the sum of the total number of ordinary shares outstanding, which is 23,903,183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hanging="452"/>
        <w:spacing w:after="0" w:line="25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 prospectus, by the sum of (1) 20,957,575, which is the total number of Class A ordinary shares outstanding immediately after the completion of this offering (assuming the underwriters do not exercise their over-allotment option to purchase additional ADSs), and (2) the number of Class A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 prospectus, by the sum of (1) 4,820,608,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 the sum of (1) 25,778,183,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3"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 Class A ordinary shares on a one-for-one basis, whereas Class A ordinary shares are not convertible into Class B ordinary shares under any</w:t>
      </w:r>
    </w:p>
    <w:p>
      <w:pPr>
        <w:spacing w:after="0" w:line="4" w:lineRule="exact"/>
        <w:rPr>
          <w:sz w:val="20"/>
          <w:szCs w:val="20"/>
          <w:color w:val="auto"/>
        </w:rPr>
      </w:pPr>
    </w:p>
    <w:p>
      <w:pPr>
        <w:ind w:left="460" w:right="280"/>
        <w:spacing w:after="0" w:line="265" w:lineRule="auto"/>
        <w:rPr>
          <w:sz w:val="20"/>
          <w:szCs w:val="20"/>
          <w:color w:val="auto"/>
        </w:rPr>
      </w:pPr>
      <w:r>
        <w:rPr>
          <w:rFonts w:ascii="Arial" w:cs="Arial" w:eastAsia="Arial" w:hAnsi="Arial"/>
          <w:sz w:val="17"/>
          <w:szCs w:val="17"/>
          <w:color w:val="auto"/>
        </w:rPr>
        <w:t>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ind w:left="460" w:right="40" w:hanging="452"/>
        <w:spacing w:after="0" w:line="281"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and (b) 274,755 ordinary shares held by Arda Holdings from the exercise of options under our 2010 Plan. These ordinary shares held by Arda Holdings will be transferred to the relevant beneficiaries of the 2010 Plan upon the closing of the initial public offering. Mr. Hsieh through Arda upon trust serves as the trustee to the beneficiaries of the 2010 Plan (the trustee shall only deal with the trust properties in such manner as our board from time to time directs in writing). The</w:t>
      </w:r>
    </w:p>
    <w:p>
      <w:pPr>
        <w:spacing w:after="0" w:line="2" w:lineRule="exact"/>
        <w:rPr>
          <w:rFonts w:ascii="Arial" w:cs="Arial" w:eastAsia="Arial" w:hAnsi="Arial"/>
          <w:sz w:val="16"/>
          <w:szCs w:val="16"/>
          <w:color w:val="auto"/>
        </w:rPr>
      </w:pPr>
    </w:p>
    <w:p>
      <w:pPr>
        <w:jc w:val="both"/>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2,500,580 ordinary shares held by Mr. Hsieh will be re-designated as Class B ordinary shares immediately prior to the completion of this offering. The 274,755 ordinary shares held by Arda Holdings will be re-designated into Class A ordinary shares immediately prior to the completion of this offering.</w:t>
      </w:r>
    </w:p>
    <w:p>
      <w:pPr>
        <w:spacing w:after="0" w:line="1" w:lineRule="exact"/>
        <w:rPr>
          <w:rFonts w:ascii="Arial" w:cs="Arial" w:eastAsia="Arial" w:hAnsi="Arial"/>
          <w:sz w:val="16"/>
          <w:szCs w:val="16"/>
          <w:color w:val="auto"/>
        </w:rPr>
      </w:pPr>
    </w:p>
    <w:p>
      <w:pPr>
        <w:ind w:left="460" w:right="200" w:hanging="452"/>
        <w:spacing w:after="0" w:line="253"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20,039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20,039 ordinary shares that are issuable upon exercise of options will be re-designated as Class A ordinary shares immediately prior to the completion of this offering.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69"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880,653 ordinary shares held by Yau Ping Ricky Ng as of the date of this prospectus; and (b) 74,000 ordinary shares that are issuable upon exercise of options held by Mr. Ng that are exercisable currently or within 60 days of the date of this prospectus. The 880,653 ordinary shares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2"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2" w:lineRule="exact"/>
        <w:rPr>
          <w:rFonts w:ascii="Arial" w:cs="Arial" w:eastAsia="Arial" w:hAnsi="Arial"/>
          <w:sz w:val="17"/>
          <w:szCs w:val="17"/>
          <w:color w:val="auto"/>
        </w:rPr>
      </w:pPr>
    </w:p>
    <w:p>
      <w:pPr>
        <w:jc w:val="both"/>
        <w:ind w:left="460" w:right="2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2,011,997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the date of this prospectus, none of our ordinary shares or preferred shares issued and outstanding on an as converted basis were held by record holders in the United States. None of our shareholders has informed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80"/>
          </w:cols>
          <w:pgMar w:left="240" w:top="460"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date of this prospectus, we are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14,377,426 ordinary shares, including 274,755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See “Management — Share Incentive Plans — 2010 Plan.”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Upon completion of the offering, we are authorized to issue up to a maximum of 100,000,000 shares, of which 80,000,000 shares shall be designated as Class A ordinary shares, 20,000,000 shares shall be designated as Class B ordinary shares and provided always that our directors may, in their absolute discretion and without your approval, create and designate out of our unissued shares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they may determine.</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Upon completion of this offering, there will be 20,957,575 Class A ordinary shares and 4,820,608 Class B ordinary shares issued and outstanding, assuming an initial public offering price of US$8.50 per ADS, which is the midpoint of the estimated range, and assuming the number of ADSs offered by us as set forth on the cover page of the prospectus remains the same (and assuming the underwriters do not exercise their over-allotment option), including (i) 1,875,000 Class A ordinary shares to be sold by us in this offering in the form of ADSs, assuming the underwriters do not exercise their over-allotment option to purchase additional ADSs, (ii) 19,082,575 Class A ordinary shares resulting from the automatic conversion and redesignation of all of our outstanding preferred shares and ordinary shares (other than 4,820,608 beneficially owned by Mr. Sammy Hsieh and Mr. Jian Tang) immediately prior to the completion of this offering on a one-for-one basis, and (iii) 4,820,608 Class B ordinary shares redesignated from the 4,820,608 outstanding ordinary shares held by Mr. Sammy Hsieh and Mr. Jian Tang immediately prior to the completion of this offering. See “Capitalization.”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adopted an eighth amended and restated memorandum and articles of association, which will become effective and replace our current seventh amended and restated memorandum and articles of association in its entirety immediately upon completion of this offering. The following are summaries of material provisions of our post-offering amended and restated memorandum and articles of association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5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3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anti-dilution adjustment does not apply to issuance in a qualified initial public offering. The preferred shares will be automatically converted into ordinary shares at the then applicable conversion price upon completion of a qualified initial public offering.</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qualified initial public offering as defined in our current memorandum and articles of association refers to our first firm commitment underwritten registered public offering with an offering price that implies a market capitalization immediately prior to such offering of not less than US$600,000,000 (if on or prior to December 31, 2017) or US$650,000,000 (if on or after January 1, 2018). We have received requisite waivers to amend the definition of qualified initial public offering so that this offering is deemed to be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64" w:lineRule="exact"/>
        <w:rPr>
          <w:sz w:val="20"/>
          <w:szCs w:val="20"/>
          <w:color w:val="auto"/>
        </w:rPr>
      </w:pPr>
    </w:p>
    <w:p>
      <w:pPr>
        <w:ind w:left="900" w:hanging="325"/>
        <w:spacing w:after="0" w:line="289"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93"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8" w:lineRule="exact"/>
        <w:rPr>
          <w:rFonts w:ascii="Arial" w:cs="Arial" w:eastAsia="Arial" w:hAnsi="Arial"/>
          <w:sz w:val="18"/>
          <w:szCs w:val="18"/>
          <w:color w:val="auto"/>
        </w:rPr>
      </w:pPr>
    </w:p>
    <w:p>
      <w:pPr>
        <w:jc w:val="both"/>
        <w:ind w:left="900" w:right="220" w:hanging="325"/>
        <w:spacing w:after="0" w:line="31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52" w:lineRule="exact"/>
        <w:rPr>
          <w:sz w:val="20"/>
          <w:szCs w:val="20"/>
          <w:color w:val="auto"/>
        </w:rPr>
      </w:pPr>
    </w:p>
    <w:p>
      <w:pPr>
        <w:ind w:left="1480" w:hanging="567"/>
        <w:spacing w:after="0"/>
        <w:tabs>
          <w:tab w:leader="none" w:pos="14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42" w:lineRule="exact"/>
        <w:rPr>
          <w:rFonts w:ascii="Arial" w:cs="Arial" w:eastAsia="Arial" w:hAnsi="Arial"/>
          <w:sz w:val="17"/>
          <w:szCs w:val="17"/>
          <w:color w:val="auto"/>
        </w:rPr>
      </w:pPr>
    </w:p>
    <w:p>
      <w:pPr>
        <w:ind w:left="1480" w:right="100" w:hanging="567"/>
        <w:spacing w:after="0" w:line="342" w:lineRule="auto"/>
        <w:tabs>
          <w:tab w:leader="none" w:pos="14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0"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78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4" w:lineRule="exact"/>
        <w:rPr>
          <w:sz w:val="20"/>
          <w:szCs w:val="20"/>
          <w:color w:val="auto"/>
        </w:rPr>
      </w:pPr>
    </w:p>
    <w:p>
      <w:pPr>
        <w:ind w:firstLine="8"/>
        <w:spacing w:after="0" w:line="252"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ind w:firstLine="8"/>
        <w:spacing w:after="0" w:line="281" w:lineRule="auto"/>
        <w:tabs>
          <w:tab w:leader="none" w:pos="2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8" w:lineRule="exact"/>
        <w:rPr>
          <w:rFonts w:ascii="Arial" w:cs="Arial" w:eastAsia="Arial" w:hAnsi="Arial"/>
          <w:sz w:val="16"/>
          <w:szCs w:val="16"/>
          <w:color w:val="auto"/>
        </w:rPr>
      </w:pPr>
    </w:p>
    <w:p>
      <w:pPr>
        <w:ind w:right="60" w:firstLine="8"/>
        <w:spacing w:after="0" w:line="252"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60" w:hanging="325"/>
        <w:spacing w:after="0" w:line="25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Upon completion of this offering, we will have 3,750,000 ADSs outstanding, representing approximately 7.3% of our outstanding ordinary shares, assuming an initial public offering price of US$8.50 per ADS, which is the midpoint of the estimated range of the initial public offering price and assuming the number of ADSs offered by us as set forth on the cover page of the prospectus remains the same (and assuming the underwriters do not exercise their over-allotment option).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have been approved to list the ADSs on the NASDAQ Global Market, but we cannot assure you that a regular trading market will develop in the ADSs. We do not expect that a trading market will develop for our ordinary shares not represented by the ADSs.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Each of our directors, executive officers and existing shareholders has agreed, subject to certain exceptions, not to offer, pledge, sell, contract to sell,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180-day period, the ordinary shares or ADSs held by our directors, executive officers or our existing shareholders may be sold subject to the restrictions under Rule 144 under the Securities Act or by means of registered public offerings. 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 on behalf of the underwriters.</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of our ordinary shares that will be outstanding upon completion of this offering, other than those Class A ordinary shares sold in this offering, are “restricted shares” as that term is defined in Rule 144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100" w:hanging="325"/>
        <w:spacing w:after="0" w:line="308"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1% of the then outstanding ordinary shares of the same class, in the form of ADSs or otherwise, which immediately after this offering will equal approximately 257,782 Class A ordinary shares assuming the underwriters do not exercise their over-allotment option; or</w:t>
      </w:r>
    </w:p>
    <w:p>
      <w:pPr>
        <w:spacing w:after="0" w:line="51"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covering all Class A ordinary shares which are either subject to outstanding equity incentive awards granted prior to this offering or that may be issued pursuant to equity awards which may be granted in future under our 2010 Plan and 2017 Plan. We expect to file the registration statement on Form S-8 as soon as practicable after the date of this prospectus. Shares registered on Form S-8 generally may be sold in the open market, except to the extent that the shares are subject to vesting restrictions or lock-up or other contractual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12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ind w:left="2360"/>
              <w:spacing w:after="0"/>
              <w:rPr>
                <w:sz w:val="20"/>
                <w:szCs w:val="20"/>
                <w:color w:val="auto"/>
              </w:rPr>
            </w:pPr>
            <w:r>
              <w:rPr>
                <w:rFonts w:ascii="Arial" w:cs="Arial" w:eastAsia="Arial" w:hAnsi="Arial"/>
                <w:sz w:val="18"/>
                <w:szCs w:val="18"/>
                <w:b w:val="1"/>
                <w:bCs w:val="1"/>
                <w:color w:val="auto"/>
              </w:rPr>
              <w:t>UNDERWRITING</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0" w:type="dxa"/>
            <w:vAlign w:val="bottom"/>
            <w:gridSpan w:val="3"/>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gridSpan w:val="4"/>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c>
          <w:tcPr>
            <w:tcW w:w="0" w:type="dxa"/>
            <w:vAlign w:val="bottom"/>
          </w:tcPr>
          <w:p>
            <w:pPr>
              <w:spacing w:after="0"/>
              <w:rPr>
                <w:sz w:val="1"/>
                <w:szCs w:val="1"/>
                <w:color w:val="auto"/>
              </w:rPr>
            </w:pPr>
          </w:p>
        </w:tc>
      </w:tr>
      <w:tr>
        <w:trPr>
          <w:trHeight w:val="230"/>
        </w:trPr>
        <w:tc>
          <w:tcPr>
            <w:tcW w:w="11320" w:type="dxa"/>
            <w:vAlign w:val="bottom"/>
            <w:gridSpan w:val="7"/>
          </w:tcPr>
          <w:p>
            <w:pPr>
              <w:spacing w:after="0"/>
              <w:rPr>
                <w:sz w:val="20"/>
                <w:szCs w:val="20"/>
                <w:color w:val="auto"/>
              </w:rPr>
            </w:pPr>
            <w:r>
              <w:rPr>
                <w:rFonts w:ascii="Arial" w:cs="Arial" w:eastAsia="Arial" w:hAnsi="Arial"/>
                <w:sz w:val="18"/>
                <w:szCs w:val="18"/>
                <w:color w:val="auto"/>
              </w:rPr>
              <w:t>below, for whom Roth Capital Partners, LLC is acting as the representative, the following respective numbers of shares of ADSs:</w:t>
            </w:r>
          </w:p>
        </w:tc>
        <w:tc>
          <w:tcPr>
            <w:tcW w:w="0" w:type="dxa"/>
            <w:vAlign w:val="bottom"/>
          </w:tcPr>
          <w:p>
            <w:pPr>
              <w:spacing w:after="0"/>
              <w:rPr>
                <w:sz w:val="1"/>
                <w:szCs w:val="1"/>
                <w:color w:val="auto"/>
              </w:rPr>
            </w:pPr>
          </w:p>
        </w:tc>
      </w:tr>
      <w:tr>
        <w:trPr>
          <w:trHeight w:val="369"/>
        </w:trPr>
        <w:tc>
          <w:tcPr>
            <w:tcW w:w="74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Underwriter</w:t>
            </w:r>
          </w:p>
        </w:tc>
        <w:tc>
          <w:tcPr>
            <w:tcW w:w="1180" w:type="dxa"/>
            <w:vAlign w:val="bottom"/>
          </w:tcPr>
          <w:p>
            <w:pPr>
              <w:spacing w:after="0"/>
              <w:rPr>
                <w:sz w:val="24"/>
                <w:szCs w:val="24"/>
                <w:color w:val="auto"/>
              </w:rPr>
            </w:pPr>
          </w:p>
        </w:tc>
        <w:tc>
          <w:tcPr>
            <w:tcW w:w="2740" w:type="dxa"/>
            <w:vAlign w:val="bottom"/>
            <w:gridSpan w:val="3"/>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gridSpan w:val="3"/>
          </w:tcPr>
          <w:p>
            <w:pPr>
              <w:ind w:left="22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spacing w:after="0"/>
              <w:rPr>
                <w:sz w:val="17"/>
                <w:szCs w:val="17"/>
                <w:color w:val="auto"/>
              </w:rPr>
            </w:pPr>
          </w:p>
        </w:tc>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Roth Capital Partners, LLC</w:t>
            </w: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Shenwan Hongyuan Securities (H.K.) Limited</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1 Financial Securities, Inc.</w:t>
            </w:r>
          </w:p>
        </w:tc>
        <w:tc>
          <w:tcPr>
            <w:tcW w:w="1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3"/>
          </w:tcPr>
          <w:p>
            <w:pPr>
              <w:ind w:left="184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9"/>
                <w:szCs w:val="19"/>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7"/>
              </w:rPr>
              <w:t>3,750,000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562,500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to the public at the public offering price on the cover page of this prospectus and to certain dealers at</w:t>
      </w:r>
    </w:p>
    <w:p>
      <w:pPr>
        <w:spacing w:after="0" w:line="46"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that price less a selling concession of US$ per ADS. After the initial public offering the underwriters may change the public offering price and concession and discount to broker/dealers. The underwriters may offer and sell ADSs through one or more of their respective affiliates or selling agents. Shenwan Hongyuan Securities (H.K.) Limited, one of the underwriters of this offering, is an affiliate of our existing shareholder and is not a broker-dealer registered with the SEC. Therefore, to the extent Shenwan Hongyuan Securities (H.K.) Limited intends to make any offers or sales of ADSs in the United States, it will do so only through one or more registered broker-dealers in compliance with applicable securities law and regulations, and FINRA rules.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agreed to (i) pay the underwriters non-accountable expense allowance of 1% of the gross proceeds from this offering; (ii) reimburse the</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underwriters up to US$ for certain out-of-pocket expenses; and (iii) reimburse the underwriters up to US$ for the fees and expenses of the underwriters’ counsel, including the cost of the qualification of this offering with the Financial Industry Regulatory Authority, Inc.</w:t>
      </w:r>
    </w:p>
    <w:p>
      <w:pPr>
        <w:spacing w:after="0" w:line="18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have agreed that, subject to certain exceptions, we will not offer, sell, contract to sell, pledge, sell any option or contract to purchase, purchase any option or contract to sell, grant any option, right or warrant to purchase, lend, or otherwise transfer or dispose of, directly or indirectly, or enter into any swap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arrangement that transfers to another, in whole or in part, any of the economic consequences of ownership of, or file with the Securities and Exchange Commission a registration statement under the Securities Act relating to, any ADSs, our ordinary shares or securities convertible into or exchangeable or exercisable for any ADSs or our ordinary shares, without the prior written consent of Roth Capital Partners, LLC for a period of 180 days after the date of this prospectus.</w:t>
      </w:r>
    </w:p>
    <w:p>
      <w:pPr>
        <w:spacing w:after="0" w:line="18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directors, executive officers and all of our existing shareholders have agreed that, subject to certain exceptions, they will not offer, sell, contract to sell, pledge, sell any option or contract to offer, pledge, sell, contract to sell, sell any option or contract to purchase, purchase any option or contract to sell, grant any option, right or warrant to purchase, lend, or otherwise transfer or dispose of purchase, purchase any option or contract to sell, grant any option, right or warrant to purchase, lend, or otherwise transfer or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without, in each case, the prior written consent of Roth Capital Partners, LLC for a period of 180 days after the date of this prospectus.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 on behalf of the underwriters.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approved to list our ADSs on the NASDAQ Global Market.</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jc w:val="center"/>
        <w:ind w:left="5580" w:right="520" w:hanging="5005"/>
        <w:spacing w:after="0" w:line="590"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 210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8"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Prospectus Directive), as permitted under the Prospectus Directive, subject to obtaining the prior consent of the representatives for any such offer; or</w:t>
      </w:r>
    </w:p>
    <w:p>
      <w:pPr>
        <w:spacing w:after="0" w:line="76" w:lineRule="exact"/>
        <w:rPr>
          <w:sz w:val="20"/>
          <w:szCs w:val="20"/>
          <w:color w:val="auto"/>
        </w:rPr>
      </w:pPr>
    </w:p>
    <w:p>
      <w:pPr>
        <w:ind w:left="900" w:right="34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7" w:lineRule="exact"/>
        <w:rPr>
          <w:sz w:val="20"/>
          <w:szCs w:val="20"/>
          <w:color w:val="auto"/>
        </w:rPr>
      </w:pPr>
    </w:p>
    <w:p>
      <w:pPr>
        <w:ind w:left="900" w:right="18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(the “Decree No. 58”) and defined in Article 26, paragraph 1, letter d) of CONSOB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Regulation No. 16190 of October 29, 2007, as amended (“Regulation No. 16190”) pursuant to Article 34-ter, paragraph 1, letter. b) of CONSOB Regulation No. 11971 of May 14, 1999, as amended (“Regulation No. 11971”); or</w:t>
      </w:r>
    </w:p>
    <w:p>
      <w:pPr>
        <w:spacing w:after="0" w:line="76" w:lineRule="exact"/>
        <w:rPr>
          <w:sz w:val="20"/>
          <w:szCs w:val="20"/>
          <w:color w:val="auto"/>
        </w:rPr>
      </w:pPr>
    </w:p>
    <w:p>
      <w:pPr>
        <w:ind w:left="900" w:right="1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Center should have regard to the specific selling restrictions on prospective investors in the Dubai International Financial Center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be incur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US$4,832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FINRA Filing Fee</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US$15,500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US$125,000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Printing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US$400,000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Non-accountable expense allowance to the underwriters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US$318,750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US$1,690,000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US$1,620,000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Miscellaneous</w:t>
            </w:r>
          </w:p>
        </w:tc>
        <w:tc>
          <w:tcPr>
            <w:tcW w:w="520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US$625,918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US$4,800,000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0" w:type="dxa"/>
            <w:vAlign w:val="bottom"/>
            <w:vMerge w:val="restart"/>
          </w:tcPr>
          <w:p>
            <w:pPr>
              <w:jc w:val="right"/>
              <w:ind w:right="4090"/>
              <w:spacing w:after="0"/>
              <w:rPr>
                <w:sz w:val="20"/>
                <w:szCs w:val="20"/>
                <w:color w:val="auto"/>
              </w:rPr>
            </w:pPr>
            <w:r>
              <w:rPr>
                <w:rFonts w:ascii="Arial" w:cs="Arial" w:eastAsia="Arial" w:hAnsi="Arial"/>
                <w:sz w:val="18"/>
                <w:szCs w:val="18"/>
                <w:color w:val="auto"/>
              </w:rPr>
              <w:t>219</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300"/>
          </w:cols>
          <w:pgMar w:left="240" w:top="460" w:right="3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2015 and 2016</w:t>
            </w:r>
          </w:p>
        </w:tc>
        <w:tc>
          <w:tcPr>
            <w:tcW w:w="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640" w:type="dxa"/>
            <w:vAlign w:val="bottom"/>
            <w:gridSpan w:val="1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90" w:lineRule="exact"/>
              <w:rPr>
                <w:rFonts w:ascii="Arial" w:cs="Arial" w:eastAsia="Arial" w:hAnsi="Arial"/>
                <w:sz w:val="18"/>
                <w:szCs w:val="18"/>
                <w:color w:val="0000EE"/>
              </w:rPr>
            </w:pPr>
            <w:hyperlink w:anchor="page228">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9">
              <w:r>
                <w:rPr>
                  <w:rFonts w:ascii="Arial" w:cs="Arial" w:eastAsia="Arial" w:hAnsi="Arial"/>
                  <w:sz w:val="18"/>
                  <w:szCs w:val="18"/>
                  <w:color w:val="0000EE"/>
                  <w:w w:val="88"/>
                </w:rPr>
                <w:t>Consolidated Balance Sheets as of December 31, 2015 and 2016</w:t>
              </w:r>
            </w:hyperlink>
          </w:p>
        </w:tc>
        <w:tc>
          <w:tcPr>
            <w:tcW w:w="59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Statements of Comprehensive Loss for the years ended December 31, 2015 and 2016</w:t>
              </w:r>
            </w:hyperlink>
          </w:p>
        </w:tc>
        <w:tc>
          <w:tcPr>
            <w:tcW w:w="35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34">
              <w:r>
                <w:rPr>
                  <w:rFonts w:ascii="Arial" w:cs="Arial" w:eastAsia="Arial" w:hAnsi="Arial"/>
                  <w:sz w:val="18"/>
                  <w:szCs w:val="18"/>
                  <w:color w:val="0000EE"/>
                  <w:w w:val="89"/>
                </w:rPr>
                <w:t>Consolidated Statements of Changes in Shareholders’ Deficit for the years ended December 31, 2015 and 2016</w:t>
              </w:r>
            </w:hyperlink>
          </w:p>
        </w:tc>
        <w:tc>
          <w:tcPr>
            <w:tcW w:w="26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6">
              <w:r>
                <w:rPr>
                  <w:rFonts w:ascii="Arial" w:cs="Arial" w:eastAsia="Arial" w:hAnsi="Arial"/>
                  <w:sz w:val="18"/>
                  <w:szCs w:val="18"/>
                  <w:color w:val="0000EE"/>
                  <w:w w:val="89"/>
                </w:rPr>
                <w:t>Consolidated Statements of Cash Flows for the years ended December 31, 2015 and 2016</w:t>
              </w:r>
            </w:hyperlink>
          </w:p>
        </w:tc>
        <w:tc>
          <w:tcPr>
            <w:tcW w:w="41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Unaudited Interim Condensed Consolidated Balance Sheets as of December 31, 2016 and September 30, 2017</w:t>
              </w:r>
            </w:hyperlink>
          </w:p>
        </w:tc>
        <w:tc>
          <w:tcPr>
            <w:tcW w:w="2680" w:type="dxa"/>
            <w:vAlign w:val="bottom"/>
            <w:gridSpan w:val="6"/>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6"/>
              </w:rPr>
            </w:pPr>
            <w:hyperlink w:anchor="page300">
              <w:r>
                <w:rPr>
                  <w:rFonts w:ascii="Arial" w:cs="Arial" w:eastAsia="Arial" w:hAnsi="Arial"/>
                  <w:sz w:val="18"/>
                  <w:szCs w:val="18"/>
                  <w:color w:val="0000EE"/>
                  <w:w w:val="96"/>
                </w:rPr>
                <w:t>Unaudited Interim Condensed Consolidated Statements of Comprehensive Loss for the nine months ended September 30, 2016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2"/>
              </w:rPr>
            </w:pPr>
            <w:hyperlink w:anchor="page301">
              <w:r>
                <w:rPr>
                  <w:rFonts w:ascii="Arial" w:cs="Arial" w:eastAsia="Arial" w:hAnsi="Arial"/>
                  <w:sz w:val="18"/>
                  <w:szCs w:val="18"/>
                  <w:color w:val="0000EE"/>
                  <w:w w:val="92"/>
                </w:rPr>
                <w:t>Unaudited Interim Condensed Consolidated Statements of Changes in Shareholders’ Deficit for the nine months ended September 30, 2016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01">
              <w:r>
                <w:rPr>
                  <w:rFonts w:ascii="Arial" w:cs="Arial" w:eastAsia="Arial" w:hAnsi="Arial"/>
                  <w:sz w:val="18"/>
                  <w:szCs w:val="18"/>
                  <w:color w:val="0000EE"/>
                  <w:w w:val="84"/>
                </w:rPr>
                <w:t>2017</w:t>
              </w:r>
            </w:hyperlink>
          </w:p>
        </w:tc>
        <w:tc>
          <w:tcPr>
            <w:tcW w:w="1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2">
              <w:r>
                <w:rPr>
                  <w:rFonts w:ascii="Arial" w:cs="Arial" w:eastAsia="Arial" w:hAnsi="Arial"/>
                  <w:sz w:val="18"/>
                  <w:szCs w:val="18"/>
                  <w:color w:val="0000EE"/>
                  <w:w w:val="89"/>
                </w:rPr>
                <w:t>Unaudited Interim Condensed Consolidated Statements of Cash Flows for the nine months ended September 30, 2016 and 2017</w:t>
              </w:r>
            </w:hyperlink>
          </w:p>
        </w:tc>
        <w:tc>
          <w:tcPr>
            <w:tcW w:w="14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3">
              <w:r>
                <w:rPr>
                  <w:rFonts w:ascii="Arial" w:cs="Arial" w:eastAsia="Arial" w:hAnsi="Arial"/>
                  <w:sz w:val="18"/>
                  <w:szCs w:val="18"/>
                  <w:color w:val="0000EE"/>
                  <w:w w:val="90"/>
                </w:rPr>
                <w:t>Notes to the Unaudited Interim Condensed Consolidated Financial Statements</w:t>
              </w:r>
            </w:hyperlink>
          </w:p>
        </w:tc>
        <w:tc>
          <w:tcPr>
            <w:tcW w:w="5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434"/>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OPTAIM LIMITED (Note)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70" w:lineRule="exact"/>
              <w:rPr>
                <w:rFonts w:ascii="Arial" w:cs="Arial" w:eastAsia="Arial" w:hAnsi="Arial"/>
                <w:sz w:val="18"/>
                <w:szCs w:val="18"/>
                <w:color w:val="0000EE"/>
              </w:rPr>
            </w:pPr>
            <w:hyperlink w:anchor="page342">
              <w:r>
                <w:rPr>
                  <w:rFonts w:ascii="Arial" w:cs="Arial" w:eastAsia="Arial" w:hAnsi="Arial"/>
                  <w:sz w:val="18"/>
                  <w:szCs w:val="18"/>
                  <w:color w:val="0000EE"/>
                </w:rPr>
                <w:t>Report of Independent Auditors</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F-116</w:t>
            </w: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3">
              <w:r>
                <w:rPr>
                  <w:rFonts w:ascii="Arial" w:cs="Arial" w:eastAsia="Arial" w:hAnsi="Arial"/>
                  <w:sz w:val="18"/>
                  <w:szCs w:val="18"/>
                  <w:color w:val="0000EE"/>
                  <w:w w:val="89"/>
                </w:rPr>
                <w:t>Consolidated Balance Sheet as of July 23, 2015</w:t>
              </w:r>
            </w:hyperlink>
          </w:p>
        </w:tc>
        <w:tc>
          <w:tcPr>
            <w:tcW w:w="7200" w:type="dxa"/>
            <w:vAlign w:val="bottom"/>
            <w:gridSpan w:val="14"/>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F-117</w:t>
            </w:r>
          </w:p>
        </w:tc>
        <w:tc>
          <w:tcPr>
            <w:tcW w:w="0" w:type="dxa"/>
            <w:vAlign w:val="bottom"/>
          </w:tcPr>
          <w:p>
            <w:pPr>
              <w:spacing w:after="0"/>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Consolidated Statement of Comprehensive Loss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F-119</w:t>
            </w:r>
          </w:p>
        </w:tc>
        <w:tc>
          <w:tcPr>
            <w:tcW w:w="0" w:type="dxa"/>
            <w:vAlign w:val="bottom"/>
          </w:tcPr>
          <w:p>
            <w:pPr>
              <w:spacing w:after="0"/>
              <w:rPr>
                <w:sz w:val="1"/>
                <w:szCs w:val="1"/>
                <w:color w:val="auto"/>
              </w:rPr>
            </w:pPr>
          </w:p>
        </w:tc>
      </w:tr>
      <w:tr>
        <w:trPr>
          <w:trHeight w:val="20"/>
        </w:trPr>
        <w:tc>
          <w:tcPr>
            <w:tcW w:w="6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Consolidated Statement of Changes in Shareholders’ Equity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210"/>
        </w:trPr>
        <w:tc>
          <w:tcPr>
            <w:tcW w:w="66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347">
              <w:r>
                <w:rPr>
                  <w:rFonts w:ascii="Arial" w:cs="Arial" w:eastAsia="Arial" w:hAnsi="Arial"/>
                  <w:sz w:val="18"/>
                  <w:szCs w:val="18"/>
                  <w:color w:val="0000EE"/>
                  <w:w w:val="90"/>
                </w:rPr>
                <w:t>Consolidated Statement of Cash Flows for the Period from January 1, 2015 to July 23, 2015</w:t>
              </w:r>
            </w:hyperlink>
          </w:p>
        </w:tc>
        <w:tc>
          <w:tcPr>
            <w:tcW w:w="1520" w:type="dxa"/>
            <w:vAlign w:val="bottom"/>
            <w:tcBorders>
              <w:top w:val="single" w:sz="8" w:color="0000EE"/>
            </w:tcBorders>
            <w:gridSpan w:val="5"/>
          </w:tcPr>
          <w:p>
            <w:pPr>
              <w:spacing w:after="0"/>
              <w:rPr>
                <w:sz w:val="18"/>
                <w:szCs w:val="18"/>
                <w:color w:val="auto"/>
              </w:rPr>
            </w:pPr>
          </w:p>
        </w:tc>
        <w:tc>
          <w:tcPr>
            <w:tcW w:w="24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Notes to the Consolidated Financial Statements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color w:val="auto"/>
              </w:rPr>
              <w:t>Note</w:t>
            </w:r>
          </w:p>
        </w:tc>
        <w:tc>
          <w:tcPr>
            <w:tcW w:w="1720" w:type="dxa"/>
            <w:vAlign w:val="bottom"/>
            <w:gridSpan w:val="5"/>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10,395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cash</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receivables of US$1,733 and US$1,693 as of December 31, 2015 and</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2016, respectively</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28,423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Prepaid media costs</w:t>
            </w:r>
          </w:p>
        </w:tc>
        <w:tc>
          <w:tcPr>
            <w:tcW w:w="7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24,793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tax receivable</w:t>
            </w:r>
          </w:p>
        </w:tc>
        <w:tc>
          <w:tcPr>
            <w:tcW w:w="7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11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19,095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71,404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146,110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payable (including accounts payable of the consolidated variable interest entity (“VIE”) and its subsidiary</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US$426 and US$28 as of December 31, 2015 and 2016, respectively)</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w w:val="92"/>
              </w:rPr>
              <w:t>Deferred revenue (including deferred revenue of the consolidated VIE and its subsidiary without recourse to the Company</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14,935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 consolidated</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VIE and its subsidiary without recourse to the Company of US$66 and US$404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63,724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Amounts due to a related party (including amount due to a related party of the consolidated VIE and its subsidiary without</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US$46 and US$nil as of 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8,542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115,124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00" w:type="dxa"/>
            <w:vAlign w:val="bottom"/>
          </w:tcPr>
          <w:p>
            <w:pPr>
              <w:spacing w:after="0"/>
              <w:rPr>
                <w:sz w:val="14"/>
                <w:szCs w:val="14"/>
                <w:color w:val="auto"/>
              </w:rPr>
            </w:pP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color w:val="auto"/>
              </w:rPr>
              <w:t>Note</w:t>
            </w:r>
          </w:p>
        </w:tc>
        <w:tc>
          <w:tcPr>
            <w:tcW w:w="1500" w:type="dxa"/>
            <w:vAlign w:val="bottom"/>
            <w:gridSpan w:val="5"/>
          </w:tcPr>
          <w:p>
            <w:pPr>
              <w:ind w:left="1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2,476,190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tcPr>
          <w:p>
            <w:pPr>
              <w:jc w:val="right"/>
              <w:spacing w:after="0"/>
              <w:rPr>
                <w:sz w:val="20"/>
                <w:szCs w:val="20"/>
                <w:color w:val="auto"/>
              </w:rPr>
            </w:pPr>
            <w:r>
              <w:rPr>
                <w:rFonts w:ascii="Arial" w:cs="Arial" w:eastAsia="Arial" w:hAnsi="Arial"/>
                <w:sz w:val="18"/>
                <w:szCs w:val="18"/>
                <w:color w:val="auto"/>
              </w:rPr>
              <w:t>5,487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1,889,249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C convertible redeemable preferred shares (US$0.001 par value; 1,650,000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1,599,186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D convertible redeemable preferred shares (US$0.001 par value; 4,500,000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2,493,018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43,956</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E convertible redeemable preferred shares (US$0.001 par value; 1,200,000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5"/>
              </w:rPr>
              <w:t>2016; 1,068,114 shares issued and outstanding as of December 31, 2016; redemption amount of US$20,000 as of</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December 31, 2016)</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 December 31, 2015 and</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40" w:type="dxa"/>
            <w:vAlign w:val="bottom"/>
          </w:tcPr>
          <w:p>
            <w:pPr>
              <w:spacing w:after="0"/>
              <w:rPr>
                <w:sz w:val="14"/>
                <w:szCs w:val="14"/>
                <w:color w:val="auto"/>
              </w:rPr>
            </w:pPr>
          </w:p>
        </w:tc>
        <w:tc>
          <w:tcPr>
            <w:tcW w:w="560" w:type="dxa"/>
            <w:vAlign w:val="bottom"/>
            <w:vMerge w:val="restart"/>
          </w:tcPr>
          <w:p>
            <w:pPr>
              <w:jc w:val="right"/>
              <w:ind w:right="96"/>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jc w:val="right"/>
              <w:ind w:right="3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0"/>
              </w:rPr>
              <w:t>Ordinary shares (US$0.001 par value; 38,350,000 and 37,150,000 shares authorized as of December 31, 2015 and 2016,</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540"/>
              <w:spacing w:after="0"/>
              <w:rPr>
                <w:sz w:val="20"/>
                <w:szCs w:val="20"/>
                <w:color w:val="auto"/>
              </w:rPr>
            </w:pPr>
            <w:r>
              <w:rPr>
                <w:rFonts w:ascii="Arial" w:cs="Arial" w:eastAsia="Arial" w:hAnsi="Arial"/>
                <w:sz w:val="18"/>
                <w:szCs w:val="18"/>
                <w:color w:val="auto"/>
                <w:w w:val="99"/>
              </w:rPr>
              <w:t>respectively; 13,104,300 and 13,609,208 shares issued and outstanding as of December 31, 2015 and 2016,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 (2,654,188 and 2,149,280 shares as of December 31, 2015 and 2016, respectively)</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53,917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65,687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(124,385)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(55,929)</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146,110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59" w:right="3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59"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60"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13</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6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59" w:right="2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8540" w:hanging="452"/>
        <w:spacing w:after="0" w:line="434" w:lineRule="auto"/>
        <w:tabs>
          <w:tab w:leader="none" w:pos="449"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460" w:right="5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-213360</wp:posOffset>
            </wp:positionV>
            <wp:extent cx="3003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-213360</wp:posOffset>
            </wp:positionV>
            <wp:extent cx="3003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9140" w:hanging="452"/>
        <w:spacing w:after="0" w:line="434" w:lineRule="auto"/>
        <w:tabs>
          <w:tab w:leader="none" w:pos="449"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59" w:right="2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59" w:right="2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20"/>
          </w:cols>
          <w:pgMar w:left="240" w:top="459" w:right="3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F-69</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receivables of US$1,693 and US$602 as</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December 31, 2016 and September 30, 2017, respectively</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30,694</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Rebates receivable</w:t>
            </w:r>
          </w:p>
        </w:tc>
        <w:tc>
          <w:tcPr>
            <w:tcW w:w="1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(“VIE”) and its subsidiary without recourse to the Company of US$28 and US$29 as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and September 30, 2017, respectively)</w:t>
            </w:r>
          </w:p>
        </w:tc>
        <w:tc>
          <w:tcPr>
            <w:tcW w:w="9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8"/>
              </w:rPr>
              <w:t>Deferred revenue (including deferred revenue of the consolidated VIE and its subsidiary</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without recourse to the Company of US$11,878 and US$8,593 as December 31, 2016 and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September 30, 2017, respectively)</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25,697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29,876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Accrued liabilities and other current liabilities (including accrued liabilities and other current</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liabilities of the consolidated VIE and its subsidiary without recourse to the Company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US$404 and US$331 as of December 31, 2016 and September 30, 2017, respectively)</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15,091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60,525</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67,655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payable</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September 30,</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240" w:type="dxa"/>
            <w:vAlign w:val="bottom"/>
          </w:tcPr>
          <w:p>
            <w:pPr>
              <w:jc w:val="right"/>
              <w:ind w:right="560"/>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2017</w:t>
            </w: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(Unaudited)</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equity</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A convertible redeemable preferred shares (US$0.001 par value; 2,500,000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2,476,190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forma basis as of September 30, 2017 (unaudited); redemption amount of US$6,737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9"/>
              </w:rPr>
              <w:t>US$7,234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5,597</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5,683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B convertible redeemable preferred shares (US$0.001 par value; 3,000,000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1,889,249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US$14,625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US$15,055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9,807</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10,326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C convertible redeemable preferred shares (US$0.001 par value; 1,650,000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1,599,186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US$22,288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US$23,614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10,733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10,733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D convertible redeemable preferred shares (US$0.001 par value; 4,500,000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2,493,018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US$60,852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US$64,815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43,956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E convertible redeemable preferred shares (US$0.001 par value; 1,200,000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1,068,114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US$20,000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US$29,059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18,845</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18,845</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5"/>
              </w:rPr>
              <w:t>Redeemable ordinary shares (US$0.001 par value; 742,320 shares issued and outstanding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of December 31, 2016 and September 30, 2017; none outstanding on a pro forma basis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15,445</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16,724</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Total mezzanine equity</w:t>
            </w: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104,383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106,267</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September 30,</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8"/>
              </w:rPr>
              <w:t>December 31,</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September 30,</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(Note 22)</w:t>
            </w:r>
          </w:p>
        </w:tc>
      </w:t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(Unaudited)</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Ordinary shares (US$0.001 par value; 37,150,000 shares as of December 31, 2016 and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9"/>
              </w:rPr>
              <w:t>September 30, 2017; 13,609,208 and 13,633,106 shares issued and outstanding as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2"/>
              </w:rPr>
              <w:t>December 31, 2016 and September 30, 2017, respectively; 23,901,183 outstanding on a pro</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forma basis as of September 30, 2017 (unaudited))</w:t>
            </w:r>
          </w:p>
        </w:tc>
        <w:tc>
          <w:tcPr>
            <w:tcW w:w="92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shares (2,149,280 and 2,125,382 shares as of December 31, 2016 and September 30,</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 2,125,382 shares on a pro forma basis as of September 30, 2017</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65,687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66,349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240,546</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9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(3,241)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(124,385)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(140,269)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(140,269)</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(79,256)</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169,640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September 30,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color w:val="auto"/>
              </w:rPr>
              <w:t>Note</w:t>
            </w: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69,973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(44,847)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(34,378)</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gains/(losses) on derivative liabilities</w:t>
            </w: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NINE MONTHS ENDED SEPTEMBER 30, 2016 AND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rPr>
              <w:t>Ordinary shares</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Statutory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15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tcPr>
          <w:p>
            <w:pPr>
              <w:jc w:val="center"/>
              <w:ind w:right="20"/>
              <w:spacing w:after="0" w:line="153" w:lineRule="exact"/>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3"/>
                <w:szCs w:val="13"/>
                <w:color w:val="auto"/>
              </w:rPr>
            </w:pPr>
          </w:p>
        </w:tc>
        <w:tc>
          <w:tcPr>
            <w:tcW w:w="7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3"/>
              </w:rPr>
              <w:t>capital</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deficit</w:t>
            </w:r>
          </w:p>
        </w:tc>
        <w:tc>
          <w:tcPr>
            <w:tcW w:w="7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reserves</w:t>
            </w: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13,104,300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53,917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59,135</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(59,135)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(8,381)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13,163,435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2,595,053</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(105,436)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13,609,208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2,149,280</w:t>
            </w:r>
          </w:p>
        </w:tc>
        <w:tc>
          <w:tcPr>
            <w:tcW w:w="24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(2,468)</w:t>
            </w:r>
          </w:p>
        </w:tc>
        <w:tc>
          <w:tcPr>
            <w:tcW w:w="240" w:type="dxa"/>
            <w:vAlign w:val="bottom"/>
          </w:tcPr>
          <w:p>
            <w:pPr>
              <w:spacing w:after="0"/>
              <w:rPr>
                <w:sz w:val="17"/>
                <w:szCs w:val="17"/>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65,687</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(124,385)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23,898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(23,898)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(15,884)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13,633,106</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2,125,382</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(140,269)</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Total</w:t>
      </w:r>
    </w:p>
    <w:p>
      <w:pPr>
        <w:jc w:val="center"/>
        <w:ind w:right="80"/>
        <w:spacing w:after="0"/>
        <w:rPr>
          <w:sz w:val="20"/>
          <w:szCs w:val="20"/>
          <w:color w:val="auto"/>
        </w:rPr>
      </w:pPr>
      <w:r>
        <w:rPr>
          <w:rFonts w:ascii="Arial" w:cs="Arial" w:eastAsia="Arial" w:hAnsi="Arial"/>
          <w:sz w:val="12"/>
          <w:szCs w:val="12"/>
          <w:color w:val="auto"/>
        </w:rPr>
        <w:t>shareholders’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deficit</w:t>
      </w:r>
    </w:p>
    <w:p>
      <w:pPr>
        <w:ind w:left="220"/>
        <w:spacing w:after="0"/>
        <w:rPr>
          <w:sz w:val="20"/>
          <w:szCs w:val="20"/>
          <w:color w:val="auto"/>
        </w:rPr>
      </w:pPr>
      <w:r>
        <w:rPr>
          <w:rFonts w:ascii="Arial" w:cs="Arial" w:eastAsia="Arial" w:hAnsi="Arial"/>
          <w:sz w:val="16"/>
          <w:szCs w:val="16"/>
          <w:color w:val="auto"/>
        </w:rPr>
        <w:t>(55,929)</w:t>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340" w:space="200"/>
            <w:col w:w="840"/>
          </w:cols>
          <w:pgMar w:left="240" w:top="46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type w:val="continuous"/>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p>
      <w:pPr>
        <w:jc w:val="center"/>
        <w:ind w:left="9040"/>
        <w:spacing w:after="0"/>
        <w:rPr>
          <w:sz w:val="20"/>
          <w:szCs w:val="20"/>
          <w:color w:val="auto"/>
        </w:rPr>
      </w:pPr>
      <w:r>
        <w:rPr>
          <w:rFonts w:ascii="Arial" w:cs="Arial" w:eastAsia="Arial" w:hAnsi="Arial"/>
          <w:sz w:val="14"/>
          <w:szCs w:val="14"/>
          <w:color w:val="auto"/>
        </w:rPr>
        <w:t>For the nine months ended</w:t>
      </w:r>
    </w:p>
    <w:p>
      <w:pPr>
        <w:jc w:val="center"/>
        <w:ind w:left="90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(8,381)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Depreciation of property and equipment</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1,094</w:t>
            </w: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3,214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Recoveries of doubtful accounts previously provided for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2,786</w:t>
            </w:r>
          </w:p>
        </w:tc>
        <w:tc>
          <w:tcPr>
            <w:tcW w:w="78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(gains)/losses on derivative liabilities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(1,497)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Deferred tax</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(786)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(3,291)</w:t>
            </w:r>
          </w:p>
        </w:tc>
        <w:tc>
          <w:tcPr>
            <w:tcW w:w="7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Prepayments and other assets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(927)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Accrued liabilities and other current liabilities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(588)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7,870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Rebates receivables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2,109</w:t>
            </w:r>
          </w:p>
        </w:tc>
        <w:tc>
          <w:tcPr>
            <w:tcW w:w="78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media costs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(1,592)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491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by/(used in) operating activities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299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(872)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disposal of property and equipment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Decrease in short-term investments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1,552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(Increase)/decrease in restricted cash</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(4,169)</w:t>
            </w:r>
          </w:p>
        </w:tc>
        <w:tc>
          <w:tcPr>
            <w:tcW w:w="780" w:type="dxa"/>
            <w:vAlign w:val="bottom"/>
          </w:tcPr>
          <w:p>
            <w:pPr>
              <w:jc w:val="right"/>
              <w:spacing w:after="0"/>
              <w:rPr>
                <w:sz w:val="20"/>
                <w:szCs w:val="20"/>
                <w:color w:val="auto"/>
              </w:rPr>
            </w:pPr>
            <w:r>
              <w:rPr>
                <w:rFonts w:ascii="Arial" w:cs="Arial" w:eastAsia="Arial" w:hAnsi="Arial"/>
                <w:sz w:val="16"/>
                <w:szCs w:val="16"/>
                <w:color w:val="auto"/>
              </w:rPr>
              <w:t>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in)/provided by investing activities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(3,493)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Proceeds from bank borrowings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6,810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bank borrowings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(1,800)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Repayment of amounts due to related parties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(46)</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financing activities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5,092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1,898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10,395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(187)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12,106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Interests paid</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(489)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Series A preferred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Accretion to Series B preferred shares redemption value</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493</w:t>
            </w:r>
          </w:p>
        </w:tc>
        <w:tc>
          <w:tcPr>
            <w:tcW w:w="7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redeemable ordinary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310"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73"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Group had net current liabilities of US$22,536, and US$32,159, total shareholders’ deficit of US$64,312 and US$79,256 and accumulated deficit of US$124,385 and US$140,269. During the nine months ended September 30, 2016 and 2017, the Group incurred a net loss of US$8,381 and US$15,884 and a net operating cash inflow/(outflow) of US$299 and US$(5,280). In December 2016, the Company entered into an agreement to issue Series E preferred shares for a total cash consideration of US$20,000 and management considered such additional funding to enable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to operate without significant curtailment of its operation and to meet its financial obligations as and when they fall due. Accordingly, the management is of the opinion that the financial statements have been prepared on a going concern basis.</w:t>
      </w:r>
    </w:p>
    <w:p>
      <w:pPr>
        <w:spacing w:after="0" w:line="62"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 of direct</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or indirect</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economic</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3"/>
            <w:vMerge w:val="continue"/>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Relationship</w:t>
            </w: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ownership</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Date of incorporation</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Digital Marketing Group</w:t>
            </w: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ind w:right="225"/>
              <w:spacing w:after="0" w:line="165" w:lineRule="exact"/>
              <w:rPr>
                <w:sz w:val="20"/>
                <w:szCs w:val="20"/>
                <w:color w:val="auto"/>
              </w:rPr>
            </w:pPr>
            <w:r>
              <w:rPr>
                <w:rFonts w:ascii="Arial" w:cs="Arial" w:eastAsia="Arial" w:hAnsi="Arial"/>
                <w:sz w:val="17"/>
                <w:szCs w:val="17"/>
                <w:color w:val="auto"/>
                <w:w w:val="87"/>
              </w:rPr>
              <w:t>100%</w:t>
            </w:r>
          </w:p>
        </w:tc>
        <w:tc>
          <w:tcPr>
            <w:tcW w:w="46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Hong Kong</w:t>
            </w:r>
          </w:p>
        </w:tc>
        <w:tc>
          <w:tcPr>
            <w:tcW w:w="440" w:type="dxa"/>
            <w:vAlign w:val="bottom"/>
            <w:vMerge w:val="continue"/>
            <w:shd w:val="clear" w:color="auto" w:fill="CCEEFF"/>
          </w:tcPr>
          <w:p>
            <w:pPr>
              <w:spacing w:after="0"/>
              <w:rPr>
                <w:sz w:val="14"/>
                <w:szCs w:val="14"/>
                <w:color w:val="auto"/>
              </w:rPr>
            </w:pPr>
          </w:p>
        </w:tc>
        <w:tc>
          <w:tcPr>
            <w:tcW w:w="30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July 2007</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December 2008</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China Search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August 2010</w:t>
            </w:r>
          </w:p>
        </w:tc>
        <w:tc>
          <w:tcPr>
            <w:tcW w:w="1360" w:type="dxa"/>
            <w:vAlign w:val="bottom"/>
            <w:gridSpan w:val="2"/>
          </w:tcPr>
          <w:p>
            <w:pPr>
              <w:spacing w:after="0"/>
              <w:rPr>
                <w:sz w:val="20"/>
                <w:szCs w:val="20"/>
                <w:color w:val="auto"/>
              </w:rPr>
            </w:pPr>
            <w:r>
              <w:rPr>
                <w:rFonts w:ascii="Arial" w:cs="Arial" w:eastAsia="Arial" w:hAnsi="Arial"/>
                <w:sz w:val="17"/>
                <w:szCs w:val="17"/>
                <w:color w:val="auto"/>
              </w:rPr>
              <w:t>British</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Virgin</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(“BVI”)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Harmattan Capital Holdings</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August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BVI</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iClick Interactive (Singapore)</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Pte.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Search Asia Technology</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The PRC</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(Shenzhen) Co.,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Taiwan</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Subsidiary’s</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Taiwan</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 Taiwan Branch</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branch</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Performance Media Group</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2013</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29" w:lineRule="exact"/>
        <w:rPr>
          <w:rFonts w:ascii="Arial" w:cs="Arial" w:eastAsia="Arial" w:hAnsi="Arial"/>
          <w:sz w:val="18"/>
          <w:szCs w:val="18"/>
          <w:b w:val="1"/>
          <w:bCs w:val="1"/>
          <w:color w:val="auto"/>
        </w:rPr>
      </w:pPr>
    </w:p>
    <w:p>
      <w:pPr>
        <w:ind w:left="4140" w:hanging="157"/>
        <w:spacing w:after="0"/>
        <w:tabs>
          <w:tab w:leader="none" w:pos="4140" w:val="left"/>
        </w:tabs>
        <w:numPr>
          <w:ilvl w:val="1"/>
          <w:numId w:val="236"/>
        </w:numPr>
        <w:rPr>
          <w:rFonts w:ascii="Arial" w:cs="Arial" w:eastAsia="Arial" w:hAnsi="Arial"/>
          <w:sz w:val="14"/>
          <w:szCs w:val="14"/>
          <w:color w:val="auto"/>
        </w:rPr>
      </w:pPr>
      <w:r>
        <w:rPr>
          <w:rFonts w:ascii="Arial" w:cs="Arial" w:eastAsia="Arial" w:hAnsi="Arial"/>
          <w:sz w:val="14"/>
          <w:szCs w:val="14"/>
          <w:color w:val="auto"/>
        </w:rPr>
        <w:t>of direct</w:t>
      </w:r>
    </w:p>
    <w:tbl>
      <w:tblPr>
        <w:tblLayout w:type="fixed"/>
        <w:tblInd w:w="0" w:type="dxa"/>
        <w:tblCellMar>
          <w:top w:w="0" w:type="dxa"/>
          <w:left w:w="0" w:type="dxa"/>
          <w:bottom w:w="0" w:type="dxa"/>
          <w:right w:w="0" w:type="dxa"/>
        </w:tblCellMar>
      </w:tblPr>
      <w:tr>
        <w:trPr>
          <w:trHeight w:val="137"/>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or indirect</w:t>
            </w: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60"/>
              <w:spacing w:after="0" w:line="137" w:lineRule="exact"/>
              <w:rPr>
                <w:sz w:val="20"/>
                <w:szCs w:val="20"/>
                <w:color w:val="auto"/>
              </w:rPr>
            </w:pPr>
            <w:r>
              <w:rPr>
                <w:rFonts w:ascii="Arial" w:cs="Arial" w:eastAsia="Arial" w:hAnsi="Arial"/>
                <w:sz w:val="14"/>
                <w:szCs w:val="14"/>
                <w:color w:val="auto"/>
                <w:w w:val="94"/>
              </w:rPr>
              <w:t>Place of</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economic</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incorporation/</w:t>
            </w:r>
          </w:p>
        </w:tc>
        <w:tc>
          <w:tcPr>
            <w:tcW w:w="2960" w:type="dxa"/>
            <w:vAlign w:val="bottom"/>
            <w:vMerge w:val="restart"/>
          </w:tcPr>
          <w:p>
            <w:pPr>
              <w:ind w:left="9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Relationship</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ownership</w:t>
            </w:r>
          </w:p>
        </w:tc>
        <w:tc>
          <w:tcPr>
            <w:tcW w:w="1920" w:type="dxa"/>
            <w:vAlign w:val="bottom"/>
            <w:gridSpan w:val="2"/>
          </w:tcPr>
          <w:p>
            <w:pPr>
              <w:ind w:left="120"/>
              <w:spacing w:after="0"/>
              <w:rPr>
                <w:sz w:val="20"/>
                <w:szCs w:val="20"/>
                <w:color w:val="auto"/>
              </w:rPr>
            </w:pPr>
            <w:r>
              <w:rPr>
                <w:rFonts w:ascii="Arial" w:cs="Arial" w:eastAsia="Arial" w:hAnsi="Arial"/>
                <w:sz w:val="14"/>
                <w:szCs w:val="14"/>
                <w:color w:val="auto"/>
              </w:rPr>
              <w:t>Date of incorporation</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w w:val="75"/>
              </w:rPr>
              <w:t>Tetris</w:t>
            </w:r>
          </w:p>
        </w:tc>
        <w:tc>
          <w:tcPr>
            <w:tcW w:w="2280" w:type="dxa"/>
            <w:vAlign w:val="bottom"/>
            <w:tcBorders>
              <w:top w:val="single" w:sz="8" w:color="CCEEFF"/>
            </w:tcBorders>
            <w:shd w:val="clear" w:color="auto" w:fill="CCEEFF"/>
          </w:tcPr>
          <w:p>
            <w:pPr>
              <w:ind w:left="100"/>
              <w:spacing w:after="0" w:line="165" w:lineRule="exact"/>
              <w:rPr>
                <w:sz w:val="20"/>
                <w:szCs w:val="20"/>
                <w:color w:val="auto"/>
              </w:rPr>
            </w:pPr>
            <w:r>
              <w:rPr>
                <w:rFonts w:ascii="Arial" w:cs="Arial" w:eastAsia="Arial" w:hAnsi="Arial"/>
                <w:sz w:val="17"/>
                <w:szCs w:val="17"/>
                <w:color w:val="auto"/>
              </w:rPr>
              <w:t>Media (Shanghai) Co.,</w:t>
            </w:r>
          </w:p>
        </w:tc>
        <w:tc>
          <w:tcPr>
            <w:tcW w:w="8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8"/>
              <w:spacing w:after="0" w:line="165" w:lineRule="exact"/>
              <w:rPr>
                <w:sz w:val="20"/>
                <w:szCs w:val="20"/>
                <w:color w:val="auto"/>
              </w:rPr>
            </w:pPr>
            <w:r>
              <w:rPr>
                <w:rFonts w:ascii="Arial" w:cs="Arial" w:eastAsia="Arial" w:hAnsi="Arial"/>
                <w:sz w:val="17"/>
                <w:szCs w:val="17"/>
                <w:color w:val="auto"/>
                <w:w w:val="87"/>
              </w:rPr>
              <w:t>100%</w:t>
            </w:r>
          </w:p>
        </w:tc>
        <w:tc>
          <w:tcPr>
            <w:tcW w:w="4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July 2013</w:t>
            </w:r>
          </w:p>
        </w:tc>
        <w:tc>
          <w:tcPr>
            <w:tcW w:w="4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The PRC</w:t>
            </w:r>
          </w:p>
        </w:tc>
        <w:tc>
          <w:tcPr>
            <w:tcW w:w="44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4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Ltd.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7"/>
                <w:szCs w:val="17"/>
                <w:color w:val="auto"/>
              </w:rPr>
              <w:t>Buzzinate Company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42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Buzzinate (Shanghai)</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July 2009</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Information Technology</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Limited</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July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Cayman</w:t>
            </w:r>
          </w:p>
        </w:tc>
        <w:tc>
          <w:tcPr>
            <w:tcW w:w="2960" w:type="dxa"/>
            <w:vAlign w:val="bottom"/>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(HK)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2014</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(Beijing) Information</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November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Beijing OptAim Network</w:t>
            </w:r>
          </w:p>
        </w:tc>
        <w:tc>
          <w:tcPr>
            <w:tcW w:w="13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September 2012</w:t>
            </w:r>
          </w:p>
        </w:tc>
        <w:tc>
          <w:tcPr>
            <w:tcW w:w="1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Zhiyunzhong (Shanghai)</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VIE’s</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September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Arda Holdings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2010</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BVI</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 hold treasury shares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2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Cooperative Agreement (Continued)</w:t>
      </w:r>
    </w:p>
    <w:p>
      <w:pPr>
        <w:spacing w:after="0" w:line="116"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94"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70"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92"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40" w:hanging="547"/>
        <w:spacing w:after="0" w:line="277" w:lineRule="auto"/>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73" w:lineRule="exact"/>
        <w:rPr>
          <w:sz w:val="20"/>
          <w:szCs w:val="20"/>
          <w:color w:val="auto"/>
        </w:rPr>
      </w:pPr>
    </w:p>
    <w:p>
      <w:pPr>
        <w:ind w:left="920" w:right="160"/>
        <w:spacing w:after="0" w:line="279" w:lineRule="auto"/>
        <w:rPr>
          <w:sz w:val="20"/>
          <w:szCs w:val="20"/>
          <w:color w:val="auto"/>
        </w:rPr>
      </w:pPr>
      <w:r>
        <w:rPr>
          <w:rFonts w:ascii="Arial" w:cs="Arial" w:eastAsia="Arial" w:hAnsi="Arial"/>
          <w:sz w:val="17"/>
          <w:szCs w:val="17"/>
          <w:color w:val="auto"/>
        </w:rPr>
        <w:t>As of December 31, 2016 and September 30, 2017, the total assets of OptAim VIE and its subsidiary were US$27,135 and US$6,149, respectively, mainly comprising cash and cash equivalents, accounts receivable, prepayments and other current assets, property and equipment. As of December 31, 2016 and September 30, 2017, the total liabilities of the OptAim VIE and its subsidiary were US$12,310 and US$8,953 respectively, mainly comprising deferred revenue, accrued liabilities and other current liabilities.</w:t>
      </w:r>
    </w:p>
    <w:p>
      <w:pPr>
        <w:spacing w:after="0" w:line="63"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respectively, as of December 31, 2016 and September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5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shareholder approval in OptAim VIE. As noted above, the Company believes this power of attorney is legally enforceable but may not be as effective as direct equity ownership.</w:t>
      </w:r>
    </w:p>
    <w:p>
      <w:pPr>
        <w:spacing w:after="0" w:line="315"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use of estimates</w:t>
      </w:r>
    </w:p>
    <w:p>
      <w:pPr>
        <w:spacing w:after="0" w:line="121"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7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8"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73"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jc w:val="both"/>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condensed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condensed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condensed consolidated financial statements and the related disclosures.</w:t>
      </w:r>
    </w:p>
    <w:p>
      <w:pPr>
        <w:spacing w:after="0" w:line="78" w:lineRule="exact"/>
        <w:rPr>
          <w:rFonts w:ascii="Arial" w:cs="Arial" w:eastAsia="Arial" w:hAnsi="Arial"/>
          <w:sz w:val="18"/>
          <w:szCs w:val="18"/>
          <w:b w:val="1"/>
          <w:bCs w:val="1"/>
          <w:color w:val="auto"/>
        </w:rPr>
      </w:pPr>
    </w:p>
    <w:p>
      <w:pPr>
        <w:ind w:left="4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adopted ASU 2015-17 on January 1, 2017, and the impact of the adoption did not have a material impact on the condensed consolidated financial statements and related disclosures.</w:t>
      </w:r>
    </w:p>
    <w:p>
      <w:pPr>
        <w:spacing w:after="0" w:line="8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condensed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condensed consolidated financial statements.</w:t>
      </w:r>
    </w:p>
    <w:p>
      <w:pPr>
        <w:spacing w:after="0" w:line="50"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condensed consolidated financial statements.</w:t>
      </w:r>
    </w:p>
    <w:p>
      <w:pPr>
        <w:spacing w:after="0" w:line="80"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2017-01 to have a material impact to the Company’s condensed consolidated financial statements, but will evaluate the impact of adopting this standard prospectively upon any transactions of acquisitions or disposals of assets of businesses.</w:t>
      </w:r>
    </w:p>
    <w:p>
      <w:pPr>
        <w:spacing w:after="0" w:line="75" w:lineRule="exact"/>
        <w:rPr>
          <w:rFonts w:ascii="Arial" w:cs="Arial" w:eastAsia="Arial" w:hAnsi="Arial"/>
          <w:sz w:val="18"/>
          <w:szCs w:val="18"/>
          <w:b w:val="1"/>
          <w:bCs w:val="1"/>
          <w:color w:val="auto"/>
        </w:rPr>
      </w:pPr>
    </w:p>
    <w:p>
      <w:pPr>
        <w:ind w:left="460" w:right="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(c) classification on the statement of cash flows; (d) accounting for forfeitures of share-based payments. The ASU will be effective for fiscal years beginning after December 15, 2016, including interim periods within those fiscal years. The Company adopted ASU 2016-09 on January 1, 2017 and the adoption did not have a material impact on the condensed consolidated financial statements and the related disclosures.</w:t>
      </w:r>
    </w:p>
    <w:p>
      <w:pPr>
        <w:spacing w:after="0" w:line="65"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condensed consolidated financial statements.</w:t>
      </w:r>
    </w:p>
    <w:p>
      <w:pPr>
        <w:spacing w:after="0" w:line="7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condensed consolidated financial statements.</w:t>
      </w:r>
    </w:p>
    <w:p>
      <w:pPr>
        <w:spacing w:after="0" w:line="326"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management considers the possibility of such a finding by PRC regulatory authorities under the Draft VIE law, if it becomes effective, to be remote.</w:t>
      </w:r>
    </w:p>
    <w:p>
      <w:pPr>
        <w:spacing w:after="0" w:line="140"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46" w:lineRule="exact"/>
        <w:rPr>
          <w:rFonts w:ascii="Arial" w:cs="Arial" w:eastAsia="Arial" w:hAnsi="Arial"/>
          <w:sz w:val="18"/>
          <w:szCs w:val="18"/>
          <w:b w:val="1"/>
          <w:bCs w:val="1"/>
          <w:color w:val="auto"/>
        </w:rPr>
      </w:pPr>
    </w:p>
    <w:p>
      <w:pPr>
        <w:jc w:val="both"/>
        <w:ind w:left="460" w:right="3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September 30, 2017 and for the nine months ended September 30,</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2016 and 2017:</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60" w:type="dxa"/>
            <w:vAlign w:val="bottom"/>
            <w:gridSpan w:val="3"/>
          </w:tcPr>
          <w:p>
            <w:pPr>
              <w:ind w:left="86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31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0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80" w:type="dxa"/>
            <w:vAlign w:val="bottom"/>
            <w:gridSpan w:val="2"/>
          </w:tcPr>
          <w:p>
            <w:pPr>
              <w:jc w:val="right"/>
              <w:ind w:right="2330"/>
              <w:spacing w:after="0"/>
              <w:rPr>
                <w:sz w:val="20"/>
                <w:szCs w:val="20"/>
                <w:color w:val="auto"/>
              </w:rPr>
            </w:pPr>
            <w:r>
              <w:rPr>
                <w:rFonts w:ascii="Arial" w:cs="Arial" w:eastAsia="Arial" w:hAnsi="Arial"/>
                <w:sz w:val="18"/>
                <w:szCs w:val="18"/>
                <w:color w:val="auto"/>
              </w:rPr>
              <w:t>F-87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Certain risks and concentration (Continued)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PRC regulations (Continued)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9"/>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3"/>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33,686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(loss)/profit</w:t>
            </w:r>
          </w:p>
        </w:tc>
        <w:tc>
          <w:tcPr>
            <w:tcW w:w="2540" w:type="dxa"/>
            <w:vAlign w:val="bottom"/>
            <w:gridSpan w:val="4"/>
          </w:tcPr>
          <w:p>
            <w:pPr>
              <w:jc w:val="right"/>
              <w:ind w:right="360"/>
              <w:spacing w:after="0"/>
              <w:rPr>
                <w:sz w:val="20"/>
                <w:szCs w:val="20"/>
                <w:color w:val="auto"/>
              </w:rPr>
            </w:pPr>
            <w:r>
              <w:rPr>
                <w:rFonts w:ascii="Arial" w:cs="Arial" w:eastAsia="Arial" w:hAnsi="Arial"/>
                <w:sz w:val="18"/>
                <w:szCs w:val="18"/>
                <w:color w:val="auto"/>
              </w:rPr>
              <w:t>(1,252)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ind w:left="3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660"/>
              <w:spacing w:after="0" w:line="123" w:lineRule="exact"/>
              <w:rPr>
                <w:sz w:val="20"/>
                <w:szCs w:val="20"/>
                <w:color w:val="auto"/>
              </w:rPr>
            </w:pPr>
            <w:r>
              <w:rPr>
                <w:rFonts w:ascii="Arial" w:cs="Arial" w:eastAsia="Arial" w:hAnsi="Arial"/>
                <w:sz w:val="14"/>
                <w:szCs w:val="14"/>
                <w:color w:val="auto"/>
                <w:w w:val="87"/>
              </w:rPr>
              <w:t>September 30,</w:t>
            </w:r>
          </w:p>
        </w:tc>
        <w:tc>
          <w:tcPr>
            <w:tcW w:w="12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ind w:right="208"/>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gridSpan w:val="2"/>
            <w:vMerge w:val="restart"/>
          </w:tcPr>
          <w:p>
            <w:pPr>
              <w:ind w:left="1040"/>
              <w:spacing w:after="0"/>
              <w:rPr>
                <w:sz w:val="20"/>
                <w:szCs w:val="20"/>
                <w:color w:val="auto"/>
              </w:rPr>
            </w:pPr>
            <w:r>
              <w:rPr>
                <w:rFonts w:ascii="Arial" w:cs="Arial" w:eastAsia="Arial" w:hAnsi="Arial"/>
                <w:sz w:val="18"/>
                <w:szCs w:val="18"/>
                <w:color w:val="auto"/>
              </w:rPr>
              <w:t>Net increase/(decrease) in cash and cash equivalents</w:t>
            </w:r>
          </w:p>
        </w:tc>
        <w:tc>
          <w:tcPr>
            <w:tcW w:w="1060" w:type="dxa"/>
            <w:vAlign w:val="bottom"/>
            <w:vMerge w:val="restart"/>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70"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6"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380"/>
          </w:cols>
          <w:pgMar w:left="240" w:top="459" w:right="2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Fair value measurements using</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4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6"/>
              </w:rPr>
              <w:t>inputs</w:t>
            </w:r>
          </w:p>
        </w:tc>
      </w:tr>
      <w:tr>
        <w:trPr>
          <w:trHeight w:val="167"/>
        </w:trPr>
        <w:tc>
          <w:tcPr>
            <w:tcW w:w="518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w w:val="93"/>
              </w:rPr>
              <w:t>Total fair value</w:t>
            </w:r>
          </w:p>
        </w:tc>
        <w:tc>
          <w:tcPr>
            <w:tcW w:w="15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4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180" w:type="dxa"/>
            <w:vAlign w:val="bottom"/>
            <w:gridSpan w:val="2"/>
          </w:tcPr>
          <w:p>
            <w:pPr>
              <w:jc w:val="center"/>
              <w:ind w:left="216"/>
              <w:spacing w:after="0"/>
              <w:rPr>
                <w:sz w:val="20"/>
                <w:szCs w:val="20"/>
                <w:color w:val="auto"/>
              </w:rPr>
            </w:pPr>
            <w:r>
              <w:rPr>
                <w:rFonts w:ascii="Arial" w:cs="Arial" w:eastAsia="Arial" w:hAnsi="Arial"/>
                <w:sz w:val="14"/>
                <w:szCs w:val="14"/>
                <w:color w:val="auto"/>
                <w:w w:val="95"/>
              </w:rPr>
              <w:t>(Level 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27,280</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5,234</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Bank borrowings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12,982</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12,982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60,525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21,873</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21,873</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7,845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7,845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67,655</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67,655</w:t>
            </w:r>
          </w:p>
        </w:tc>
      </w:tr>
    </w:tbl>
    <w:p>
      <w:pPr>
        <w:spacing w:after="0" w:line="332"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For the nine months ended September 30, 2017, an individual customer accounted for 11% of the net revenues. For the nine months ended September 30, 2016 two individual customers accounted for 15% and 12% of the net revenues,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20"/>
          </w:cols>
          <w:pgMar w:left="240" w:top="459" w:right="3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9"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No individual customer accounted for more than 10% of the consolidated accounts receivable as of December 31, 2016 and September 30, 2017. The top 10 accounts receivable accounted for 38% and 37% of the consolidated accounts receivable as of December 31, 2016 and September 30, 2017,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right="80"/>
        <w:spacing w:after="0" w:line="269" w:lineRule="auto"/>
        <w:rPr>
          <w:sz w:val="20"/>
          <w:szCs w:val="20"/>
          <w:color w:val="auto"/>
        </w:rPr>
      </w:pPr>
      <w:r>
        <w:rPr>
          <w:rFonts w:ascii="Arial" w:cs="Arial" w:eastAsia="Arial" w:hAnsi="Arial"/>
          <w:sz w:val="17"/>
          <w:szCs w:val="17"/>
          <w:color w:val="auto"/>
        </w:rPr>
        <w:t>As of December 31, 2016 and September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nine months ended September 30, 2016 and 2017 and believes that its credit risk to be minimal.</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September 30, 2017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color w:val="auto"/>
              </w:rPr>
              <w:t>September 30, 2017</w:t>
            </w:r>
          </w:p>
        </w:tc>
      </w:tr>
      <w:tr>
        <w:trPr>
          <w:trHeight w:val="123"/>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60" w:type="dxa"/>
            <w:vAlign w:val="bottom"/>
          </w:tcPr>
          <w:p>
            <w:pPr>
              <w:spacing w:after="0"/>
              <w:rPr>
                <w:sz w:val="10"/>
                <w:szCs w:val="10"/>
                <w:color w:val="auto"/>
              </w:rPr>
            </w:pPr>
          </w:p>
        </w:tc>
      </w:tr>
      <w:tr>
        <w:trPr>
          <w:trHeight w:val="167"/>
        </w:trPr>
        <w:tc>
          <w:tcPr>
            <w:tcW w:w="670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4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67,697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w w:val="98"/>
              </w:rPr>
              <w:t>15,666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49,744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6,410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15,064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restricted cash amounting to US$5,234 as of December 31, 2016 represented balance held in a restricted bank account pursuant to certain short term loan agreements (see Note 13 for details). The restricted cash is held in US$ and carries fixed interest at the rate of 0.55% and 0.05% per annum as of December 31, 2016. There was no restricted cash as of September 30. 2017.</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color w:val="auto"/>
              </w:rPr>
              <w:t>December 31,</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3"/>
          </w:tcPr>
          <w:p>
            <w:pPr>
              <w:jc w:val="right"/>
              <w:ind w:right="196"/>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00" w:type="dxa"/>
            <w:vAlign w:val="bottom"/>
          </w:tcPr>
          <w:p>
            <w:pPr>
              <w:spacing w:after="0"/>
              <w:rPr>
                <w:sz w:val="19"/>
                <w:szCs w:val="19"/>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(1,693)</w:t>
            </w:r>
          </w:p>
        </w:tc>
        <w:tc>
          <w:tcPr>
            <w:tcW w:w="36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The following table presents the movement in the allowance for doubtful accounts:</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7"/>
          </w:tcPr>
          <w:p>
            <w:pPr>
              <w:jc w:val="right"/>
              <w:ind w:right="4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gridSpan w:val="6"/>
          </w:tcPr>
          <w:p>
            <w:pPr>
              <w:jc w:val="right"/>
              <w:ind w:right="8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8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680" w:type="dxa"/>
            <w:vAlign w:val="bottom"/>
            <w:gridSpan w:val="2"/>
          </w:tcPr>
          <w:p>
            <w:pPr>
              <w:ind w:left="1100"/>
              <w:spacing w:after="0"/>
              <w:rPr>
                <w:sz w:val="20"/>
                <w:szCs w:val="20"/>
                <w:color w:val="auto"/>
              </w:rPr>
            </w:pPr>
            <w:r>
              <w:rPr>
                <w:rFonts w:ascii="Arial" w:cs="Arial" w:eastAsia="Arial" w:hAnsi="Arial"/>
                <w:sz w:val="18"/>
                <w:szCs w:val="18"/>
                <w:color w:val="auto"/>
              </w:rPr>
              <w:t>Balance at the end of period</w:t>
            </w:r>
          </w:p>
        </w:tc>
        <w:tc>
          <w:tcPr>
            <w:tcW w:w="7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Arial" w:cs="Arial" w:eastAsia="Arial" w:hAnsi="Arial"/>
                <w:sz w:val="18"/>
                <w:szCs w:val="18"/>
                <w:color w:val="auto"/>
              </w:rPr>
              <w:t>F-91</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820" w:type="dxa"/>
            <w:vAlign w:val="bottom"/>
            <w:gridSpan w:val="3"/>
          </w:tcPr>
          <w:p>
            <w:pPr>
              <w:ind w:left="92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Deposits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7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Non-current</w:t>
            </w: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acquisition of fixed assets and intangible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Rental deposits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4,629</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1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120" w:type="dxa"/>
            <w:vAlign w:val="bottom"/>
            <w:gridSpan w:val="3"/>
          </w:tcPr>
          <w:p>
            <w:pPr>
              <w:jc w:val="right"/>
              <w:ind w:right="400"/>
              <w:spacing w:after="0"/>
              <w:rPr>
                <w:sz w:val="20"/>
                <w:szCs w:val="20"/>
                <w:color w:val="auto"/>
              </w:rPr>
            </w:pPr>
            <w:r>
              <w:rPr>
                <w:rFonts w:ascii="Arial" w:cs="Arial" w:eastAsia="Arial" w:hAnsi="Arial"/>
                <w:sz w:val="18"/>
                <w:szCs w:val="18"/>
                <w:color w:val="auto"/>
              </w:rPr>
              <w:t>(4,519)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(5,559)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recognized for the nine months ended September 30, 2016 and 2017 are summarized as follows:</w:t>
      </w:r>
    </w:p>
    <w:p>
      <w:pPr>
        <w:spacing w:after="0" w:line="126"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For the nine months ended</w:t>
      </w:r>
    </w:p>
    <w:p>
      <w:pPr>
        <w:jc w:val="center"/>
        <w:ind w:left="66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2016</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960" w:type="dxa"/>
            <w:vAlign w:val="bottom"/>
            <w:gridSpan w:val="2"/>
          </w:tcPr>
          <w:p>
            <w:pPr>
              <w:jc w:val="right"/>
              <w:ind w:right="2776"/>
              <w:spacing w:after="0"/>
              <w:rPr>
                <w:sz w:val="20"/>
                <w:szCs w:val="20"/>
                <w:color w:val="auto"/>
              </w:rPr>
            </w:pPr>
            <w:r>
              <w:rPr>
                <w:rFonts w:ascii="Arial" w:cs="Arial" w:eastAsia="Arial" w:hAnsi="Arial"/>
                <w:sz w:val="18"/>
                <w:szCs w:val="18"/>
                <w:color w:val="auto"/>
              </w:rPr>
              <w:t>F-92</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Intangible assets consist of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0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4"/>
                <w:szCs w:val="14"/>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(9,939)</w:t>
            </w: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Exchange differences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recognized for the nine months ended September 30, 2016 and 2017 are summarized as follows:</w:t>
      </w:r>
    </w:p>
    <w:p>
      <w:pPr>
        <w:spacing w:after="0" w:line="126"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46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540" w:type="dxa"/>
            <w:vAlign w:val="bottom"/>
            <w:tcBorders>
              <w:top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7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3"/>
          </w:tcPr>
          <w:p>
            <w:pPr>
              <w:jc w:val="right"/>
              <w:ind w:right="273"/>
              <w:spacing w:after="0"/>
              <w:rPr>
                <w:sz w:val="20"/>
                <w:szCs w:val="20"/>
                <w:color w:val="auto"/>
              </w:rPr>
            </w:pPr>
            <w:r>
              <w:rPr>
                <w:rFonts w:ascii="Arial" w:cs="Arial" w:eastAsia="Arial" w:hAnsi="Arial"/>
                <w:sz w:val="18"/>
                <w:szCs w:val="18"/>
                <w:color w:val="auto"/>
                <w:w w:val="89"/>
              </w:rPr>
              <w:t>The estimated aggregate amortization expense for each of the next five years as of September 30, 2017 is: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color w:val="auto"/>
                <w:w w:val="98"/>
              </w:rPr>
              <w:t>Computer software</w:t>
            </w:r>
          </w:p>
        </w:tc>
        <w:tc>
          <w:tcPr>
            <w:tcW w:w="0" w:type="dxa"/>
            <w:vAlign w:val="bottom"/>
          </w:tcPr>
          <w:p>
            <w:pPr>
              <w:spacing w:after="0"/>
              <w:rPr>
                <w:sz w:val="1"/>
                <w:szCs w:val="1"/>
                <w:color w:val="auto"/>
              </w:rPr>
            </w:pPr>
          </w:p>
        </w:tc>
      </w:tr>
      <w:tr>
        <w:trPr>
          <w:trHeight w:val="93"/>
        </w:trPr>
        <w:tc>
          <w:tcPr>
            <w:tcW w:w="9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340"/>
          </w:cols>
          <w:pgMar w:left="240" w:top="459" w:right="3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3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Buzzinate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 and September 30, 2017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7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5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gridSpan w:val="2"/>
          </w:tcPr>
          <w:p>
            <w:pPr>
              <w:jc w:val="right"/>
              <w:ind w:right="26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12</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ind w:left="800"/>
              <w:spacing w:after="0"/>
              <w:rPr>
                <w:sz w:val="20"/>
                <w:szCs w:val="20"/>
                <w:color w:val="auto"/>
              </w:rPr>
            </w:pPr>
            <w:r>
              <w:rPr>
                <w:rFonts w:ascii="Arial" w:cs="Arial" w:eastAsia="Arial" w:hAnsi="Arial"/>
                <w:sz w:val="14"/>
                <w:szCs w:val="14"/>
                <w:color w:val="auto"/>
                <w:w w:val="95"/>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w:t>
            </w:r>
          </w:p>
        </w:tc>
        <w:tc>
          <w:tcPr>
            <w:tcW w:w="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gridSpan w:val="2"/>
          </w:tcPr>
          <w:p>
            <w:pPr>
              <w:jc w:val="right"/>
              <w:ind w:right="2390"/>
              <w:spacing w:after="0"/>
              <w:rPr>
                <w:sz w:val="20"/>
                <w:szCs w:val="20"/>
                <w:color w:val="auto"/>
              </w:rPr>
            </w:pPr>
            <w:r>
              <w:rPr>
                <w:rFonts w:ascii="Arial" w:cs="Arial" w:eastAsia="Arial" w:hAnsi="Arial"/>
                <w:sz w:val="18"/>
                <w:szCs w:val="18"/>
                <w:color w:val="auto"/>
              </w:rPr>
              <w:t>F-94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Bank borrowings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440" w:type="dxa"/>
            <w:vAlign w:val="bottom"/>
            <w:gridSpan w:val="3"/>
          </w:tcPr>
          <w:p>
            <w:pPr>
              <w:ind w:left="540"/>
              <w:spacing w:after="0"/>
              <w:rPr>
                <w:sz w:val="20"/>
                <w:szCs w:val="20"/>
                <w:color w:val="auto"/>
              </w:rPr>
            </w:pPr>
            <w:r>
              <w:rPr>
                <w:rFonts w:ascii="Arial" w:cs="Arial" w:eastAsia="Arial" w:hAnsi="Arial"/>
                <w:sz w:val="14"/>
                <w:szCs w:val="14"/>
                <w:color w:val="auto"/>
                <w:w w:val="95"/>
              </w:rPr>
              <w:t>September 30,</w:t>
            </w:r>
          </w:p>
        </w:tc>
      </w:tr>
      <w:tr>
        <w:trPr>
          <w:trHeight w:val="167"/>
        </w:trPr>
        <w:tc>
          <w:tcPr>
            <w:tcW w:w="570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3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5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ind w:left="900" w:hanging="446"/>
        <w:spacing w:after="0" w:line="255"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PRC subsidiaries, entered into a one-year revolving loan agreement with a bank of limit up to RMB30 million. Subsequently, the Company entered into a renewed agreement in December 2016 for this bank facility with a bank of limit up to RMB50 million. Out of this loan facility, the PRC subsidiary had utilized RMB30 million (equivalent to US$4,562).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94"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one-year loan agreement with a bank amounting to US$3,000. Out of this loan facility, the Hong Kong subsidiary had utilized US$2,950 as of December 31, 2016 and September 30 2017. The Company, through its Hong Kong subsidiary, renewed the one-year revolving loan agreement with the bank on December 19, 2016. The interest rate of this short-term loan facility was determined by three-month LIBOR plus 5.75% per annum for the nine months ended September 30, 2016 and September 30, 2017.</w:t>
      </w:r>
    </w:p>
    <w:p>
      <w:pPr>
        <w:spacing w:after="0" w:line="93"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two-year loan agreement with a bank amounting to US$2,000. Out of this loan facility, the Hong Kong subsidiaries had utilized US$1,083 and US$333 as of December 31, 2016 and September 30,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September 30, 2017</w:t>
      </w:r>
    </w:p>
    <w:p>
      <w:pPr>
        <w:spacing w:after="0" w:line="93"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380"/>
          </w:cols>
          <w:pgMar w:left="240" w:top="459" w:right="2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8640" w:hanging="452"/>
        <w:spacing w:after="0" w:line="434" w:lineRule="auto"/>
        <w:tabs>
          <w:tab w:leader="none" w:pos="449"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i w:val="1"/>
          <w:iCs w:val="1"/>
          <w:color w:val="auto"/>
        </w:rPr>
        <w:t>Notes (Continued):</w:t>
      </w:r>
    </w:p>
    <w:p>
      <w:pPr>
        <w:ind w:left="920"/>
        <w:spacing w:after="0" w:line="297" w:lineRule="auto"/>
        <w:rPr>
          <w:sz w:val="20"/>
          <w:szCs w:val="20"/>
          <w:color w:val="auto"/>
        </w:rPr>
      </w:pPr>
      <w:r>
        <w:rPr>
          <w:rFonts w:ascii="Arial" w:cs="Arial" w:eastAsia="Arial" w:hAnsi="Arial"/>
          <w:sz w:val="16"/>
          <w:szCs w:val="16"/>
          <w:color w:val="auto"/>
        </w:rPr>
        <w:t>loans over six months granted by financial institutions per annum. The loan was finally settled on January 13, 2017. Restricted cash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64" w:lineRule="exact"/>
        <w:rPr>
          <w:sz w:val="20"/>
          <w:szCs w:val="20"/>
          <w:color w:val="auto"/>
        </w:rPr>
      </w:pPr>
    </w:p>
    <w:p>
      <w:pPr>
        <w:ind w:left="900" w:hanging="446"/>
        <w:spacing w:after="0" w:line="257"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 July 28, 2016, the Company, through its PRC subsidiary, entered into a one-year revolving loan agreement with a bank amounting to a total of RMB12 million (equivalent to US$1,732) as of December 31, 2016.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28 July, 2017.</w:t>
      </w:r>
    </w:p>
    <w:p>
      <w:pPr>
        <w:spacing w:after="0" w:line="93"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On November 14, 2016, the Company, through its PRC subsidiary, entered into a three-month revolving loan agreement with a bank amounting to a total of RMB10 million (equivalent to US$1,443). In January, 2017, the Company renewed three-month revolving loan agreement, which provides for a RMB30 million (US$4.6 million) banking facilities. The interest rate of this loan facility was the benchmark interest rate determined by the People’s Bank of China for loans over three months granted by financial institutions plus 0.435% per annum. The loan was finally settled on February 14, 2017. Restricted cash amounting to US$1,666 was held in a restricted bank account as required by this loan agreement as of December 31, 2016.</w:t>
      </w:r>
    </w:p>
    <w:p>
      <w:pPr>
        <w:spacing w:after="0" w:line="98"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As of December 31,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70" w:lineRule="exact"/>
        <w:rPr>
          <w:rFonts w:ascii="Arial" w:cs="Arial" w:eastAsia="Arial" w:hAnsi="Arial"/>
          <w:sz w:val="17"/>
          <w:szCs w:val="17"/>
          <w:color w:val="auto"/>
        </w:rPr>
      </w:pPr>
    </w:p>
    <w:p>
      <w:pPr>
        <w:ind w:left="900" w:right="500"/>
        <w:spacing w:after="0" w:line="277" w:lineRule="auto"/>
        <w:rPr>
          <w:rFonts w:ascii="Arial" w:cs="Arial" w:eastAsia="Arial" w:hAnsi="Arial"/>
          <w:sz w:val="17"/>
          <w:szCs w:val="17"/>
          <w:color w:val="auto"/>
        </w:rPr>
      </w:pPr>
      <w:r>
        <w:rPr>
          <w:rFonts w:ascii="Arial" w:cs="Arial" w:eastAsia="Arial" w:hAnsi="Arial"/>
          <w:sz w:val="18"/>
          <w:szCs w:val="18"/>
          <w:color w:val="auto"/>
        </w:rPr>
        <w:t>The weighted average interest rate for bank loans outstanding as of December 31, 2016 and September 30, 2017 was 5.99% and 6.20% per annum, respectively.</w:t>
      </w:r>
    </w:p>
    <w:p>
      <w:pPr>
        <w:spacing w:after="0" w:line="75" w:lineRule="exact"/>
        <w:rPr>
          <w:rFonts w:ascii="Arial" w:cs="Arial" w:eastAsia="Arial" w:hAnsi="Arial"/>
          <w:sz w:val="17"/>
          <w:szCs w:val="17"/>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Eastwest Bank, which provides for a</w:t>
      </w:r>
    </w:p>
    <w:p>
      <w:pPr>
        <w:spacing w:after="0" w:line="23" w:lineRule="exact"/>
        <w:rPr>
          <w:rFonts w:ascii="Arial" w:cs="Arial" w:eastAsia="Arial" w:hAnsi="Arial"/>
          <w:sz w:val="18"/>
          <w:szCs w:val="18"/>
          <w:color w:val="auto"/>
        </w:rPr>
      </w:pPr>
    </w:p>
    <w:p>
      <w:pPr>
        <w:ind w:left="900" w:right="80"/>
        <w:spacing w:after="0" w:line="255" w:lineRule="auto"/>
        <w:rPr>
          <w:rFonts w:ascii="Arial" w:cs="Arial" w:eastAsia="Arial" w:hAnsi="Arial"/>
          <w:sz w:val="18"/>
          <w:szCs w:val="18"/>
          <w:color w:val="auto"/>
        </w:rPr>
      </w:pPr>
      <w:r>
        <w:rPr>
          <w:rFonts w:ascii="Arial" w:cs="Arial" w:eastAsia="Arial" w:hAnsi="Arial"/>
          <w:sz w:val="18"/>
          <w:szCs w:val="18"/>
          <w:color w:val="auto"/>
        </w:rPr>
        <w:t>RMB30 million (US$4.3 million) 18-month revolving loan. The Company provide corporate guarantee and account receivables as pledge to secure the obligations under this revolving loan. The interest rate of this loan facility is fixed at 5.75% per annum. As of December 31, 2016 and September 30, 2017, the Company had not drawn down under this revolving loan.</w:t>
      </w:r>
    </w:p>
    <w:p>
      <w:pPr>
        <w:spacing w:after="0" w:line="95" w:lineRule="exact"/>
        <w:rPr>
          <w:rFonts w:ascii="Arial" w:cs="Arial" w:eastAsia="Arial" w:hAnsi="Arial"/>
          <w:sz w:val="18"/>
          <w:szCs w:val="18"/>
          <w:color w:val="auto"/>
        </w:rPr>
      </w:pPr>
    </w:p>
    <w:p>
      <w:pPr>
        <w:ind w:left="900" w:right="60"/>
        <w:spacing w:after="0" w:line="277" w:lineRule="auto"/>
        <w:rPr>
          <w:rFonts w:ascii="Arial" w:cs="Arial" w:eastAsia="Arial" w:hAnsi="Arial"/>
          <w:sz w:val="18"/>
          <w:szCs w:val="18"/>
          <w:color w:val="auto"/>
        </w:rPr>
      </w:pPr>
      <w:r>
        <w:rPr>
          <w:rFonts w:ascii="Arial" w:cs="Arial" w:eastAsia="Arial" w:hAnsi="Arial"/>
          <w:sz w:val="18"/>
          <w:szCs w:val="18"/>
          <w:color w:val="auto"/>
        </w:rPr>
        <w:t>Other than those shown above, the Company did not have any significant capital and other commitments, long-term obligations, or guarantees as of December 31,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right="7800" w:hanging="452"/>
        <w:spacing w:after="0" w:line="378" w:lineRule="auto"/>
        <w:tabs>
          <w:tab w:leader="none" w:pos="44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4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 preferred shares</w:t>
      </w:r>
    </w:p>
    <w:p>
      <w:pPr>
        <w:spacing w:after="0" w:line="1" w:lineRule="exact"/>
        <w:rPr>
          <w:rFonts w:ascii="Arial" w:cs="Arial" w:eastAsia="Arial" w:hAnsi="Arial"/>
          <w:sz w:val="18"/>
          <w:szCs w:val="18"/>
          <w:b w:val="1"/>
          <w:bCs w:val="1"/>
          <w:color w:val="auto"/>
        </w:rPr>
      </w:pPr>
    </w:p>
    <w:p>
      <w:pPr>
        <w:jc w:val="both"/>
        <w:ind w:left="46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nine months ended September 30, 2016 and 2017 is less than US$85,000. Considering the gross billing of the Group as defined in the Series D Agreement for the nine months ended September 30, 2016 and 2017 was more than US$85,000, no additional Series D preferred shares were issued. Furthermore, the Company determines that the fair value of this obligation is zero as of December 31, 2016 and September 30, 2017.</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Voting rights</w:t>
      </w:r>
    </w:p>
    <w:p>
      <w:pPr>
        <w:spacing w:after="0" w:line="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6"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Conversion rights (Continued)</w:t>
      </w:r>
    </w:p>
    <w:p>
      <w:pPr>
        <w:spacing w:after="0" w:line="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 In May 2011, the Company issued 457,611 ordinary shares of the Company to Mr. Cong and Mr. Liu in exchange for Mr. Cong and Mr. Liu would procure the grant of an exclusive reseller agreement from Baidu</w:t>
      </w:r>
    </w:p>
    <w:p>
      <w:pPr>
        <w:spacing w:after="0" w:line="78"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Series D preferred shares can redeem the preferred shares at any time after the earlier of: (i)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(ii)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jc w:val="both"/>
        <w:ind w:left="4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Series E preferred shares can redeem the preferred shares at any time after the earlier of: (i) the occurrence of any liquidating transaction</w:t>
      </w:r>
    </w:p>
    <w:p>
      <w:pPr>
        <w:spacing w:after="0" w:line="46" w:lineRule="exact"/>
        <w:rPr>
          <w:rFonts w:ascii="Arial" w:cs="Arial" w:eastAsia="Arial" w:hAnsi="Arial"/>
          <w:sz w:val="18"/>
          <w:szCs w:val="18"/>
          <w:b w:val="1"/>
          <w:bCs w:val="1"/>
          <w:color w:val="auto"/>
        </w:rPr>
      </w:pPr>
    </w:p>
    <w:p>
      <w:pPr>
        <w:ind w:left="460" w:right="1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5"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6"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Series D Agreement, the redemption date of Series A, A-1, B, B-1 and C preferred share was changed to December 31, 2016. The redemption date of Series A, A-1, B, C and D preferred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September 30, 2017.</w:t>
      </w:r>
    </w:p>
    <w:p>
      <w:pPr>
        <w:spacing w:after="0" w:line="59"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00" w:type="dxa"/>
            <w:vAlign w:val="bottom"/>
            <w:gridSpan w:val="3"/>
          </w:tcPr>
          <w:p>
            <w:pPr>
              <w:jc w:val="right"/>
              <w:ind w:right="420"/>
              <w:spacing w:after="0"/>
              <w:rPr>
                <w:sz w:val="20"/>
                <w:szCs w:val="20"/>
                <w:color w:val="auto"/>
              </w:rPr>
            </w:pPr>
            <w:r>
              <w:rPr>
                <w:rFonts w:ascii="Arial" w:cs="Arial" w:eastAsia="Arial" w:hAnsi="Arial"/>
                <w:sz w:val="14"/>
                <w:szCs w:val="14"/>
                <w:color w:val="auto"/>
              </w:rPr>
              <w:t>December 31,</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(60,525)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(67,655)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00"/>
          </w:cols>
          <w:pgMar w:left="240" w:top="459" w:right="2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385" w:lineRule="auto"/>
        <w:tabs>
          <w:tab w:leader="none" w:pos="449"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these preferred shares for purposes of determining the conversion feature and redemption feature as of December 31, 2016 and September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2220" w:type="dxa"/>
            <w:vAlign w:val="bottom"/>
          </w:tcPr>
          <w:p>
            <w:pPr>
              <w:jc w:val="right"/>
              <w:ind w:right="314"/>
              <w:spacing w:after="0"/>
              <w:rPr>
                <w:sz w:val="20"/>
                <w:szCs w:val="20"/>
                <w:color w:val="auto"/>
              </w:rPr>
            </w:pPr>
            <w:r>
              <w:rPr>
                <w:rFonts w:ascii="Arial" w:cs="Arial" w:eastAsia="Arial" w:hAnsi="Arial"/>
                <w:sz w:val="14"/>
                <w:szCs w:val="14"/>
                <w:color w:val="auto"/>
              </w:rPr>
              <w:t>December 31, 2016</w:t>
            </w:r>
          </w:p>
        </w:tc>
        <w:tc>
          <w:tcPr>
            <w:tcW w:w="1640" w:type="dxa"/>
            <w:vAlign w:val="bottom"/>
          </w:tcPr>
          <w:p>
            <w:pPr>
              <w:jc w:val="right"/>
              <w:spacing w:after="0"/>
              <w:rPr>
                <w:sz w:val="20"/>
                <w:szCs w:val="20"/>
                <w:color w:val="auto"/>
              </w:rPr>
            </w:pPr>
            <w:r>
              <w:rPr>
                <w:rFonts w:ascii="Arial" w:cs="Arial" w:eastAsia="Arial" w:hAnsi="Arial"/>
                <w:sz w:val="14"/>
                <w:szCs w:val="14"/>
                <w:color w:val="auto"/>
              </w:rPr>
              <w:t>September 30, 2017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tcPr>
          <w:p>
            <w:pPr>
              <w:jc w:val="right"/>
              <w:ind w:right="314"/>
              <w:spacing w:after="0"/>
              <w:rPr>
                <w:sz w:val="20"/>
                <w:szCs w:val="20"/>
                <w:color w:val="auto"/>
              </w:rPr>
            </w:pPr>
            <w:r>
              <w:rPr>
                <w:rFonts w:ascii="Arial" w:cs="Arial" w:eastAsia="Arial" w:hAnsi="Arial"/>
                <w:sz w:val="18"/>
                <w:szCs w:val="18"/>
                <w:color w:val="auto"/>
              </w:rPr>
              <w:t>18.3%</w:t>
            </w:r>
          </w:p>
        </w:tc>
        <w:tc>
          <w:tcPr>
            <w:tcW w:w="16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 annum growth rate on average spending per customer</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 - 19.0%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- 39.0%</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w:t>
      </w:r>
    </w:p>
    <w:p>
      <w:pPr>
        <w:spacing w:after="0" w:line="247" w:lineRule="exact"/>
        <w:rPr>
          <w:sz w:val="20"/>
          <w:szCs w:val="20"/>
          <w:color w:val="auto"/>
        </w:rPr>
      </w:pPr>
    </w:p>
    <w:p>
      <w:pPr>
        <w:jc w:val="center"/>
        <w:ind w:left="6480"/>
        <w:spacing w:after="0"/>
        <w:rPr>
          <w:sz w:val="20"/>
          <w:szCs w:val="20"/>
          <w:color w:val="auto"/>
        </w:rPr>
      </w:pPr>
      <w:r>
        <w:rPr>
          <w:rFonts w:ascii="Arial" w:cs="Arial" w:eastAsia="Arial" w:hAnsi="Arial"/>
          <w:sz w:val="14"/>
          <w:szCs w:val="14"/>
          <w:color w:val="auto"/>
        </w:rPr>
        <w:t>For the nine months ended</w:t>
      </w:r>
    </w:p>
    <w:p>
      <w:pPr>
        <w:jc w:val="center"/>
        <w:ind w:left="64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7" w:lineRule="exact"/>
        <w:rPr>
          <w:sz w:val="20"/>
          <w:szCs w:val="20"/>
          <w:color w:val="auto"/>
        </w:rPr>
      </w:pPr>
    </w:p>
    <w:p>
      <w:pPr>
        <w:jc w:val="center"/>
        <w:ind w:left="6560"/>
        <w:spacing w:after="0"/>
        <w:rPr>
          <w:sz w:val="20"/>
          <w:szCs w:val="20"/>
          <w:color w:val="auto"/>
        </w:rPr>
      </w:pPr>
      <w:r>
        <w:rPr>
          <w:rFonts w:ascii="Arial" w:cs="Arial" w:eastAsia="Arial" w:hAnsi="Arial"/>
          <w:sz w:val="14"/>
          <w:szCs w:val="14"/>
          <w:color w:val="auto"/>
        </w:rPr>
        <w:t>For the nine months ended</w:t>
      </w:r>
    </w:p>
    <w:p>
      <w:pPr>
        <w:jc w:val="center"/>
        <w:ind w:left="65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7" w:lineRule="exact"/>
        <w:rPr>
          <w:sz w:val="20"/>
          <w:szCs w:val="20"/>
          <w:color w:val="auto"/>
        </w:rPr>
      </w:pPr>
    </w:p>
    <w:p>
      <w:pPr>
        <w:jc w:val="center"/>
        <w:ind w:left="6620"/>
        <w:spacing w:after="0"/>
        <w:rPr>
          <w:sz w:val="20"/>
          <w:szCs w:val="20"/>
          <w:color w:val="auto"/>
        </w:rPr>
      </w:pPr>
      <w:r>
        <w:rPr>
          <w:rFonts w:ascii="Arial" w:cs="Arial" w:eastAsia="Arial" w:hAnsi="Arial"/>
          <w:sz w:val="14"/>
          <w:szCs w:val="14"/>
          <w:color w:val="auto"/>
        </w:rPr>
        <w:t>For the nine months ended</w:t>
      </w:r>
    </w:p>
    <w:p>
      <w:pPr>
        <w:jc w:val="center"/>
        <w:ind w:left="662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2350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8240"/>
        <w:spacing w:after="0"/>
        <w:tabs>
          <w:tab w:leader="none" w:pos="948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380"/>
          </w:cols>
          <w:pgMar w:left="240" w:top="459" w:right="2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423" w:lineRule="auto"/>
        <w:tabs>
          <w:tab w:leader="none" w:pos="449"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w:t>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7"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46"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37,150,000 shares of US$0.001 par value per ordinary share as of December 31, 2016 and September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September 30, 2017, there were 13,609,208 and 13,633,106 ordinary shares outstanding,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80"/>
          </w:cols>
          <w:pgMar w:left="240" w:top="459" w:right="2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(Continued)</w:t>
      </w:r>
    </w:p>
    <w:p>
      <w:pPr>
        <w:spacing w:after="0" w:line="134"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Arda does not hold any other assets or liabilities as at December 31, 2016 and September 30, 2017, nor earn any income nor incur any expenses for the nine months ended September 30, 2016 and 2017.</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w:t>
      </w:r>
    </w:p>
    <w:p>
      <w:pPr>
        <w:spacing w:after="0" w:line="121"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2"/>
              <w:spacing w:after="0"/>
              <w:rPr>
                <w:sz w:val="20"/>
                <w:szCs w:val="20"/>
                <w:color w:val="auto"/>
              </w:rPr>
            </w:pPr>
            <w:r>
              <w:rPr>
                <w:rFonts w:ascii="Arial" w:cs="Arial" w:eastAsia="Arial" w:hAnsi="Arial"/>
                <w:sz w:val="14"/>
                <w:szCs w:val="14"/>
                <w:color w:val="auto"/>
                <w:w w:val="93"/>
              </w:rPr>
              <w:t>Exercise</w:t>
            </w:r>
          </w:p>
        </w:tc>
      </w:tr>
      <w:tr>
        <w:trPr>
          <w:trHeight w:val="149"/>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180,000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bl>
    <w:p>
      <w:pPr>
        <w:spacing w:after="0" w:line="229" w:lineRule="exact"/>
        <w:rPr>
          <w:sz w:val="20"/>
          <w:szCs w:val="20"/>
          <w:color w:val="auto"/>
        </w:rPr>
      </w:pPr>
    </w:p>
    <w:p>
      <w:pPr>
        <w:ind w:left="920" w:hanging="574"/>
        <w:spacing w:after="0" w:line="258"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340"/>
          </w:cols>
          <w:pgMar w:left="240" w:top="459" w:right="3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920" w:right="100" w:hanging="574"/>
        <w:spacing w:after="0" w:line="271"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380"/>
          </w:cols>
          <w:pgMar w:left="240" w:top="459" w:right="2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share option activity for the nine months ended September 30, 2016 and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1"/>
              </w:rPr>
              <w:t>Weighted</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0"/>
              </w:rPr>
              <w:t>average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1"/>
              </w:rPr>
              <w:t>grant date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exercise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4"/>
              </w:rPr>
              <w:t>fair value</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price ($)</w:t>
            </w: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2"/>
              </w:rPr>
              <w:t>(US$)</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1,592,443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122,316</w:t>
            </w:r>
          </w:p>
        </w:tc>
        <w:tc>
          <w:tcPr>
            <w:tcW w:w="5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10.88</w:t>
            </w:r>
          </w:p>
        </w:tc>
        <w:tc>
          <w:tcPr>
            <w:tcW w:w="1400" w:type="dxa"/>
            <w:vAlign w:val="bottom"/>
          </w:tcPr>
          <w:p>
            <w:pPr>
              <w:jc w:val="right"/>
              <w:ind w:right="463"/>
              <w:spacing w:after="0"/>
              <w:rPr>
                <w:sz w:val="20"/>
                <w:szCs w:val="20"/>
                <w:color w:val="auto"/>
              </w:rPr>
            </w:pPr>
            <w:r>
              <w:rPr>
                <w:rFonts w:ascii="Arial" w:cs="Arial" w:eastAsia="Arial" w:hAnsi="Arial"/>
                <w:sz w:val="18"/>
                <w:szCs w:val="18"/>
                <w:color w:val="auto"/>
              </w:rPr>
              <w:t>13.82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(146,264)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1,509,360</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1,492,185</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40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11.68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(23,898)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(209,047)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At September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1,561,440</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September 30, 2016 and 2017 respectively.</w:t>
      </w:r>
    </w:p>
    <w:p>
      <w:pPr>
        <w:spacing w:after="0" w:line="3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September 30, 2016 and 2017 and the exercise price.</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September 30, 2016 and 2017 were US$2,786 and US$2,841 respectively.</w:t>
      </w:r>
    </w:p>
    <w:p>
      <w:pPr>
        <w:spacing w:after="0" w:line="7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As of September 30, 2016 and September 30,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December 31, 2016 and September 30, 2017, there were US$5,647 and US$5,465 of unrecognized share-based compensation expenses related to share options, which were expected to be recognized over a weighted-average vesting period of 2.2 and 2.22 years, respectively. To the extent the actual forfeiture rate is different from the Company’s estimate, the actual share-based compensation related to these awards may be different from the expectation.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nine months ended September 30, 2016 and 2017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77"/>
              <w:spacing w:after="0" w:line="149" w:lineRule="exact"/>
              <w:rPr>
                <w:sz w:val="20"/>
                <w:szCs w:val="20"/>
                <w:color w:val="auto"/>
              </w:rPr>
            </w:pPr>
            <w:r>
              <w:rPr>
                <w:rFonts w:ascii="Arial" w:cs="Arial" w:eastAsia="Arial" w:hAnsi="Arial"/>
                <w:sz w:val="14"/>
                <w:szCs w:val="14"/>
                <w:color w:val="auto"/>
                <w:w w:val="96"/>
              </w:rPr>
              <w:t>Risk-free</w:t>
            </w:r>
          </w:p>
        </w:tc>
        <w:tc>
          <w:tcPr>
            <w:tcW w:w="132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9"/>
              </w:rPr>
              <w:t>Dividend</w:t>
            </w: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Volatility</w:t>
            </w:r>
          </w:p>
        </w:tc>
        <w:tc>
          <w:tcPr>
            <w:tcW w:w="92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57"/>
              <w:spacing w:after="0" w:line="149" w:lineRule="exact"/>
              <w:rPr>
                <w:sz w:val="20"/>
                <w:szCs w:val="20"/>
                <w:color w:val="auto"/>
              </w:rPr>
            </w:pPr>
            <w:r>
              <w:rPr>
                <w:rFonts w:ascii="Arial" w:cs="Arial" w:eastAsia="Arial" w:hAnsi="Arial"/>
                <w:sz w:val="14"/>
                <w:szCs w:val="14"/>
                <w:color w:val="auto"/>
                <w:w w:val="91"/>
              </w:rPr>
              <w:t>interest rate</w:t>
            </w: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7"/>
              </w:rPr>
              <w:t>yield</w:t>
            </w:r>
          </w:p>
        </w:tc>
        <w:tc>
          <w:tcPr>
            <w:tcW w:w="1320" w:type="dxa"/>
            <w:vAlign w:val="bottom"/>
          </w:tcPr>
          <w:p>
            <w:pPr>
              <w:ind w:left="480"/>
              <w:spacing w:after="0" w:line="149" w:lineRule="exact"/>
              <w:rPr>
                <w:sz w:val="20"/>
                <w:szCs w:val="20"/>
                <w:color w:val="auto"/>
              </w:rPr>
            </w:pPr>
            <w:r>
              <w:rPr>
                <w:rFonts w:ascii="Arial" w:cs="Arial" w:eastAsia="Arial" w:hAnsi="Arial"/>
                <w:sz w:val="14"/>
                <w:szCs w:val="14"/>
                <w:color w:val="auto"/>
              </w:rPr>
              <w:t>rate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67"/>
        </w:trPr>
        <w:tc>
          <w:tcPr>
            <w:tcW w:w="3460" w:type="dxa"/>
            <w:vAlign w:val="bottom"/>
          </w:tcPr>
          <w:p>
            <w:pPr>
              <w:spacing w:after="0"/>
              <w:rPr>
                <w:sz w:val="20"/>
                <w:szCs w:val="20"/>
                <w:color w:val="auto"/>
              </w:rPr>
            </w:pPr>
            <w:r>
              <w:rPr>
                <w:rFonts w:ascii="Arial" w:cs="Arial" w:eastAsia="Arial" w:hAnsi="Arial"/>
                <w:sz w:val="14"/>
                <w:szCs w:val="14"/>
                <w:color w:val="auto"/>
              </w:rPr>
              <w:t>Grant Date</w:t>
            </w:r>
          </w:p>
        </w:tc>
        <w:tc>
          <w:tcPr>
            <w:tcW w:w="3480" w:type="dxa"/>
            <w:vAlign w:val="bottom"/>
          </w:tcPr>
          <w:p>
            <w:pPr>
              <w:jc w:val="center"/>
              <w:ind w:left="1777"/>
              <w:spacing w:after="0"/>
              <w:rPr>
                <w:sz w:val="20"/>
                <w:szCs w:val="20"/>
                <w:color w:val="auto"/>
              </w:rPr>
            </w:pPr>
            <w:r>
              <w:rPr>
                <w:rFonts w:ascii="Arial" w:cs="Arial" w:eastAsia="Arial" w:hAnsi="Arial"/>
                <w:sz w:val="14"/>
                <w:szCs w:val="14"/>
                <w:color w:val="auto"/>
              </w:rPr>
              <w:t>(Note i)</w:t>
            </w:r>
          </w:p>
        </w:tc>
        <w:tc>
          <w:tcPr>
            <w:tcW w:w="1320" w:type="dxa"/>
            <w:vAlign w:val="bottom"/>
          </w:tcPr>
          <w:p>
            <w:pPr>
              <w:jc w:val="center"/>
              <w:ind w:right="77"/>
              <w:spacing w:after="0"/>
              <w:rPr>
                <w:sz w:val="20"/>
                <w:szCs w:val="20"/>
                <w:color w:val="auto"/>
              </w:rPr>
            </w:pPr>
            <w:r>
              <w:rPr>
                <w:rFonts w:ascii="Arial" w:cs="Arial" w:eastAsia="Arial" w:hAnsi="Arial"/>
                <w:sz w:val="14"/>
                <w:szCs w:val="14"/>
                <w:color w:val="auto"/>
                <w:w w:val="97"/>
              </w:rPr>
              <w:t>(Note ii)</w:t>
            </w:r>
          </w:p>
        </w:tc>
        <w:tc>
          <w:tcPr>
            <w:tcW w:w="1320" w:type="dxa"/>
            <w:vAlign w:val="bottom"/>
          </w:tcPr>
          <w:p>
            <w:pPr>
              <w:ind w:left="320"/>
              <w:spacing w:after="0"/>
              <w:rPr>
                <w:sz w:val="20"/>
                <w:szCs w:val="20"/>
                <w:color w:val="auto"/>
              </w:rPr>
            </w:pPr>
            <w:r>
              <w:rPr>
                <w:rFonts w:ascii="Arial" w:cs="Arial" w:eastAsia="Arial" w:hAnsi="Arial"/>
                <w:sz w:val="14"/>
                <w:szCs w:val="14"/>
                <w:color w:val="auto"/>
              </w:rPr>
              <w:t>(Note iii)</w:t>
            </w:r>
          </w:p>
        </w:tc>
        <w:tc>
          <w:tcPr>
            <w:tcW w:w="9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49.37%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July 1, 2016</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50.52%</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2.67%</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April 1, 2017</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2.59%</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50.79%</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2.35%</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47.59%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400" w:hanging="446"/>
        <w:spacing w:after="0" w:line="258"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line="255" w:lineRule="auto"/>
        <w:tabs>
          <w:tab w:leader="none" w:pos="9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Arial" w:cs="Arial" w:eastAsia="Arial" w:hAnsi="Arial"/>
          <w:sz w:val="18"/>
          <w:szCs w:val="18"/>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with performance conditions</w:t>
      </w:r>
    </w:p>
    <w:p>
      <w:pPr>
        <w:spacing w:after="0" w:line="121"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September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September 30, 2017.</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w:t>
      </w:r>
    </w:p>
    <w:p>
      <w:pPr>
        <w:spacing w:after="0" w:line="121"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320"/>
          </w:cols>
          <w:pgMar w:left="240" w:top="460" w:right="3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(Continued)</w:t>
      </w:r>
    </w:p>
    <w:p>
      <w:pPr>
        <w:spacing w:after="0" w:line="13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compensation costs recognized for the nine months ended September 30, 2016 and 2017 are as follows:</w:t>
      </w:r>
    </w:p>
    <w:p>
      <w:pPr>
        <w:spacing w:after="0" w:line="247"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Other (losses)/gains, net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Arial" w:cs="Arial" w:eastAsia="Arial" w:hAnsi="Arial"/>
                <w:sz w:val="14"/>
                <w:szCs w:val="14"/>
                <w:color w:val="auto"/>
                <w:w w:val="92"/>
              </w:rPr>
              <w:t>For the nine months ended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exchange (losses)/ gains</w:t>
            </w: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w:t>
      </w:r>
    </w:p>
    <w:p>
      <w:pPr>
        <w:spacing w:after="0" w:line="131"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Cayman Islands</w:t>
      </w:r>
    </w:p>
    <w:p>
      <w:pPr>
        <w:spacing w:after="0" w:line="121"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profits tax</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Entities incorporated in Hong Kong are subject to Hong Kong profits tax at a rate of 16.5% on the estimated assessable profit for the nine months ended September 30,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 (Continued)</w:t>
      </w:r>
    </w:p>
    <w:p>
      <w:pPr>
        <w:spacing w:after="0" w:line="131"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PRC Enterprise Income Tax (“EIT”)</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b w:val="1"/>
          <w:bCs w:val="1"/>
          <w:color w:val="auto"/>
        </w:rPr>
      </w:pPr>
    </w:p>
    <w:p>
      <w:pPr>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September 30, 2017.</w:t>
      </w:r>
    </w:p>
    <w:p>
      <w:pPr>
        <w:spacing w:after="0" w:line="2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Composition of income tax benefit/(expense)</w:t>
      </w:r>
    </w:p>
    <w:p>
      <w:pPr>
        <w:spacing w:after="0" w:line="117" w:lineRule="exact"/>
        <w:rPr>
          <w:rFonts w:ascii="Arial" w:cs="Arial" w:eastAsia="Arial" w:hAnsi="Arial"/>
          <w:sz w:val="18"/>
          <w:szCs w:val="18"/>
          <w:b w:val="1"/>
          <w:bCs w:val="1"/>
          <w:color w:val="auto"/>
        </w:rPr>
      </w:pPr>
    </w:p>
    <w:p>
      <w:pPr>
        <w:ind w:left="460"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and deferred portions of income tax benefit/(expense) included in the unaudited interim condensed consolidated statements of comprehensive loss are as follows:</w:t>
      </w:r>
    </w:p>
    <w:p>
      <w:pPr>
        <w:spacing w:after="0" w:line="193"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For the nine months ended</w:t>
      </w:r>
    </w:p>
    <w:p>
      <w:pPr>
        <w:jc w:val="center"/>
        <w:ind w:left="61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benefits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September 30,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98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3320" w:type="dxa"/>
            <w:vAlign w:val="bottom"/>
          </w:tcPr>
          <w:p>
            <w:pPr>
              <w:spacing w:after="0"/>
              <w:rPr>
                <w:sz w:val="14"/>
                <w:szCs w:val="14"/>
                <w:color w:val="auto"/>
              </w:rPr>
            </w:pPr>
          </w:p>
        </w:tc>
        <w:tc>
          <w:tcPr>
            <w:tcW w:w="35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27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(6,838)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(8,891)</w:t>
            </w:r>
          </w:p>
        </w:tc>
      </w:tr>
      <w:tr>
        <w:trPr>
          <w:trHeight w:val="216"/>
        </w:trPr>
        <w:tc>
          <w:tcPr>
            <w:tcW w:w="3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80" w:type="dxa"/>
            <w:vAlign w:val="bottom"/>
            <w:gridSpan w:val="3"/>
          </w:tcPr>
          <w:p>
            <w:pPr>
              <w:jc w:val="right"/>
              <w:ind w:right="2760"/>
              <w:spacing w:after="0"/>
              <w:rPr>
                <w:sz w:val="20"/>
                <w:szCs w:val="20"/>
                <w:color w:val="auto"/>
              </w:rPr>
            </w:pPr>
            <w:r>
              <w:rPr>
                <w:rFonts w:ascii="Arial" w:cs="Arial" w:eastAsia="Arial" w:hAnsi="Arial"/>
                <w:sz w:val="18"/>
                <w:szCs w:val="18"/>
                <w:color w:val="auto"/>
              </w:rPr>
              <w:t>F-111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0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center"/>
              <w:ind w:left="216"/>
              <w:spacing w:after="0"/>
              <w:rPr>
                <w:sz w:val="20"/>
                <w:szCs w:val="20"/>
                <w:color w:val="auto"/>
              </w:rPr>
            </w:pPr>
            <w:r>
              <w:rPr>
                <w:rFonts w:ascii="Arial" w:cs="Arial" w:eastAsia="Arial" w:hAnsi="Arial"/>
                <w:sz w:val="14"/>
                <w:szCs w:val="14"/>
                <w:color w:val="auto"/>
                <w:w w:val="91"/>
              </w:rPr>
              <w:t>September 30,</w:t>
            </w:r>
          </w:p>
        </w:tc>
      </w:tr>
      <w:tr>
        <w:trPr>
          <w:trHeight w:val="181"/>
        </w:trPr>
        <w:tc>
          <w:tcPr>
            <w:tcW w:w="4200" w:type="dxa"/>
            <w:vAlign w:val="bottom"/>
          </w:tcPr>
          <w:p>
            <w:pPr>
              <w:spacing w:after="0"/>
              <w:rPr>
                <w:sz w:val="15"/>
                <w:szCs w:val="15"/>
                <w:color w:val="auto"/>
              </w:rPr>
            </w:pPr>
          </w:p>
        </w:tc>
        <w:tc>
          <w:tcPr>
            <w:tcW w:w="262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100" w:type="dxa"/>
            <w:vAlign w:val="bottom"/>
            <w:gridSpan w:val="3"/>
          </w:tcPr>
          <w:p>
            <w:pPr>
              <w:jc w:val="right"/>
              <w:ind w:right="420"/>
              <w:spacing w:after="0"/>
              <w:rPr>
                <w:sz w:val="20"/>
                <w:szCs w:val="20"/>
                <w:color w:val="auto"/>
              </w:rPr>
            </w:pPr>
            <w:r>
              <w:rPr>
                <w:rFonts w:ascii="Arial" w:cs="Arial" w:eastAsia="Arial" w:hAnsi="Arial"/>
                <w:sz w:val="18"/>
                <w:szCs w:val="18"/>
                <w:color w:val="auto"/>
              </w:rPr>
              <w:t>(3,677)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(2,897)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Outside basis difference (Note ii)</w:t>
            </w: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1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r>
      <w:tr>
        <w:trPr>
          <w:trHeight w:val="20"/>
        </w:trPr>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w:t>
      </w:r>
    </w:p>
    <w:p>
      <w:pPr>
        <w:spacing w:after="0" w:line="252" w:lineRule="exact"/>
        <w:rPr>
          <w:sz w:val="20"/>
          <w:szCs w:val="20"/>
          <w:color w:val="auto"/>
        </w:rPr>
      </w:pPr>
    </w:p>
    <w:p>
      <w:pPr>
        <w:ind w:left="900" w:right="160" w:hanging="446"/>
        <w:spacing w:after="0" w:line="273" w:lineRule="auto"/>
        <w:tabs>
          <w:tab w:leader="none" w:pos="9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7"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For the nine months ended</w:t>
      </w:r>
    </w:p>
    <w:p>
      <w:pPr>
        <w:jc w:val="center"/>
        <w:ind w:left="912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2,177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w:t>
        <w:tab/>
        <w:t>The deferred tax liabilities are recorded for the undistributed earnings in the Group’s VIE and its subsidiary.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As of September 30, 2017, the Group had tax loss carryforwards of approximately US$36,436,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5780" w:type="dxa"/>
            <w:vAlign w:val="bottom"/>
            <w:gridSpan w:val="3"/>
          </w:tcPr>
          <w:p>
            <w:pPr>
              <w:ind w:left="4560"/>
              <w:spacing w:after="0"/>
              <w:rPr>
                <w:sz w:val="20"/>
                <w:szCs w:val="20"/>
                <w:color w:val="auto"/>
              </w:rPr>
            </w:pPr>
            <w:r>
              <w:rPr>
                <w:rFonts w:ascii="Arial" w:cs="Arial" w:eastAsia="Arial" w:hAnsi="Arial"/>
                <w:sz w:val="14"/>
                <w:szCs w:val="14"/>
                <w:color w:val="auto"/>
                <w:w w:val="94"/>
              </w:rPr>
              <w:t>September 30, 2017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2018</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12,554</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2022</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36,436</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80" w:type="dxa"/>
            <w:vAlign w:val="bottom"/>
            <w:gridSpan w:val="3"/>
          </w:tcPr>
          <w:p>
            <w:pPr>
              <w:ind w:left="1220"/>
              <w:spacing w:after="0"/>
              <w:rPr>
                <w:sz w:val="20"/>
                <w:szCs w:val="20"/>
                <w:color w:val="auto"/>
              </w:rPr>
            </w:pPr>
            <w:r>
              <w:rPr>
                <w:rFonts w:ascii="Arial" w:cs="Arial" w:eastAsia="Arial" w:hAnsi="Arial"/>
                <w:sz w:val="18"/>
                <w:szCs w:val="18"/>
                <w:color w:val="auto"/>
              </w:rPr>
              <w:t>F-112</w:t>
            </w: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30"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September 30, 2017.</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nine months ended September 30, 2016 and 2017 are calculated as follows:</w:t>
      </w:r>
    </w:p>
    <w:p>
      <w:pPr>
        <w:spacing w:after="0" w:line="247"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For the nine months</w:t>
      </w:r>
    </w:p>
    <w:p>
      <w:pPr>
        <w:ind w:left="9540"/>
        <w:spacing w:after="0" w:line="231" w:lineRule="auto"/>
        <w:rPr>
          <w:sz w:val="20"/>
          <w:szCs w:val="20"/>
          <w:color w:val="auto"/>
        </w:rPr>
      </w:pPr>
      <w:r>
        <w:rPr>
          <w:rFonts w:ascii="Arial" w:cs="Arial" w:eastAsia="Arial" w:hAnsi="Arial"/>
          <w:sz w:val="14"/>
          <w:szCs w:val="14"/>
          <w:color w:val="auto"/>
        </w:rPr>
        <w:t>ended 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(8,381)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(10,107)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 — weighted average shares outstanding</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13,140,755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w:t>
            </w:r>
          </w:p>
        </w:tc>
        <w:tc>
          <w:tcPr>
            <w:tcW w:w="1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continue"/>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2"/>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(0.77)</w:t>
            </w:r>
          </w:p>
        </w:tc>
        <w:tc>
          <w:tcPr>
            <w:tcW w:w="2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nine months ended September 30, 2016 and 2017.</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For the nine months ended</w:t>
      </w:r>
    </w:p>
    <w:p>
      <w:pPr>
        <w:jc w:val="center"/>
        <w:ind w:left="660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r>
      <w:tr>
        <w:trPr>
          <w:trHeight w:val="365"/>
        </w:trPr>
        <w:tc>
          <w:tcPr>
            <w:tcW w:w="6660" w:type="dxa"/>
            <w:vAlign w:val="bottom"/>
          </w:tcPr>
          <w:p>
            <w:pPr>
              <w:ind w:left="4120"/>
              <w:spacing w:after="0"/>
              <w:rPr>
                <w:sz w:val="20"/>
                <w:szCs w:val="20"/>
                <w:color w:val="auto"/>
              </w:rPr>
            </w:pPr>
            <w:r>
              <w:rPr>
                <w:rFonts w:ascii="Arial" w:cs="Arial" w:eastAsia="Arial" w:hAnsi="Arial"/>
                <w:sz w:val="18"/>
                <w:szCs w:val="18"/>
                <w:color w:val="auto"/>
              </w:rPr>
              <w:t>F-113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US$2,206 and US$1952 for the nine months ended September 30, 2016 and September 30, 2017,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September 30, 2017,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a qualified initial public offering, the Series A, B, C, D and E preferred shares shall automatically be converted into ordinary shares. The unaudited pro-forma balance sheet as of September 30, 2017 assumes a qualified initial public offering has occurred and presents an adjusted financial position as if the conversion of all outstanding Series A, B, C, D and E preferred shares into ordinary shares at the conversion ratio as described in Note 15 to the condensed consolidated financial statements occurred on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For the nine</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months ended</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5140" w:type="dxa"/>
            <w:vAlign w:val="bottom"/>
          </w:tcPr>
          <w:p>
            <w:pPr>
              <w:spacing w:after="0"/>
              <w:rPr>
                <w:sz w:val="14"/>
                <w:szCs w:val="14"/>
                <w:color w:val="auto"/>
              </w:rPr>
            </w:pPr>
          </w:p>
        </w:tc>
        <w:tc>
          <w:tcPr>
            <w:tcW w:w="6180" w:type="dxa"/>
            <w:vAlign w:val="bottom"/>
            <w:gridSpan w:val="2"/>
          </w:tcPr>
          <w:p>
            <w:pPr>
              <w:jc w:val="center"/>
              <w:ind w:left="5233"/>
              <w:spacing w:after="0"/>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4"/>
                <w:szCs w:val="14"/>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loss attributable to iClick Interactive Asia Group Limited</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(17,768)</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Accretion to convertible redeemable shares redemption value</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Accretion to redeemable ordinary shares redemption value</w:t>
            </w:r>
          </w:p>
        </w:tc>
        <w:tc>
          <w:tcPr>
            <w:tcW w:w="628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w w:val="98"/>
              </w:rPr>
              <w:t>Numerator for pro-forma basic and diluted net loss per share</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(8,828)</w:t>
            </w:r>
          </w:p>
        </w:tc>
      </w:tr>
      <w:tr>
        <w:trPr>
          <w:trHeight w:val="350"/>
        </w:trPr>
        <w:tc>
          <w:tcPr>
            <w:tcW w:w="5140" w:type="dxa"/>
            <w:vAlign w:val="bottom"/>
          </w:tcPr>
          <w:p>
            <w:pPr>
              <w:spacing w:after="0"/>
              <w:rPr>
                <w:sz w:val="24"/>
                <w:szCs w:val="24"/>
                <w:color w:val="auto"/>
              </w:rPr>
            </w:pPr>
          </w:p>
        </w:tc>
        <w:tc>
          <w:tcPr>
            <w:tcW w:w="6280" w:type="dxa"/>
            <w:vAlign w:val="bottom"/>
            <w:gridSpan w:val="3"/>
          </w:tcPr>
          <w:p>
            <w:pPr>
              <w:jc w:val="right"/>
              <w:ind w:right="5500"/>
              <w:spacing w:after="0"/>
              <w:rPr>
                <w:sz w:val="20"/>
                <w:szCs w:val="20"/>
                <w:color w:val="auto"/>
              </w:rPr>
            </w:pPr>
            <w:r>
              <w:rPr>
                <w:rFonts w:ascii="Arial" w:cs="Arial" w:eastAsia="Arial" w:hAnsi="Arial"/>
                <w:sz w:val="18"/>
                <w:szCs w:val="18"/>
                <w:color w:val="auto"/>
              </w:rPr>
              <w:t>F-114</w:t>
            </w: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9980" w:type="dxa"/>
            <w:vAlign w:val="bottom"/>
          </w:tcPr>
          <w:p>
            <w:pPr>
              <w:ind w:left="180"/>
              <w:spacing w:after="0"/>
              <w:rPr>
                <w:sz w:val="20"/>
                <w:szCs w:val="20"/>
                <w:color w:val="auto"/>
              </w:rPr>
            </w:pPr>
            <w:r>
              <w:rPr>
                <w:rFonts w:ascii="Arial" w:cs="Arial" w:eastAsia="Arial" w:hAnsi="Arial"/>
                <w:sz w:val="18"/>
                <w:szCs w:val="18"/>
                <w:b w:val="1"/>
                <w:bCs w:val="1"/>
                <w:color w:val="auto"/>
              </w:rPr>
              <w:t>Unaudited pro forma balance sheet and net loss per share (Continued)</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3"/>
              </w:rPr>
              <w:t>For the nine</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99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months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80" w:type="dxa"/>
            <w:vAlign w:val="bottom"/>
            <w:tcBorders>
              <w:bottom w:val="single" w:sz="8" w:color="CCEEFF"/>
            </w:tcBorders>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Weighted average number of ordinary shares outstanding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A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B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C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D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redeemable ordinary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Denominator for pro-forma basic and diluted net loss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23,890,249</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Pro-forma net loss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November 22,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1"/>
              </w:rPr>
              <w:t>Deferred revenue (including deferred revenue of the consolidated VIE and its subsidiary without recourse to the Company of US$5,240 as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US$521 as of July 23, 2015)</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Company of US$537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tax payable (including income tax payable of the consolidated VIE and its subsidiary without recourse to the Company of US$44</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 association of OptAim VIE. The power of attorney will remain in force until OptAim WFOE provides prior written notice to OptAim VIE.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right="6940" w:hanging="452"/>
        <w:spacing w:after="0" w:line="261" w:lineRule="auto"/>
        <w:tabs>
          <w:tab w:leader="none" w:pos="449"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VIE and VIE’s subsidiary (Continued) </w:t>
      </w:r>
      <w:r>
        <w:rPr>
          <w:rFonts w:ascii="Arial" w:cs="Arial" w:eastAsia="Arial" w:hAnsi="Arial"/>
          <w:sz w:val="18"/>
          <w:szCs w:val="18"/>
          <w:u w:val="single" w:color="auto"/>
          <w:color w:val="auto"/>
        </w:rPr>
        <w:t>OptAim VIE (Continued)</w:t>
      </w: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0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60" w:type="dxa"/>
            <w:vAlign w:val="bottom"/>
          </w:tcPr>
          <w:p>
            <w:pPr>
              <w:ind w:left="2460"/>
              <w:spacing w:after="0"/>
              <w:rPr>
                <w:sz w:val="20"/>
                <w:szCs w:val="20"/>
                <w:color w:val="auto"/>
              </w:rPr>
            </w:pPr>
            <w:r>
              <w:rPr>
                <w:rFonts w:ascii="Arial" w:cs="Arial" w:eastAsia="Arial" w:hAnsi="Arial"/>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Arial" w:cs="Arial" w:eastAsia="Arial" w:hAnsi="Arial"/>
                <w:sz w:val="18"/>
                <w:szCs w:val="18"/>
                <w:color w:val="auto"/>
              </w:rPr>
              <w:t>F-127</w:t>
            </w:r>
          </w:p>
        </w:tc>
      </w:tr>
    </w:tbl>
    <w:p>
      <w:pPr>
        <w:sectPr>
          <w:pgSz w:w="11900" w:h="16838" w:orient="portrait"/>
          <w:cols w:equalWidth="0" w:num="1">
            <w:col w:w="11400"/>
          </w:cols>
          <w:pgMar w:left="240" w:top="459" w:right="2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F-128</w:t>
      </w:r>
    </w:p>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00"/>
          </w:cols>
          <w:pgMar w:left="240" w:top="460" w:right="2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00"/>
          </w:cols>
          <w:pgMar w:left="240" w:top="459" w:right="2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380"/>
          </w:cols>
          <w:pgMar w:left="240" w:top="459" w:right="2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400"/>
          </w:cols>
          <w:pgMar w:left="240" w:top="459" w:right="2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20"/>
          </w:cols>
          <w:pgMar w:left="240" w:top="460" w:right="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380"/>
          </w:cols>
          <w:pgMar w:left="240" w:top="459" w:right="2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400"/>
          </w:cols>
          <w:pgMar w:left="240" w:top="459" w:right="2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A1</w:t>
            </w:r>
          </w:p>
        </w:tc>
        <w:tc>
          <w:tcPr>
            <w:tcW w:w="25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A3</w:t>
            </w:r>
          </w:p>
        </w:tc>
        <w:tc>
          <w:tcPr>
            <w:tcW w:w="25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100" w:type="dxa"/>
            <w:vAlign w:val="bottom"/>
          </w:tcPr>
          <w:p>
            <w:pPr>
              <w:ind w:left="4120"/>
              <w:spacing w:after="0"/>
              <w:rPr>
                <w:sz w:val="20"/>
                <w:szCs w:val="20"/>
                <w:color w:val="auto"/>
              </w:rPr>
            </w:pPr>
            <w:r>
              <w:rPr>
                <w:rFonts w:ascii="Arial" w:cs="Arial" w:eastAsia="Arial" w:hAnsi="Arial"/>
                <w:sz w:val="18"/>
                <w:szCs w:val="18"/>
                <w:color w:val="auto"/>
              </w:rPr>
              <w:t>F-139</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F-140</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9" w:right="1440"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F-142</w:t>
      </w:r>
    </w:p>
    <w:p>
      <w:pPr>
        <w:sectPr>
          <w:pgSz w:w="11900" w:h="16838" w:orient="portrait"/>
          <w:cols w:equalWidth="0" w:num="1">
            <w:col w:w="11360"/>
          </w:cols>
          <w:pgMar w:left="240" w:top="459" w:right="29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400"/>
          </w:cols>
          <w:pgMar w:left="240" w:top="459" w:right="2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380"/>
          </w:cols>
          <w:pgMar w:left="240" w:top="459" w:right="2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F-145</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F-146</w:t>
      </w:r>
    </w:p>
    <w:p>
      <w:pPr>
        <w:sectPr>
          <w:pgSz w:w="11900" w:h="16838" w:orient="portrait"/>
          <w:cols w:equalWidth="0" w:num="1">
            <w:col w:w="11400"/>
          </w:cols>
          <w:pgMar w:left="240" w:top="459" w:right="2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420"/>
          </w:cols>
          <w:pgMar w:left="240" w:top="459" w:right="2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F-148</w:t>
      </w:r>
    </w:p>
    <w:p>
      <w:pPr>
        <w:sectPr>
          <w:pgSz w:w="11900" w:h="16838" w:orient="portrait"/>
          <w:cols w:equalWidth="0" w:num="1">
            <w:col w:w="11340"/>
          </w:cols>
          <w:pgMar w:left="240" w:top="459" w:right="31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F-149</w:t>
      </w:r>
    </w:p>
    <w:p>
      <w:pPr>
        <w:sectPr>
          <w:pgSz w:w="11900" w:h="16838" w:orient="portrait"/>
          <w:cols w:equalWidth="0" w:num="1">
            <w:col w:w="11320"/>
          </w:cols>
          <w:pgMar w:left="240" w:top="459" w:right="3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F-150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30" w:lineRule="exact"/>
        <w:rPr>
          <w:rFonts w:ascii="Arial" w:cs="Arial" w:eastAsia="Arial" w:hAnsi="Arial"/>
          <w:sz w:val="18"/>
          <w:szCs w:val="18"/>
          <w:b w:val="1"/>
          <w:bCs w:val="1"/>
          <w:color w:val="auto"/>
        </w:rPr>
      </w:pPr>
    </w:p>
    <w:p>
      <w:pPr>
        <w:ind w:left="900" w:right="100" w:hanging="446"/>
        <w:spacing w:after="0" w:line="273" w:lineRule="auto"/>
        <w:tabs>
          <w:tab w:leader="none" w:pos="90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F-151</w:t>
      </w:r>
    </w:p>
    <w:p>
      <w:pPr>
        <w:sectPr>
          <w:pgSz w:w="11900" w:h="16838" w:orient="portrait"/>
          <w:cols w:equalWidth="0" w:num="1">
            <w:col w:w="11360"/>
          </w:cols>
          <w:pgMar w:left="240" w:top="460" w:right="29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F-152</w:t>
      </w:r>
    </w:p>
    <w:p>
      <w:pPr>
        <w:sectPr>
          <w:pgSz w:w="11900" w:h="16838" w:orient="portrait"/>
          <w:cols w:equalWidth="0" w:num="1">
            <w:col w:w="11180"/>
          </w:cols>
          <w:pgMar w:left="240" w:top="459" w:right="4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F-153</w:t>
      </w:r>
    </w:p>
    <w:p>
      <w:pPr>
        <w:sectPr>
          <w:pgSz w:w="11900" w:h="16838" w:orient="portrait"/>
          <w:cols w:equalWidth="0" w:num="1">
            <w:col w:w="11400"/>
          </w:cols>
          <w:pgMar w:left="240" w:top="459" w:right="2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Date of</w:t>
            </w:r>
          </w:p>
        </w:tc>
        <w:tc>
          <w:tcPr>
            <w:tcW w:w="25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Number of Securities</w:t>
            </w: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Consideration in</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Underwriting Discounts</w:t>
            </w: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86"/>
              </w:rPr>
              <w:t>Issuance</w:t>
            </w:r>
          </w:p>
        </w:tc>
        <w:tc>
          <w:tcPr>
            <w:tcW w:w="2560" w:type="dxa"/>
            <w:vAlign w:val="bottom"/>
            <w:vMerge w:val="continue"/>
          </w:tcPr>
          <w:p>
            <w:pPr>
              <w:spacing w:after="0"/>
              <w:rPr>
                <w:sz w:val="16"/>
                <w:szCs w:val="16"/>
                <w:color w:val="auto"/>
              </w:rPr>
            </w:pP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U.S. Dollars</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and Commissions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0"/>
              </w:rPr>
              <w:t>Big Tooth</w:t>
            </w:r>
          </w:p>
        </w:tc>
        <w:tc>
          <w:tcPr>
            <w:tcW w:w="2040" w:type="dxa"/>
            <w:vAlign w:val="bottom"/>
          </w:tcPr>
          <w:p>
            <w:pPr>
              <w:ind w:left="140"/>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December 22, 2014</w:t>
            </w:r>
          </w:p>
        </w:tc>
        <w:tc>
          <w:tcPr>
            <w:tcW w:w="1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274,752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23, 2014</w:t>
            </w:r>
          </w:p>
        </w:tc>
        <w:tc>
          <w:tcPr>
            <w:tcW w:w="2620" w:type="dxa"/>
            <w:vAlign w:val="bottom"/>
          </w:tcPr>
          <w:p>
            <w:pPr>
              <w:spacing w:after="0"/>
              <w:rPr>
                <w:sz w:val="20"/>
                <w:szCs w:val="20"/>
                <w:color w:val="auto"/>
              </w:rPr>
            </w:pPr>
            <w:r>
              <w:rPr>
                <w:rFonts w:ascii="Arial" w:cs="Arial" w:eastAsia="Arial" w:hAnsi="Arial"/>
                <w:sz w:val="18"/>
                <w:szCs w:val="18"/>
                <w:color w:val="auto"/>
              </w:rPr>
              <w:t>255,033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rPr>
              <w:t>742,320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w w:val="90"/>
              </w:rPr>
              <w:t>2,493,018 series D preferred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71,076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Triwin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71,075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Igomax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1,496,399 ordinary shares</w:t>
            </w:r>
          </w:p>
        </w:tc>
      </w:tr>
      <w:tr>
        <w:trPr>
          <w:trHeight w:val="244"/>
        </w:trPr>
        <w:tc>
          <w:tcPr>
            <w:tcW w:w="268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446,604 ordinary shares</w:t>
            </w:r>
          </w:p>
        </w:tc>
      </w:tr>
      <w:tr>
        <w:trPr>
          <w:trHeight w:val="365"/>
        </w:trPr>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Arial" w:cs="Arial" w:eastAsia="Arial" w:hAnsi="Arial"/>
                <w:sz w:val="18"/>
                <w:szCs w:val="18"/>
                <w:color w:val="auto"/>
              </w:rPr>
              <w:t>II-1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146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46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US$12.0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3">
            <w:col w:w="7680" w:space="100"/>
            <w:col w:w="1200" w:space="500"/>
            <w:col w:w="1940"/>
          </w:cols>
          <w:pgMar w:left="240" w:top="459" w:right="239" w:bottom="1440" w:gutter="0" w:footer="0" w:header="0"/>
          <w:type w:val="continuous"/>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22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26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 Dollars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592,088 ordinary shares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October 14, 2015</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Shenwan Hongyuan Goldspring Fund I</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December 28, 2016</w:t>
            </w:r>
          </w:p>
        </w:tc>
        <w:tc>
          <w:tcPr>
            <w:tcW w:w="2620" w:type="dxa"/>
            <w:vAlign w:val="bottom"/>
          </w:tcPr>
          <w:p>
            <w:pPr>
              <w:spacing w:after="0"/>
              <w:rPr>
                <w:sz w:val="20"/>
                <w:szCs w:val="20"/>
                <w:color w:val="auto"/>
              </w:rPr>
            </w:pPr>
            <w:r>
              <w:rPr>
                <w:rFonts w:ascii="Arial" w:cs="Arial" w:eastAsia="Arial" w:hAnsi="Arial"/>
                <w:sz w:val="18"/>
                <w:szCs w:val="18"/>
                <w:color w:val="auto"/>
                <w:w w:val="90"/>
              </w:rPr>
              <w:t>1,068,114 series E preferred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US$20.0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23"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 The following exhibits are included herein or incorporated herein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0000" w:type="dxa"/>
            <w:vAlign w:val="bottom"/>
            <w:gridSpan w:val="29"/>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0000" w:type="dxa"/>
            <w:vAlign w:val="bottom"/>
            <w:gridSpan w:val="29"/>
          </w:tcPr>
          <w:p>
            <w:pPr>
              <w:spacing w:after="0"/>
              <w:rPr>
                <w:rFonts w:ascii="Arial" w:cs="Arial" w:eastAsia="Arial" w:hAnsi="Arial"/>
                <w:sz w:val="18"/>
                <w:szCs w:val="18"/>
                <w:color w:val="0000EE"/>
              </w:rPr>
            </w:pPr>
            <w:hyperlink r:id="rId524">
              <w:r>
                <w:rPr>
                  <w:rFonts w:ascii="Arial" w:cs="Arial" w:eastAsia="Arial" w:hAnsi="Arial"/>
                  <w:sz w:val="18"/>
                  <w:szCs w:val="18"/>
                  <w:color w:val="0000EE"/>
                </w:rPr>
                <w:t>Seventh Amended and Restated Memorandum and Articles of Association of the Registrant, as currently in effect</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10000" w:type="dxa"/>
            <w:vAlign w:val="bottom"/>
            <w:gridSpan w:val="29"/>
          </w:tcPr>
          <w:p>
            <w:pPr>
              <w:spacing w:after="0"/>
              <w:rPr>
                <w:rFonts w:ascii="Arial" w:cs="Arial" w:eastAsia="Arial" w:hAnsi="Arial"/>
                <w:sz w:val="18"/>
                <w:szCs w:val="18"/>
                <w:color w:val="0000EE"/>
                <w:w w:val="95"/>
              </w:rPr>
            </w:pPr>
            <w:hyperlink r:id="rId525">
              <w:r>
                <w:rPr>
                  <w:rFonts w:ascii="Arial" w:cs="Arial" w:eastAsia="Arial" w:hAnsi="Arial"/>
                  <w:sz w:val="18"/>
                  <w:szCs w:val="18"/>
                  <w:color w:val="0000EE"/>
                  <w:w w:val="95"/>
                </w:rPr>
                <w:t>Eighth Amended and Restated Memorandum and Articles of Association of the Registrant, effective upon completion of this offering</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9600" w:type="dxa"/>
            <w:vAlign w:val="bottom"/>
            <w:tcBorders>
              <w:top w:val="single" w:sz="8" w:color="0000EE"/>
            </w:tcBorders>
            <w:gridSpan w:val="26"/>
          </w:tcPr>
          <w:p>
            <w:pPr>
              <w:spacing w:after="0"/>
              <w:rPr>
                <w:rFonts w:ascii="Arial" w:cs="Arial" w:eastAsia="Arial" w:hAnsi="Arial"/>
                <w:sz w:val="18"/>
                <w:szCs w:val="18"/>
                <w:color w:val="0000EE"/>
              </w:rPr>
            </w:pPr>
            <w:hyperlink r:id="rId526">
              <w:r>
                <w:rPr>
                  <w:rFonts w:ascii="Arial" w:cs="Arial" w:eastAsia="Arial" w:hAnsi="Arial"/>
                  <w:sz w:val="18"/>
                  <w:szCs w:val="18"/>
                  <w:color w:val="0000EE"/>
                </w:rPr>
                <w:t>Registrant’s Specimen American Depositary Receipt (included in Exhibit 4.3)</w:t>
              </w:r>
            </w:hyperlink>
          </w:p>
        </w:tc>
        <w:tc>
          <w:tcPr>
            <w:tcW w:w="400" w:type="dxa"/>
            <w:vAlign w:val="bottom"/>
            <w:gridSpan w:val="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4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527">
              <w:r>
                <w:rPr>
                  <w:rFonts w:ascii="Arial" w:cs="Arial" w:eastAsia="Arial" w:hAnsi="Arial"/>
                  <w:sz w:val="18"/>
                  <w:szCs w:val="18"/>
                  <w:color w:val="0000EE"/>
                  <w:w w:val="90"/>
                </w:rPr>
                <w:t>Registrant’s Specimen Certificate for Class A Ordinary Shares</w:t>
              </w:r>
            </w:hyperlink>
          </w:p>
        </w:tc>
        <w:tc>
          <w:tcPr>
            <w:tcW w:w="1100" w:type="dxa"/>
            <w:vAlign w:val="bottom"/>
            <w:tcBorders>
              <w:top w:val="single" w:sz="8" w:color="0000EE"/>
            </w:tcBorders>
            <w:gridSpan w:val="5"/>
          </w:tcPr>
          <w:p>
            <w:pPr>
              <w:spacing w:after="0"/>
              <w:rPr>
                <w:sz w:val="24"/>
                <w:szCs w:val="24"/>
                <w:color w:val="auto"/>
              </w:rPr>
            </w:pPr>
          </w:p>
        </w:tc>
        <w:tc>
          <w:tcPr>
            <w:tcW w:w="4400" w:type="dxa"/>
            <w:vAlign w:val="bottom"/>
            <w:gridSpan w:val="1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10000" w:type="dxa"/>
            <w:vAlign w:val="bottom"/>
            <w:gridSpan w:val="29"/>
          </w:tcPr>
          <w:p>
            <w:pPr>
              <w:spacing w:after="0"/>
              <w:rPr>
                <w:rFonts w:ascii="Arial" w:cs="Arial" w:eastAsia="Arial" w:hAnsi="Arial"/>
                <w:sz w:val="18"/>
                <w:szCs w:val="18"/>
                <w:color w:val="0000EE"/>
                <w:w w:val="99"/>
              </w:rPr>
            </w:pPr>
            <w:hyperlink r:id="rId526">
              <w:r>
                <w:rPr>
                  <w:rFonts w:ascii="Arial" w:cs="Arial" w:eastAsia="Arial" w:hAnsi="Arial"/>
                  <w:sz w:val="18"/>
                  <w:szCs w:val="18"/>
                  <w:color w:val="0000EE"/>
                  <w:w w:val="99"/>
                </w:rPr>
                <w:t>Form of Deposit Agreement among the Registrant, the Depositary and Beneficial Owners of the American Depositary Receipts</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5.1†</w:t>
            </w:r>
          </w:p>
        </w:tc>
        <w:tc>
          <w:tcPr>
            <w:tcW w:w="10000" w:type="dxa"/>
            <w:vAlign w:val="bottom"/>
            <w:gridSpan w:val="29"/>
          </w:tcPr>
          <w:p>
            <w:pPr>
              <w:spacing w:after="0"/>
              <w:rPr>
                <w:rFonts w:ascii="Arial" w:cs="Arial" w:eastAsia="Arial" w:hAnsi="Arial"/>
                <w:sz w:val="18"/>
                <w:szCs w:val="18"/>
                <w:color w:val="0000EE"/>
                <w:w w:val="92"/>
              </w:rPr>
            </w:pPr>
            <w:hyperlink r:id="rId528">
              <w:r>
                <w:rPr>
                  <w:rFonts w:ascii="Arial" w:cs="Arial" w:eastAsia="Arial" w:hAnsi="Arial"/>
                  <w:sz w:val="18"/>
                  <w:szCs w:val="18"/>
                  <w:color w:val="0000EE"/>
                  <w:w w:val="92"/>
                </w:rPr>
                <w:t>Opinion of Travers Thorp Alberga Attorneys at Law regarding the validity of the ordinary shares being registered and certain other legal</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528">
              <w:r>
                <w:rPr>
                  <w:rFonts w:ascii="Arial" w:cs="Arial" w:eastAsia="Arial" w:hAnsi="Arial"/>
                  <w:sz w:val="18"/>
                  <w:szCs w:val="18"/>
                  <w:color w:val="0000EE"/>
                </w:rPr>
                <w:t>matters</w:t>
              </w:r>
            </w:hyperlink>
          </w:p>
        </w:tc>
        <w:tc>
          <w:tcPr>
            <w:tcW w:w="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8.1†</w:t>
            </w:r>
          </w:p>
        </w:tc>
        <w:tc>
          <w:tcPr>
            <w:tcW w:w="8900" w:type="dxa"/>
            <w:vAlign w:val="bottom"/>
            <w:tcBorders>
              <w:bottom w:val="single" w:sz="8" w:color="0000EE"/>
            </w:tcBorders>
            <w:gridSpan w:val="23"/>
          </w:tcPr>
          <w:p>
            <w:pPr>
              <w:spacing w:after="0"/>
              <w:rPr>
                <w:rFonts w:ascii="Arial" w:cs="Arial" w:eastAsia="Arial" w:hAnsi="Arial"/>
                <w:sz w:val="18"/>
                <w:szCs w:val="18"/>
                <w:color w:val="0000EE"/>
                <w:w w:val="91"/>
              </w:rPr>
            </w:pPr>
            <w:hyperlink r:id="rId528">
              <w:r>
                <w:rPr>
                  <w:rFonts w:ascii="Arial" w:cs="Arial" w:eastAsia="Arial" w:hAnsi="Arial"/>
                  <w:sz w:val="18"/>
                  <w:szCs w:val="18"/>
                  <w:color w:val="0000EE"/>
                  <w:w w:val="91"/>
                </w:rPr>
                <w:t>Opinion of Travers Thorp Alberga Attorneys at Law regarding certain Cayman Islands tax matters (included in Exhibit 5.1)</w:t>
              </w:r>
            </w:hyperlink>
          </w:p>
        </w:tc>
        <w:tc>
          <w:tcPr>
            <w:tcW w:w="1100" w:type="dxa"/>
            <w:vAlign w:val="bottom"/>
            <w:gridSpan w:val="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8.2†</w:t>
            </w:r>
          </w:p>
        </w:tc>
        <w:tc>
          <w:tcPr>
            <w:tcW w:w="6860" w:type="dxa"/>
            <w:vAlign w:val="bottom"/>
            <w:tcBorders>
              <w:bottom w:val="single" w:sz="8" w:color="0000EE"/>
            </w:tcBorders>
            <w:gridSpan w:val="19"/>
          </w:tcPr>
          <w:p>
            <w:pPr>
              <w:spacing w:after="0"/>
              <w:rPr>
                <w:rFonts w:ascii="Arial" w:cs="Arial" w:eastAsia="Arial" w:hAnsi="Arial"/>
                <w:sz w:val="18"/>
                <w:szCs w:val="18"/>
                <w:color w:val="0000EE"/>
                <w:w w:val="92"/>
              </w:rPr>
            </w:pPr>
            <w:hyperlink r:id="rId529">
              <w:r>
                <w:rPr>
                  <w:rFonts w:ascii="Arial" w:cs="Arial" w:eastAsia="Arial" w:hAnsi="Arial"/>
                  <w:sz w:val="18"/>
                  <w:szCs w:val="18"/>
                  <w:color w:val="0000EE"/>
                  <w:w w:val="92"/>
                </w:rPr>
                <w:t>Opinion of Jingtian &amp; Gongcheng regarding certain PRC tax matters (included in Exhibit 99.2)</w:t>
              </w:r>
            </w:hyperlink>
          </w:p>
        </w:tc>
        <w:tc>
          <w:tcPr>
            <w:tcW w:w="3140" w:type="dxa"/>
            <w:vAlign w:val="bottom"/>
            <w:gridSpan w:val="1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w:t>
            </w:r>
          </w:p>
        </w:tc>
        <w:tc>
          <w:tcPr>
            <w:tcW w:w="4740" w:type="dxa"/>
            <w:vAlign w:val="bottom"/>
            <w:tcBorders>
              <w:bottom w:val="single" w:sz="8" w:color="0000EE"/>
            </w:tcBorders>
            <w:gridSpan w:val="12"/>
          </w:tcPr>
          <w:p>
            <w:pPr>
              <w:spacing w:after="0"/>
              <w:rPr>
                <w:rFonts w:ascii="Arial" w:cs="Arial" w:eastAsia="Arial" w:hAnsi="Arial"/>
                <w:sz w:val="18"/>
                <w:szCs w:val="18"/>
                <w:color w:val="0000EE"/>
                <w:w w:val="88"/>
              </w:rPr>
            </w:pPr>
            <w:hyperlink r:id="rId530">
              <w:r>
                <w:rPr>
                  <w:rFonts w:ascii="Arial" w:cs="Arial" w:eastAsia="Arial" w:hAnsi="Arial"/>
                  <w:sz w:val="18"/>
                  <w:szCs w:val="18"/>
                  <w:color w:val="0000EE"/>
                  <w:w w:val="88"/>
                </w:rPr>
                <w:t>Series E Share Subscription Agreement dated December 19, 2016</w:t>
              </w:r>
            </w:hyperlink>
          </w:p>
        </w:tc>
        <w:tc>
          <w:tcPr>
            <w:tcW w:w="5260" w:type="dxa"/>
            <w:vAlign w:val="bottom"/>
            <w:gridSpan w:val="17"/>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w:t>
            </w: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r:id="rId531">
              <w:r>
                <w:rPr>
                  <w:rFonts w:ascii="Arial" w:cs="Arial" w:eastAsia="Arial" w:hAnsi="Arial"/>
                  <w:sz w:val="18"/>
                  <w:szCs w:val="18"/>
                  <w:color w:val="0000EE"/>
                  <w:w w:val="88"/>
                </w:rPr>
                <w:t>Fourth Amended and Restated Shareholders Agreement dated December 28, 2016</w:t>
              </w:r>
            </w:hyperlink>
          </w:p>
        </w:tc>
        <w:tc>
          <w:tcPr>
            <w:tcW w:w="4080" w:type="dxa"/>
            <w:vAlign w:val="bottom"/>
            <w:gridSpan w:val="12"/>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10.3†</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2"/>
              </w:rPr>
            </w:pPr>
            <w:hyperlink r:id="rId532">
              <w:r>
                <w:rPr>
                  <w:rFonts w:ascii="Arial" w:cs="Arial" w:eastAsia="Arial" w:hAnsi="Arial"/>
                  <w:sz w:val="18"/>
                  <w:szCs w:val="18"/>
                  <w:color w:val="0000EE"/>
                  <w:w w:val="92"/>
                </w:rPr>
                <w:t>English translation of Exclusive Business Cooperation Agreement between OptAim Beijing, OptAim Network and Zhiyunzhong dated</w:t>
              </w:r>
            </w:hyperlink>
          </w:p>
        </w:tc>
        <w:tc>
          <w:tcPr>
            <w:tcW w:w="2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32">
              <w:r>
                <w:rPr>
                  <w:rFonts w:ascii="Arial" w:cs="Arial" w:eastAsia="Arial" w:hAnsi="Arial"/>
                  <w:sz w:val="18"/>
                  <w:szCs w:val="18"/>
                  <w:color w:val="0000EE"/>
                  <w:w w:val="90"/>
                </w:rPr>
                <w:t>January 16, 2015</w:t>
              </w:r>
            </w:hyperlink>
          </w:p>
        </w:tc>
        <w:tc>
          <w:tcPr>
            <w:tcW w:w="8720" w:type="dxa"/>
            <w:vAlign w:val="bottom"/>
            <w:gridSpan w:val="27"/>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10.4†</w:t>
            </w:r>
          </w:p>
        </w:tc>
        <w:tc>
          <w:tcPr>
            <w:tcW w:w="10000" w:type="dxa"/>
            <w:vAlign w:val="bottom"/>
            <w:tcBorders>
              <w:bottom w:val="single" w:sz="8" w:color="0000EE"/>
            </w:tcBorders>
            <w:gridSpan w:val="29"/>
          </w:tcPr>
          <w:p>
            <w:pPr>
              <w:spacing w:after="0"/>
              <w:rPr>
                <w:rFonts w:ascii="Arial" w:cs="Arial" w:eastAsia="Arial" w:hAnsi="Arial"/>
                <w:sz w:val="18"/>
                <w:szCs w:val="18"/>
                <w:color w:val="0000EE"/>
                <w:w w:val="91"/>
              </w:rPr>
            </w:pPr>
            <w:hyperlink r:id="rId533">
              <w:r>
                <w:rPr>
                  <w:rFonts w:ascii="Arial" w:cs="Arial" w:eastAsia="Arial" w:hAnsi="Arial"/>
                  <w:sz w:val="18"/>
                  <w:szCs w:val="18"/>
                  <w:color w:val="0000EE"/>
                  <w:w w:val="91"/>
                </w:rPr>
                <w:t>English translation of Second Amended and Restated Exclusive Call Option Agreement among OptAim Beijing, OptAim Network and the</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33">
              <w:r>
                <w:rPr>
                  <w:rFonts w:ascii="Arial" w:cs="Arial" w:eastAsia="Arial" w:hAnsi="Arial"/>
                  <w:sz w:val="18"/>
                  <w:szCs w:val="18"/>
                  <w:color w:val="0000EE"/>
                  <w:w w:val="91"/>
                </w:rPr>
                <w:t>shareholders of OptAim Network dated May 26, 2017</w:t>
              </w:r>
            </w:hyperlink>
          </w:p>
        </w:tc>
        <w:tc>
          <w:tcPr>
            <w:tcW w:w="6080" w:type="dxa"/>
            <w:vAlign w:val="bottom"/>
            <w:gridSpan w:val="21"/>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10.5†</w:t>
            </w:r>
          </w:p>
        </w:tc>
        <w:tc>
          <w:tcPr>
            <w:tcW w:w="10000" w:type="dxa"/>
            <w:vAlign w:val="bottom"/>
            <w:gridSpan w:val="29"/>
          </w:tcPr>
          <w:p>
            <w:pPr>
              <w:spacing w:after="0"/>
              <w:rPr>
                <w:rFonts w:ascii="Arial" w:cs="Arial" w:eastAsia="Arial" w:hAnsi="Arial"/>
                <w:sz w:val="18"/>
                <w:szCs w:val="18"/>
                <w:color w:val="0000EE"/>
                <w:w w:val="97"/>
              </w:rPr>
            </w:pPr>
            <w:hyperlink r:id="rId534">
              <w:r>
                <w:rPr>
                  <w:rFonts w:ascii="Arial" w:cs="Arial" w:eastAsia="Arial" w:hAnsi="Arial"/>
                  <w:sz w:val="18"/>
                  <w:szCs w:val="18"/>
                  <w:color w:val="0000EE"/>
                  <w:w w:val="97"/>
                </w:rPr>
                <w:t>English translation of Second Amended and Restated Equity Pledge Agreement among OptAim Beijing, OptAim Network and the</w:t>
              </w:r>
            </w:hyperlink>
          </w:p>
        </w:tc>
      </w:tr>
      <w:tr>
        <w:trPr>
          <w:trHeight w:val="196"/>
        </w:trPr>
        <w:tc>
          <w:tcPr>
            <w:tcW w:w="11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34">
              <w:r>
                <w:rPr>
                  <w:rFonts w:ascii="Arial" w:cs="Arial" w:eastAsia="Arial" w:hAnsi="Arial"/>
                  <w:sz w:val="18"/>
                  <w:szCs w:val="18"/>
                  <w:color w:val="0000EE"/>
                  <w:w w:val="91"/>
                </w:rPr>
                <w:t>shareholders of OptAim Network dated May 26, 2017</w:t>
              </w:r>
            </w:hyperlink>
          </w:p>
        </w:tc>
        <w:tc>
          <w:tcPr>
            <w:tcW w:w="550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10.6†</w:t>
            </w:r>
          </w:p>
        </w:tc>
        <w:tc>
          <w:tcPr>
            <w:tcW w:w="10000" w:type="dxa"/>
            <w:vAlign w:val="bottom"/>
            <w:gridSpan w:val="29"/>
          </w:tcPr>
          <w:p>
            <w:pPr>
              <w:spacing w:after="0"/>
              <w:rPr>
                <w:rFonts w:ascii="Arial" w:cs="Arial" w:eastAsia="Arial" w:hAnsi="Arial"/>
                <w:sz w:val="18"/>
                <w:szCs w:val="18"/>
                <w:color w:val="0000EE"/>
              </w:rPr>
            </w:pPr>
            <w:hyperlink r:id="rId535">
              <w:r>
                <w:rPr>
                  <w:rFonts w:ascii="Arial" w:cs="Arial" w:eastAsia="Arial" w:hAnsi="Arial"/>
                  <w:sz w:val="18"/>
                  <w:szCs w:val="18"/>
                  <w:color w:val="0000EE"/>
                </w:rPr>
                <w:t>English translation of Irrevocable Powers of Attorney granted by the Jian Tang and Jie Jiao dated May 26,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10.7†</w:t>
            </w:r>
          </w:p>
        </w:tc>
        <w:tc>
          <w:tcPr>
            <w:tcW w:w="59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536">
              <w:r>
                <w:rPr>
                  <w:rFonts w:ascii="Arial" w:cs="Arial" w:eastAsia="Arial" w:hAnsi="Arial"/>
                  <w:sz w:val="18"/>
                  <w:szCs w:val="18"/>
                  <w:color w:val="0000EE"/>
                  <w:w w:val="90"/>
                </w:rPr>
                <w:t>English translation of Spousal Consents granted by Xinyu Fan dated May 26, 2017</w:t>
              </w:r>
            </w:hyperlink>
          </w:p>
        </w:tc>
        <w:tc>
          <w:tcPr>
            <w:tcW w:w="2060" w:type="dxa"/>
            <w:vAlign w:val="bottom"/>
            <w:tcBorders>
              <w:top w:val="single" w:sz="8" w:color="0000EE"/>
            </w:tcBorders>
            <w:gridSpan w:val="3"/>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10.8†</w:t>
            </w:r>
          </w:p>
        </w:tc>
        <w:tc>
          <w:tcPr>
            <w:tcW w:w="3940" w:type="dxa"/>
            <w:vAlign w:val="bottom"/>
            <w:tcBorders>
              <w:bottom w:val="single" w:sz="8" w:color="0000EE"/>
            </w:tcBorders>
            <w:gridSpan w:val="9"/>
          </w:tcPr>
          <w:p>
            <w:pPr>
              <w:spacing w:after="0"/>
              <w:rPr>
                <w:rFonts w:ascii="Arial" w:cs="Arial" w:eastAsia="Arial" w:hAnsi="Arial"/>
                <w:sz w:val="18"/>
                <w:szCs w:val="18"/>
                <w:color w:val="0000EE"/>
                <w:w w:val="89"/>
              </w:rPr>
            </w:pPr>
            <w:hyperlink r:id="rId537">
              <w:r>
                <w:rPr>
                  <w:rFonts w:ascii="Arial" w:cs="Arial" w:eastAsia="Arial" w:hAnsi="Arial"/>
                  <w:sz w:val="18"/>
                  <w:szCs w:val="18"/>
                  <w:color w:val="0000EE"/>
                  <w:w w:val="89"/>
                </w:rPr>
                <w:t>2010 Share Option Incentive Scheme of the Registrant</w:t>
              </w:r>
            </w:hyperlink>
          </w:p>
        </w:tc>
        <w:tc>
          <w:tcPr>
            <w:tcW w:w="6060" w:type="dxa"/>
            <w:vAlign w:val="bottom"/>
            <w:gridSpan w:val="2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10.9†</w:t>
            </w:r>
          </w:p>
        </w:tc>
        <w:tc>
          <w:tcPr>
            <w:tcW w:w="10000" w:type="dxa"/>
            <w:vAlign w:val="bottom"/>
            <w:gridSpan w:val="29"/>
          </w:tcPr>
          <w:p>
            <w:pPr>
              <w:spacing w:after="0"/>
              <w:rPr>
                <w:rFonts w:ascii="Arial" w:cs="Arial" w:eastAsia="Arial" w:hAnsi="Arial"/>
                <w:sz w:val="18"/>
                <w:szCs w:val="18"/>
                <w:color w:val="0000EE"/>
              </w:rPr>
            </w:pPr>
            <w:hyperlink r:id="rId538">
              <w:r>
                <w:rPr>
                  <w:rFonts w:ascii="Arial" w:cs="Arial" w:eastAsia="Arial" w:hAnsi="Arial"/>
                  <w:sz w:val="18"/>
                  <w:szCs w:val="18"/>
                  <w:color w:val="0000EE"/>
                </w:rPr>
                <w:t>Form of Indemnification Agreement with Executive Officers and Directors</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10.10†</w:t>
            </w:r>
          </w:p>
        </w:tc>
        <w:tc>
          <w:tcPr>
            <w:tcW w:w="7180" w:type="dxa"/>
            <w:vAlign w:val="bottom"/>
            <w:tcBorders>
              <w:bottom w:val="single" w:sz="8" w:color="0000EE"/>
            </w:tcBorders>
            <w:gridSpan w:val="20"/>
          </w:tcPr>
          <w:p>
            <w:pPr>
              <w:spacing w:after="0"/>
              <w:rPr>
                <w:rFonts w:ascii="Arial" w:cs="Arial" w:eastAsia="Arial" w:hAnsi="Arial"/>
                <w:sz w:val="18"/>
                <w:szCs w:val="18"/>
                <w:color w:val="0000EE"/>
                <w:w w:val="91"/>
              </w:rPr>
            </w:pPr>
            <w:hyperlink r:id="rId539">
              <w:r>
                <w:rPr>
                  <w:rFonts w:ascii="Arial" w:cs="Arial" w:eastAsia="Arial" w:hAnsi="Arial"/>
                  <w:sz w:val="18"/>
                  <w:szCs w:val="18"/>
                  <w:color w:val="0000EE"/>
                  <w:w w:val="91"/>
                </w:rPr>
                <w:t>Form of Employment Agreement and One Way Non-disclosure Agreement with Executive Officers</w:t>
              </w:r>
            </w:hyperlink>
          </w:p>
        </w:tc>
        <w:tc>
          <w:tcPr>
            <w:tcW w:w="2820" w:type="dxa"/>
            <w:vAlign w:val="bottom"/>
            <w:gridSpan w:val="9"/>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10.11†</w:t>
            </w: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r:id="rId540">
              <w:r>
                <w:rPr>
                  <w:rFonts w:ascii="Arial" w:cs="Arial" w:eastAsia="Arial" w:hAnsi="Arial"/>
                  <w:sz w:val="18"/>
                  <w:szCs w:val="18"/>
                  <w:color w:val="0000EE"/>
                  <w:w w:val="89"/>
                </w:rPr>
                <w:t>2017 Share Incentive Plan</w:t>
              </w:r>
            </w:hyperlink>
          </w:p>
        </w:tc>
        <w:tc>
          <w:tcPr>
            <w:tcW w:w="8100" w:type="dxa"/>
            <w:vAlign w:val="bottom"/>
            <w:gridSpan w:val="25"/>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10.12†</w:t>
            </w:r>
          </w:p>
        </w:tc>
        <w:tc>
          <w:tcPr>
            <w:tcW w:w="5220" w:type="dxa"/>
            <w:vAlign w:val="bottom"/>
            <w:tcBorders>
              <w:bottom w:val="single" w:sz="8" w:color="0000EE"/>
            </w:tcBorders>
            <w:gridSpan w:val="13"/>
          </w:tcPr>
          <w:p>
            <w:pPr>
              <w:spacing w:after="0"/>
              <w:rPr>
                <w:rFonts w:ascii="Arial" w:cs="Arial" w:eastAsia="Arial" w:hAnsi="Arial"/>
                <w:sz w:val="18"/>
                <w:szCs w:val="18"/>
                <w:color w:val="0000EE"/>
                <w:w w:val="91"/>
              </w:rPr>
            </w:pPr>
            <w:hyperlink r:id="rId541">
              <w:r>
                <w:rPr>
                  <w:rFonts w:ascii="Arial" w:cs="Arial" w:eastAsia="Arial" w:hAnsi="Arial"/>
                  <w:sz w:val="18"/>
                  <w:szCs w:val="18"/>
                  <w:color w:val="0000EE"/>
                  <w:w w:val="91"/>
                </w:rPr>
                <w:t>English Translation of Tencent Advertising Agency Agreement for 2017</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10.13†</w:t>
            </w:r>
          </w:p>
        </w:tc>
        <w:tc>
          <w:tcPr>
            <w:tcW w:w="10000" w:type="dxa"/>
            <w:vAlign w:val="bottom"/>
            <w:gridSpan w:val="29"/>
          </w:tcPr>
          <w:p>
            <w:pPr>
              <w:spacing w:after="0"/>
              <w:rPr>
                <w:rFonts w:ascii="Arial" w:cs="Arial" w:eastAsia="Arial" w:hAnsi="Arial"/>
                <w:sz w:val="18"/>
                <w:szCs w:val="18"/>
                <w:color w:val="0000EE"/>
              </w:rPr>
            </w:pPr>
            <w:hyperlink r:id="rId542">
              <w:r>
                <w:rPr>
                  <w:rFonts w:ascii="Arial" w:cs="Arial" w:eastAsia="Arial" w:hAnsi="Arial"/>
                  <w:sz w:val="18"/>
                  <w:szCs w:val="18"/>
                  <w:color w:val="0000EE"/>
                </w:rPr>
                <w:t>English Translation of Tencent Advertising Placement Contract for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21.1†</w:t>
            </w:r>
          </w:p>
        </w:tc>
        <w:tc>
          <w:tcPr>
            <w:tcW w:w="5220" w:type="dxa"/>
            <w:vAlign w:val="bottom"/>
            <w:tcBorders>
              <w:top w:val="single" w:sz="8" w:color="0000EE"/>
            </w:tcBorders>
            <w:gridSpan w:val="13"/>
          </w:tcPr>
          <w:p>
            <w:pPr>
              <w:spacing w:after="0"/>
              <w:rPr>
                <w:rFonts w:ascii="Arial" w:cs="Arial" w:eastAsia="Arial" w:hAnsi="Arial"/>
                <w:sz w:val="18"/>
                <w:szCs w:val="18"/>
                <w:color w:val="0000EE"/>
              </w:rPr>
            </w:pPr>
            <w:hyperlink r:id="rId543">
              <w:r>
                <w:rPr>
                  <w:rFonts w:ascii="Arial" w:cs="Arial" w:eastAsia="Arial" w:hAnsi="Arial"/>
                  <w:sz w:val="18"/>
                  <w:szCs w:val="18"/>
                  <w:color w:val="0000EE"/>
                </w:rPr>
                <w:t>List of Subsidiaries of the Registrant</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23.1</w:t>
            </w:r>
          </w:p>
        </w:tc>
        <w:tc>
          <w:tcPr>
            <w:tcW w:w="26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Consent of PricewaterhouseCoopers</w:t>
            </w:r>
          </w:p>
        </w:tc>
        <w:tc>
          <w:tcPr>
            <w:tcW w:w="20" w:type="dxa"/>
            <w:vAlign w:val="bottom"/>
            <w:tcBorders>
              <w:top w:val="single" w:sz="8" w:color="0000EE"/>
            </w:tcBorders>
          </w:tcPr>
          <w:p>
            <w:pPr>
              <w:spacing w:after="0"/>
              <w:rPr>
                <w:sz w:val="24"/>
                <w:szCs w:val="24"/>
                <w:color w:val="auto"/>
              </w:rPr>
            </w:pPr>
          </w:p>
        </w:tc>
        <w:tc>
          <w:tcPr>
            <w:tcW w:w="7360" w:type="dxa"/>
            <w:vAlign w:val="bottom"/>
            <w:gridSpan w:val="2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23.2†</w:t>
            </w:r>
          </w:p>
        </w:tc>
        <w:tc>
          <w:tcPr>
            <w:tcW w:w="10000" w:type="dxa"/>
            <w:vAlign w:val="bottom"/>
            <w:gridSpan w:val="29"/>
          </w:tcPr>
          <w:p>
            <w:pPr>
              <w:spacing w:after="0"/>
              <w:rPr>
                <w:rFonts w:ascii="Arial" w:cs="Arial" w:eastAsia="Arial" w:hAnsi="Arial"/>
                <w:sz w:val="18"/>
                <w:szCs w:val="18"/>
                <w:color w:val="0000EE"/>
              </w:rPr>
            </w:pPr>
            <w:hyperlink r:id="rId528">
              <w:r>
                <w:rPr>
                  <w:rFonts w:ascii="Arial" w:cs="Arial" w:eastAsia="Arial" w:hAnsi="Arial"/>
                  <w:sz w:val="18"/>
                  <w:szCs w:val="18"/>
                  <w:color w:val="0000EE"/>
                </w:rPr>
                <w:t>Consent of Travers Thorp Alberga Attorneys at Law (included in Exhibit 5.1)</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23.3†</w:t>
            </w:r>
          </w:p>
        </w:tc>
        <w:tc>
          <w:tcPr>
            <w:tcW w:w="5580" w:type="dxa"/>
            <w:vAlign w:val="bottom"/>
            <w:tcBorders>
              <w:top w:val="single" w:sz="8" w:color="0000EE"/>
            </w:tcBorders>
            <w:gridSpan w:val="15"/>
          </w:tcPr>
          <w:p>
            <w:pPr>
              <w:spacing w:after="0"/>
              <w:rPr>
                <w:rFonts w:ascii="Arial" w:cs="Arial" w:eastAsia="Arial" w:hAnsi="Arial"/>
                <w:sz w:val="18"/>
                <w:szCs w:val="18"/>
                <w:color w:val="0000EE"/>
              </w:rPr>
            </w:pPr>
            <w:hyperlink r:id="rId529">
              <w:r>
                <w:rPr>
                  <w:rFonts w:ascii="Arial" w:cs="Arial" w:eastAsia="Arial" w:hAnsi="Arial"/>
                  <w:sz w:val="18"/>
                  <w:szCs w:val="18"/>
                  <w:color w:val="0000EE"/>
                </w:rPr>
                <w:t>Consent of Jingtian &amp; Gongcheng (included in Exhibit 99.2)</w:t>
              </w:r>
            </w:hyperlink>
          </w:p>
        </w:tc>
        <w:tc>
          <w:tcPr>
            <w:tcW w:w="4420" w:type="dxa"/>
            <w:vAlign w:val="bottom"/>
            <w:gridSpan w:val="14"/>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23.4†</w:t>
            </w:r>
          </w:p>
        </w:tc>
        <w:tc>
          <w:tcPr>
            <w:tcW w:w="4360" w:type="dxa"/>
            <w:vAlign w:val="bottom"/>
            <w:tcBorders>
              <w:top w:val="single" w:sz="8" w:color="0000EE"/>
            </w:tcBorders>
            <w:gridSpan w:val="10"/>
          </w:tcPr>
          <w:p>
            <w:pPr>
              <w:spacing w:after="0"/>
              <w:rPr>
                <w:rFonts w:ascii="Arial" w:cs="Arial" w:eastAsia="Arial" w:hAnsi="Arial"/>
                <w:sz w:val="18"/>
                <w:szCs w:val="18"/>
                <w:color w:val="0000EE"/>
              </w:rPr>
            </w:pPr>
            <w:hyperlink r:id="rId544">
              <w:r>
                <w:rPr>
                  <w:rFonts w:ascii="Arial" w:cs="Arial" w:eastAsia="Arial" w:hAnsi="Arial"/>
                  <w:sz w:val="18"/>
                  <w:szCs w:val="18"/>
                  <w:color w:val="0000EE"/>
                </w:rPr>
                <w:t>Consent of Scott Moore</w:t>
              </w:r>
            </w:hyperlink>
          </w:p>
        </w:tc>
        <w:tc>
          <w:tcPr>
            <w:tcW w:w="5640" w:type="dxa"/>
            <w:vAlign w:val="bottom"/>
            <w:gridSpan w:val="19"/>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19"/>
          </w:tcPr>
          <w:p>
            <w:pPr>
              <w:ind w:left="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60"/>
          </w:cols>
          <w:pgMar w:left="240" w:top="460" w:right="49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23.5†</w:t>
            </w:r>
          </w:p>
        </w:tc>
        <w:tc>
          <w:tcPr>
            <w:tcW w:w="6260" w:type="dxa"/>
            <w:vAlign w:val="bottom"/>
            <w:gridSpan w:val="6"/>
          </w:tcPr>
          <w:p>
            <w:pPr>
              <w:spacing w:after="0"/>
              <w:rPr>
                <w:rFonts w:ascii="Arial" w:cs="Arial" w:eastAsia="Arial" w:hAnsi="Arial"/>
                <w:sz w:val="18"/>
                <w:szCs w:val="18"/>
                <w:color w:val="0000EE"/>
              </w:rPr>
            </w:pPr>
            <w:hyperlink r:id="rId546">
              <w:r>
                <w:rPr>
                  <w:rFonts w:ascii="Arial" w:cs="Arial" w:eastAsia="Arial" w:hAnsi="Arial"/>
                  <w:sz w:val="18"/>
                  <w:szCs w:val="18"/>
                  <w:color w:val="0000EE"/>
                </w:rPr>
                <w:t>Consent of Dylan Huang</w:t>
              </w:r>
            </w:hyperlink>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23.6†</w:t>
            </w:r>
          </w:p>
        </w:tc>
        <w:tc>
          <w:tcPr>
            <w:tcW w:w="6260" w:type="dxa"/>
            <w:vAlign w:val="bottom"/>
            <w:gridSpan w:val="6"/>
          </w:tcPr>
          <w:p>
            <w:pPr>
              <w:spacing w:after="0"/>
              <w:rPr>
                <w:rFonts w:ascii="Arial" w:cs="Arial" w:eastAsia="Arial" w:hAnsi="Arial"/>
                <w:sz w:val="18"/>
                <w:szCs w:val="18"/>
                <w:color w:val="0000EE"/>
              </w:rPr>
            </w:pPr>
            <w:hyperlink r:id="rId547">
              <w:r>
                <w:rPr>
                  <w:rFonts w:ascii="Arial" w:cs="Arial" w:eastAsia="Arial" w:hAnsi="Arial"/>
                  <w:sz w:val="18"/>
                  <w:szCs w:val="18"/>
                  <w:color w:val="0000EE"/>
                </w:rPr>
                <w:t>Consent of Honnus Cheung</w:t>
              </w:r>
            </w:hyperlink>
          </w:p>
        </w:tc>
      </w:tr>
      <w:tr>
        <w:trPr>
          <w:trHeight w:val="20"/>
        </w:trPr>
        <w:tc>
          <w:tcPr>
            <w:tcW w:w="10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6260" w:type="dxa"/>
            <w:vAlign w:val="bottom"/>
            <w:tcBorders>
              <w:bottom w:val="single" w:sz="8" w:color="0000EE"/>
            </w:tcBorders>
            <w:gridSpan w:val="6"/>
          </w:tcPr>
          <w:p>
            <w:pPr>
              <w:spacing w:after="0"/>
              <w:rPr>
                <w:rFonts w:ascii="Arial" w:cs="Arial" w:eastAsia="Arial" w:hAnsi="Arial"/>
                <w:sz w:val="18"/>
                <w:szCs w:val="18"/>
                <w:color w:val="0000EE"/>
                <w:w w:val="91"/>
              </w:rPr>
            </w:pPr>
            <w:hyperlink r:id="rId548">
              <w:r>
                <w:rPr>
                  <w:rFonts w:ascii="Arial" w:cs="Arial" w:eastAsia="Arial" w:hAnsi="Arial"/>
                  <w:sz w:val="18"/>
                  <w:szCs w:val="18"/>
                  <w:color w:val="0000EE"/>
                  <w:w w:val="91"/>
                </w:rPr>
                <w:t>Powers of Attorney (included on signature page in Part II of the registration statement)</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6260" w:type="dxa"/>
            <w:vAlign w:val="bottom"/>
            <w:gridSpan w:val="6"/>
          </w:tcPr>
          <w:p>
            <w:pPr>
              <w:spacing w:after="0"/>
              <w:rPr>
                <w:rFonts w:ascii="Arial" w:cs="Arial" w:eastAsia="Arial" w:hAnsi="Arial"/>
                <w:sz w:val="18"/>
                <w:szCs w:val="18"/>
                <w:color w:val="0000EE"/>
              </w:rPr>
            </w:pPr>
            <w:hyperlink r:id="rId549">
              <w:r>
                <w:rPr>
                  <w:rFonts w:ascii="Arial" w:cs="Arial" w:eastAsia="Arial" w:hAnsi="Arial"/>
                  <w:sz w:val="18"/>
                  <w:szCs w:val="18"/>
                  <w:color w:val="0000EE"/>
                </w:rPr>
                <w:t>Code of Business Conduct and Ethics of the Registrant</w:t>
              </w:r>
            </w:hyperlink>
          </w:p>
        </w:tc>
      </w:tr>
      <w:tr>
        <w:trPr>
          <w:trHeight w:val="20"/>
        </w:trPr>
        <w:tc>
          <w:tcPr>
            <w:tcW w:w="10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6260" w:type="dxa"/>
            <w:vAlign w:val="bottom"/>
            <w:gridSpan w:val="6"/>
          </w:tcPr>
          <w:p>
            <w:pPr>
              <w:spacing w:after="0"/>
              <w:rPr>
                <w:rFonts w:ascii="Arial" w:cs="Arial" w:eastAsia="Arial" w:hAnsi="Arial"/>
                <w:sz w:val="18"/>
                <w:szCs w:val="18"/>
                <w:color w:val="0000EE"/>
              </w:rPr>
            </w:pPr>
            <w:hyperlink r:id="rId529">
              <w:r>
                <w:rPr>
                  <w:rFonts w:ascii="Arial" w:cs="Arial" w:eastAsia="Arial" w:hAnsi="Arial"/>
                  <w:sz w:val="18"/>
                  <w:szCs w:val="18"/>
                  <w:color w:val="0000EE"/>
                </w:rPr>
                <w:t>Opinion of Jingtian &amp; Gongcheng regarding certain PRC law matters</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20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50">
              <w:r>
                <w:rPr>
                  <w:rFonts w:ascii="Arial" w:cs="Arial" w:eastAsia="Arial" w:hAnsi="Arial"/>
                  <w:sz w:val="18"/>
                  <w:szCs w:val="18"/>
                  <w:color w:val="0000EE"/>
                  <w:w w:val="92"/>
                </w:rPr>
                <w:t>Consent of Frost &amp; Sullivan</w:t>
              </w:r>
            </w:hyperlink>
          </w:p>
        </w:tc>
        <w:tc>
          <w:tcPr>
            <w:tcW w:w="296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64" w:lineRule="auto"/>
        <w:tabs>
          <w:tab w:leader="none" w:pos="71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240" w:top="459" w:right="49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December 18,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5"/>
        </w:trPr>
        <w:tc>
          <w:tcPr>
            <w:tcW w:w="68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6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/s/ Wing Hong Sammy Hsieh</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20" w:type="dxa"/>
            <w:vAlign w:val="bottom"/>
          </w:tcPr>
          <w:p>
            <w:pPr>
              <w:spacing w:after="0"/>
              <w:rPr>
                <w:sz w:val="15"/>
                <w:szCs w:val="15"/>
                <w:color w:val="auto"/>
              </w:rPr>
            </w:pPr>
          </w:p>
        </w:tc>
        <w:tc>
          <w:tcPr>
            <w:tcW w:w="4560" w:type="dxa"/>
            <w:vAlign w:val="bottom"/>
            <w:gridSpan w:val="2"/>
          </w:tcPr>
          <w:p>
            <w:pPr>
              <w:jc w:val="center"/>
              <w:ind w:right="520"/>
              <w:spacing w:after="0" w:line="182" w:lineRule="exact"/>
              <w:rPr>
                <w:sz w:val="20"/>
                <w:szCs w:val="20"/>
                <w:color w:val="auto"/>
              </w:rPr>
            </w:pPr>
            <w:r>
              <w:rPr>
                <w:rFonts w:ascii="Arial" w:cs="Arial" w:eastAsia="Arial" w:hAnsi="Arial"/>
                <w:sz w:val="18"/>
                <w:szCs w:val="18"/>
                <w:color w:val="auto"/>
                <w:w w:val="91"/>
              </w:rPr>
              <w:t>Wing Hong Sammy Hsieh</w:t>
            </w:r>
          </w:p>
        </w:tc>
        <w:tc>
          <w:tcPr>
            <w:tcW w:w="100" w:type="dxa"/>
            <w:vAlign w:val="bottom"/>
          </w:tcPr>
          <w:p>
            <w:pPr>
              <w:spacing w:after="0"/>
              <w:rPr>
                <w:sz w:val="15"/>
                <w:szCs w:val="15"/>
                <w:color w:val="auto"/>
              </w:rPr>
            </w:pPr>
          </w:p>
        </w:tc>
        <w:tc>
          <w:tcPr>
            <w:tcW w:w="3940" w:type="dxa"/>
            <w:vAlign w:val="bottom"/>
          </w:tcPr>
          <w:p>
            <w:pPr>
              <w:jc w:val="center"/>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/s/ Jie Jiao</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Jie Jiao</w:t>
            </w:r>
          </w:p>
        </w:tc>
        <w:tc>
          <w:tcPr>
            <w:tcW w:w="1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Jian Tang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Yau Ping Ricky 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Yu Long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Antares Au</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Wing Hong Sammy Hsieh</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Wing Hong Sammy Hsieh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Arial" w:cs="Arial" w:eastAsia="Arial" w:hAnsi="Arial"/>
                <w:sz w:val="18"/>
                <w:szCs w:val="18"/>
                <w:color w:val="auto"/>
              </w:rPr>
              <w:t>II-7</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15240</wp:posOffset>
            </wp:positionV>
            <wp:extent cx="13290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18, 2017</w:t>
      </w:r>
    </w:p>
    <w:p>
      <w:pPr>
        <w:sectPr>
          <w:pgSz w:w="11900" w:h="16838" w:orient="portrait"/>
          <w:cols w:equalWidth="0" w:num="2">
            <w:col w:w="9280" w:space="720"/>
            <w:col w:w="1420"/>
          </w:cols>
          <w:pgMar w:left="240" w:top="459" w:right="239" w:bottom="1440" w:gutter="0" w:footer="0" w:header="0"/>
          <w:type w:val="continuous"/>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December 18,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Diana Arias, on behalf of Law Debenture Corporate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Manager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460" w:right="45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hereby consent to the use in this Registration Statement on Amendment No. 4 to Form F-1 of iClick Interactive Asia Group Limited of our report dated May 18, 2017, except with respect to our opinion on the consolidated financial statements insofar as it relates to a deemed dividend described in Note 22, as to which the date is July 13, 2017 and our report dated May 18, 2017 relating to the financial statements of OptAim Limited, which appear in such Registration Statement. We also consent to the reference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1)"/>
      <w:numFmt w:val="decimal"/>
      <w:start w:val="1"/>
    </w:lvl>
  </w:abstractNum>
  <w:abstractNum w:abstractNumId="1">
    <w:nsid w:val="541C8153"/>
    <w:multiLevelType w:val="hybridMultilevel"/>
    <w:lvl w:ilvl="0">
      <w:lvlJc w:val="left"/>
      <w:lvlText w:val="(%1)"/>
      <w:numFmt w:val="decimal"/>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
      <w:numFmt w:val="bullet"/>
      <w:start w:val="1"/>
    </w:lvl>
  </w:abstractNum>
  <w:abstractNum w:abstractNumId="4">
    <w:nsid w:val="697D2D2"/>
    <w:multiLevelType w:val="hybridMultilevel"/>
    <w:lvl w:ilvl="0">
      <w:lvlJc w:val="left"/>
      <w:lvlText w:val="•"/>
      <w:numFmt w:val="bullet"/>
      <w:start w:val="1"/>
    </w:lvl>
  </w:abstractNum>
  <w:abstractNum w:abstractNumId="5">
    <w:nsid w:val="6D68AB2"/>
    <w:multiLevelType w:val="hybridMultilevel"/>
    <w:lvl w:ilvl="0">
      <w:lvlJc w:val="left"/>
      <w:lvlText w:val="•"/>
      <w:numFmt w:val="bullet"/>
      <w:start w:val="1"/>
    </w:lvl>
  </w:abstractNum>
  <w:abstractNum w:abstractNumId="6">
    <w:nsid w:val="3A966CD0"/>
    <w:multiLevelType w:val="hybridMultilevel"/>
    <w:lvl w:ilvl="0">
      <w:lvlJc w:val="left"/>
      <w:lvlText w:val="•"/>
      <w:numFmt w:val="bullet"/>
      <w:start w:val="1"/>
    </w:lvl>
  </w:abstractNum>
  <w:abstractNum w:abstractNumId="7">
    <w:nsid w:val="63F37E85"/>
    <w:multiLevelType w:val="hybridMultilevel"/>
    <w:lvl w:ilvl="0">
      <w:lvlJc w:val="left"/>
      <w:lvlText w:val="•"/>
      <w:numFmt w:val="bullet"/>
      <w:start w:val="1"/>
    </w:lvl>
  </w:abstractNum>
  <w:abstractNum w:abstractNumId="8">
    <w:nsid w:val="5895F5FA"/>
    <w:multiLevelType w:val="hybridMultilevel"/>
    <w:lvl w:ilvl="0">
      <w:lvlJc w:val="left"/>
      <w:lvlText w:val="(%1)"/>
      <w:numFmt w:val="decimal"/>
      <w:start w:val="1"/>
    </w:lvl>
  </w:abstractNum>
  <w:abstractNum w:abstractNumId="9">
    <w:nsid w:val="38A5D054"/>
    <w:multiLevelType w:val="hybridMultilevel"/>
    <w:lvl w:ilvl="0">
      <w:lvlJc w:val="left"/>
      <w:lvlText w:val="•"/>
      <w:numFmt w:val="bullet"/>
      <w:start w:val="1"/>
    </w:lvl>
  </w:abstractNum>
  <w:abstractNum w:abstractNumId="10">
    <w:nsid w:val="F3F09D8"/>
    <w:multiLevelType w:val="hybridMultilevel"/>
    <w:lvl w:ilvl="0">
      <w:lvlJc w:val="left"/>
      <w:lvlText w:val="•"/>
      <w:numFmt w:val="bullet"/>
      <w:start w:val="1"/>
    </w:lvl>
  </w:abstractNum>
  <w:abstractNum w:abstractNumId="11">
    <w:nsid w:val="4B793735"/>
    <w:multiLevelType w:val="hybridMultilevel"/>
    <w:lvl w:ilvl="0">
      <w:lvlJc w:val="left"/>
      <w:lvlText w:val="•"/>
      <w:numFmt w:val="bullet"/>
      <w:start w:val="1"/>
    </w:lvl>
  </w:abstractNum>
  <w:abstractNum w:abstractNumId="12">
    <w:nsid w:val="4A10B4E8"/>
    <w:multiLevelType w:val="hybridMultilevel"/>
    <w:lvl w:ilvl="0">
      <w:lvlJc w:val="left"/>
      <w:lvlText w:val="•"/>
      <w:numFmt w:val="bullet"/>
      <w:start w:val="1"/>
    </w:lvl>
  </w:abstractNum>
  <w:abstractNum w:abstractNumId="13">
    <w:nsid w:val="43D3BCD4"/>
    <w:multiLevelType w:val="hybridMultilevel"/>
    <w:lvl w:ilvl="0">
      <w:lvlJc w:val="left"/>
      <w:lvlText w:val="(%1)"/>
      <w:numFmt w:val="decimal"/>
      <w:start w:val="1"/>
    </w:lvl>
  </w:abstractNum>
  <w:abstractNum w:abstractNumId="14">
    <w:nsid w:val="4C2A7166"/>
    <w:multiLevelType w:val="hybridMultilevel"/>
    <w:lvl w:ilvl="0">
      <w:lvlJc w:val="left"/>
      <w:lvlText w:val="•"/>
      <w:numFmt w:val="bullet"/>
      <w:start w:val="1"/>
    </w:lvl>
  </w:abstractNum>
  <w:abstractNum w:abstractNumId="15">
    <w:nsid w:val="2E534A82"/>
    <w:multiLevelType w:val="hybridMultilevel"/>
    <w:lvl w:ilvl="0">
      <w:lvlJc w:val="left"/>
      <w:lvlText w:val="•"/>
      <w:numFmt w:val="bullet"/>
      <w:start w:val="1"/>
    </w:lvl>
  </w:abstractNum>
  <w:abstractNum w:abstractNumId="16">
    <w:nsid w:val="26F2D364"/>
    <w:multiLevelType w:val="hybridMultilevel"/>
    <w:lvl w:ilvl="0">
      <w:lvlJc w:val="left"/>
      <w:lvlText w:val="•"/>
      <w:numFmt w:val="bullet"/>
      <w:start w:val="1"/>
    </w:lvl>
  </w:abstractNum>
  <w:abstractNum w:abstractNumId="17">
    <w:nsid w:val="71C1AF98"/>
    <w:multiLevelType w:val="hybridMultilevel"/>
    <w:lvl w:ilvl="0">
      <w:lvlJc w:val="left"/>
      <w:lvlText w:val="•"/>
      <w:numFmt w:val="bullet"/>
      <w:start w:val="1"/>
    </w:lvl>
  </w:abstractNum>
  <w:abstractNum w:abstractNumId="18">
    <w:nsid w:val="3D00B9D9"/>
    <w:multiLevelType w:val="hybridMultilevel"/>
    <w:lvl w:ilvl="0">
      <w:lvlJc w:val="left"/>
      <w:lvlText w:val="•"/>
      <w:numFmt w:val="bullet"/>
      <w:start w:val="1"/>
    </w:lvl>
  </w:abstractNum>
  <w:abstractNum w:abstractNumId="19">
    <w:nsid w:val="15BCABA8"/>
    <w:multiLevelType w:val="hybridMultilevel"/>
    <w:lvl w:ilvl="0">
      <w:lvlJc w:val="left"/>
      <w:lvlText w:val="•"/>
      <w:numFmt w:val="bullet"/>
      <w:start w:val="1"/>
    </w:lvl>
  </w:abstractNum>
  <w:abstractNum w:abstractNumId="20">
    <w:nsid w:val="4E0B9A87"/>
    <w:multiLevelType w:val="hybridMultilevel"/>
    <w:lvl w:ilvl="0">
      <w:lvlJc w:val="left"/>
      <w:lvlText w:val="•"/>
      <w:numFmt w:val="bullet"/>
      <w:start w:val="1"/>
    </w:lvl>
  </w:abstractNum>
  <w:abstractNum w:abstractNumId="21">
    <w:nsid w:val="434BAE75"/>
    <w:multiLevelType w:val="hybridMultilevel"/>
    <w:lvl w:ilvl="0">
      <w:lvlJc w:val="left"/>
      <w:lvlText w:val="•"/>
      <w:numFmt w:val="bullet"/>
      <w:start w:val="1"/>
    </w:lvl>
  </w:abstractNum>
  <w:abstractNum w:abstractNumId="22">
    <w:nsid w:val="4F38F265"/>
    <w:multiLevelType w:val="hybridMultilevel"/>
    <w:lvl w:ilvl="0">
      <w:lvlJc w:val="left"/>
      <w:lvlText w:val="•"/>
      <w:numFmt w:val="bullet"/>
      <w:start w:val="1"/>
    </w:lvl>
  </w:abstractNum>
  <w:abstractNum w:abstractNumId="23">
    <w:nsid w:val="4C502870"/>
    <w:multiLevelType w:val="hybridMultilevel"/>
    <w:lvl w:ilvl="0">
      <w:lvlJc w:val="left"/>
      <w:lvlText w:val="•"/>
      <w:numFmt w:val="bullet"/>
      <w:start w:val="1"/>
    </w:lvl>
  </w:abstractNum>
  <w:abstractNum w:abstractNumId="24">
    <w:nsid w:val="1DE8725A"/>
    <w:multiLevelType w:val="hybridMultilevel"/>
    <w:lvl w:ilvl="0">
      <w:lvlJc w:val="left"/>
      <w:lvlText w:val="•"/>
      <w:numFmt w:val="bullet"/>
      <w:start w:val="1"/>
    </w:lvl>
  </w:abstractNum>
  <w:abstractNum w:abstractNumId="25">
    <w:nsid w:val="6A37288A"/>
    <w:multiLevelType w:val="hybridMultilevel"/>
    <w:lvl w:ilvl="0">
      <w:lvlJc w:val="left"/>
      <w:lvlText w:val="•"/>
      <w:numFmt w:val="bullet"/>
      <w:start w:val="1"/>
    </w:lvl>
  </w:abstractNum>
  <w:abstractNum w:abstractNumId="26">
    <w:nsid w:val="8F8B73F"/>
    <w:multiLevelType w:val="hybridMultilevel"/>
    <w:lvl w:ilvl="0">
      <w:lvlJc w:val="left"/>
      <w:lvlText w:val="•"/>
      <w:numFmt w:val="bullet"/>
      <w:start w:val="1"/>
    </w:lvl>
  </w:abstractNum>
  <w:abstractNum w:abstractNumId="27">
    <w:nsid w:val="CA6B462"/>
    <w:multiLevelType w:val="hybridMultilevel"/>
    <w:lvl w:ilvl="0">
      <w:lvlJc w:val="left"/>
      <w:lvlText w:val="•"/>
      <w:numFmt w:val="bullet"/>
      <w:start w:val="1"/>
    </w:lvl>
  </w:abstractNum>
  <w:abstractNum w:abstractNumId="28">
    <w:nsid w:val="763CB680"/>
    <w:multiLevelType w:val="hybridMultilevel"/>
    <w:lvl w:ilvl="0">
      <w:lvlJc w:val="left"/>
      <w:lvlText w:val="•"/>
      <w:numFmt w:val="bullet"/>
      <w:start w:val="1"/>
    </w:lvl>
  </w:abstractNum>
  <w:abstractNum w:abstractNumId="29">
    <w:nsid w:val="15B71329"/>
    <w:multiLevelType w:val="hybridMultilevel"/>
    <w:lvl w:ilvl="0">
      <w:lvlJc w:val="left"/>
      <w:lvlText w:val="•"/>
      <w:numFmt w:val="bullet"/>
      <w:start w:val="1"/>
    </w:lvl>
  </w:abstractNum>
  <w:abstractNum w:abstractNumId="30">
    <w:nsid w:val="3DA97044"/>
    <w:multiLevelType w:val="hybridMultilevel"/>
    <w:lvl w:ilvl="0">
      <w:lvlJc w:val="left"/>
      <w:lvlText w:val="(%1)"/>
      <w:numFmt w:val="decimal"/>
      <w:start w:val="1"/>
    </w:lvl>
  </w:abstractNum>
  <w:abstractNum w:abstractNumId="31">
    <w:nsid w:val="1CDCE2DE"/>
    <w:multiLevelType w:val="hybridMultilevel"/>
    <w:lvl w:ilvl="0">
      <w:lvlJc w:val="left"/>
      <w:lvlText w:val="(%1)"/>
      <w:numFmt w:val="decimal"/>
      <w:start w:val="1"/>
    </w:lvl>
  </w:abstractNum>
  <w:abstractNum w:abstractNumId="32">
    <w:nsid w:val="69D3947C"/>
    <w:multiLevelType w:val="hybridMultilevel"/>
    <w:lvl w:ilvl="0">
      <w:lvlJc w:val="left"/>
      <w:lvlText w:val="(%1)"/>
      <w:numFmt w:val="decimal"/>
      <w:start w:val="1"/>
    </w:lvl>
  </w:abstractNum>
  <w:abstractNum w:abstractNumId="33">
    <w:nsid w:val="2539DFA5"/>
    <w:multiLevelType w:val="hybridMultilevel"/>
    <w:lvl w:ilvl="0">
      <w:lvlJc w:val="left"/>
      <w:lvlText w:val="•"/>
      <w:numFmt w:val="bullet"/>
      <w:start w:val="1"/>
    </w:lvl>
  </w:abstractNum>
  <w:abstractNum w:abstractNumId="34">
    <w:nsid w:val="2DB88089"/>
    <w:multiLevelType w:val="hybridMultilevel"/>
    <w:lvl w:ilvl="0">
      <w:lvlJc w:val="left"/>
      <w:lvlText w:val="•"/>
      <w:numFmt w:val="bullet"/>
      <w:start w:val="1"/>
    </w:lvl>
  </w:abstractNum>
  <w:abstractNum w:abstractNumId="35">
    <w:nsid w:val="706B674E"/>
    <w:multiLevelType w:val="hybridMultilevel"/>
    <w:lvl w:ilvl="0">
      <w:lvlJc w:val="left"/>
      <w:lvlText w:val="•"/>
      <w:numFmt w:val="bullet"/>
      <w:start w:val="1"/>
    </w:lvl>
  </w:abstractNum>
  <w:abstractNum w:abstractNumId="36">
    <w:nsid w:val="2C106A57"/>
    <w:multiLevelType w:val="hybridMultilevel"/>
    <w:lvl w:ilvl="0">
      <w:lvlJc w:val="left"/>
      <w:lvlText w:val="•"/>
      <w:numFmt w:val="bullet"/>
      <w:start w:val="1"/>
    </w:lvl>
  </w:abstractNum>
  <w:abstractNum w:abstractNumId="37">
    <w:nsid w:val="684EED59"/>
    <w:multiLevelType w:val="hybridMultilevel"/>
    <w:lvl w:ilvl="0">
      <w:lvlJc w:val="left"/>
      <w:lvlText w:val="(%1)"/>
      <w:numFmt w:val="decimal"/>
      <w:start w:val="1"/>
    </w:lvl>
  </w:abstractNum>
  <w:abstractNum w:abstractNumId="38">
    <w:nsid w:val="545EE5D3"/>
    <w:multiLevelType w:val="hybridMultilevel"/>
    <w:lvl w:ilvl="0">
      <w:lvlJc w:val="left"/>
      <w:lvlText w:val="•"/>
      <w:numFmt w:val="bullet"/>
      <w:start w:val="1"/>
    </w:lvl>
  </w:abstractNum>
  <w:abstractNum w:abstractNumId="39">
    <w:nsid w:val="4A66051"/>
    <w:multiLevelType w:val="hybridMultilevel"/>
    <w:lvl w:ilvl="0">
      <w:lvlJc w:val="left"/>
      <w:lvlText w:val="•"/>
      <w:numFmt w:val="bullet"/>
      <w:start w:val="1"/>
    </w:lvl>
  </w:abstractNum>
  <w:abstractNum w:abstractNumId="40">
    <w:nsid w:val="20F4BDAD"/>
    <w:multiLevelType w:val="hybridMultilevel"/>
    <w:lvl w:ilvl="0">
      <w:lvlJc w:val="left"/>
      <w:lvlText w:val="(%1)"/>
      <w:numFmt w:val="decimal"/>
      <w:start w:val="4"/>
    </w:lvl>
  </w:abstractNum>
  <w:abstractNum w:abstractNumId="41">
    <w:nsid w:val="639DEFAC"/>
    <w:multiLevelType w:val="hybridMultilevel"/>
    <w:lvl w:ilvl="0">
      <w:lvlJc w:val="left"/>
      <w:lvlText w:val="•"/>
      <w:numFmt w:val="bullet"/>
      <w:start w:val="1"/>
    </w:lvl>
  </w:abstractNum>
  <w:abstractNum w:abstractNumId="42">
    <w:nsid w:val="501F9786"/>
    <w:multiLevelType w:val="hybridMultilevel"/>
    <w:lvl w:ilvl="0">
      <w:lvlJc w:val="left"/>
      <w:lvlText w:val="(%1)"/>
      <w:numFmt w:val="decimal"/>
      <w:start w:val="1"/>
    </w:lvl>
  </w:abstractNum>
  <w:abstractNum w:abstractNumId="43">
    <w:nsid w:val="6B057295"/>
    <w:multiLevelType w:val="hybridMultilevel"/>
    <w:lvl w:ilvl="0">
      <w:lvlJc w:val="left"/>
      <w:lvlText w:val="(%1)"/>
      <w:numFmt w:val="decimal"/>
      <w:start w:val="1"/>
    </w:lvl>
  </w:abstractNum>
  <w:abstractNum w:abstractNumId="44">
    <w:nsid w:val="2771AC80"/>
    <w:multiLevelType w:val="hybridMultilevel"/>
    <w:lvl w:ilvl="0">
      <w:lvlJc w:val="left"/>
      <w:lvlText w:val="(%1)"/>
      <w:numFmt w:val="decimal"/>
      <w:start w:val="1"/>
    </w:lvl>
  </w:abstractNum>
  <w:abstractNum w:abstractNumId="45">
    <w:nsid w:val="1C4A08EC"/>
    <w:multiLevelType w:val="hybridMultilevel"/>
    <w:lvl w:ilvl="0">
      <w:lvlJc w:val="left"/>
      <w:lvlText w:val="(%1)"/>
      <w:numFmt w:val="decimal"/>
      <w:start w:val="1"/>
    </w:lvl>
  </w:abstractNum>
  <w:abstractNum w:abstractNumId="46">
    <w:nsid w:val="1958BD17"/>
    <w:multiLevelType w:val="hybridMultilevel"/>
    <w:lvl w:ilvl="0">
      <w:lvlJc w:val="left"/>
      <w:lvlText w:val="•"/>
      <w:numFmt w:val="bullet"/>
      <w:start w:val="1"/>
    </w:lvl>
  </w:abstractNum>
  <w:abstractNum w:abstractNumId="47">
    <w:nsid w:val="4E647FE4"/>
    <w:multiLevelType w:val="hybridMultilevel"/>
    <w:lvl w:ilvl="0">
      <w:lvlJc w:val="left"/>
      <w:lvlText w:val="•"/>
      <w:numFmt w:val="bullet"/>
      <w:start w:val="1"/>
    </w:lvl>
  </w:abstractNum>
  <w:abstractNum w:abstractNumId="48">
    <w:nsid w:val="E0BB885"/>
    <w:multiLevelType w:val="hybridMultilevel"/>
    <w:lvl w:ilvl="0">
      <w:lvlJc w:val="left"/>
      <w:lvlText w:val="•"/>
      <w:numFmt w:val="bullet"/>
      <w:start w:val="1"/>
    </w:lvl>
  </w:abstractNum>
  <w:abstractNum w:abstractNumId="49">
    <w:nsid w:val="565976F1"/>
    <w:multiLevelType w:val="hybridMultilevel"/>
    <w:lvl w:ilvl="0">
      <w:lvlJc w:val="left"/>
      <w:lvlText w:val="•"/>
      <w:numFmt w:val="bullet"/>
      <w:start w:val="1"/>
    </w:lvl>
  </w:abstractNum>
  <w:abstractNum w:abstractNumId="50">
    <w:nsid w:val="64212B8C"/>
    <w:multiLevelType w:val="hybridMultilevel"/>
    <w:lvl w:ilvl="0">
      <w:lvlJc w:val="left"/>
      <w:lvlText w:val="•"/>
      <w:numFmt w:val="bullet"/>
      <w:start w:val="1"/>
    </w:lvl>
  </w:abstractNum>
  <w:abstractNum w:abstractNumId="51">
    <w:nsid w:val="5C17530C"/>
    <w:multiLevelType w:val="hybridMultilevel"/>
    <w:lvl w:ilvl="0">
      <w:lvlJc w:val="left"/>
      <w:lvlText w:val="•"/>
      <w:numFmt w:val="bullet"/>
      <w:start w:val="1"/>
    </w:lvl>
  </w:abstractNum>
  <w:abstractNum w:abstractNumId="52">
    <w:nsid w:val="19A52566"/>
    <w:multiLevelType w:val="hybridMultilevel"/>
    <w:lvl w:ilvl="0">
      <w:lvlJc w:val="left"/>
      <w:lvlText w:val="•"/>
      <w:numFmt w:val="bullet"/>
      <w:start w:val="1"/>
    </w:lvl>
  </w:abstractNum>
  <w:abstractNum w:abstractNumId="53">
    <w:nsid w:val="335A1DF1"/>
    <w:multiLevelType w:val="hybridMultilevel"/>
    <w:lvl w:ilvl="0">
      <w:lvlJc w:val="left"/>
      <w:lvlText w:val="(%1)"/>
      <w:numFmt w:val="decimal"/>
      <w:start w:val="1"/>
    </w:lvl>
  </w:abstractNum>
  <w:abstractNum w:abstractNumId="54">
    <w:nsid w:val="28677B7C"/>
    <w:multiLevelType w:val="hybridMultilevel"/>
    <w:lvl w:ilvl="0">
      <w:lvlJc w:val="left"/>
      <w:lvlText w:val="(%1)"/>
      <w:numFmt w:val="lowerLetter"/>
      <w:start w:val="1"/>
    </w:lvl>
  </w:abstractNum>
  <w:abstractNum w:abstractNumId="55">
    <w:nsid w:val="378D97C0"/>
    <w:multiLevelType w:val="hybridMultilevel"/>
    <w:lvl w:ilvl="0">
      <w:lvlJc w:val="left"/>
      <w:lvlText w:val="•"/>
      <w:numFmt w:val="bullet"/>
      <w:start w:val="1"/>
    </w:lvl>
  </w:abstractNum>
  <w:abstractNum w:abstractNumId="56">
    <w:nsid w:val="1D91467C"/>
    <w:multiLevelType w:val="hybridMultilevel"/>
    <w:lvl w:ilvl="0">
      <w:lvlJc w:val="left"/>
      <w:lvlText w:val="•"/>
      <w:numFmt w:val="bullet"/>
      <w:start w:val="1"/>
    </w:lvl>
  </w:abstractNum>
  <w:abstractNum w:abstractNumId="57">
    <w:nsid w:val="316032BB"/>
    <w:multiLevelType w:val="hybridMultilevel"/>
    <w:lvl w:ilvl="0">
      <w:lvlJc w:val="left"/>
      <w:lvlText w:val="•"/>
      <w:numFmt w:val="bullet"/>
      <w:start w:val="1"/>
    </w:lvl>
  </w:abstractNum>
  <w:abstractNum w:abstractNumId="58">
    <w:nsid w:val="44344C22"/>
    <w:multiLevelType w:val="hybridMultilevel"/>
    <w:lvl w:ilvl="0">
      <w:lvlJc w:val="left"/>
      <w:lvlText w:val="•"/>
      <w:numFmt w:val="bullet"/>
      <w:start w:val="1"/>
    </w:lvl>
  </w:abstractNum>
  <w:abstractNum w:abstractNumId="59">
    <w:nsid w:val="13CDFCFC"/>
    <w:multiLevelType w:val="hybridMultilevel"/>
    <w:lvl w:ilvl="0">
      <w:lvlJc w:val="left"/>
      <w:lvlText w:val="•"/>
      <w:numFmt w:val="bullet"/>
      <w:start w:val="1"/>
    </w:lvl>
  </w:abstractNum>
  <w:abstractNum w:abstractNumId="60">
    <w:nsid w:val="471745E4"/>
    <w:multiLevelType w:val="hybridMultilevel"/>
    <w:lvl w:ilvl="0">
      <w:lvlJc w:val="left"/>
      <w:lvlText w:val="•"/>
      <w:numFmt w:val="bullet"/>
      <w:start w:val="1"/>
    </w:lvl>
  </w:abstractNum>
  <w:abstractNum w:abstractNumId="61">
    <w:nsid w:val="1DDBC66"/>
    <w:multiLevelType w:val="hybridMultilevel"/>
    <w:lvl w:ilvl="0">
      <w:lvlJc w:val="left"/>
      <w:lvlText w:val="•"/>
      <w:numFmt w:val="bullet"/>
      <w:start w:val="1"/>
    </w:lvl>
  </w:abstractNum>
  <w:abstractNum w:abstractNumId="62">
    <w:nsid w:val="30AADFDA"/>
    <w:multiLevelType w:val="hybridMultilevel"/>
    <w:lvl w:ilvl="0">
      <w:lvlJc w:val="left"/>
      <w:lvlText w:val="•"/>
      <w:numFmt w:val="bullet"/>
      <w:start w:val="1"/>
    </w:lvl>
  </w:abstractNum>
  <w:abstractNum w:abstractNumId="63">
    <w:nsid w:val="30EADA61"/>
    <w:multiLevelType w:val="hybridMultilevel"/>
    <w:lvl w:ilvl="0">
      <w:lvlJc w:val="left"/>
      <w:lvlText w:val="•"/>
      <w:numFmt w:val="bullet"/>
      <w:start w:val="1"/>
    </w:lvl>
  </w:abstractNum>
  <w:abstractNum w:abstractNumId="64">
    <w:nsid w:val="27179C0B"/>
    <w:multiLevelType w:val="hybridMultilevel"/>
    <w:lvl w:ilvl="0">
      <w:lvlJc w:val="left"/>
      <w:lvlText w:val="•"/>
      <w:numFmt w:val="bullet"/>
      <w:start w:val="1"/>
    </w:lvl>
  </w:abstractNum>
  <w:abstractNum w:abstractNumId="65">
    <w:nsid w:val="5E636063"/>
    <w:multiLevelType w:val="hybridMultilevel"/>
    <w:lvl w:ilvl="0">
      <w:lvlJc w:val="left"/>
      <w:lvlText w:val="•"/>
      <w:numFmt w:val="bullet"/>
      <w:start w:val="1"/>
    </w:lvl>
  </w:abstractNum>
  <w:abstractNum w:abstractNumId="66">
    <w:nsid w:val="215641AF"/>
    <w:multiLevelType w:val="hybridMultilevel"/>
    <w:lvl w:ilvl="0">
      <w:lvlJc w:val="left"/>
      <w:lvlText w:val="•"/>
      <w:numFmt w:val="bullet"/>
      <w:start w:val="1"/>
    </w:lvl>
  </w:abstractNum>
  <w:abstractNum w:abstractNumId="67">
    <w:nsid w:val="53280662"/>
    <w:multiLevelType w:val="hybridMultilevel"/>
    <w:lvl w:ilvl="0">
      <w:lvlJc w:val="left"/>
      <w:lvlText w:val="•"/>
      <w:numFmt w:val="bullet"/>
      <w:start w:val="1"/>
    </w:lvl>
  </w:abstractNum>
  <w:abstractNum w:abstractNumId="68">
    <w:nsid w:val="46B24DBC"/>
    <w:multiLevelType w:val="hybridMultilevel"/>
    <w:lvl w:ilvl="0">
      <w:lvlJc w:val="left"/>
      <w:lvlText w:val="•"/>
      <w:numFmt w:val="bullet"/>
      <w:start w:val="1"/>
    </w:lvl>
  </w:abstractNum>
  <w:abstractNum w:abstractNumId="69">
    <w:nsid w:val="75B52783"/>
    <w:multiLevelType w:val="hybridMultilevel"/>
    <w:lvl w:ilvl="0">
      <w:lvlJc w:val="left"/>
      <w:lvlText w:val="•"/>
      <w:numFmt w:val="bullet"/>
      <w:start w:val="1"/>
    </w:lvl>
  </w:abstractNum>
  <w:abstractNum w:abstractNumId="70">
    <w:nsid w:val="57CE66B4"/>
    <w:multiLevelType w:val="hybridMultilevel"/>
    <w:lvl w:ilvl="0">
      <w:lvlJc w:val="left"/>
      <w:lvlText w:val="•"/>
      <w:numFmt w:val="bullet"/>
      <w:start w:val="1"/>
    </w:lvl>
  </w:abstractNum>
  <w:abstractNum w:abstractNumId="71">
    <w:nsid w:val="67A70B69"/>
    <w:multiLevelType w:val="hybridMultilevel"/>
    <w:lvl w:ilvl="0">
      <w:lvlJc w:val="left"/>
      <w:lvlText w:val="•"/>
      <w:numFmt w:val="bullet"/>
      <w:start w:val="1"/>
    </w:lvl>
  </w:abstractNum>
  <w:abstractNum w:abstractNumId="72">
    <w:nsid w:val="5953172F"/>
    <w:multiLevelType w:val="hybridMultilevel"/>
    <w:lvl w:ilvl="0">
      <w:lvlJc w:val="left"/>
      <w:lvlText w:val="•"/>
      <w:numFmt w:val="bullet"/>
      <w:start w:val="1"/>
    </w:lvl>
  </w:abstractNum>
  <w:abstractNum w:abstractNumId="73">
    <w:nsid w:val="27EDFE3A"/>
    <w:multiLevelType w:val="hybridMultilevel"/>
    <w:lvl w:ilvl="0">
      <w:lvlJc w:val="left"/>
      <w:lvlText w:val="•"/>
      <w:numFmt w:val="bullet"/>
      <w:start w:val="1"/>
    </w:lvl>
  </w:abstractNum>
  <w:abstractNum w:abstractNumId="74">
    <w:nsid w:val="52AC7DFF"/>
    <w:multiLevelType w:val="hybridMultilevel"/>
    <w:lvl w:ilvl="0">
      <w:lvlJc w:val="left"/>
      <w:lvlText w:val="(%1)"/>
      <w:numFmt w:val="lowerRoman"/>
      <w:start w:val="2"/>
    </w:lvl>
  </w:abstractNum>
  <w:abstractNum w:abstractNumId="75">
    <w:nsid w:val="C4C3AF"/>
    <w:multiLevelType w:val="hybridMultilevel"/>
    <w:lvl w:ilvl="0">
      <w:lvlJc w:val="left"/>
      <w:lvlText w:val="*"/>
      <w:numFmt w:val="bullet"/>
      <w:start w:val="1"/>
    </w:lvl>
  </w:abstractNum>
  <w:abstractNum w:abstractNumId="76">
    <w:nsid w:val="44380727"/>
    <w:multiLevelType w:val="hybridMultilevel"/>
    <w:lvl w:ilvl="0">
      <w:lvlJc w:val="left"/>
      <w:lvlText w:val="•"/>
      <w:numFmt w:val="bullet"/>
      <w:start w:val="1"/>
    </w:lvl>
  </w:abstractNum>
  <w:abstractNum w:abstractNumId="77">
    <w:nsid w:val="6C053B16"/>
    <w:multiLevelType w:val="hybridMultilevel"/>
    <w:lvl w:ilvl="0">
      <w:lvlJc w:val="left"/>
      <w:lvlText w:val="•"/>
      <w:numFmt w:val="bullet"/>
      <w:start w:val="1"/>
    </w:lvl>
  </w:abstractNum>
  <w:abstractNum w:abstractNumId="78">
    <w:nsid w:val="4F294393"/>
    <w:multiLevelType w:val="hybridMultilevel"/>
    <w:lvl w:ilvl="0">
      <w:lvlJc w:val="left"/>
      <w:lvlText w:val="•"/>
      <w:numFmt w:val="bullet"/>
      <w:start w:val="1"/>
    </w:lvl>
  </w:abstractNum>
  <w:abstractNum w:abstractNumId="79">
    <w:nsid w:val="5243BFAC"/>
    <w:multiLevelType w:val="hybridMultilevel"/>
    <w:lvl w:ilvl="0">
      <w:lvlJc w:val="left"/>
      <w:lvlText w:val="(%1)"/>
      <w:numFmt w:val="lowerRoman"/>
      <w:start w:val="1"/>
    </w:lvl>
  </w:abstractNum>
  <w:abstractNum w:abstractNumId="80">
    <w:nsid w:val="425EB207"/>
    <w:multiLevelType w:val="hybridMultilevel"/>
    <w:lvl w:ilvl="0">
      <w:lvlJc w:val="left"/>
      <w:lvlText w:val="*"/>
      <w:numFmt w:val="bullet"/>
      <w:start w:val="1"/>
    </w:lvl>
  </w:abstractNum>
  <w:abstractNum w:abstractNumId="81">
    <w:nsid w:val="334A6F1F"/>
    <w:multiLevelType w:val="hybridMultilevel"/>
    <w:lvl w:ilvl="0">
      <w:lvlJc w:val="left"/>
      <w:lvlText w:val="•"/>
      <w:numFmt w:val="bullet"/>
      <w:start w:val="1"/>
    </w:lvl>
  </w:abstractNum>
  <w:abstractNum w:abstractNumId="82">
    <w:nsid w:val="2E5B12B8"/>
    <w:multiLevelType w:val="hybridMultilevel"/>
    <w:lvl w:ilvl="0">
      <w:lvlJc w:val="left"/>
      <w:lvlText w:val="(%1)"/>
      <w:numFmt w:val="lowerRoman"/>
      <w:start w:val="1"/>
    </w:lvl>
  </w:abstractNum>
  <w:abstractNum w:abstractNumId="83">
    <w:nsid w:val="5C03D76D"/>
    <w:multiLevelType w:val="hybridMultilevel"/>
    <w:lvl w:ilvl="0">
      <w:lvlJc w:val="left"/>
      <w:lvlText w:val="(%1)"/>
      <w:numFmt w:val="lowerRoman"/>
      <w:start w:val="3"/>
    </w:lvl>
  </w:abstractNum>
  <w:abstractNum w:abstractNumId="84">
    <w:nsid w:val="66A48D11"/>
    <w:multiLevelType w:val="hybridMultilevel"/>
    <w:lvl w:ilvl="0">
      <w:lvlJc w:val="left"/>
      <w:lvlText w:val="(%1)"/>
      <w:numFmt w:val="decimal"/>
      <w:start w:val="1"/>
    </w:lvl>
  </w:abstractNum>
  <w:abstractNum w:abstractNumId="85">
    <w:nsid w:val="56C28E34"/>
    <w:multiLevelType w:val="hybridMultilevel"/>
    <w:lvl w:ilvl="0">
      <w:lvlJc w:val="left"/>
      <w:lvlText w:val="(%1)"/>
      <w:numFmt w:val="decimal"/>
      <w:start w:val="3"/>
    </w:lvl>
  </w:abstractNum>
  <w:abstractNum w:abstractNumId="86">
    <w:nsid w:val="13916F2D"/>
    <w:multiLevelType w:val="hybridMultilevel"/>
    <w:lvl w:ilvl="0">
      <w:lvlJc w:val="left"/>
      <w:lvlText w:val="(%1)"/>
      <w:numFmt w:val="lowerLetter"/>
      <w:start w:val="1"/>
    </w:lvl>
  </w:abstractNum>
  <w:abstractNum w:abstractNumId="87">
    <w:nsid w:val="435D38D"/>
    <w:multiLevelType w:val="hybridMultilevel"/>
    <w:lvl w:ilvl="0">
      <w:lvlJc w:val="left"/>
      <w:lvlText w:val="•"/>
      <w:numFmt w:val="bullet"/>
      <w:start w:val="1"/>
    </w:lvl>
  </w:abstractNum>
  <w:abstractNum w:abstractNumId="88">
    <w:nsid w:val="822C0EF"/>
    <w:multiLevelType w:val="hybridMultilevel"/>
    <w:lvl w:ilvl="0">
      <w:lvlJc w:val="left"/>
      <w:lvlText w:val="•"/>
      <w:numFmt w:val="bullet"/>
      <w:start w:val="1"/>
    </w:lvl>
  </w:abstractNum>
  <w:abstractNum w:abstractNumId="89">
    <w:nsid w:val="57C5BB4F"/>
    <w:multiLevelType w:val="hybridMultilevel"/>
    <w:lvl w:ilvl="0">
      <w:lvlJc w:val="left"/>
      <w:lvlText w:val="•"/>
      <w:numFmt w:val="bullet"/>
      <w:start w:val="1"/>
    </w:lvl>
  </w:abstractNum>
  <w:abstractNum w:abstractNumId="90">
    <w:nsid w:val="1803D089"/>
    <w:multiLevelType w:val="hybridMultilevel"/>
    <w:lvl w:ilvl="0">
      <w:lvlJc w:val="left"/>
      <w:lvlText w:val="•"/>
      <w:numFmt w:val="bullet"/>
      <w:start w:val="1"/>
    </w:lvl>
  </w:abstractNum>
  <w:abstractNum w:abstractNumId="91">
    <w:nsid w:val="4F3A06D4"/>
    <w:multiLevelType w:val="hybridMultilevel"/>
    <w:lvl w:ilvl="0">
      <w:lvlJc w:val="left"/>
      <w:lvlText w:val="•"/>
      <w:numFmt w:val="bullet"/>
      <w:start w:val="1"/>
    </w:lvl>
  </w:abstractNum>
  <w:abstractNum w:abstractNumId="92">
    <w:nsid w:val="59A377B6"/>
    <w:multiLevelType w:val="hybridMultilevel"/>
    <w:lvl w:ilvl="0">
      <w:lvlJc w:val="left"/>
      <w:lvlText w:val="(%1)"/>
      <w:numFmt w:val="lowerLetter"/>
      <w:start w:val="1"/>
    </w:lvl>
  </w:abstractNum>
  <w:abstractNum w:abstractNumId="93">
    <w:nsid w:val="48AEB063"/>
    <w:multiLevelType w:val="hybridMultilevel"/>
    <w:lvl w:ilvl="0">
      <w:lvlJc w:val="left"/>
      <w:lvlText w:val="•"/>
      <w:numFmt w:val="bullet"/>
      <w:start w:val="1"/>
    </w:lvl>
  </w:abstractNum>
  <w:abstractNum w:abstractNumId="94">
    <w:nsid w:val="24E135"/>
    <w:multiLevelType w:val="hybridMultilevel"/>
    <w:lvl w:ilvl="0">
      <w:lvlJc w:val="left"/>
      <w:lvlText w:val="•"/>
      <w:numFmt w:val="bullet"/>
      <w:start w:val="1"/>
    </w:lvl>
    <w:lvl w:ilvl="1">
      <w:lvlJc w:val="left"/>
      <w:lvlText w:val="(%2)"/>
      <w:numFmt w:val="lowerRoman"/>
      <w:start w:val="1"/>
    </w:lvl>
  </w:abstractNum>
  <w:abstractNum w:abstractNumId="95">
    <w:nsid w:val="BB13C1"/>
    <w:multiLevelType w:val="hybridMultilevel"/>
    <w:lvl w:ilvl="0">
      <w:lvlJc w:val="left"/>
      <w:lvlText w:val="•"/>
      <w:numFmt w:val="bullet"/>
      <w:start w:val="1"/>
    </w:lvl>
  </w:abstractNum>
  <w:abstractNum w:abstractNumId="96">
    <w:nsid w:val="271210C7"/>
    <w:multiLevelType w:val="hybridMultilevel"/>
    <w:lvl w:ilvl="0">
      <w:lvlJc w:val="left"/>
      <w:lvlText w:val="•"/>
      <w:numFmt w:val="bullet"/>
      <w:start w:val="1"/>
    </w:lvl>
  </w:abstractNum>
  <w:abstractNum w:abstractNumId="97">
    <w:nsid w:val="217B22E4"/>
    <w:multiLevelType w:val="hybridMultilevel"/>
    <w:lvl w:ilvl="0">
      <w:lvlJc w:val="left"/>
      <w:lvlText w:val="•"/>
      <w:numFmt w:val="bullet"/>
      <w:start w:val="1"/>
    </w:lvl>
  </w:abstractNum>
  <w:abstractNum w:abstractNumId="98">
    <w:nsid w:val="53E31A24"/>
    <w:multiLevelType w:val="hybridMultilevel"/>
    <w:lvl w:ilvl="0">
      <w:lvlJc w:val="left"/>
      <w:lvlText w:val="(%1)"/>
      <w:numFmt w:val="lowerRoman"/>
      <w:start w:val="1"/>
    </w:lvl>
  </w:abstractNum>
  <w:abstractNum w:abstractNumId="99">
    <w:nsid w:val="6DC45E83"/>
    <w:multiLevelType w:val="hybridMultilevel"/>
    <w:lvl w:ilvl="0">
      <w:lvlJc w:val="left"/>
      <w:lvlText w:val="•"/>
      <w:numFmt w:val="bullet"/>
      <w:start w:val="1"/>
    </w:lvl>
  </w:abstractNum>
  <w:abstractNum w:abstractNumId="100">
    <w:nsid w:val="17304A67"/>
    <w:multiLevelType w:val="hybridMultilevel"/>
    <w:lvl w:ilvl="0">
      <w:lvlJc w:val="left"/>
      <w:lvlText w:val="(%1)"/>
      <w:numFmt w:val="decimal"/>
      <w:start w:val="1"/>
    </w:lvl>
  </w:abstractNum>
  <w:abstractNum w:abstractNumId="101">
    <w:nsid w:val="2BB180D8"/>
    <w:multiLevelType w:val="hybridMultilevel"/>
    <w:lvl w:ilvl="0">
      <w:lvlJc w:val="left"/>
      <w:lvlText w:val="(%1)"/>
      <w:numFmt w:val="lowerLetter"/>
      <w:start w:val="9"/>
    </w:lvl>
  </w:abstractNum>
  <w:abstractNum w:abstractNumId="102">
    <w:nsid w:val="556B69ED"/>
    <w:multiLevelType w:val="hybridMultilevel"/>
    <w:lvl w:ilvl="0">
      <w:lvlJc w:val="left"/>
      <w:lvlText w:val="(%1)"/>
      <w:numFmt w:val="lowerLetter"/>
      <w:start w:val="2"/>
    </w:lvl>
  </w:abstractNum>
  <w:abstractNum w:abstractNumId="103">
    <w:nsid w:val="70836196"/>
    <w:multiLevelType w:val="hybridMultilevel"/>
    <w:lvl w:ilvl="0">
      <w:lvlJc w:val="left"/>
      <w:lvlText w:val="•"/>
      <w:numFmt w:val="bullet"/>
      <w:start w:val="1"/>
    </w:lvl>
  </w:abstractNum>
  <w:abstractNum w:abstractNumId="104">
    <w:nsid w:val="539F7F12"/>
    <w:multiLevelType w:val="hybridMultilevel"/>
    <w:lvl w:ilvl="0">
      <w:lvlJc w:val="left"/>
      <w:lvlText w:val="(%1)"/>
      <w:numFmt w:val="lowerRoman"/>
      <w:start w:val="1"/>
    </w:lvl>
  </w:abstractNum>
  <w:abstractNum w:abstractNumId="105">
    <w:nsid w:val="2817E7EC"/>
    <w:multiLevelType w:val="hybridMultilevel"/>
    <w:lvl w:ilvl="0">
      <w:lvlJc w:val="left"/>
      <w:lvlText w:val="•"/>
      <w:numFmt w:val="bullet"/>
      <w:start w:val="1"/>
    </w:lvl>
  </w:abstractNum>
  <w:abstractNum w:abstractNumId="106">
    <w:nsid w:val="71482545"/>
    <w:multiLevelType w:val="hybridMultilevel"/>
    <w:lvl w:ilvl="0">
      <w:lvlJc w:val="left"/>
      <w:lvlText w:val="•"/>
      <w:numFmt w:val="bullet"/>
      <w:start w:val="1"/>
    </w:lvl>
  </w:abstractNum>
  <w:abstractNum w:abstractNumId="107">
    <w:nsid w:val="17D78639"/>
    <w:multiLevelType w:val="hybridMultilevel"/>
    <w:lvl w:ilvl="0">
      <w:lvlJc w:val="left"/>
      <w:lvlText w:val="•"/>
      <w:numFmt w:val="bullet"/>
      <w:start w:val="1"/>
    </w:lvl>
  </w:abstractNum>
  <w:abstractNum w:abstractNumId="108">
    <w:nsid w:val="141D2302"/>
    <w:multiLevelType w:val="hybridMultilevel"/>
    <w:lvl w:ilvl="0">
      <w:lvlJc w:val="left"/>
      <w:lvlText w:val="•"/>
      <w:numFmt w:val="bullet"/>
      <w:start w:val="1"/>
    </w:lvl>
  </w:abstractNum>
  <w:abstractNum w:abstractNumId="109">
    <w:nsid w:val="407168D8"/>
    <w:multiLevelType w:val="hybridMultilevel"/>
    <w:lvl w:ilvl="0">
      <w:lvlJc w:val="left"/>
      <w:lvlText w:val="•"/>
      <w:numFmt w:val="bullet"/>
      <w:start w:val="1"/>
    </w:lvl>
  </w:abstractNum>
  <w:abstractNum w:abstractNumId="110">
    <w:nsid w:val="6A1B45E5"/>
    <w:multiLevelType w:val="hybridMultilevel"/>
    <w:lvl w:ilvl="0">
      <w:lvlJc w:val="left"/>
      <w:lvlText w:val="•"/>
      <w:numFmt w:val="bullet"/>
      <w:start w:val="1"/>
    </w:lvl>
  </w:abstractNum>
  <w:abstractNum w:abstractNumId="111">
    <w:nsid w:val="567BD50A"/>
    <w:multiLevelType w:val="hybridMultilevel"/>
    <w:lvl w:ilvl="0">
      <w:lvlJc w:val="left"/>
      <w:lvlText w:val="•"/>
      <w:numFmt w:val="bullet"/>
      <w:start w:val="1"/>
    </w:lvl>
  </w:abstractNum>
  <w:abstractNum w:abstractNumId="112">
    <w:nsid w:val="73BBD7F8"/>
    <w:multiLevelType w:val="hybridMultilevel"/>
    <w:lvl w:ilvl="0">
      <w:lvlJc w:val="left"/>
      <w:lvlText w:val="•"/>
      <w:numFmt w:val="bullet"/>
      <w:start w:val="1"/>
    </w:lvl>
  </w:abstractNum>
  <w:abstractNum w:abstractNumId="113">
    <w:nsid w:val="1876589D"/>
    <w:multiLevelType w:val="hybridMultilevel"/>
    <w:lvl w:ilvl="0">
      <w:lvlJc w:val="left"/>
      <w:lvlText w:val="•"/>
      <w:numFmt w:val="bullet"/>
      <w:start w:val="1"/>
    </w:lvl>
  </w:abstractNum>
  <w:abstractNum w:abstractNumId="114">
    <w:nsid w:val="327FAC77"/>
    <w:multiLevelType w:val="hybridMultilevel"/>
    <w:lvl w:ilvl="0">
      <w:lvlJc w:val="left"/>
      <w:lvlText w:val="•"/>
      <w:numFmt w:val="bullet"/>
      <w:start w:val="1"/>
    </w:lvl>
  </w:abstractNum>
  <w:abstractNum w:abstractNumId="115">
    <w:nsid w:val="5A606509"/>
    <w:multiLevelType w:val="hybridMultilevel"/>
    <w:lvl w:ilvl="0">
      <w:lvlJc w:val="left"/>
      <w:lvlText w:val="•"/>
      <w:numFmt w:val="bullet"/>
      <w:start w:val="1"/>
    </w:lvl>
  </w:abstractNum>
  <w:abstractNum w:abstractNumId="116">
    <w:nsid w:val="6F38E6D1"/>
    <w:multiLevelType w:val="hybridMultilevel"/>
    <w:lvl w:ilvl="0">
      <w:lvlJc w:val="left"/>
      <w:lvlText w:val="•"/>
      <w:numFmt w:val="bullet"/>
      <w:start w:val="1"/>
    </w:lvl>
  </w:abstractNum>
  <w:abstractNum w:abstractNumId="117">
    <w:nsid w:val="46111BA5"/>
    <w:multiLevelType w:val="hybridMultilevel"/>
    <w:lvl w:ilvl="0">
      <w:lvlJc w:val="left"/>
      <w:lvlText w:val="•"/>
      <w:numFmt w:val="bullet"/>
      <w:start w:val="1"/>
    </w:lvl>
  </w:abstractNum>
  <w:abstractNum w:abstractNumId="118">
    <w:nsid w:val="5E963896"/>
    <w:multiLevelType w:val="hybridMultilevel"/>
    <w:lvl w:ilvl="0">
      <w:lvlJc w:val="left"/>
      <w:lvlText w:val="•"/>
      <w:numFmt w:val="bullet"/>
      <w:start w:val="1"/>
    </w:lvl>
  </w:abstractNum>
  <w:abstractNum w:abstractNumId="119">
    <w:nsid w:val="775BA7C1"/>
    <w:multiLevelType w:val="hybridMultilevel"/>
    <w:lvl w:ilvl="0">
      <w:lvlJc w:val="left"/>
      <w:lvlText w:val="•"/>
      <w:numFmt w:val="bullet"/>
      <w:start w:val="1"/>
    </w:lvl>
  </w:abstractNum>
  <w:abstractNum w:abstractNumId="120">
    <w:nsid w:val="1DD6D6F4"/>
    <w:multiLevelType w:val="hybridMultilevel"/>
    <w:lvl w:ilvl="0">
      <w:lvlJc w:val="left"/>
      <w:lvlText w:val="•"/>
      <w:numFmt w:val="bullet"/>
      <w:start w:val="1"/>
    </w:lvl>
  </w:abstractNum>
  <w:abstractNum w:abstractNumId="121">
    <w:nsid w:val="769A091F"/>
    <w:multiLevelType w:val="hybridMultilevel"/>
    <w:lvl w:ilvl="0">
      <w:lvlJc w:val="left"/>
      <w:lvlText w:val="•"/>
      <w:numFmt w:val="bullet"/>
      <w:start w:val="1"/>
    </w:lvl>
  </w:abstractNum>
  <w:abstractNum w:abstractNumId="122">
    <w:nsid w:val="4695AE95"/>
    <w:multiLevelType w:val="hybridMultilevel"/>
    <w:lvl w:ilvl="0">
      <w:lvlJc w:val="left"/>
      <w:lvlText w:val="•"/>
      <w:numFmt w:val="bullet"/>
      <w:start w:val="1"/>
    </w:lvl>
  </w:abstractNum>
  <w:abstractNum w:abstractNumId="123">
    <w:nsid w:val="777A4EAA"/>
    <w:multiLevelType w:val="hybridMultilevel"/>
    <w:lvl w:ilvl="0">
      <w:lvlJc w:val="left"/>
      <w:lvlText w:val="•"/>
      <w:numFmt w:val="bullet"/>
      <w:start w:val="1"/>
    </w:lvl>
    <w:lvl w:ilvl="1">
      <w:lvlJc w:val="left"/>
      <w:lvlText w:val="(%2)"/>
      <w:numFmt w:val="lowerRoman"/>
      <w:start w:val="1"/>
    </w:lvl>
  </w:abstractNum>
  <w:abstractNum w:abstractNumId="124">
    <w:nsid w:val="3F48B982"/>
    <w:multiLevelType w:val="hybridMultilevel"/>
    <w:lvl w:ilvl="0">
      <w:lvlJc w:val="left"/>
      <w:lvlText w:val="•"/>
      <w:numFmt w:val="bullet"/>
      <w:start w:val="1"/>
    </w:lvl>
  </w:abstractNum>
  <w:abstractNum w:abstractNumId="125">
    <w:nsid w:val="46BA8FCA"/>
    <w:multiLevelType w:val="hybridMultilevel"/>
    <w:lvl w:ilvl="0">
      <w:lvlJc w:val="left"/>
      <w:lvlText w:val="1"/>
      <w:numFmt w:val="bullet"/>
      <w:start w:val="1"/>
    </w:lvl>
  </w:abstractNum>
  <w:abstractNum w:abstractNumId="126">
    <w:nsid w:val="7835626C"/>
    <w:multiLevelType w:val="hybridMultilevel"/>
    <w:lvl w:ilvl="0">
      <w:lvlJc w:val="left"/>
      <w:lvlText w:val="(%1)"/>
      <w:numFmt w:val="lowerLetter"/>
      <w:start w:val="1"/>
    </w:lvl>
  </w:abstractNum>
  <w:abstractNum w:abstractNumId="127">
    <w:nsid w:val="665ACA49"/>
    <w:multiLevelType w:val="hybridMultilevel"/>
    <w:lvl w:ilvl="0">
      <w:lvlJc w:val="left"/>
      <w:lvlText w:val="1"/>
      <w:numFmt w:val="bullet"/>
      <w:start w:val="1"/>
    </w:lvl>
  </w:abstractNum>
  <w:abstractNum w:abstractNumId="128">
    <w:nsid w:val="6835B2AE"/>
    <w:multiLevelType w:val="hybridMultilevel"/>
    <w:lvl w:ilvl="0">
      <w:lvlJc w:val="left"/>
      <w:lvlText w:val="(%1)"/>
      <w:numFmt w:val="lowerLetter"/>
      <w:start w:val="1"/>
    </w:lvl>
  </w:abstractNum>
  <w:abstractNum w:abstractNumId="129">
    <w:nsid w:val="4C187C90"/>
    <w:multiLevelType w:val="hybridMultilevel"/>
    <w:lvl w:ilvl="0">
      <w:lvlJc w:val="left"/>
      <w:lvlText w:val="1"/>
      <w:numFmt w:val="bullet"/>
      <w:start w:val="1"/>
    </w:lvl>
  </w:abstractNum>
  <w:abstractNum w:abstractNumId="130">
    <w:nsid w:val="541F28CD"/>
    <w:multiLevelType w:val="hybridMultilevel"/>
    <w:lvl w:ilvl="0">
      <w:lvlJc w:val="left"/>
      <w:lvlText w:val="(%1)"/>
      <w:numFmt w:val="lowerLetter"/>
      <w:start w:val="1"/>
    </w:lvl>
  </w:abstractNum>
  <w:abstractNum w:abstractNumId="131">
    <w:nsid w:val="7F65FD16"/>
    <w:multiLevelType w:val="hybridMultilevel"/>
    <w:lvl w:ilvl="0">
      <w:lvlJc w:val="left"/>
      <w:lvlText w:val="1"/>
      <w:numFmt w:val="bullet"/>
      <w:start w:val="1"/>
    </w:lvl>
  </w:abstractNum>
  <w:abstractNum w:abstractNumId="132">
    <w:nsid w:val="77C9FD68"/>
    <w:multiLevelType w:val="hybridMultilevel"/>
    <w:lvl w:ilvl="0">
      <w:lvlJc w:val="left"/>
      <w:lvlText w:val="(%1)"/>
      <w:numFmt w:val="lowerLetter"/>
      <w:start w:val="2"/>
    </w:lvl>
  </w:abstractNum>
  <w:abstractNum w:abstractNumId="133">
    <w:nsid w:val="298A92BA"/>
    <w:multiLevelType w:val="hybridMultilevel"/>
    <w:lvl w:ilvl="0">
      <w:lvlJc w:val="left"/>
      <w:lvlText w:val="•"/>
      <w:numFmt w:val="bullet"/>
      <w:start w:val="1"/>
    </w:lvl>
  </w:abstractNum>
  <w:abstractNum w:abstractNumId="134">
    <w:nsid w:val="6FE95EAC"/>
    <w:multiLevelType w:val="hybridMultilevel"/>
    <w:lvl w:ilvl="0">
      <w:lvlJc w:val="left"/>
      <w:lvlText w:val="•"/>
      <w:numFmt w:val="bullet"/>
      <w:start w:val="1"/>
    </w:lvl>
  </w:abstractNum>
  <w:abstractNum w:abstractNumId="135">
    <w:nsid w:val="4B697C7A"/>
    <w:multiLevelType w:val="hybridMultilevel"/>
    <w:lvl w:ilvl="0">
      <w:lvlJc w:val="left"/>
      <w:lvlText w:val="•"/>
      <w:numFmt w:val="bullet"/>
      <w:start w:val="1"/>
    </w:lvl>
  </w:abstractNum>
  <w:abstractNum w:abstractNumId="136">
    <w:nsid w:val="51A27AA6"/>
    <w:multiLevelType w:val="hybridMultilevel"/>
    <w:lvl w:ilvl="0">
      <w:lvlJc w:val="left"/>
      <w:lvlText w:val="1"/>
      <w:numFmt w:val="bullet"/>
      <w:start w:val="1"/>
    </w:lvl>
  </w:abstractNum>
  <w:abstractNum w:abstractNumId="137">
    <w:nsid w:val="613183F2"/>
    <w:multiLevelType w:val="hybridMultilevel"/>
    <w:lvl w:ilvl="0">
      <w:lvlJc w:val="left"/>
      <w:lvlText w:val="(%1)"/>
      <w:numFmt w:val="lowerLetter"/>
      <w:start w:val="2"/>
    </w:lvl>
  </w:abstractNum>
  <w:abstractNum w:abstractNumId="138">
    <w:nsid w:val="634102B4"/>
    <w:multiLevelType w:val="hybridMultilevel"/>
    <w:lvl w:ilvl="0">
      <w:lvlJc w:val="left"/>
      <w:lvlText w:val="•"/>
      <w:numFmt w:val="bullet"/>
      <w:start w:val="1"/>
    </w:lvl>
  </w:abstractNum>
  <w:abstractNum w:abstractNumId="139">
    <w:nsid w:val="65BF9DA8"/>
    <w:multiLevelType w:val="hybridMultilevel"/>
    <w:lvl w:ilvl="0">
      <w:lvlJc w:val="left"/>
      <w:lvlText w:val="•"/>
      <w:numFmt w:val="bullet"/>
      <w:start w:val="1"/>
    </w:lvl>
  </w:abstractNum>
  <w:abstractNum w:abstractNumId="140">
    <w:nsid w:val="21A2ECCA"/>
    <w:multiLevelType w:val="hybridMultilevel"/>
    <w:lvl w:ilvl="0">
      <w:lvlJc w:val="left"/>
      <w:lvlText w:val="1"/>
      <w:numFmt w:val="bullet"/>
      <w:start w:val="1"/>
    </w:lvl>
  </w:abstractNum>
  <w:abstractNum w:abstractNumId="141">
    <w:nsid w:val="4D5C4899"/>
    <w:multiLevelType w:val="hybridMultilevel"/>
    <w:lvl w:ilvl="0">
      <w:lvlJc w:val="left"/>
      <w:lvlText w:val="(%1)"/>
      <w:numFmt w:val="lowerLetter"/>
      <w:start w:val="2"/>
    </w:lvl>
  </w:abstractNum>
  <w:abstractNum w:abstractNumId="142">
    <w:nsid w:val="3C3B72B2"/>
    <w:multiLevelType w:val="hybridMultilevel"/>
    <w:lvl w:ilvl="0">
      <w:lvlJc w:val="left"/>
      <w:lvlText w:val="2"/>
      <w:numFmt w:val="bullet"/>
      <w:start w:val="1"/>
    </w:lvl>
  </w:abstractNum>
  <w:abstractNum w:abstractNumId="143">
    <w:nsid w:val="155EC4C2"/>
    <w:multiLevelType w:val="hybridMultilevel"/>
    <w:lvl w:ilvl="0">
      <w:lvlJc w:val="left"/>
      <w:lvlText w:val="(%1)"/>
      <w:numFmt w:val="lowerLetter"/>
      <w:start w:val="1"/>
    </w:lvl>
  </w:abstractNum>
  <w:abstractNum w:abstractNumId="144">
    <w:nsid w:val="65D2A137"/>
    <w:multiLevelType w:val="hybridMultilevel"/>
    <w:lvl w:ilvl="0">
      <w:lvlJc w:val="left"/>
      <w:lvlText w:val="2"/>
      <w:numFmt w:val="bullet"/>
      <w:start w:val="1"/>
    </w:lvl>
  </w:abstractNum>
  <w:abstractNum w:abstractNumId="145">
    <w:nsid w:val="6EBB1F2A"/>
    <w:multiLevelType w:val="hybridMultilevel"/>
    <w:lvl w:ilvl="0">
      <w:lvlJc w:val="left"/>
      <w:lvlText w:val="(%1)"/>
      <w:numFmt w:val="lowerLetter"/>
      <w:start w:val="3"/>
    </w:lvl>
  </w:abstractNum>
  <w:abstractNum w:abstractNumId="146">
    <w:nsid w:val="6FBF29CB"/>
    <w:multiLevelType w:val="hybridMultilevel"/>
    <w:lvl w:ilvl="0">
      <w:lvlJc w:val="left"/>
      <w:lvlText w:val="2"/>
      <w:numFmt w:val="bullet"/>
      <w:start w:val="1"/>
    </w:lvl>
  </w:abstractNum>
  <w:abstractNum w:abstractNumId="147">
    <w:nsid w:val="550B8808"/>
    <w:multiLevelType w:val="hybridMultilevel"/>
    <w:lvl w:ilvl="0">
      <w:lvlJc w:val="left"/>
      <w:lvlText w:val="(%1)"/>
      <w:numFmt w:val="lowerLetter"/>
      <w:start w:val="5"/>
    </w:lvl>
  </w:abstractNum>
  <w:abstractNum w:abstractNumId="148">
    <w:nsid w:val="34CC3ACF"/>
    <w:multiLevelType w:val="hybridMultilevel"/>
    <w:lvl w:ilvl="0">
      <w:lvlJc w:val="left"/>
      <w:lvlText w:val="2"/>
      <w:numFmt w:val="bullet"/>
      <w:start w:val="1"/>
    </w:lvl>
  </w:abstractNum>
  <w:abstractNum w:abstractNumId="149">
    <w:nsid w:val="4E556261"/>
    <w:multiLevelType w:val="hybridMultilevel"/>
    <w:lvl w:ilvl="0">
      <w:lvlJc w:val="left"/>
      <w:lvlText w:val="(%1)"/>
      <w:numFmt w:val="lowerLetter"/>
      <w:start w:val="9"/>
    </w:lvl>
  </w:abstractNum>
  <w:abstractNum w:abstractNumId="150">
    <w:nsid w:val="4C672FC9"/>
    <w:multiLevelType w:val="hybridMultilevel"/>
    <w:lvl w:ilvl="0">
      <w:lvlJc w:val="left"/>
      <w:lvlText w:val="2"/>
      <w:numFmt w:val="bullet"/>
      <w:start w:val="1"/>
    </w:lvl>
  </w:abstractNum>
  <w:abstractNum w:abstractNumId="151">
    <w:nsid w:val="52A311C3"/>
    <w:multiLevelType w:val="hybridMultilevel"/>
    <w:lvl w:ilvl="0">
      <w:lvlJc w:val="left"/>
      <w:lvlText w:val="(%1)"/>
      <w:numFmt w:val="lowerLetter"/>
      <w:start w:val="12"/>
    </w:lvl>
  </w:abstractNum>
  <w:abstractNum w:abstractNumId="152">
    <w:nsid w:val="44EF6B80"/>
    <w:multiLevelType w:val="hybridMultilevel"/>
    <w:lvl w:ilvl="0">
      <w:lvlJc w:val="left"/>
      <w:lvlText w:val="(%1)"/>
      <w:numFmt w:val="lowerLetter"/>
      <w:start w:val="13"/>
    </w:lvl>
  </w:abstractNum>
  <w:abstractNum w:abstractNumId="153">
    <w:nsid w:val="12FCDE5E"/>
    <w:multiLevelType w:val="hybridMultilevel"/>
    <w:lvl w:ilvl="0">
      <w:lvlJc w:val="left"/>
      <w:lvlText w:val="(%1)"/>
      <w:numFmt w:val="lowerLetter"/>
      <w:start w:val="15"/>
    </w:lvl>
  </w:abstractNum>
  <w:abstractNum w:abstractNumId="154">
    <w:nsid w:val="4A1D606E"/>
    <w:multiLevelType w:val="hybridMultilevel"/>
    <w:lvl w:ilvl="0">
      <w:lvlJc w:val="left"/>
      <w:lvlText w:val="2"/>
      <w:numFmt w:val="bullet"/>
      <w:start w:val="1"/>
    </w:lvl>
  </w:abstractNum>
  <w:abstractNum w:abstractNumId="155">
    <w:nsid w:val="4382503"/>
    <w:multiLevelType w:val="hybridMultilevel"/>
    <w:lvl w:ilvl="0">
      <w:lvlJc w:val="left"/>
      <w:lvlText w:val="(%1)"/>
      <w:numFmt w:val="lowerLetter"/>
      <w:start w:val="17"/>
    </w:lvl>
  </w:abstractNum>
  <w:abstractNum w:abstractNumId="156">
    <w:nsid w:val="59B76E28"/>
    <w:multiLevelType w:val="hybridMultilevel"/>
    <w:lvl w:ilvl="0">
      <w:lvlJc w:val="left"/>
      <w:lvlText w:val="2"/>
      <w:numFmt w:val="bullet"/>
      <w:start w:val="1"/>
    </w:lvl>
  </w:abstractNum>
  <w:abstractNum w:abstractNumId="157">
    <w:nsid w:val="4252C2DA"/>
    <w:multiLevelType w:val="hybridMultilevel"/>
    <w:lvl w:ilvl="0">
      <w:lvlJc w:val="left"/>
      <w:lvlText w:val="(%1)"/>
      <w:numFmt w:val="lowerLetter"/>
      <w:start w:val="20"/>
    </w:lvl>
  </w:abstractNum>
  <w:abstractNum w:abstractNumId="158">
    <w:nsid w:val="6A92EF4C"/>
    <w:multiLevelType w:val="hybridMultilevel"/>
    <w:lvl w:ilvl="0">
      <w:lvlJc w:val="left"/>
      <w:lvlText w:val="2"/>
      <w:numFmt w:val="bullet"/>
      <w:start w:val="1"/>
    </w:lvl>
  </w:abstractNum>
  <w:abstractNum w:abstractNumId="159">
    <w:nsid w:val="41ED20D7"/>
    <w:multiLevelType w:val="hybridMultilevel"/>
    <w:lvl w:ilvl="0">
      <w:lvlJc w:val="left"/>
      <w:lvlText w:val="(%1)"/>
      <w:numFmt w:val="lowerLetter"/>
      <w:start w:val="21"/>
    </w:lvl>
  </w:abstractNum>
  <w:abstractNum w:abstractNumId="160">
    <w:nsid w:val="E6B3F6A"/>
    <w:multiLevelType w:val="hybridMultilevel"/>
    <w:lvl w:ilvl="0">
      <w:lvlJc w:val="left"/>
      <w:lvlText w:val="(%1)"/>
      <w:numFmt w:val="lowerLetter"/>
      <w:start w:val="24"/>
    </w:lvl>
  </w:abstractNum>
  <w:abstractNum w:abstractNumId="161">
    <w:nsid w:val="3EB21819"/>
    <w:multiLevelType w:val="hybridMultilevel"/>
    <w:lvl w:ilvl="0">
      <w:lvlJc w:val="left"/>
      <w:lvlText w:val="2"/>
      <w:numFmt w:val="bullet"/>
      <w:start w:val="1"/>
    </w:lvl>
  </w:abstractNum>
  <w:abstractNum w:abstractNumId="162">
    <w:nsid w:val="41531DED"/>
    <w:multiLevelType w:val="hybridMultilevel"/>
    <w:lvl w:ilvl="0">
      <w:lvlJc w:val="left"/>
      <w:lvlText w:val="(%1)"/>
      <w:numFmt w:val="lowerLetter"/>
      <w:start w:val="26"/>
    </w:lvl>
  </w:abstractNum>
  <w:abstractNum w:abstractNumId="163">
    <w:nsid w:val="6353CD2"/>
    <w:multiLevelType w:val="hybridMultilevel"/>
    <w:lvl w:ilvl="0">
      <w:lvlJc w:val="left"/>
      <w:lvlText w:val="(%1)"/>
      <w:numFmt w:val="lowerLetter"/>
      <w:start w:val="27"/>
    </w:lvl>
  </w:abstractNum>
  <w:abstractNum w:abstractNumId="164">
    <w:nsid w:val="683CAAD3"/>
    <w:multiLevelType w:val="hybridMultilevel"/>
    <w:lvl w:ilvl="0">
      <w:lvlJc w:val="left"/>
      <w:lvlText w:val="2"/>
      <w:numFmt w:val="bullet"/>
      <w:start w:val="1"/>
    </w:lvl>
  </w:abstractNum>
  <w:abstractNum w:abstractNumId="165">
    <w:nsid w:val="313C7C99"/>
    <w:multiLevelType w:val="hybridMultilevel"/>
    <w:lvl w:ilvl="0">
      <w:lvlJc w:val="left"/>
      <w:lvlText w:val="2"/>
      <w:numFmt w:val="bullet"/>
      <w:start w:val="1"/>
    </w:lvl>
  </w:abstractNum>
  <w:abstractNum w:abstractNumId="166">
    <w:nsid w:val="519EB94C"/>
    <w:multiLevelType w:val="hybridMultilevel"/>
    <w:lvl w:ilvl="0">
      <w:lvlJc w:val="left"/>
      <w:lvlText w:val="2"/>
      <w:numFmt w:val="bullet"/>
      <w:start w:val="1"/>
    </w:lvl>
  </w:abstractNum>
  <w:abstractNum w:abstractNumId="167">
    <w:nsid w:val="39DF2579"/>
    <w:multiLevelType w:val="hybridMultilevel"/>
    <w:lvl w:ilvl="0">
      <w:lvlJc w:val="left"/>
      <w:lvlText w:val="2"/>
      <w:numFmt w:val="bullet"/>
      <w:start w:val="1"/>
    </w:lvl>
  </w:abstractNum>
  <w:abstractNum w:abstractNumId="168">
    <w:nsid w:val="126E008B"/>
    <w:multiLevelType w:val="hybridMultilevel"/>
    <w:lvl w:ilvl="0">
      <w:lvlJc w:val="left"/>
      <w:lvlText w:val="(%1)"/>
      <w:numFmt w:val="lowerRoman"/>
      <w:start w:val="2"/>
    </w:lvl>
  </w:abstractNum>
  <w:abstractNum w:abstractNumId="169">
    <w:nsid w:val="34DFBC00"/>
    <w:multiLevelType w:val="hybridMultilevel"/>
    <w:lvl w:ilvl="0">
      <w:lvlJc w:val="left"/>
      <w:lvlText w:val="2"/>
      <w:numFmt w:val="bullet"/>
      <w:start w:val="1"/>
    </w:lvl>
  </w:abstractNum>
  <w:abstractNum w:abstractNumId="170">
    <w:nsid w:val="1F9EC322"/>
    <w:multiLevelType w:val="hybridMultilevel"/>
    <w:lvl w:ilvl="0">
      <w:lvlJc w:val="left"/>
      <w:lvlText w:val="3"/>
      <w:numFmt w:val="bullet"/>
      <w:start w:val="1"/>
    </w:lvl>
  </w:abstractNum>
  <w:abstractNum w:abstractNumId="171">
    <w:nsid w:val="3410ED56"/>
    <w:multiLevelType w:val="hybridMultilevel"/>
    <w:lvl w:ilvl="0">
      <w:lvlJc w:val="left"/>
      <w:lvlText w:val="(%1)"/>
      <w:numFmt w:val="lowerLetter"/>
      <w:start w:val="1"/>
    </w:lvl>
    <w:lvl w:ilvl="1">
      <w:lvlJc w:val="left"/>
      <w:lvlText w:val="•"/>
      <w:numFmt w:val="bullet"/>
      <w:start w:val="1"/>
    </w:lvl>
  </w:abstractNum>
  <w:abstractNum w:abstractNumId="172">
    <w:nsid w:val="23C049A"/>
    <w:multiLevelType w:val="hybridMultilevel"/>
    <w:lvl w:ilvl="0">
      <w:lvlJc w:val="left"/>
      <w:lvlText w:val="3"/>
      <w:numFmt w:val="bullet"/>
      <w:start w:val="1"/>
    </w:lvl>
  </w:abstractNum>
  <w:abstractNum w:abstractNumId="173">
    <w:nsid w:val="5BDA35D4"/>
    <w:multiLevelType w:val="hybridMultilevel"/>
    <w:lvl w:ilvl="0">
      <w:lvlJc w:val="left"/>
      <w:lvlText w:val="(%1)"/>
      <w:numFmt w:val="lowerLetter"/>
      <w:start w:val="1"/>
    </w:lvl>
  </w:abstractNum>
  <w:abstractNum w:abstractNumId="174">
    <w:nsid w:val="496FB218"/>
    <w:multiLevelType w:val="hybridMultilevel"/>
    <w:lvl w:ilvl="0">
      <w:lvlJc w:val="left"/>
      <w:lvlText w:val="3"/>
      <w:numFmt w:val="bullet"/>
      <w:start w:val="1"/>
    </w:lvl>
  </w:abstractNum>
  <w:abstractNum w:abstractNumId="175">
    <w:nsid w:val="680EA5D1"/>
    <w:multiLevelType w:val="hybridMultilevel"/>
    <w:lvl w:ilvl="0">
      <w:lvlJc w:val="left"/>
      <w:lvlText w:val="(%1)"/>
      <w:numFmt w:val="lowerLetter"/>
      <w:start w:val="1"/>
    </w:lvl>
  </w:abstractNum>
  <w:abstractNum w:abstractNumId="176">
    <w:nsid w:val="4A9554FE"/>
    <w:multiLevelType w:val="hybridMultilevel"/>
    <w:lvl w:ilvl="0">
      <w:lvlJc w:val="left"/>
      <w:lvlText w:val="3"/>
      <w:numFmt w:val="bullet"/>
      <w:start w:val="1"/>
    </w:lvl>
  </w:abstractNum>
  <w:abstractNum w:abstractNumId="177">
    <w:nsid w:val="392EDBE4"/>
    <w:multiLevelType w:val="hybridMultilevel"/>
    <w:lvl w:ilvl="0">
      <w:lvlJc w:val="left"/>
      <w:lvlText w:val="(%1)"/>
      <w:numFmt w:val="lowerLetter"/>
      <w:start w:val="1"/>
    </w:lvl>
  </w:abstractNum>
  <w:abstractNum w:abstractNumId="178">
    <w:nsid w:val="3D1A2DD9"/>
    <w:multiLevelType w:val="hybridMultilevel"/>
    <w:lvl w:ilvl="0">
      <w:lvlJc w:val="left"/>
      <w:lvlText w:val="3"/>
      <w:numFmt w:val="bullet"/>
      <w:start w:val="1"/>
    </w:lvl>
  </w:abstractNum>
  <w:abstractNum w:abstractNumId="179">
    <w:nsid w:val="7F618FCD"/>
    <w:multiLevelType w:val="hybridMultilevel"/>
    <w:lvl w:ilvl="0">
      <w:lvlJc w:val="left"/>
      <w:lvlText w:val="(%1)"/>
      <w:numFmt w:val="lowerLetter"/>
      <w:start w:val="3"/>
    </w:lvl>
  </w:abstractNum>
  <w:abstractNum w:abstractNumId="180">
    <w:nsid w:val="7843E45"/>
    <w:multiLevelType w:val="hybridMultilevel"/>
    <w:lvl w:ilvl="0">
      <w:lvlJc w:val="left"/>
      <w:lvlText w:val="(%1)"/>
      <w:numFmt w:val="lowerLetter"/>
      <w:start w:val="4"/>
    </w:lvl>
  </w:abstractNum>
  <w:abstractNum w:abstractNumId="181">
    <w:nsid w:val="9815DA3"/>
    <w:multiLevelType w:val="hybridMultilevel"/>
    <w:lvl w:ilvl="0">
      <w:lvlJc w:val="left"/>
      <w:lvlText w:val="(%1)"/>
      <w:numFmt w:val="lowerRoman"/>
      <w:start w:val="1"/>
    </w:lvl>
  </w:abstractNum>
  <w:abstractNum w:abstractNumId="182">
    <w:nsid w:val="5204A191"/>
    <w:multiLevelType w:val="hybridMultilevel"/>
    <w:lvl w:ilvl="0">
      <w:lvlJc w:val="left"/>
      <w:lvlText w:val="(%1)"/>
      <w:numFmt w:val="lowerRoman"/>
      <w:start w:val="2"/>
    </w:lvl>
  </w:abstractNum>
  <w:abstractNum w:abstractNumId="183">
    <w:nsid w:val="4C73A9C6"/>
    <w:multiLevelType w:val="hybridMultilevel"/>
    <w:lvl w:ilvl="0">
      <w:lvlJc w:val="left"/>
      <w:lvlText w:val="3"/>
      <w:numFmt w:val="bullet"/>
      <w:start w:val="1"/>
    </w:lvl>
  </w:abstractNum>
  <w:abstractNum w:abstractNumId="184">
    <w:nsid w:val="1C7E3C01"/>
    <w:multiLevelType w:val="hybridMultilevel"/>
    <w:lvl w:ilvl="0">
      <w:lvlJc w:val="left"/>
      <w:lvlText w:val="(%1)"/>
      <w:numFmt w:val="lowerLetter"/>
      <w:start w:val="4"/>
    </w:lvl>
    <w:lvl w:ilvl="1">
      <w:lvlJc w:val="left"/>
      <w:lvlText w:val="(%2)"/>
      <w:numFmt w:val="lowerLetter"/>
      <w:start w:val="35"/>
    </w:lvl>
  </w:abstractNum>
  <w:abstractNum w:abstractNumId="185">
    <w:nsid w:val="1C2201FF"/>
    <w:multiLevelType w:val="hybridMultilevel"/>
    <w:lvl w:ilvl="0">
      <w:lvlJc w:val="left"/>
      <w:lvlText w:val="4"/>
      <w:numFmt w:val="bullet"/>
      <w:start w:val="1"/>
    </w:lvl>
  </w:abstractNum>
  <w:abstractNum w:abstractNumId="186">
    <w:nsid w:val="50ABCEC9"/>
    <w:multiLevelType w:val="hybridMultilevel"/>
    <w:lvl w:ilvl="0">
      <w:lvlJc w:val="left"/>
      <w:lvlText w:val="(%1)"/>
      <w:numFmt w:val="lowerLetter"/>
      <w:start w:val="1"/>
    </w:lvl>
  </w:abstractNum>
  <w:abstractNum w:abstractNumId="187">
    <w:nsid w:val="7635AA2A"/>
    <w:multiLevelType w:val="hybridMultilevel"/>
    <w:lvl w:ilvl="0">
      <w:lvlJc w:val="left"/>
      <w:lvlText w:val="4"/>
      <w:numFmt w:val="bullet"/>
      <w:start w:val="1"/>
    </w:lvl>
  </w:abstractNum>
  <w:abstractNum w:abstractNumId="188">
    <w:nsid w:val="5E74C4D9"/>
    <w:multiLevelType w:val="hybridMultilevel"/>
    <w:lvl w:ilvl="0">
      <w:lvlJc w:val="left"/>
      <w:lvlText w:val="(%1)"/>
      <w:numFmt w:val="lowerLetter"/>
      <w:start w:val="1"/>
    </w:lvl>
  </w:abstractNum>
  <w:abstractNum w:abstractNumId="189">
    <w:nsid w:val="3B3EBE15"/>
    <w:multiLevelType w:val="hybridMultilevel"/>
    <w:lvl w:ilvl="0">
      <w:lvlJc w:val="left"/>
      <w:lvlText w:val="4"/>
      <w:numFmt w:val="bullet"/>
      <w:start w:val="1"/>
    </w:lvl>
  </w:abstractNum>
  <w:abstractNum w:abstractNumId="190">
    <w:nsid w:val="3822CB01"/>
    <w:multiLevelType w:val="hybridMultilevel"/>
    <w:lvl w:ilvl="0">
      <w:lvlJc w:val="left"/>
      <w:lvlText w:val="(%1)"/>
      <w:numFmt w:val="lowerLetter"/>
      <w:start w:val="1"/>
    </w:lvl>
  </w:abstractNum>
  <w:abstractNum w:abstractNumId="191">
    <w:nsid w:val="6CE00443"/>
    <w:multiLevelType w:val="hybridMultilevel"/>
    <w:lvl w:ilvl="0">
      <w:lvlJc w:val="left"/>
      <w:lvlText w:val="(%1)"/>
      <w:numFmt w:val="lowerLetter"/>
      <w:start w:val="2"/>
    </w:lvl>
  </w:abstractNum>
  <w:abstractNum w:abstractNumId="192">
    <w:nsid w:val="79F0D62F"/>
    <w:multiLevelType w:val="hybridMultilevel"/>
    <w:lvl w:ilvl="0">
      <w:lvlJc w:val="left"/>
      <w:lvlText w:val="4"/>
      <w:numFmt w:val="bullet"/>
      <w:start w:val="1"/>
    </w:lvl>
  </w:abstractNum>
  <w:abstractNum w:abstractNumId="193">
    <w:nsid w:val="7975E8EE"/>
    <w:multiLevelType w:val="hybridMultilevel"/>
    <w:lvl w:ilvl="0">
      <w:lvlJc w:val="left"/>
      <w:lvlText w:val="(%1)"/>
      <w:numFmt w:val="lowerLetter"/>
      <w:start w:val="2"/>
    </w:lvl>
  </w:abstractNum>
  <w:abstractNum w:abstractNumId="194">
    <w:nsid w:val="73154115"/>
    <w:multiLevelType w:val="hybridMultilevel"/>
    <w:lvl w:ilvl="0">
      <w:lvlJc w:val="left"/>
      <w:lvlText w:val="5"/>
      <w:numFmt w:val="bullet"/>
      <w:start w:val="1"/>
    </w:lvl>
  </w:abstractNum>
  <w:abstractNum w:abstractNumId="195">
    <w:nsid w:val="622D8102"/>
    <w:multiLevelType w:val="hybridMultilevel"/>
    <w:lvl w:ilvl="0">
      <w:lvlJc w:val="left"/>
      <w:lvlText w:val="6"/>
      <w:numFmt w:val="bullet"/>
      <w:start w:val="1"/>
    </w:lvl>
  </w:abstractNum>
  <w:abstractNum w:abstractNumId="196">
    <w:nsid w:val="2AB26587"/>
    <w:multiLevelType w:val="hybridMultilevel"/>
    <w:lvl w:ilvl="0">
      <w:lvlJc w:val="left"/>
      <w:lvlText w:val="7"/>
      <w:numFmt w:val="bullet"/>
      <w:start w:val="1"/>
    </w:lvl>
  </w:abstractNum>
  <w:abstractNum w:abstractNumId="197">
    <w:nsid w:val="44B3FA61"/>
    <w:multiLevelType w:val="hybridMultilevel"/>
    <w:lvl w:ilvl="0">
      <w:lvlJc w:val="left"/>
      <w:lvlText w:val="%1"/>
      <w:numFmt w:val="decimal"/>
      <w:start w:val="10"/>
    </w:lvl>
  </w:abstractNum>
  <w:abstractNum w:abstractNumId="198">
    <w:nsid w:val="1C0CA67C"/>
    <w:multiLevelType w:val="hybridMultilevel"/>
    <w:lvl w:ilvl="0">
      <w:lvlJc w:val="left"/>
      <w:lvlText w:val="%1"/>
      <w:numFmt w:val="decimal"/>
      <w:start w:val="10"/>
    </w:lvl>
  </w:abstractNum>
  <w:abstractNum w:abstractNumId="199">
    <w:nsid w:val="3D206613"/>
    <w:multiLevelType w:val="hybridMultilevel"/>
    <w:lvl w:ilvl="0">
      <w:lvlJc w:val="left"/>
      <w:lvlText w:val="(%1)"/>
      <w:numFmt w:val="lowerRoman"/>
      <w:start w:val="1"/>
    </w:lvl>
  </w:abstractNum>
  <w:abstractNum w:abstractNumId="200">
    <w:nsid w:val="7993B662"/>
    <w:multiLevelType w:val="hybridMultilevel"/>
    <w:lvl w:ilvl="0">
      <w:lvlJc w:val="left"/>
      <w:lvlText w:val="(%1)"/>
      <w:numFmt w:val="lowerRoman"/>
      <w:start w:val="6"/>
    </w:lvl>
  </w:abstractNum>
  <w:abstractNum w:abstractNumId="201">
    <w:nsid w:val="3BAB699E"/>
    <w:multiLevelType w:val="hybridMultilevel"/>
    <w:lvl w:ilvl="0">
      <w:lvlJc w:val="left"/>
      <w:lvlText w:val="%1"/>
      <w:numFmt w:val="decimal"/>
      <w:start w:val="16"/>
    </w:lvl>
  </w:abstractNum>
  <w:abstractNum w:abstractNumId="202">
    <w:nsid w:val="71315369"/>
    <w:multiLevelType w:val="hybridMultilevel"/>
    <w:lvl w:ilvl="0">
      <w:lvlJc w:val="left"/>
      <w:lvlText w:val="%1"/>
      <w:numFmt w:val="decimal"/>
      <w:start w:val="16"/>
    </w:lvl>
  </w:abstractNum>
  <w:abstractNum w:abstractNumId="203">
    <w:nsid w:val="7BCFBAFC"/>
    <w:multiLevelType w:val="hybridMultilevel"/>
    <w:lvl w:ilvl="0">
      <w:lvlJc w:val="left"/>
      <w:lvlText w:val="%1"/>
      <w:numFmt w:val="decimal"/>
      <w:start w:val="16"/>
    </w:lvl>
    <w:lvl w:ilvl="1">
      <w:lvlJc w:val="left"/>
      <w:lvlText w:val="•"/>
      <w:numFmt w:val="bullet"/>
      <w:start w:val="1"/>
    </w:lvl>
  </w:abstractNum>
  <w:abstractNum w:abstractNumId="204">
    <w:nsid w:val="17859F72"/>
    <w:multiLevelType w:val="hybridMultilevel"/>
    <w:lvl w:ilvl="0">
      <w:lvlJc w:val="left"/>
      <w:lvlText w:val="%1"/>
      <w:numFmt w:val="decimal"/>
      <w:start w:val="16"/>
    </w:lvl>
  </w:abstractNum>
  <w:abstractNum w:abstractNumId="205">
    <w:nsid w:val="3AA10581"/>
    <w:multiLevelType w:val="hybridMultilevel"/>
    <w:lvl w:ilvl="0">
      <w:lvlJc w:val="left"/>
      <w:lvlText w:val="%1"/>
      <w:numFmt w:val="decimal"/>
      <w:start w:val="16"/>
    </w:lvl>
  </w:abstractNum>
  <w:abstractNum w:abstractNumId="206">
    <w:nsid w:val="63DE60CD"/>
    <w:multiLevelType w:val="hybridMultilevel"/>
    <w:lvl w:ilvl="0">
      <w:lvlJc w:val="left"/>
      <w:lvlText w:val="%1"/>
      <w:numFmt w:val="decimal"/>
      <w:start w:val="16"/>
    </w:lvl>
  </w:abstractNum>
  <w:abstractNum w:abstractNumId="207">
    <w:nsid w:val="621AF471"/>
    <w:multiLevelType w:val="hybridMultilevel"/>
    <w:lvl w:ilvl="0">
      <w:lvlJc w:val="left"/>
      <w:lvlText w:val="%1"/>
      <w:numFmt w:val="decimal"/>
      <w:start w:val="16"/>
    </w:lvl>
  </w:abstractNum>
  <w:abstractNum w:abstractNumId="208">
    <w:nsid w:val="73CFE165"/>
    <w:multiLevelType w:val="hybridMultilevel"/>
    <w:lvl w:ilvl="0">
      <w:lvlJc w:val="left"/>
      <w:lvlText w:val="%1"/>
      <w:numFmt w:val="decimal"/>
      <w:start w:val="17"/>
    </w:lvl>
  </w:abstractNum>
  <w:abstractNum w:abstractNumId="209">
    <w:nsid w:val="20F88EA6"/>
    <w:multiLevelType w:val="hybridMultilevel"/>
    <w:lvl w:ilvl="0">
      <w:lvlJc w:val="left"/>
      <w:lvlText w:val="%1"/>
      <w:numFmt w:val="decimal"/>
      <w:start w:val="17"/>
    </w:lvl>
  </w:abstractNum>
  <w:abstractNum w:abstractNumId="210">
    <w:nsid w:val="617C843E"/>
    <w:multiLevelType w:val="hybridMultilevel"/>
    <w:lvl w:ilvl="0">
      <w:lvlJc w:val="left"/>
      <w:lvlText w:val="(%1)"/>
      <w:numFmt w:val="lowerLetter"/>
      <w:start w:val="1"/>
    </w:lvl>
  </w:abstractNum>
  <w:abstractNum w:abstractNumId="211">
    <w:nsid w:val="7B541FAB"/>
    <w:multiLevelType w:val="hybridMultilevel"/>
    <w:lvl w:ilvl="0">
      <w:lvlJc w:val="left"/>
      <w:lvlText w:val="(%1)"/>
      <w:numFmt w:val="lowerRoman"/>
      <w:start w:val="1"/>
    </w:lvl>
  </w:abstractNum>
  <w:abstractNum w:abstractNumId="212">
    <w:nsid w:val="2A79EC49"/>
    <w:multiLevelType w:val="hybridMultilevel"/>
    <w:lvl w:ilvl="0">
      <w:lvlJc w:val="left"/>
      <w:lvlText w:val="(%1)"/>
      <w:numFmt w:val="lowerLetter"/>
      <w:start w:val="1"/>
    </w:lvl>
    <w:lvl w:ilvl="1">
      <w:lvlJc w:val="left"/>
      <w:lvlText w:val="(%2)"/>
      <w:numFmt w:val="lowerRoman"/>
      <w:start w:val="3"/>
    </w:lvl>
  </w:abstractNum>
  <w:abstractNum w:abstractNumId="213">
    <w:nsid w:val="338125CF"/>
    <w:multiLevelType w:val="hybridMultilevel"/>
    <w:lvl w:ilvl="0">
      <w:lvlJc w:val="left"/>
      <w:lvlText w:val="(%1)"/>
      <w:numFmt w:val="lowerLetter"/>
      <w:start w:val="1"/>
    </w:lvl>
  </w:abstractNum>
  <w:abstractNum w:abstractNumId="214">
    <w:nsid w:val="47C7C971"/>
    <w:multiLevelType w:val="hybridMultilevel"/>
    <w:lvl w:ilvl="0">
      <w:lvlJc w:val="left"/>
      <w:lvlText w:val="(%1)"/>
      <w:numFmt w:val="lowerLetter"/>
      <w:start w:val="1"/>
    </w:lvl>
  </w:abstractNum>
  <w:abstractNum w:abstractNumId="215">
    <w:nsid w:val="46F8284B"/>
    <w:multiLevelType w:val="hybridMultilevel"/>
    <w:lvl w:ilvl="0">
      <w:lvlJc w:val="left"/>
      <w:lvlText w:val="%1"/>
      <w:numFmt w:val="lowerLetter"/>
      <w:start w:val="1"/>
    </w:lvl>
    <w:lvl w:ilvl="1">
      <w:lvlJc w:val="left"/>
      <w:lvlText w:val="(%2)"/>
      <w:numFmt w:val="lowerRoman"/>
      <w:start w:val="1"/>
    </w:lvl>
  </w:abstractNum>
  <w:abstractNum w:abstractNumId="216">
    <w:nsid w:val="4FA327CE"/>
    <w:multiLevelType w:val="hybridMultilevel"/>
    <w:lvl w:ilvl="0">
      <w:lvlJc w:val="left"/>
      <w:lvlText w:val="(%1)"/>
      <w:numFmt w:val="lowerLetter"/>
      <w:start w:val="2"/>
    </w:lvl>
    <w:lvl w:ilvl="1">
      <w:lvlJc w:val="left"/>
      <w:lvlText w:val="%2"/>
      <w:numFmt w:val="lowerRoman"/>
      <w:start w:val="1"/>
    </w:lvl>
  </w:abstractNum>
  <w:abstractNum w:abstractNumId="217">
    <w:nsid w:val="1873983A"/>
    <w:multiLevelType w:val="hybridMultilevel"/>
    <w:lvl w:ilvl="0">
      <w:lvlJc w:val="left"/>
      <w:lvlText w:val="(%1)"/>
      <w:numFmt w:val="lowerLetter"/>
      <w:start w:val="3"/>
    </w:lvl>
  </w:abstractNum>
  <w:abstractNum w:abstractNumId="218">
    <w:nsid w:val="3D2DD275"/>
    <w:multiLevelType w:val="hybridMultilevel"/>
    <w:lvl w:ilvl="0">
      <w:lvlJc w:val="left"/>
      <w:lvlText w:val="(%1)"/>
      <w:numFmt w:val="lowerRoman"/>
      <w:start w:val="1"/>
    </w:lvl>
  </w:abstractNum>
  <w:abstractNum w:abstractNumId="219">
    <w:nsid w:val="2E17ECA7"/>
    <w:multiLevelType w:val="hybridMultilevel"/>
    <w:lvl w:ilvl="0">
      <w:lvlJc w:val="left"/>
      <w:lvlText w:val="%1"/>
      <w:numFmt w:val="decimal"/>
      <w:start w:val="21"/>
    </w:lvl>
  </w:abstractNum>
  <w:abstractNum w:abstractNumId="220">
    <w:nsid w:val="53B2564F"/>
    <w:multiLevelType w:val="hybridMultilevel"/>
    <w:lvl w:ilvl="0">
      <w:lvlJc w:val="left"/>
      <w:lvlText w:val="(%1)"/>
      <w:numFmt w:val="lowerLetter"/>
      <w:start w:val="1"/>
    </w:lvl>
  </w:abstractNum>
  <w:abstractNum w:abstractNumId="221">
    <w:nsid w:val="75509D76"/>
    <w:multiLevelType w:val="hybridMultilevel"/>
    <w:lvl w:ilvl="0">
      <w:lvlJc w:val="left"/>
      <w:lvlText w:val="%1"/>
      <w:numFmt w:val="decimal"/>
      <w:start w:val="21"/>
    </w:lvl>
  </w:abstractNum>
  <w:abstractNum w:abstractNumId="222">
    <w:nsid w:val="1AF7F0EA"/>
    <w:multiLevelType w:val="hybridMultilevel"/>
    <w:lvl w:ilvl="0">
      <w:lvlJc w:val="left"/>
      <w:lvlText w:val="(%1)"/>
      <w:numFmt w:val="lowerRoman"/>
      <w:start w:val="1"/>
    </w:lvl>
  </w:abstractNum>
  <w:abstractNum w:abstractNumId="223">
    <w:nsid w:val="4DA32C7E"/>
    <w:multiLevelType w:val="hybridMultilevel"/>
    <w:lvl w:ilvl="0">
      <w:lvlJc w:val="left"/>
      <w:lvlText w:val="(%1)"/>
      <w:numFmt w:val="lowerLetter"/>
      <w:start w:val="1"/>
    </w:lvl>
  </w:abstractNum>
  <w:abstractNum w:abstractNumId="224">
    <w:nsid w:val="6EC68664"/>
    <w:multiLevelType w:val="hybridMultilevel"/>
    <w:lvl w:ilvl="0">
      <w:lvlJc w:val="left"/>
      <w:lvlText w:val="(%1)"/>
      <w:numFmt w:val="lowerLetter"/>
      <w:start w:val="2"/>
    </w:lvl>
  </w:abstractNum>
  <w:abstractNum w:abstractNumId="225">
    <w:nsid w:val="E0D31FF"/>
    <w:multiLevelType w:val="hybridMultilevel"/>
    <w:lvl w:ilvl="0">
      <w:lvlJc w:val="left"/>
      <w:lvlText w:val="(%1)"/>
      <w:numFmt w:val="lowerLetter"/>
      <w:start w:val="2"/>
    </w:lvl>
  </w:abstractNum>
  <w:abstractNum w:abstractNumId="226">
    <w:nsid w:val="2FD0AD81"/>
    <w:multiLevelType w:val="hybridMultilevel"/>
    <w:lvl w:ilvl="0">
      <w:lvlJc w:val="left"/>
      <w:lvlText w:val="%1"/>
      <w:numFmt w:val="decimal"/>
      <w:start w:val="24"/>
    </w:lvl>
  </w:abstractNum>
  <w:abstractNum w:abstractNumId="227">
    <w:nsid w:val="1978EBEB"/>
    <w:multiLevelType w:val="hybridMultilevel"/>
    <w:lvl w:ilvl="0">
      <w:lvlJc w:val="left"/>
      <w:lvlText w:val="(%1)"/>
      <w:numFmt w:val="lowerLetter"/>
      <w:start w:val="1"/>
    </w:lvl>
  </w:abstractNum>
  <w:abstractNum w:abstractNumId="228">
    <w:nsid w:val="52C12C61"/>
    <w:multiLevelType w:val="hybridMultilevel"/>
    <w:lvl w:ilvl="0">
      <w:lvlJc w:val="left"/>
      <w:lvlText w:val="(%1)"/>
      <w:numFmt w:val="lowerLetter"/>
      <w:start w:val="2"/>
    </w:lvl>
  </w:abstractNum>
  <w:abstractNum w:abstractNumId="229">
    <w:nsid w:val="4BDD53FD"/>
    <w:multiLevelType w:val="hybridMultilevel"/>
    <w:lvl w:ilvl="0">
      <w:lvlJc w:val="left"/>
      <w:lvlText w:val="%1"/>
      <w:numFmt w:val="decimal"/>
      <w:start w:val="26"/>
    </w:lvl>
  </w:abstractNum>
  <w:abstractNum w:abstractNumId="230">
    <w:nsid w:val="569951FE"/>
    <w:multiLevelType w:val="hybridMultilevel"/>
    <w:lvl w:ilvl="0">
      <w:lvlJc w:val="left"/>
      <w:lvlText w:val="1"/>
      <w:numFmt w:val="bullet"/>
      <w:start w:val="1"/>
    </w:lvl>
  </w:abstractNum>
  <w:abstractNum w:abstractNumId="231">
    <w:nsid w:val="4C54E2C3"/>
    <w:multiLevelType w:val="hybridMultilevel"/>
    <w:lvl w:ilvl="0">
      <w:lvlJc w:val="left"/>
      <w:lvlText w:val="(%1)"/>
      <w:numFmt w:val="lowerLetter"/>
      <w:start w:val="1"/>
    </w:lvl>
  </w:abstractNum>
  <w:abstractNum w:abstractNumId="232">
    <w:nsid w:val="788BD9B"/>
    <w:multiLevelType w:val="hybridMultilevel"/>
    <w:lvl w:ilvl="0">
      <w:lvlJc w:val="left"/>
      <w:lvlText w:val="1"/>
      <w:numFmt w:val="bullet"/>
      <w:start w:val="1"/>
    </w:lvl>
  </w:abstractNum>
  <w:abstractNum w:abstractNumId="233">
    <w:nsid w:val="47CAA567"/>
    <w:multiLevelType w:val="hybridMultilevel"/>
    <w:lvl w:ilvl="0">
      <w:lvlJc w:val="left"/>
      <w:lvlText w:val="(%1)"/>
      <w:numFmt w:val="lowerLetter"/>
      <w:start w:val="1"/>
    </w:lvl>
  </w:abstractNum>
  <w:abstractNum w:abstractNumId="234">
    <w:nsid w:val="48249DBF"/>
    <w:multiLevelType w:val="hybridMultilevel"/>
    <w:lvl w:ilvl="0">
      <w:lvlJc w:val="left"/>
      <w:lvlText w:val="1"/>
      <w:numFmt w:val="bullet"/>
      <w:start w:val="1"/>
    </w:lvl>
  </w:abstractNum>
  <w:abstractNum w:abstractNumId="235">
    <w:nsid w:val="1F0E5D0D"/>
    <w:multiLevelType w:val="hybridMultilevel"/>
    <w:lvl w:ilvl="0">
      <w:lvlJc w:val="left"/>
      <w:lvlText w:val="(%1)"/>
      <w:numFmt w:val="lowerLetter"/>
      <w:start w:val="1"/>
    </w:lvl>
    <w:lvl w:ilvl="1">
      <w:lvlJc w:val="left"/>
      <w:lvlText w:val="%"/>
      <w:numFmt w:val="bullet"/>
      <w:start w:val="1"/>
    </w:lvl>
  </w:abstractNum>
  <w:abstractNum w:abstractNumId="236">
    <w:nsid w:val="26BAAE9"/>
    <w:multiLevelType w:val="hybridMultilevel"/>
    <w:lvl w:ilvl="0">
      <w:lvlJc w:val="left"/>
      <w:lvlText w:val="(%1)"/>
      <w:numFmt w:val="lowerLetter"/>
      <w:start w:val="2"/>
    </w:lvl>
  </w:abstractNum>
  <w:abstractNum w:abstractNumId="237">
    <w:nsid w:val="2C02FE8C"/>
    <w:multiLevelType w:val="hybridMultilevel"/>
    <w:lvl w:ilvl="0">
      <w:lvlJc w:val="left"/>
      <w:lvlText w:val="•"/>
      <w:numFmt w:val="bullet"/>
      <w:start w:val="1"/>
    </w:lvl>
  </w:abstractNum>
  <w:abstractNum w:abstractNumId="238">
    <w:nsid w:val="129517E"/>
    <w:multiLevelType w:val="hybridMultilevel"/>
    <w:lvl w:ilvl="0">
      <w:lvlJc w:val="left"/>
      <w:lvlText w:val="1"/>
      <w:numFmt w:val="bullet"/>
      <w:start w:val="1"/>
    </w:lvl>
  </w:abstractNum>
  <w:abstractNum w:abstractNumId="239">
    <w:nsid w:val="763B8C4E"/>
    <w:multiLevelType w:val="hybridMultilevel"/>
    <w:lvl w:ilvl="0">
      <w:lvlJc w:val="left"/>
      <w:lvlText w:val="(%1)"/>
      <w:numFmt w:val="lowerLetter"/>
      <w:start w:val="2"/>
    </w:lvl>
  </w:abstractNum>
  <w:abstractNum w:abstractNumId="240">
    <w:nsid w:val="4CFB8D32"/>
    <w:multiLevelType w:val="hybridMultilevel"/>
    <w:lvl w:ilvl="0">
      <w:lvlJc w:val="left"/>
      <w:lvlText w:val="•"/>
      <w:numFmt w:val="bullet"/>
      <w:start w:val="1"/>
    </w:lvl>
  </w:abstractNum>
  <w:abstractNum w:abstractNumId="241">
    <w:nsid w:val="62A5D5BD"/>
    <w:multiLevelType w:val="hybridMultilevel"/>
    <w:lvl w:ilvl="0">
      <w:lvlJc w:val="left"/>
      <w:lvlText w:val="•"/>
      <w:numFmt w:val="bullet"/>
      <w:start w:val="1"/>
    </w:lvl>
  </w:abstractNum>
  <w:abstractNum w:abstractNumId="242">
    <w:nsid w:val="718FABF9"/>
    <w:multiLevelType w:val="hybridMultilevel"/>
    <w:lvl w:ilvl="0">
      <w:lvlJc w:val="left"/>
      <w:lvlText w:val="•"/>
      <w:numFmt w:val="bullet"/>
      <w:start w:val="1"/>
    </w:lvl>
  </w:abstractNum>
  <w:abstractNum w:abstractNumId="243">
    <w:nsid w:val="7775797C"/>
    <w:multiLevelType w:val="hybridMultilevel"/>
    <w:lvl w:ilvl="0">
      <w:lvlJc w:val="left"/>
      <w:lvlText w:val="1"/>
      <w:numFmt w:val="bullet"/>
      <w:start w:val="1"/>
    </w:lvl>
  </w:abstractNum>
  <w:abstractNum w:abstractNumId="244">
    <w:nsid w:val="1626FB8C"/>
    <w:multiLevelType w:val="hybridMultilevel"/>
    <w:lvl w:ilvl="0">
      <w:lvlJc w:val="left"/>
      <w:lvlText w:val="(%1)"/>
      <w:numFmt w:val="lowerLetter"/>
      <w:start w:val="2"/>
    </w:lvl>
  </w:abstractNum>
  <w:abstractNum w:abstractNumId="245">
    <w:nsid w:val="3957756A"/>
    <w:multiLevelType w:val="hybridMultilevel"/>
    <w:lvl w:ilvl="0">
      <w:lvlJc w:val="left"/>
      <w:lvlText w:val="•"/>
      <w:numFmt w:val="bullet"/>
      <w:start w:val="1"/>
    </w:lvl>
  </w:abstractNum>
  <w:abstractNum w:abstractNumId="246">
    <w:nsid w:val="3E6DA1C7"/>
    <w:multiLevelType w:val="hybridMultilevel"/>
    <w:lvl w:ilvl="0">
      <w:lvlJc w:val="left"/>
      <w:lvlText w:val="1"/>
      <w:numFmt w:val="bullet"/>
      <w:start w:val="1"/>
    </w:lvl>
  </w:abstractNum>
  <w:abstractNum w:abstractNumId="247">
    <w:nsid w:val="65CA235B"/>
    <w:multiLevelType w:val="hybridMultilevel"/>
    <w:lvl w:ilvl="0">
      <w:lvlJc w:val="left"/>
      <w:lvlText w:val="(%1)"/>
      <w:numFmt w:val="lowerLetter"/>
      <w:start w:val="2"/>
    </w:lvl>
  </w:abstractNum>
  <w:abstractNum w:abstractNumId="248">
    <w:nsid w:val="51CB0DA4"/>
    <w:multiLevelType w:val="hybridMultilevel"/>
    <w:lvl w:ilvl="0">
      <w:lvlJc w:val="left"/>
      <w:lvlText w:val="2"/>
      <w:numFmt w:val="bullet"/>
      <w:start w:val="1"/>
    </w:lvl>
  </w:abstractNum>
  <w:abstractNum w:abstractNumId="249">
    <w:nsid w:val="7B9B743C"/>
    <w:multiLevelType w:val="hybridMultilevel"/>
    <w:lvl w:ilvl="0">
      <w:lvlJc w:val="left"/>
      <w:lvlText w:val="(%1)"/>
      <w:numFmt w:val="lowerLetter"/>
      <w:start w:val="1"/>
    </w:lvl>
  </w:abstractNum>
  <w:abstractNum w:abstractNumId="250">
    <w:nsid w:val="13E21002"/>
    <w:multiLevelType w:val="hybridMultilevel"/>
    <w:lvl w:ilvl="0">
      <w:lvlJc w:val="left"/>
      <w:lvlText w:val="2"/>
      <w:numFmt w:val="bullet"/>
      <w:start w:val="1"/>
    </w:lvl>
  </w:abstractNum>
  <w:abstractNum w:abstractNumId="251">
    <w:nsid w:val="257D63F4"/>
    <w:multiLevelType w:val="hybridMultilevel"/>
    <w:lvl w:ilvl="0">
      <w:lvlJc w:val="left"/>
      <w:lvlText w:val="(%1)"/>
      <w:numFmt w:val="lowerLetter"/>
      <w:start w:val="2"/>
    </w:lvl>
  </w:abstractNum>
  <w:abstractNum w:abstractNumId="252">
    <w:nsid w:val="70EC11B2"/>
    <w:multiLevelType w:val="hybridMultilevel"/>
    <w:lvl w:ilvl="0">
      <w:lvlJc w:val="left"/>
      <w:lvlText w:val="2"/>
      <w:numFmt w:val="bullet"/>
      <w:start w:val="1"/>
    </w:lvl>
  </w:abstractNum>
  <w:abstractNum w:abstractNumId="253">
    <w:nsid w:val="2EDA00ED"/>
    <w:multiLevelType w:val="hybridMultilevel"/>
    <w:lvl w:ilvl="0">
      <w:lvlJc w:val="left"/>
      <w:lvlText w:val="(%1)"/>
      <w:numFmt w:val="lowerLetter"/>
      <w:start w:val="2"/>
    </w:lvl>
  </w:abstractNum>
  <w:abstractNum w:abstractNumId="254">
    <w:nsid w:val="73209072"/>
    <w:multiLevelType w:val="hybridMultilevel"/>
    <w:lvl w:ilvl="0">
      <w:lvlJc w:val="left"/>
      <w:lvlText w:val="2"/>
      <w:numFmt w:val="bullet"/>
      <w:start w:val="1"/>
    </w:lvl>
  </w:abstractNum>
  <w:abstractNum w:abstractNumId="255">
    <w:nsid w:val="5FB29816"/>
    <w:multiLevelType w:val="hybridMultilevel"/>
    <w:lvl w:ilvl="0">
      <w:lvlJc w:val="left"/>
      <w:lvlText w:val="(%1)"/>
      <w:numFmt w:val="lowerLetter"/>
      <w:start w:val="2"/>
    </w:lvl>
  </w:abstractNum>
  <w:abstractNum w:abstractNumId="256">
    <w:nsid w:val="3CE732EC"/>
    <w:multiLevelType w:val="hybridMultilevel"/>
    <w:lvl w:ilvl="0">
      <w:lvlJc w:val="left"/>
      <w:lvlText w:val="3"/>
      <w:numFmt w:val="bullet"/>
      <w:start w:val="1"/>
    </w:lvl>
  </w:abstractNum>
  <w:abstractNum w:abstractNumId="257">
    <w:nsid w:val="22F13DF3"/>
    <w:multiLevelType w:val="hybridMultilevel"/>
    <w:lvl w:ilvl="0">
      <w:lvlJc w:val="left"/>
      <w:lvlText w:val="(%1)"/>
      <w:numFmt w:val="lowerLetter"/>
      <w:start w:val="1"/>
    </w:lvl>
    <w:lvl w:ilvl="1">
      <w:lvlJc w:val="left"/>
      <w:lvlText w:val="•"/>
      <w:numFmt w:val="bullet"/>
      <w:start w:val="1"/>
    </w:lvl>
  </w:abstractNum>
  <w:abstractNum w:abstractNumId="258">
    <w:nsid w:val="792B8401"/>
    <w:multiLevelType w:val="hybridMultilevel"/>
    <w:lvl w:ilvl="0">
      <w:lvlJc w:val="left"/>
      <w:lvlText w:val="3"/>
      <w:numFmt w:val="bullet"/>
      <w:start w:val="1"/>
    </w:lvl>
  </w:abstractNum>
  <w:abstractNum w:abstractNumId="259">
    <w:nsid w:val="FA85F4D"/>
    <w:multiLevelType w:val="hybridMultilevel"/>
    <w:lvl w:ilvl="0">
      <w:lvlJc w:val="left"/>
      <w:lvlText w:val="(%1)"/>
      <w:numFmt w:val="lowerLetter"/>
      <w:start w:val="1"/>
    </w:lvl>
    <w:lvl w:ilvl="1">
      <w:lvlJc w:val="left"/>
      <w:lvlText w:val="•"/>
      <w:numFmt w:val="bullet"/>
      <w:start w:val="1"/>
    </w:lvl>
  </w:abstractNum>
  <w:abstractNum w:abstractNumId="260">
    <w:nsid w:val="6ECE91F0"/>
    <w:multiLevelType w:val="hybridMultilevel"/>
    <w:lvl w:ilvl="0">
      <w:lvlJc w:val="left"/>
      <w:lvlText w:val="3"/>
      <w:numFmt w:val="bullet"/>
      <w:start w:val="1"/>
    </w:lvl>
  </w:abstractNum>
  <w:abstractNum w:abstractNumId="261">
    <w:nsid w:val="4FC4D600"/>
    <w:multiLevelType w:val="hybridMultilevel"/>
    <w:lvl w:ilvl="0">
      <w:lvlJc w:val="left"/>
      <w:lvlText w:val="(%1)"/>
      <w:numFmt w:val="lowerLetter"/>
      <w:start w:val="1"/>
    </w:lvl>
  </w:abstractNum>
  <w:abstractNum w:abstractNumId="262">
    <w:nsid w:val="5BFD4210"/>
    <w:multiLevelType w:val="hybridMultilevel"/>
    <w:lvl w:ilvl="0">
      <w:lvlJc w:val="left"/>
      <w:lvlText w:val="(%1)"/>
      <w:numFmt w:val="lowerLetter"/>
      <w:start w:val="2"/>
    </w:lvl>
  </w:abstractNum>
  <w:abstractNum w:abstractNumId="263">
    <w:nsid w:val="76574F8B"/>
    <w:multiLevelType w:val="hybridMultilevel"/>
    <w:lvl w:ilvl="0">
      <w:lvlJc w:val="left"/>
      <w:lvlText w:val="3"/>
      <w:numFmt w:val="bullet"/>
      <w:start w:val="1"/>
    </w:lvl>
  </w:abstractNum>
  <w:abstractNum w:abstractNumId="264">
    <w:nsid w:val="178F7B67"/>
    <w:multiLevelType w:val="hybridMultilevel"/>
    <w:lvl w:ilvl="0">
      <w:lvlJc w:val="left"/>
      <w:lvlText w:val="(%1)"/>
      <w:numFmt w:val="lowerLetter"/>
      <w:start w:val="2"/>
    </w:lvl>
  </w:abstractNum>
  <w:abstractNum w:abstractNumId="265">
    <w:nsid w:val="2421DFCF"/>
    <w:multiLevelType w:val="hybridMultilevel"/>
    <w:lvl w:ilvl="0">
      <w:lvlJc w:val="left"/>
      <w:lvlText w:val="(%1)"/>
      <w:numFmt w:val="lowerLetter"/>
      <w:start w:val="3"/>
    </w:lvl>
  </w:abstractNum>
  <w:abstractNum w:abstractNumId="266">
    <w:nsid w:val="1565AC99"/>
    <w:multiLevelType w:val="hybridMultilevel"/>
    <w:lvl w:ilvl="0">
      <w:lvlJc w:val="left"/>
      <w:lvlText w:val="(%1)"/>
      <w:numFmt w:val="lowerRoman"/>
      <w:start w:val="1"/>
    </w:lvl>
  </w:abstractNum>
  <w:abstractNum w:abstractNumId="267">
    <w:nsid w:val="19FB2650"/>
    <w:multiLevelType w:val="hybridMultilevel"/>
    <w:lvl w:ilvl="0">
      <w:lvlJc w:val="left"/>
      <w:lvlText w:val="3"/>
      <w:numFmt w:val="bullet"/>
      <w:start w:val="1"/>
    </w:lvl>
  </w:abstractNum>
  <w:abstractNum w:abstractNumId="268">
    <w:nsid w:val="5024DE5B"/>
    <w:multiLevelType w:val="hybridMultilevel"/>
    <w:lvl w:ilvl="0">
      <w:lvlJc w:val="left"/>
      <w:lvlText w:val="(%1)"/>
      <w:numFmt w:val="lowerLetter"/>
      <w:start w:val="3"/>
    </w:lvl>
  </w:abstractNum>
  <w:abstractNum w:abstractNumId="269">
    <w:nsid w:val="168EFE17"/>
    <w:multiLevelType w:val="hybridMultilevel"/>
    <w:lvl w:ilvl="0">
      <w:lvlJc w:val="left"/>
      <w:lvlText w:val="(%1)"/>
      <w:numFmt w:val="lowerRoman"/>
      <w:start w:val="2"/>
    </w:lvl>
  </w:abstractNum>
  <w:abstractNum w:abstractNumId="270">
    <w:nsid w:val="1036B29F"/>
    <w:multiLevelType w:val="hybridMultilevel"/>
    <w:lvl w:ilvl="0">
      <w:lvlJc w:val="left"/>
      <w:lvlText w:val="4"/>
      <w:numFmt w:val="bullet"/>
      <w:start w:val="1"/>
    </w:lvl>
  </w:abstractNum>
  <w:abstractNum w:abstractNumId="271">
    <w:nsid w:val="1D206B8E"/>
    <w:multiLevelType w:val="hybridMultilevel"/>
    <w:lvl w:ilvl="0">
      <w:lvlJc w:val="left"/>
      <w:lvlText w:val="5"/>
      <w:numFmt w:val="bullet"/>
      <w:start w:val="1"/>
    </w:lvl>
  </w:abstractNum>
  <w:abstractNum w:abstractNumId="272">
    <w:nsid w:val="7934D3D4"/>
    <w:multiLevelType w:val="hybridMultilevel"/>
    <w:lvl w:ilvl="0">
      <w:lvlJc w:val="left"/>
      <w:lvlText w:val="8"/>
      <w:numFmt w:val="bullet"/>
      <w:start w:val="1"/>
    </w:lvl>
  </w:abstractNum>
  <w:abstractNum w:abstractNumId="273">
    <w:nsid w:val="1C65E98"/>
    <w:multiLevelType w:val="hybridMultilevel"/>
    <w:lvl w:ilvl="0">
      <w:lvlJc w:val="left"/>
      <w:lvlText w:val="%1"/>
      <w:numFmt w:val="decimal"/>
      <w:start w:val="10"/>
    </w:lvl>
  </w:abstractNum>
  <w:abstractNum w:abstractNumId="274">
    <w:nsid w:val="1495E50A"/>
    <w:multiLevelType w:val="hybridMultilevel"/>
    <w:lvl w:ilvl="0">
      <w:lvlJc w:val="left"/>
      <w:lvlText w:val="%1"/>
      <w:numFmt w:val="decimal"/>
      <w:start w:val="10"/>
    </w:lvl>
  </w:abstractNum>
  <w:abstractNum w:abstractNumId="275">
    <w:nsid w:val="F5BCF61"/>
    <w:multiLevelType w:val="hybridMultilevel"/>
    <w:lvl w:ilvl="0">
      <w:lvlJc w:val="left"/>
      <w:lvlText w:val="(%1)"/>
      <w:numFmt w:val="lowerRoman"/>
      <w:start w:val="1"/>
    </w:lvl>
  </w:abstractNum>
  <w:abstractNum w:abstractNumId="276">
    <w:nsid w:val="3B1DD403"/>
    <w:multiLevelType w:val="hybridMultilevel"/>
    <w:lvl w:ilvl="0">
      <w:lvlJc w:val="left"/>
      <w:lvlText w:val="%1"/>
      <w:numFmt w:val="decimal"/>
      <w:start w:val="13"/>
    </w:lvl>
  </w:abstractNum>
  <w:abstractNum w:abstractNumId="277">
    <w:nsid w:val="530386D1"/>
    <w:multiLevelType w:val="hybridMultilevel"/>
    <w:lvl w:ilvl="0">
      <w:lvlJc w:val="left"/>
      <w:lvlText w:val="(%1)"/>
      <w:numFmt w:val="lowerRoman"/>
      <w:start w:val="5"/>
    </w:lvl>
  </w:abstractNum>
  <w:abstractNum w:abstractNumId="278">
    <w:nsid w:val="7525F2BC"/>
    <w:multiLevelType w:val="hybridMultilevel"/>
    <w:lvl w:ilvl="0">
      <w:lvlJc w:val="left"/>
      <w:lvlText w:val="%1"/>
      <w:numFmt w:val="decimal"/>
      <w:start w:val="14"/>
    </w:lvl>
  </w:abstractNum>
  <w:abstractNum w:abstractNumId="279">
    <w:nsid w:val="CE8E1A7"/>
    <w:multiLevelType w:val="hybridMultilevel"/>
    <w:lvl w:ilvl="0">
      <w:lvlJc w:val="left"/>
      <w:lvlText w:val="%1"/>
      <w:numFmt w:val="decimal"/>
      <w:start w:val="14"/>
    </w:lvl>
    <w:lvl w:ilvl="1">
      <w:lvlJc w:val="left"/>
      <w:lvlText w:val="•"/>
      <w:numFmt w:val="bullet"/>
      <w:start w:val="1"/>
    </w:lvl>
  </w:abstractNum>
  <w:abstractNum w:abstractNumId="280">
    <w:nsid w:val="4E9EFB0D"/>
    <w:multiLevelType w:val="hybridMultilevel"/>
    <w:lvl w:ilvl="0">
      <w:lvlJc w:val="left"/>
      <w:lvlText w:val="%1"/>
      <w:numFmt w:val="decimal"/>
      <w:start w:val="14"/>
    </w:lvl>
  </w:abstractNum>
  <w:abstractNum w:abstractNumId="281">
    <w:nsid w:val="90802BE"/>
    <w:multiLevelType w:val="hybridMultilevel"/>
    <w:lvl w:ilvl="0">
      <w:lvlJc w:val="left"/>
      <w:lvlText w:val="%1"/>
      <w:numFmt w:val="decimal"/>
      <w:start w:val="14"/>
    </w:lvl>
  </w:abstractNum>
  <w:abstractNum w:abstractNumId="282">
    <w:nsid w:val="3266459B"/>
    <w:multiLevelType w:val="hybridMultilevel"/>
    <w:lvl w:ilvl="0">
      <w:lvlJc w:val="left"/>
      <w:lvlText w:val="%1"/>
      <w:numFmt w:val="decimal"/>
      <w:start w:val="14"/>
    </w:lvl>
  </w:abstractNum>
  <w:abstractNum w:abstractNumId="283">
    <w:nsid w:val="3F8B0CBF"/>
    <w:multiLevelType w:val="hybridMultilevel"/>
    <w:lvl w:ilvl="0">
      <w:lvlJc w:val="left"/>
      <w:lvlText w:val="%1"/>
      <w:numFmt w:val="decimal"/>
      <w:start w:val="14"/>
    </w:lvl>
  </w:abstractNum>
  <w:abstractNum w:abstractNumId="284">
    <w:nsid w:val="37E203AB"/>
    <w:multiLevelType w:val="hybridMultilevel"/>
    <w:lvl w:ilvl="0">
      <w:lvlJc w:val="left"/>
      <w:lvlText w:val="%1"/>
      <w:numFmt w:val="decimal"/>
      <w:start w:val="14"/>
    </w:lvl>
  </w:abstractNum>
  <w:abstractNum w:abstractNumId="285">
    <w:nsid w:val="2586D60E"/>
    <w:multiLevelType w:val="hybridMultilevel"/>
    <w:lvl w:ilvl="0">
      <w:lvlJc w:val="left"/>
      <w:lvlText w:val="%1"/>
      <w:numFmt w:val="decimal"/>
      <w:start w:val="14"/>
    </w:lvl>
  </w:abstractNum>
  <w:abstractNum w:abstractNumId="286">
    <w:nsid w:val="1F3DA4D5"/>
    <w:multiLevelType w:val="hybridMultilevel"/>
    <w:lvl w:ilvl="0">
      <w:lvlJc w:val="left"/>
      <w:lvlText w:val="%1"/>
      <w:numFmt w:val="decimal"/>
      <w:start w:val="15"/>
    </w:lvl>
  </w:abstractNum>
  <w:abstractNum w:abstractNumId="287">
    <w:nsid w:val="74C93698"/>
    <w:multiLevelType w:val="hybridMultilevel"/>
    <w:lvl w:ilvl="0">
      <w:lvlJc w:val="left"/>
      <w:lvlText w:val="%1"/>
      <w:numFmt w:val="decimal"/>
      <w:start w:val="16"/>
    </w:lvl>
  </w:abstractNum>
  <w:abstractNum w:abstractNumId="288">
    <w:nsid w:val="48781401"/>
    <w:multiLevelType w:val="hybridMultilevel"/>
    <w:lvl w:ilvl="0">
      <w:lvlJc w:val="left"/>
      <w:lvlText w:val="(%1)"/>
      <w:numFmt w:val="lowerLetter"/>
      <w:start w:val="1"/>
    </w:lvl>
  </w:abstractNum>
  <w:abstractNum w:abstractNumId="289">
    <w:nsid w:val="186928D6"/>
    <w:multiLevelType w:val="hybridMultilevel"/>
    <w:lvl w:ilvl="0">
      <w:lvlJc w:val="left"/>
      <w:lvlText w:val="(%1)"/>
      <w:numFmt w:val="lowerLetter"/>
      <w:start w:val="1"/>
    </w:lvl>
  </w:abstractNum>
  <w:abstractNum w:abstractNumId="290">
    <w:nsid w:val="47195E5"/>
    <w:multiLevelType w:val="hybridMultilevel"/>
    <w:lvl w:ilvl="0">
      <w:lvlJc w:val="left"/>
      <w:lvlText w:val="(%1)"/>
      <w:numFmt w:val="lowerRoman"/>
      <w:start w:val="1"/>
    </w:lvl>
  </w:abstractNum>
  <w:abstractNum w:abstractNumId="291">
    <w:nsid w:val="3746A5F2"/>
    <w:multiLevelType w:val="hybridMultilevel"/>
    <w:lvl w:ilvl="0">
      <w:lvlJc w:val="left"/>
      <w:lvlText w:val="(%1)"/>
      <w:numFmt w:val="lowerLetter"/>
      <w:start w:val="1"/>
    </w:lvl>
    <w:lvl w:ilvl="1">
      <w:lvlJc w:val="left"/>
      <w:lvlText w:val="(%2)"/>
      <w:numFmt w:val="lowerRoman"/>
      <w:start w:val="3"/>
    </w:lvl>
  </w:abstractNum>
  <w:abstractNum w:abstractNumId="292">
    <w:nsid w:val="682DFED6"/>
    <w:multiLevelType w:val="hybridMultilevel"/>
    <w:lvl w:ilvl="0">
      <w:lvlJc w:val="left"/>
      <w:lvlText w:val="(%1)"/>
      <w:numFmt w:val="lowerLetter"/>
      <w:start w:val="1"/>
    </w:lvl>
  </w:abstractNum>
  <w:abstractNum w:abstractNumId="293">
    <w:nsid w:val="606ED7F6"/>
    <w:multiLevelType w:val="hybridMultilevel"/>
    <w:lvl w:ilvl="0">
      <w:lvlJc w:val="left"/>
      <w:lvlText w:val="(%1)"/>
      <w:numFmt w:val="lowerLetter"/>
      <w:start w:val="1"/>
    </w:lvl>
  </w:abstractNum>
  <w:abstractNum w:abstractNumId="294">
    <w:nsid w:val="2D9DF57D"/>
    <w:multiLevelType w:val="hybridMultilevel"/>
    <w:lvl w:ilvl="0">
      <w:lvlJc w:val="left"/>
      <w:lvlText w:val="%1"/>
      <w:numFmt w:val="lowerLetter"/>
      <w:start w:val="1"/>
    </w:lvl>
    <w:lvl w:ilvl="1">
      <w:lvlJc w:val="left"/>
      <w:lvlText w:val="(%2)"/>
      <w:numFmt w:val="lowerRoman"/>
      <w:start w:val="1"/>
    </w:lvl>
  </w:abstractNum>
  <w:abstractNum w:abstractNumId="295">
    <w:nsid w:val="7FBD7A3E"/>
    <w:multiLevelType w:val="hybridMultilevel"/>
    <w:lvl w:ilvl="0">
      <w:lvlJc w:val="left"/>
      <w:lvlText w:val="(%1)"/>
      <w:numFmt w:val="lowerLetter"/>
      <w:start w:val="2"/>
    </w:lvl>
    <w:lvl w:ilvl="1">
      <w:lvlJc w:val="left"/>
      <w:lvlText w:val="%2"/>
      <w:numFmt w:val="lowerRoman"/>
      <w:start w:val="1"/>
    </w:lvl>
  </w:abstractNum>
  <w:abstractNum w:abstractNumId="296">
    <w:nsid w:val="490B7C5"/>
    <w:multiLevelType w:val="hybridMultilevel"/>
    <w:lvl w:ilvl="0">
      <w:lvlJc w:val="left"/>
      <w:lvlText w:val="(%1)"/>
      <w:numFmt w:val="lowerLetter"/>
      <w:start w:val="3"/>
    </w:lvl>
  </w:abstractNum>
  <w:abstractNum w:abstractNumId="297">
    <w:nsid w:val="4303A216"/>
    <w:multiLevelType w:val="hybridMultilevel"/>
    <w:lvl w:ilvl="0">
      <w:lvlJc w:val="left"/>
      <w:lvlText w:val="(%1)"/>
      <w:numFmt w:val="lowerLetter"/>
      <w:start w:val="1"/>
    </w:lvl>
  </w:abstractNum>
  <w:abstractNum w:abstractNumId="298">
    <w:nsid w:val="19B8A08E"/>
    <w:multiLevelType w:val="hybridMultilevel"/>
    <w:lvl w:ilvl="0">
      <w:lvlJc w:val="left"/>
      <w:lvlText w:val="(%1)"/>
      <w:numFmt w:val="lowerLetter"/>
      <w:start w:val="3"/>
    </w:lvl>
  </w:abstractNum>
  <w:abstractNum w:abstractNumId="299">
    <w:nsid w:val="54B59621"/>
    <w:multiLevelType w:val="hybridMultilevel"/>
    <w:lvl w:ilvl="0">
      <w:lvlJc w:val="left"/>
      <w:lvlText w:val="%1"/>
      <w:numFmt w:val="decimal"/>
      <w:start w:val="19"/>
    </w:lvl>
  </w:abstractNum>
  <w:abstractNum w:abstractNumId="300">
    <w:nsid w:val="5992A02E"/>
    <w:multiLevelType w:val="hybridMultilevel"/>
    <w:lvl w:ilvl="0">
      <w:lvlJc w:val="left"/>
      <w:lvlText w:val="(%1)"/>
      <w:numFmt w:val="lowerRoman"/>
      <w:start w:val="1"/>
    </w:lvl>
  </w:abstractNum>
  <w:abstractNum w:abstractNumId="301">
    <w:nsid w:val="29EF532D"/>
    <w:multiLevelType w:val="hybridMultilevel"/>
    <w:lvl w:ilvl="0">
      <w:lvlJc w:val="left"/>
      <w:lvlText w:val="%1"/>
      <w:numFmt w:val="decimal"/>
      <w:start w:val="19"/>
    </w:lvl>
  </w:abstractNum>
  <w:abstractNum w:abstractNumId="302">
    <w:nsid w:val="71D601AF"/>
    <w:multiLevelType w:val="hybridMultilevel"/>
    <w:lvl w:ilvl="0">
      <w:lvlJc w:val="left"/>
      <w:lvlText w:val="(%1)"/>
      <w:numFmt w:val="lowerLetter"/>
      <w:start w:val="1"/>
    </w:lvl>
  </w:abstractNum>
  <w:abstractNum w:abstractNumId="303">
    <w:nsid w:val="52C77402"/>
    <w:multiLevelType w:val="hybridMultilevel"/>
    <w:lvl w:ilvl="0">
      <w:lvlJc w:val="left"/>
      <w:lvlText w:val="(%1)"/>
      <w:numFmt w:val="lowerLetter"/>
      <w:start w:val="2"/>
    </w:lvl>
  </w:abstractNum>
  <w:abstractNum w:abstractNumId="304">
    <w:nsid w:val="2BB5B1C6"/>
    <w:multiLevelType w:val="hybridMultilevel"/>
    <w:lvl w:ilvl="0">
      <w:lvlJc w:val="left"/>
      <w:lvlText w:val="%1"/>
      <w:numFmt w:val="decimal"/>
      <w:start w:val="22"/>
    </w:lvl>
  </w:abstractNum>
  <w:abstractNum w:abstractNumId="305">
    <w:nsid w:val="66BE6B9"/>
    <w:multiLevelType w:val="hybridMultilevel"/>
    <w:lvl w:ilvl="0">
      <w:lvlJc w:val="left"/>
      <w:lvlText w:val="%1"/>
      <w:numFmt w:val="decimal"/>
      <w:start w:val="23"/>
    </w:lvl>
  </w:abstractNum>
  <w:abstractNum w:abstractNumId="306">
    <w:nsid w:val="62234363"/>
    <w:multiLevelType w:val="hybridMultilevel"/>
    <w:lvl w:ilvl="0">
      <w:lvlJc w:val="left"/>
      <w:lvlText w:val="1"/>
      <w:numFmt w:val="bullet"/>
      <w:start w:val="1"/>
    </w:lvl>
  </w:abstractNum>
  <w:abstractNum w:abstractNumId="307">
    <w:nsid w:val="66D385C9"/>
    <w:multiLevelType w:val="hybridMultilevel"/>
    <w:lvl w:ilvl="0">
      <w:lvlJc w:val="left"/>
      <w:lvlText w:val="(%1)"/>
      <w:numFmt w:val="lowerLetter"/>
      <w:start w:val="1"/>
    </w:lvl>
  </w:abstractNum>
  <w:abstractNum w:abstractNumId="308">
    <w:nsid w:val="596F6D8A"/>
    <w:multiLevelType w:val="hybridMultilevel"/>
    <w:lvl w:ilvl="0">
      <w:lvlJc w:val="left"/>
      <w:lvlText w:val="(%1)"/>
      <w:numFmt w:val="lowerLetter"/>
      <w:start w:val="2"/>
    </w:lvl>
  </w:abstractNum>
  <w:abstractNum w:abstractNumId="309">
    <w:nsid w:val="5749361F"/>
    <w:multiLevelType w:val="hybridMultilevel"/>
    <w:lvl w:ilvl="0">
      <w:lvlJc w:val="left"/>
      <w:lvlText w:val="1"/>
      <w:numFmt w:val="bullet"/>
      <w:start w:val="1"/>
    </w:lvl>
  </w:abstractNum>
  <w:abstractNum w:abstractNumId="310">
    <w:nsid w:val="73BC6770"/>
    <w:multiLevelType w:val="hybridMultilevel"/>
    <w:lvl w:ilvl="0">
      <w:lvlJc w:val="left"/>
      <w:lvlText w:val="(%1)"/>
      <w:numFmt w:val="lowerLetter"/>
      <w:start w:val="2"/>
    </w:lvl>
  </w:abstractNum>
  <w:abstractNum w:abstractNumId="311">
    <w:nsid w:val="280E6897"/>
    <w:multiLevelType w:val="hybridMultilevel"/>
    <w:lvl w:ilvl="0">
      <w:lvlJc w:val="left"/>
      <w:lvlText w:val="•"/>
      <w:numFmt w:val="bullet"/>
      <w:start w:val="1"/>
    </w:lvl>
  </w:abstractNum>
  <w:abstractNum w:abstractNumId="312">
    <w:nsid w:val="605138DE"/>
    <w:multiLevelType w:val="hybridMultilevel"/>
    <w:lvl w:ilvl="0">
      <w:lvlJc w:val="left"/>
      <w:lvlText w:val="•"/>
      <w:numFmt w:val="bullet"/>
      <w:start w:val="1"/>
    </w:lvl>
  </w:abstractNum>
  <w:abstractNum w:abstractNumId="313">
    <w:nsid w:val="2622AD0C"/>
    <w:multiLevelType w:val="hybridMultilevel"/>
    <w:lvl w:ilvl="0">
      <w:lvlJc w:val="left"/>
      <w:lvlText w:val="•"/>
      <w:numFmt w:val="bullet"/>
      <w:start w:val="1"/>
    </w:lvl>
  </w:abstractNum>
  <w:abstractNum w:abstractNumId="314">
    <w:nsid w:val="67997556"/>
    <w:multiLevelType w:val="hybridMultilevel"/>
    <w:lvl w:ilvl="0">
      <w:lvlJc w:val="left"/>
      <w:lvlText w:val="1"/>
      <w:numFmt w:val="bullet"/>
      <w:start w:val="1"/>
    </w:lvl>
  </w:abstractNum>
  <w:abstractNum w:abstractNumId="315">
    <w:nsid w:val="18333C89"/>
    <w:multiLevelType w:val="hybridMultilevel"/>
    <w:lvl w:ilvl="0">
      <w:lvlJc w:val="left"/>
      <w:lvlText w:val="(%1)"/>
      <w:numFmt w:val="lowerLetter"/>
      <w:start w:val="3"/>
    </w:lvl>
    <w:lvl w:ilvl="1">
      <w:lvlJc w:val="left"/>
      <w:lvlText w:val="•"/>
      <w:numFmt w:val="bullet"/>
      <w:start w:val="1"/>
    </w:lvl>
  </w:abstractNum>
  <w:abstractNum w:abstractNumId="316">
    <w:nsid w:val="4BA9831A"/>
    <w:multiLevelType w:val="hybridMultilevel"/>
    <w:lvl w:ilvl="0">
      <w:lvlJc w:val="left"/>
      <w:lvlText w:val="•"/>
      <w:numFmt w:val="bullet"/>
      <w:start w:val="1"/>
    </w:lvl>
  </w:abstractNum>
  <w:abstractNum w:abstractNumId="317">
    <w:nsid w:val="6D71A2B"/>
    <w:multiLevelType w:val="hybridMultilevel"/>
    <w:lvl w:ilvl="0">
      <w:lvlJc w:val="left"/>
      <w:lvlText w:val="1"/>
      <w:numFmt w:val="bullet"/>
      <w:start w:val="1"/>
    </w:lvl>
  </w:abstractNum>
  <w:abstractNum w:abstractNumId="318">
    <w:nsid w:val="CFC7321"/>
    <w:multiLevelType w:val="hybridMultilevel"/>
    <w:lvl w:ilvl="0">
      <w:lvlJc w:val="left"/>
      <w:lvlText w:val="(%1)"/>
      <w:numFmt w:val="lowerLetter"/>
      <w:start w:val="3"/>
    </w:lvl>
  </w:abstractNum>
  <w:abstractNum w:abstractNumId="319">
    <w:nsid w:val="1421971B"/>
    <w:multiLevelType w:val="hybridMultilevel"/>
    <w:lvl w:ilvl="0">
      <w:lvlJc w:val="left"/>
      <w:lvlText w:val="2"/>
      <w:numFmt w:val="bullet"/>
      <w:start w:val="1"/>
    </w:lvl>
  </w:abstractNum>
  <w:abstractNum w:abstractNumId="320">
    <w:nsid w:val="1F404301"/>
    <w:multiLevelType w:val="hybridMultilevel"/>
    <w:lvl w:ilvl="0">
      <w:lvlJc w:val="left"/>
      <w:lvlText w:val="(%1)"/>
      <w:numFmt w:val="lowerLetter"/>
      <w:start w:val="1"/>
    </w:lvl>
  </w:abstractNum>
  <w:abstractNum w:abstractNumId="321">
    <w:nsid w:val="116E0907"/>
    <w:multiLevelType w:val="hybridMultilevel"/>
    <w:lvl w:ilvl="0">
      <w:lvlJc w:val="left"/>
      <w:lvlText w:val="2"/>
      <w:numFmt w:val="bullet"/>
      <w:start w:val="1"/>
    </w:lvl>
  </w:abstractNum>
  <w:abstractNum w:abstractNumId="322">
    <w:nsid w:val="4B683D0D"/>
    <w:multiLevelType w:val="hybridMultilevel"/>
    <w:lvl w:ilvl="0">
      <w:lvlJc w:val="left"/>
      <w:lvlText w:val="(%1)"/>
      <w:numFmt w:val="lowerLetter"/>
      <w:start w:val="3"/>
    </w:lvl>
  </w:abstractNum>
  <w:abstractNum w:abstractNumId="323">
    <w:nsid w:val="76E41D8"/>
    <w:multiLevelType w:val="hybridMultilevel"/>
    <w:lvl w:ilvl="0">
      <w:lvlJc w:val="left"/>
      <w:lvlText w:val="2"/>
      <w:numFmt w:val="bullet"/>
      <w:start w:val="1"/>
    </w:lvl>
  </w:abstractNum>
  <w:abstractNum w:abstractNumId="324">
    <w:nsid w:val="71DCE0FD"/>
    <w:multiLevelType w:val="hybridMultilevel"/>
    <w:lvl w:ilvl="0">
      <w:lvlJc w:val="left"/>
      <w:lvlText w:val="(%1)"/>
      <w:numFmt w:val="lowerLetter"/>
      <w:start w:val="5"/>
    </w:lvl>
  </w:abstractNum>
  <w:abstractNum w:abstractNumId="325">
    <w:nsid w:val="7906328B"/>
    <w:multiLevelType w:val="hybridMultilevel"/>
    <w:lvl w:ilvl="0">
      <w:lvlJc w:val="left"/>
      <w:lvlText w:val="2"/>
      <w:numFmt w:val="bullet"/>
      <w:start w:val="1"/>
    </w:lvl>
  </w:abstractNum>
  <w:abstractNum w:abstractNumId="326">
    <w:nsid w:val="72BBC16"/>
    <w:multiLevelType w:val="hybridMultilevel"/>
    <w:lvl w:ilvl="0">
      <w:lvlJc w:val="left"/>
      <w:lvlText w:val="(%1)"/>
      <w:numFmt w:val="lowerLetter"/>
      <w:start w:val="8"/>
    </w:lvl>
  </w:abstractNum>
  <w:abstractNum w:abstractNumId="327">
    <w:nsid w:val="766D98C2"/>
    <w:multiLevelType w:val="hybridMultilevel"/>
    <w:lvl w:ilvl="0">
      <w:lvlJc w:val="left"/>
      <w:lvlText w:val="2"/>
      <w:numFmt w:val="bullet"/>
      <w:start w:val="1"/>
    </w:lvl>
  </w:abstractNum>
  <w:abstractNum w:abstractNumId="328">
    <w:nsid w:val="3C09D4A1"/>
    <w:multiLevelType w:val="hybridMultilevel"/>
    <w:lvl w:ilvl="0">
      <w:lvlJc w:val="left"/>
      <w:lvlText w:val="(%1)"/>
      <w:numFmt w:val="lowerLetter"/>
      <w:start w:val="11"/>
    </w:lvl>
  </w:abstractNum>
  <w:abstractNum w:abstractNumId="329">
    <w:nsid w:val="20E45CA4"/>
    <w:multiLevelType w:val="hybridMultilevel"/>
    <w:lvl w:ilvl="0">
      <w:lvlJc w:val="left"/>
      <w:lvlText w:val="2"/>
      <w:numFmt w:val="bullet"/>
      <w:start w:val="1"/>
    </w:lvl>
  </w:abstractNum>
  <w:abstractNum w:abstractNumId="330">
    <w:nsid w:val="4B232EE3"/>
    <w:multiLevelType w:val="hybridMultilevel"/>
    <w:lvl w:ilvl="0">
      <w:lvlJc w:val="left"/>
      <w:lvlText w:val="(%1)"/>
      <w:numFmt w:val="lowerLetter"/>
      <w:start w:val="13"/>
    </w:lvl>
  </w:abstractNum>
  <w:abstractNum w:abstractNumId="331">
    <w:nsid w:val="159C74CF"/>
    <w:multiLevelType w:val="hybridMultilevel"/>
    <w:lvl w:ilvl="0">
      <w:lvlJc w:val="left"/>
      <w:lvlText w:val="(%1)"/>
      <w:numFmt w:val="lowerLetter"/>
      <w:start w:val="15"/>
    </w:lvl>
  </w:abstractNum>
  <w:abstractNum w:abstractNumId="332">
    <w:nsid w:val="4AD3AFD2"/>
    <w:multiLevelType w:val="hybridMultilevel"/>
    <w:lvl w:ilvl="0">
      <w:lvlJc w:val="left"/>
      <w:lvlText w:val="2"/>
      <w:numFmt w:val="bullet"/>
      <w:start w:val="1"/>
    </w:lvl>
  </w:abstractNum>
  <w:abstractNum w:abstractNumId="333">
    <w:nsid w:val="3CF93092"/>
    <w:multiLevelType w:val="hybridMultilevel"/>
    <w:lvl w:ilvl="0">
      <w:lvlJc w:val="left"/>
      <w:lvlText w:val="(%1)"/>
      <w:numFmt w:val="lowerLetter"/>
      <w:start w:val="18"/>
    </w:lvl>
  </w:abstractNum>
  <w:abstractNum w:abstractNumId="334">
    <w:nsid w:val="6863E8D2"/>
    <w:multiLevelType w:val="hybridMultilevel"/>
    <w:lvl w:ilvl="0">
      <w:lvlJc w:val="left"/>
      <w:lvlText w:val="2"/>
      <w:numFmt w:val="bullet"/>
      <w:start w:val="1"/>
    </w:lvl>
  </w:abstractNum>
  <w:abstractNum w:abstractNumId="335">
    <w:nsid w:val="76896198"/>
    <w:multiLevelType w:val="hybridMultilevel"/>
    <w:lvl w:ilvl="0">
      <w:lvlJc w:val="left"/>
      <w:lvlText w:val="(%1)"/>
      <w:numFmt w:val="lowerLetter"/>
      <w:start w:val="20"/>
    </w:lvl>
  </w:abstractNum>
  <w:abstractNum w:abstractNumId="336">
    <w:nsid w:val="4365174B"/>
    <w:multiLevelType w:val="hybridMultilevel"/>
    <w:lvl w:ilvl="0">
      <w:lvlJc w:val="left"/>
      <w:lvlText w:val="2"/>
      <w:numFmt w:val="bullet"/>
      <w:start w:val="1"/>
    </w:lvl>
  </w:abstractNum>
  <w:abstractNum w:abstractNumId="337">
    <w:nsid w:val="4A872C35"/>
    <w:multiLevelType w:val="hybridMultilevel"/>
    <w:lvl w:ilvl="0">
      <w:lvlJc w:val="left"/>
      <w:lvlText w:val="(%1)"/>
      <w:numFmt w:val="lowerLetter"/>
      <w:start w:val="22"/>
    </w:lvl>
  </w:abstractNum>
  <w:abstractNum w:abstractNumId="338">
    <w:nsid w:val="5D5CE761"/>
    <w:multiLevelType w:val="hybridMultilevel"/>
    <w:lvl w:ilvl="0">
      <w:lvlJc w:val="left"/>
      <w:lvlText w:val="2"/>
      <w:numFmt w:val="bullet"/>
      <w:start w:val="1"/>
    </w:lvl>
  </w:abstractNum>
  <w:abstractNum w:abstractNumId="339">
    <w:nsid w:val="1CD484D5"/>
    <w:multiLevelType w:val="hybridMultilevel"/>
    <w:lvl w:ilvl="0">
      <w:lvlJc w:val="left"/>
      <w:lvlText w:val="(%1)"/>
      <w:numFmt w:val="lowerLetter"/>
      <w:start w:val="26"/>
    </w:lvl>
  </w:abstractNum>
  <w:abstractNum w:abstractNumId="340">
    <w:nsid w:val="21D06255"/>
    <w:multiLevelType w:val="hybridMultilevel"/>
    <w:lvl w:ilvl="0">
      <w:lvlJc w:val="left"/>
      <w:lvlText w:val="2"/>
      <w:numFmt w:val="bullet"/>
      <w:start w:val="1"/>
    </w:lvl>
  </w:abstractNum>
  <w:abstractNum w:abstractNumId="341">
    <w:nsid w:val="51194ED1"/>
    <w:multiLevelType w:val="hybridMultilevel"/>
    <w:lvl w:ilvl="0">
      <w:lvlJc w:val="left"/>
      <w:lvlText w:val="(%1)"/>
      <w:numFmt w:val="lowerLetter"/>
      <w:start w:val="26"/>
    </w:lvl>
  </w:abstractNum>
  <w:abstractNum w:abstractNumId="342">
    <w:nsid w:val="44E2ED6C"/>
    <w:multiLevelType w:val="hybridMultilevel"/>
    <w:lvl w:ilvl="0">
      <w:lvlJc w:val="left"/>
      <w:lvlText w:val="2"/>
      <w:numFmt w:val="bullet"/>
      <w:start w:val="1"/>
    </w:lvl>
  </w:abstractNum>
  <w:abstractNum w:abstractNumId="343">
    <w:nsid w:val="2219B33"/>
    <w:multiLevelType w:val="hybridMultilevel"/>
    <w:lvl w:ilvl="0">
      <w:lvlJc w:val="left"/>
      <w:lvlText w:val="(%1)"/>
      <w:numFmt w:val="lowerLetter"/>
      <w:start w:val="26"/>
    </w:lvl>
  </w:abstractNum>
  <w:abstractNum w:abstractNumId="344">
    <w:nsid w:val="773BFBDD"/>
    <w:multiLevelType w:val="hybridMultilevel"/>
    <w:lvl w:ilvl="0">
      <w:lvlJc w:val="left"/>
      <w:lvlText w:val="3"/>
      <w:numFmt w:val="bullet"/>
      <w:start w:val="1"/>
    </w:lvl>
  </w:abstractNum>
  <w:abstractNum w:abstractNumId="345">
    <w:nsid w:val="2C7C62C2"/>
    <w:multiLevelType w:val="hybridMultilevel"/>
    <w:lvl w:ilvl="0">
      <w:lvlJc w:val="left"/>
      <w:lvlText w:val="(%1)"/>
      <w:numFmt w:val="lowerLetter"/>
      <w:start w:val="1"/>
    </w:lvl>
    <w:lvl w:ilvl="1">
      <w:lvlJc w:val="left"/>
      <w:lvlText w:val="•"/>
      <w:numFmt w:val="bullet"/>
      <w:start w:val="1"/>
    </w:lvl>
  </w:abstractNum>
  <w:abstractNum w:abstractNumId="346">
    <w:nsid w:val="1A54D7BC"/>
    <w:multiLevelType w:val="hybridMultilevel"/>
    <w:lvl w:ilvl="0">
      <w:lvlJc w:val="left"/>
      <w:lvlText w:val="3"/>
      <w:numFmt w:val="bullet"/>
      <w:start w:val="1"/>
    </w:lvl>
  </w:abstractNum>
  <w:abstractNum w:abstractNumId="347">
    <w:nsid w:val="42E57EF7"/>
    <w:multiLevelType w:val="hybridMultilevel"/>
    <w:lvl w:ilvl="0">
      <w:lvlJc w:val="left"/>
      <w:lvlText w:val="(%1)"/>
      <w:numFmt w:val="lowerLetter"/>
      <w:start w:val="1"/>
    </w:lvl>
  </w:abstractNum>
  <w:abstractNum w:abstractNumId="348">
    <w:nsid w:val="33537CED"/>
    <w:multiLevelType w:val="hybridMultilevel"/>
    <w:lvl w:ilvl="0">
      <w:lvlJc w:val="left"/>
      <w:lvlText w:val="•"/>
      <w:numFmt w:val="bullet"/>
      <w:start w:val="1"/>
    </w:lvl>
  </w:abstractNum>
  <w:abstractNum w:abstractNumId="349">
    <w:nsid w:val="27514ADE"/>
    <w:multiLevelType w:val="hybridMultilevel"/>
    <w:lvl w:ilvl="0">
      <w:lvlJc w:val="left"/>
      <w:lvlText w:val="3"/>
      <w:numFmt w:val="bullet"/>
      <w:start w:val="1"/>
    </w:lvl>
  </w:abstractNum>
  <w:abstractNum w:abstractNumId="350">
    <w:nsid w:val="57071613"/>
    <w:multiLevelType w:val="hybridMultilevel"/>
    <w:lvl w:ilvl="0">
      <w:lvlJc w:val="left"/>
      <w:lvlText w:val="(%1)"/>
      <w:numFmt w:val="lowerLetter"/>
      <w:start w:val="1"/>
    </w:lvl>
  </w:abstractNum>
  <w:abstractNum w:abstractNumId="351">
    <w:nsid w:val="5293BFEF"/>
    <w:multiLevelType w:val="hybridMultilevel"/>
    <w:lvl w:ilvl="0">
      <w:lvlJc w:val="left"/>
      <w:lvlText w:val="3"/>
      <w:numFmt w:val="bullet"/>
      <w:start w:val="1"/>
    </w:lvl>
  </w:abstractNum>
  <w:abstractNum w:abstractNumId="352">
    <w:nsid w:val="38BF53E5"/>
    <w:multiLevelType w:val="hybridMultilevel"/>
    <w:lvl w:ilvl="0">
      <w:lvlJc w:val="left"/>
      <w:lvlText w:val="(%1)"/>
      <w:numFmt w:val="lowerLetter"/>
      <w:start w:val="2"/>
    </w:lvl>
  </w:abstractNum>
  <w:abstractNum w:abstractNumId="353">
    <w:nsid w:val="226F5320"/>
    <w:multiLevelType w:val="hybridMultilevel"/>
    <w:lvl w:ilvl="0">
      <w:lvlJc w:val="left"/>
      <w:lvlText w:val="(%1)"/>
      <w:numFmt w:val="lowerRoman"/>
      <w:start w:val="1"/>
    </w:lvl>
  </w:abstractNum>
  <w:abstractNum w:abstractNumId="354">
    <w:nsid w:val="5A0201C7"/>
    <w:multiLevelType w:val="hybridMultilevel"/>
    <w:lvl w:ilvl="0">
      <w:lvlJc w:val="left"/>
      <w:lvlText w:val="(%1)"/>
      <w:numFmt w:val="lowerRoman"/>
      <w:start w:val="2"/>
    </w:lvl>
  </w:abstractNum>
  <w:abstractNum w:abstractNumId="355">
    <w:nsid w:val="2A9C34E2"/>
    <w:multiLevelType w:val="hybridMultilevel"/>
    <w:lvl w:ilvl="0">
      <w:lvlJc w:val="left"/>
      <w:lvlText w:val="3"/>
      <w:numFmt w:val="bullet"/>
      <w:start w:val="1"/>
    </w:lvl>
  </w:abstractNum>
  <w:abstractNum w:abstractNumId="356">
    <w:nsid w:val="1B7585AB"/>
    <w:multiLevelType w:val="hybridMultilevel"/>
    <w:lvl w:ilvl="0">
      <w:lvlJc w:val="left"/>
      <w:lvlText w:val="(%1)"/>
      <w:numFmt w:val="lowerLetter"/>
      <w:start w:val="3"/>
    </w:lvl>
  </w:abstractNum>
  <w:abstractNum w:abstractNumId="357">
    <w:nsid w:val="612DBDDD"/>
    <w:multiLevelType w:val="hybridMultilevel"/>
    <w:lvl w:ilvl="0">
      <w:lvlJc w:val="left"/>
      <w:lvlText w:val="4"/>
      <w:numFmt w:val="bullet"/>
      <w:start w:val="1"/>
    </w:lvl>
  </w:abstractNum>
  <w:abstractNum w:abstractNumId="358">
    <w:nsid w:val="2109CDA4"/>
    <w:multiLevelType w:val="hybridMultilevel"/>
    <w:lvl w:ilvl="0">
      <w:lvlJc w:val="left"/>
      <w:lvlText w:val="6"/>
      <w:numFmt w:val="bullet"/>
      <w:start w:val="1"/>
    </w:lvl>
  </w:abstractNum>
  <w:abstractNum w:abstractNumId="359">
    <w:nsid w:val="577F5A4D"/>
    <w:multiLevelType w:val="hybridMultilevel"/>
    <w:lvl w:ilvl="0">
      <w:lvlJc w:val="left"/>
      <w:lvlText w:val="7"/>
      <w:numFmt w:val="bullet"/>
      <w:start w:val="1"/>
    </w:lvl>
  </w:abstractNum>
  <w:abstractNum w:abstractNumId="360">
    <w:nsid w:val="2121A81"/>
    <w:multiLevelType w:val="hybridMultilevel"/>
    <w:lvl w:ilvl="0">
      <w:lvlJc w:val="left"/>
      <w:lvlText w:val="8"/>
      <w:numFmt w:val="bullet"/>
      <w:start w:val="1"/>
    </w:lvl>
  </w:abstractNum>
  <w:abstractNum w:abstractNumId="361">
    <w:nsid w:val="6C2CFC88"/>
    <w:multiLevelType w:val="hybridMultilevel"/>
    <w:lvl w:ilvl="0">
      <w:lvlJc w:val="left"/>
      <w:lvlText w:val="9"/>
      <w:numFmt w:val="bullet"/>
      <w:start w:val="1"/>
    </w:lvl>
  </w:abstractNum>
  <w:abstractNum w:abstractNumId="362">
    <w:nsid w:val="6D1BCF1C"/>
    <w:multiLevelType w:val="hybridMultilevel"/>
    <w:lvl w:ilvl="0">
      <w:lvlJc w:val="left"/>
      <w:lvlText w:val="%1"/>
      <w:numFmt w:val="decimal"/>
      <w:start w:val="10"/>
    </w:lvl>
  </w:abstractNum>
  <w:abstractNum w:abstractNumId="363">
    <w:nsid w:val="4CE5CA53"/>
    <w:multiLevelType w:val="hybridMultilevel"/>
    <w:lvl w:ilvl="0">
      <w:lvlJc w:val="left"/>
      <w:lvlText w:val="%1"/>
      <w:numFmt w:val="decimal"/>
      <w:start w:val="10"/>
    </w:lvl>
  </w:abstractNum>
  <w:abstractNum w:abstractNumId="364">
    <w:nsid w:val="29262D1A"/>
    <w:multiLevelType w:val="hybridMultilevel"/>
    <w:lvl w:ilvl="0">
      <w:lvlJc w:val="left"/>
      <w:lvlText w:val="%1"/>
      <w:numFmt w:val="decimal"/>
      <w:start w:val="12"/>
    </w:lvl>
  </w:abstractNum>
  <w:abstractNum w:abstractNumId="365">
    <w:nsid w:val="557FB7EE"/>
    <w:multiLevelType w:val="hybridMultilevel"/>
    <w:lvl w:ilvl="0">
      <w:lvlJc w:val="left"/>
      <w:lvlText w:val="%1"/>
      <w:numFmt w:val="decimal"/>
      <w:start w:val="12"/>
    </w:lvl>
  </w:abstractNum>
  <w:abstractNum w:abstractNumId="366">
    <w:nsid w:val="436F2BEB"/>
    <w:multiLevelType w:val="hybridMultilevel"/>
    <w:lvl w:ilvl="0">
      <w:lvlJc w:val="left"/>
      <w:lvlText w:val="(%1)"/>
      <w:numFmt w:val="lowerLetter"/>
      <w:start w:val="1"/>
    </w:lvl>
  </w:abstractNum>
  <w:abstractNum w:abstractNumId="367">
    <w:nsid w:val="6C8B4466"/>
    <w:multiLevelType w:val="hybridMultilevel"/>
    <w:lvl w:ilvl="0">
      <w:lvlJc w:val="left"/>
      <w:lvlText w:val="(%1)"/>
      <w:numFmt w:val="lowerLetter"/>
      <w:start w:val="1"/>
    </w:lvl>
  </w:abstractNum>
  <w:abstractNum w:abstractNumId="368">
    <w:nsid w:val="2006E424"/>
    <w:multiLevelType w:val="hybridMultilevel"/>
    <w:lvl w:ilvl="0">
      <w:lvlJc w:val="left"/>
      <w:lvlText w:val="(%1)"/>
      <w:numFmt w:val="lowerRoman"/>
      <w:start w:val="1"/>
    </w:lvl>
  </w:abstractNum>
  <w:abstractNum w:abstractNumId="369">
    <w:nsid w:val="20CC134C"/>
    <w:multiLevelType w:val="hybridMultilevel"/>
    <w:lvl w:ilvl="0">
      <w:lvlJc w:val="left"/>
      <w:lvlText w:val="(%1)"/>
      <w:numFmt w:val="lowerLetter"/>
      <w:start w:val="1"/>
    </w:lvl>
    <w:lvl w:ilvl="1">
      <w:lvlJc w:val="left"/>
      <w:lvlText w:val="(%2)"/>
      <w:numFmt w:val="lowerRoman"/>
      <w:start w:val="7"/>
    </w:lvl>
  </w:abstractNum>
  <w:abstractNum w:abstractNumId="370">
    <w:nsid w:val="95FC93B"/>
    <w:multiLevelType w:val="hybridMultilevel"/>
    <w:lvl w:ilvl="0">
      <w:lvlJc w:val="left"/>
      <w:lvlText w:val="(%1)"/>
      <w:numFmt w:val="lowerLetter"/>
      <w:start w:val="1"/>
    </w:lvl>
    <w:lvl w:ilvl="1">
      <w:lvlJc w:val="left"/>
      <w:lvlText w:val="(%2)"/>
      <w:numFmt w:val="lowerRoman"/>
      <w:start w:val="18"/>
    </w:lvl>
  </w:abstractNum>
  <w:abstractNum w:abstractNumId="371">
    <w:nsid w:val="41D74679"/>
    <w:multiLevelType w:val="hybridMultilevel"/>
    <w:lvl w:ilvl="0">
      <w:lvlJc w:val="left"/>
      <w:lvlText w:val="(%1)"/>
      <w:numFmt w:val="lowerLetter"/>
      <w:start w:val="1"/>
    </w:lvl>
  </w:abstractNum>
  <w:abstractNum w:abstractNumId="372">
    <w:nsid w:val="71E5621E"/>
    <w:multiLevelType w:val="hybridMultilevel"/>
    <w:lvl w:ilvl="0">
      <w:lvlJc w:val="left"/>
      <w:lvlText w:val="(%1)"/>
      <w:numFmt w:val="lowerRoman"/>
      <w:start w:val="1"/>
    </w:lvl>
  </w:abstractNum>
  <w:abstractNum w:abstractNumId="373">
    <w:nsid w:val="4E42B6A8"/>
    <w:multiLevelType w:val="hybridMultilevel"/>
    <w:lvl w:ilvl="0">
      <w:lvlJc w:val="left"/>
      <w:lvlText w:val="(%1)"/>
      <w:numFmt w:val="lowerRoman"/>
      <w:start w:val="1"/>
    </w:lvl>
  </w:abstractNum>
  <w:abstractNum w:abstractNumId="374">
    <w:nsid w:val="43F8E1AC"/>
    <w:multiLevelType w:val="hybridMultilevel"/>
    <w:lvl w:ilvl="0">
      <w:lvlJc w:val="left"/>
      <w:lvlText w:val="(%1)"/>
      <w:numFmt w:val="lowerRoman"/>
      <w:start w:val="3"/>
    </w:lvl>
  </w:abstractNum>
  <w:abstractNum w:abstractNumId="375">
    <w:nsid w:val="69215DFB"/>
    <w:multiLevelType w:val="hybridMultilevel"/>
    <w:lvl w:ilvl="0">
      <w:lvlJc w:val="left"/>
      <w:lvlText w:val="%1"/>
      <w:numFmt w:val="decimal"/>
      <w:start w:val="14"/>
    </w:lvl>
    <w:lvl w:ilvl="1">
      <w:lvlJc w:val="left"/>
      <w:lvlText w:val="(%2)"/>
      <w:numFmt w:val="lowerLetter"/>
      <w:start w:val="1"/>
    </w:lvl>
  </w:abstractNum>
  <w:abstractNum w:abstractNumId="376">
    <w:nsid w:val="7ABF196A"/>
    <w:multiLevelType w:val="hybridMultilevel"/>
    <w:lvl w:ilvl="0">
      <w:lvlJc w:val="left"/>
      <w:lvlText w:val="%1"/>
      <w:numFmt w:val="decimal"/>
      <w:start w:val="14"/>
    </w:lvl>
  </w:abstractNum>
  <w:abstractNum w:abstractNumId="377">
    <w:nsid w:val="5E4DB968"/>
    <w:multiLevelType w:val="hybridMultilevel"/>
    <w:lvl w:ilvl="0">
      <w:lvlJc w:val="left"/>
      <w:lvlText w:val="(%1)"/>
      <w:numFmt w:val="lowerLetter"/>
      <w:start w:val="1"/>
    </w:lvl>
  </w:abstractNum>
  <w:abstractNum w:abstractNumId="378">
    <w:nsid w:val="2C06DCF3"/>
    <w:multiLevelType w:val="hybridMultilevel"/>
    <w:lvl w:ilvl="0">
      <w:lvlJc w:val="left"/>
      <w:lvlText w:val="(%1)"/>
      <w:numFmt w:val="lowerLetter"/>
      <w:start w:val="1"/>
    </w:lvl>
  </w:abstractNum>
  <w:abstractNum w:abstractNumId="379">
    <w:nsid w:val="2E129658"/>
    <w:multiLevelType w:val="hybridMultilevel"/>
    <w:lvl w:ilvl="0">
      <w:lvlJc w:val="left"/>
      <w:lvlText w:val="(%1)"/>
      <w:numFmt w:val="lowerLetter"/>
      <w:start w:val="2"/>
    </w:lvl>
  </w:abstractNum>
  <w:abstractNum w:abstractNumId="380">
    <w:nsid w:val="59F0446"/>
    <w:multiLevelType w:val="hybridMultilevel"/>
    <w:lvl w:ilvl="0">
      <w:lvlJc w:val="left"/>
      <w:lvlText w:val="%1"/>
      <w:numFmt w:val="decimal"/>
      <w:start w:val="17"/>
    </w:lvl>
  </w:abstractNum>
  <w:abstractNum w:abstractNumId="381">
    <w:nsid w:val="30DF306"/>
    <w:multiLevelType w:val="hybridMultilevel"/>
    <w:lvl w:ilvl="0">
      <w:lvlJc w:val="left"/>
      <w:lvlText w:val="(%1)"/>
      <w:numFmt w:val="decimal"/>
      <w:start w:val="2"/>
    </w:lvl>
  </w:abstractNum>
  <w:abstractNum w:abstractNumId="382">
    <w:nsid w:val="A65647"/>
    <w:multiLevelType w:val="hybridMultilevel"/>
    <w:lvl w:ilvl="0">
      <w:lvlJc w:val="left"/>
      <w:lvlText w:val="1"/>
      <w:numFmt w:val="bullet"/>
      <w:start w:val="1"/>
    </w:lvl>
  </w:abstractNum>
  <w:abstractNum w:abstractNumId="383">
    <w:nsid w:val="3E5E582B"/>
    <w:multiLevelType w:val="hybridMultilevel"/>
    <w:lvl w:ilvl="0">
      <w:lvlJc w:val="left"/>
      <w:lvlText w:val="2"/>
      <w:numFmt w:val="bullet"/>
      <w:start w:val="1"/>
    </w:lvl>
  </w:abstractNum>
  <w:abstractNum w:abstractNumId="384">
    <w:nsid w:val="257D4626"/>
    <w:multiLevelType w:val="hybridMultilevel"/>
    <w:lvl w:ilvl="0">
      <w:lvlJc w:val="left"/>
      <w:lvlText w:val="3"/>
      <w:numFmt w:val="bullet"/>
      <w:start w:val="1"/>
    </w:lvl>
  </w:abstractNum>
  <w:abstractNum w:abstractNumId="385">
    <w:nsid w:val="5AA8580E"/>
    <w:multiLevelType w:val="hybridMultilevel"/>
    <w:lvl w:ilvl="0">
      <w:lvlJc w:val="left"/>
      <w:lvlText w:val="4"/>
      <w:numFmt w:val="bullet"/>
      <w:start w:val="1"/>
    </w:lvl>
  </w:abstractNum>
  <w:abstractNum w:abstractNumId="386">
    <w:nsid w:val="68FA8D0D"/>
    <w:multiLevelType w:val="hybridMultilevel"/>
    <w:lvl w:ilvl="0">
      <w:lvlJc w:val="left"/>
      <w:lvlText w:val="†"/>
      <w:numFmt w:val="bullet"/>
      <w:start w:val="1"/>
    </w:lvl>
  </w:abstractNum>
  <w:abstractNum w:abstractNumId="387">
    <w:nsid w:val="40F2CBD2"/>
    <w:multiLevelType w:val="hybridMultilevel"/>
    <w:lvl w:ilvl="0">
      <w:lvlJc w:val="left"/>
      <w:lvlText w:val="*"/>
      <w:numFmt w:val="bullet"/>
      <w:start w:val="1"/>
    </w:lvl>
  </w:abstractNum>
  <w:abstractNum w:abstractNumId="388">
    <w:nsid w:val="3BD615EB"/>
    <w:multiLevelType w:val="hybridMultilevel"/>
    <w:lvl w:ilvl="0">
      <w:lvlJc w:val="left"/>
      <w:lvlText w:val="(%1)"/>
      <w:numFmt w:val="decimal"/>
      <w:start w:val="1"/>
    </w:lvl>
  </w:abstractNum>
  <w:abstractNum w:abstractNumId="389">
    <w:nsid w:val="A045A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45"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24" Type="http://schemas.openxmlformats.org/officeDocument/2006/relationships/hyperlink" Target="http://www.sec.gov/Archives/edgar/data/1697818/000119312517315220/d347875dex31.htm" TargetMode="External"/><Relationship Id="rId525" Type="http://schemas.openxmlformats.org/officeDocument/2006/relationships/hyperlink" Target="http://www.sec.gov/Archives/edgar/data/1697818/000119312517315220/d347875dex32.htm" TargetMode="External"/><Relationship Id="rId526" Type="http://schemas.openxmlformats.org/officeDocument/2006/relationships/hyperlink" Target="http://www.sec.gov/Archives/edgar/data/1697818/000119312517358756/d347875dex43.htm" TargetMode="External"/><Relationship Id="rId527" Type="http://schemas.openxmlformats.org/officeDocument/2006/relationships/hyperlink" Target="http://www.sec.gov/Archives/edgar/data/1697818/000119312517315220/d347875dex42.htm" TargetMode="External"/><Relationship Id="rId528" Type="http://schemas.openxmlformats.org/officeDocument/2006/relationships/hyperlink" Target="http://www.sec.gov/Archives/edgar/data/1697818/000119312517315220/d347875dex51.htm" TargetMode="External"/><Relationship Id="rId529" Type="http://schemas.openxmlformats.org/officeDocument/2006/relationships/hyperlink" Target="http://www.sec.gov/Archives/edgar/data/1697818/000119312517315220/d347875dex992.htm" TargetMode="External"/><Relationship Id="rId530" Type="http://schemas.openxmlformats.org/officeDocument/2006/relationships/hyperlink" Target="http://www.sec.gov/Archives/edgar/data/1697818/000119312517315220/d347875dex101.htm" TargetMode="External"/><Relationship Id="rId531" Type="http://schemas.openxmlformats.org/officeDocument/2006/relationships/hyperlink" Target="http://www.sec.gov/Archives/edgar/data/1697818/000119312517315220/d347875dex102.htm" TargetMode="External"/><Relationship Id="rId532" Type="http://schemas.openxmlformats.org/officeDocument/2006/relationships/hyperlink" Target="http://www.sec.gov/Archives/edgar/data/1697818/000119312517315220/d347875dex103.htm" TargetMode="External"/><Relationship Id="rId533" Type="http://schemas.openxmlformats.org/officeDocument/2006/relationships/hyperlink" Target="http://www.sec.gov/Archives/edgar/data/1697818/000119312517315220/d347875dex104.htm" TargetMode="External"/><Relationship Id="rId534" Type="http://schemas.openxmlformats.org/officeDocument/2006/relationships/hyperlink" Target="http://www.sec.gov/Archives/edgar/data/1697818/000119312517315220/d347875dex105.htm" TargetMode="External"/><Relationship Id="rId535" Type="http://schemas.openxmlformats.org/officeDocument/2006/relationships/hyperlink" Target="http://www.sec.gov/Archives/edgar/data/1697818/000119312517315220/d347875dex106.htm" TargetMode="External"/><Relationship Id="rId536" Type="http://schemas.openxmlformats.org/officeDocument/2006/relationships/hyperlink" Target="http://www.sec.gov/Archives/edgar/data/1697818/000119312517315220/d347875dex107.htm" TargetMode="External"/><Relationship Id="rId537" Type="http://schemas.openxmlformats.org/officeDocument/2006/relationships/hyperlink" Target="http://www.sec.gov/Archives/edgar/data/1697818/000119312517315220/d347875dex108.htm" TargetMode="External"/><Relationship Id="rId538" Type="http://schemas.openxmlformats.org/officeDocument/2006/relationships/hyperlink" Target="http://www.sec.gov/Archives/edgar/data/1697818/000119312517315220/d347875dex109.htm" TargetMode="External"/><Relationship Id="rId539" Type="http://schemas.openxmlformats.org/officeDocument/2006/relationships/hyperlink" Target="http://www.sec.gov/Archives/edgar/data/1697818/000119312517315220/d347875dex1010.htm" TargetMode="External"/><Relationship Id="rId540" Type="http://schemas.openxmlformats.org/officeDocument/2006/relationships/hyperlink" Target="http://www.sec.gov/Archives/edgar/data/1697818/000119312517315220/d347875dex1011.htm" TargetMode="External"/><Relationship Id="rId541" Type="http://schemas.openxmlformats.org/officeDocument/2006/relationships/hyperlink" Target="http://www.sec.gov/Archives/edgar/data/1697818/000119312517315220/d347875dex1012.htm" TargetMode="External"/><Relationship Id="rId542" Type="http://schemas.openxmlformats.org/officeDocument/2006/relationships/hyperlink" Target="http://www.sec.gov/Archives/edgar/data/1697818/000119312517315220/d347875dex1013.htm" TargetMode="External"/><Relationship Id="rId543" Type="http://schemas.openxmlformats.org/officeDocument/2006/relationships/hyperlink" Target="http://www.sec.gov/Archives/edgar/data/1697818/000119312517315220/d347875dex211.htm" TargetMode="External"/><Relationship Id="rId544" Type="http://schemas.openxmlformats.org/officeDocument/2006/relationships/hyperlink" Target="http://www.sec.gov/Archives/edgar/data/1697818/000119312517315220/d347875dex234.htm" TargetMode="External"/><Relationship Id="rId546" Type="http://schemas.openxmlformats.org/officeDocument/2006/relationships/hyperlink" Target="http://www.sec.gov/Archives/edgar/data/1697818/000119312517315220/d347875dex235.htm" TargetMode="External"/><Relationship Id="rId547" Type="http://schemas.openxmlformats.org/officeDocument/2006/relationships/hyperlink" Target="http://www.sec.gov/Archives/edgar/data/1697818/000119312517315220/d347875dex236.htm" TargetMode="External"/><Relationship Id="rId548" Type="http://schemas.openxmlformats.org/officeDocument/2006/relationships/hyperlink" Target="http://www.sec.gov/Archives/edgar/data/1697818/000119312517315220/d347875df1.htm#ii347875_1" TargetMode="External"/><Relationship Id="rId549" Type="http://schemas.openxmlformats.org/officeDocument/2006/relationships/hyperlink" Target="http://www.sec.gov/Archives/edgar/data/1697818/000119312517315220/d347875dex991.htm" TargetMode="External"/><Relationship Id="rId550" Type="http://schemas.openxmlformats.org/officeDocument/2006/relationships/hyperlink" Target="http://www.sec.gov/Archives/edgar/data/1697818/000119312517315220/d34787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2019-12-08T07:01:36Z</dcterms:created>
  <dcterms:modified xsi:type="dcterms:W3CDTF">2019-12-08T07:01:36Z</dcterms:modified>
</cp:coreProperties>
</file>