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October 2022</w:t>
      </w:r>
    </w:p>
    <w:p>
      <w:pPr>
        <w:spacing w:after="0" w:line="21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001-38313</w:t>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iClick Interactive Asia Group Limited</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3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10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8"/>
              </w:rPr>
              <w:t>Press release</w:t>
            </w:r>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452755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16"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Zhang</w:t>
            </w:r>
          </w:p>
        </w:tc>
      </w:tr>
      <w:tr>
        <w:trPr>
          <w:trHeight w:val="179"/>
        </w:trPr>
        <w:tc>
          <w:tcPr>
            <w:tcW w:w="7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David Zhang</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31, 2022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3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290830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iClick Interactive Announces ADS Ratio Change</w:t>
      </w:r>
    </w:p>
    <w:p>
      <w:pPr>
        <w:spacing w:after="0" w:line="212" w:lineRule="exact"/>
        <w:rPr>
          <w:sz w:val="20"/>
          <w:szCs w:val="20"/>
          <w:color w:val="auto"/>
        </w:rPr>
      </w:pPr>
    </w:p>
    <w:p>
      <w:pPr>
        <w:jc w:val="both"/>
        <w:ind w:left="20" w:hanging="1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HONG KONG </w:t>
      </w:r>
      <w:r>
        <w:rPr>
          <w:rFonts w:ascii="Times New Roman" w:cs="Times New Roman" w:eastAsia="Times New Roman" w:hAnsi="Times New Roman"/>
          <w:sz w:val="19"/>
          <w:szCs w:val="19"/>
          <w:color w:val="auto"/>
        </w:rPr>
        <w:t>— Oct. 31, 2022 — iClick Interactive Asia Group Limited (“iClick” or “the Company”) (NASDAQ: ICLK), a leading enterprise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cloud platform in China that empowers worldwide brands with full-stack consumer lifecycle solutions, today announced that it will change the ratio of the American depositary shares (“ADSs”) representing its Class A ordinary shares from one (1) ADS representing one-half (1/2) of one Class A ordinary share to one (1) ADS representing five (5) Class A ordinary shares.</w:t>
      </w:r>
    </w:p>
    <w:p>
      <w:pPr>
        <w:spacing w:after="0" w:line="185" w:lineRule="exact"/>
        <w:rPr>
          <w:sz w:val="20"/>
          <w:szCs w:val="20"/>
          <w:color w:val="auto"/>
        </w:rPr>
      </w:pPr>
    </w:p>
    <w:p>
      <w:pPr>
        <w:jc w:val="both"/>
        <w:ind w:left="20" w:hanging="11"/>
        <w:spacing w:after="0" w:line="241" w:lineRule="auto"/>
        <w:rPr>
          <w:sz w:val="20"/>
          <w:szCs w:val="20"/>
          <w:color w:val="auto"/>
        </w:rPr>
      </w:pPr>
      <w:r>
        <w:rPr>
          <w:rFonts w:ascii="Times New Roman" w:cs="Times New Roman" w:eastAsia="Times New Roman" w:hAnsi="Times New Roman"/>
          <w:sz w:val="19"/>
          <w:szCs w:val="19"/>
          <w:color w:val="auto"/>
        </w:rPr>
        <w:t>For the ADS holders, the change in the ADS ratio will have the same effect as a one-for-ten reverse ADS split. There will be no change to the Company’s Class A ordinary shares. The effect of the ratio change on the ADS trading price on Nasdaq is expected to take place at the open of trading on November 14, 2022 (U.S. Eastern Time). ADS holders of record on the effective date will not be required to take any action in connection with the ADS ratio change. The exchange of every ten (10) then-held ADSs for one (1) new ADS will occur automatically with the then-held ADSs being cancelled and new ADSs being issued by the depositary bank, in each case as of the effective date for the ADS ratio change. The ADSs will continue to be traded on Nasdaq under the symbol “ICLK.”</w:t>
      </w:r>
    </w:p>
    <w:p>
      <w:pPr>
        <w:spacing w:after="0" w:line="191" w:lineRule="exact"/>
        <w:rPr>
          <w:sz w:val="20"/>
          <w:szCs w:val="20"/>
          <w:color w:val="auto"/>
        </w:rPr>
      </w:pPr>
    </w:p>
    <w:p>
      <w:pPr>
        <w:jc w:val="both"/>
        <w:ind w:left="20" w:hanging="11"/>
        <w:spacing w:after="0" w:line="249" w:lineRule="auto"/>
        <w:rPr>
          <w:sz w:val="20"/>
          <w:szCs w:val="20"/>
          <w:color w:val="auto"/>
        </w:rPr>
      </w:pPr>
      <w:r>
        <w:rPr>
          <w:rFonts w:ascii="Times New Roman" w:cs="Times New Roman" w:eastAsia="Times New Roman" w:hAnsi="Times New Roman"/>
          <w:sz w:val="19"/>
          <w:szCs w:val="19"/>
          <w:color w:val="auto"/>
        </w:rPr>
        <w:t>No fractional new ADSs will be issued in connection with the change in the ADS ratio. Instead, fractional entitlements to new ADSs will be aggregated and sold by the depositary bank and the net cash proceeds from the sale of the fractional ADS entitlements (after deduction of fees, taxes and expenses) will be distributed to the applicable ADS holders by the depositary bank.</w:t>
      </w:r>
    </w:p>
    <w:p>
      <w:pPr>
        <w:spacing w:after="0" w:line="181"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9"/>
          <w:szCs w:val="19"/>
          <w:color w:val="auto"/>
        </w:rPr>
        <w:t>As a result of the change in the ADS ratio, the ADS price is expected to increase proportionally, although the Company can give no assurance that the ADS price after the change in the ADS ratio will be equal to or greater than ten (10) times the ADS price before the change.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19"/>
          <w:szCs w:val="19"/>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419100</wp:posOffset>
            </wp:positionV>
            <wp:extent cx="71824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8"/>
        </w:trPr>
        <w:tc>
          <w:tcPr>
            <w:tcW w:w="4960" w:type="dxa"/>
            <w:vAlign w:val="bottom"/>
          </w:tcPr>
          <w:p>
            <w:pPr>
              <w:spacing w:after="0"/>
              <w:rPr>
                <w:sz w:val="20"/>
                <w:szCs w:val="20"/>
                <w:color w:val="auto"/>
              </w:rPr>
            </w:pPr>
            <w:r>
              <w:rPr>
                <w:rFonts w:ascii="Calibri" w:cs="Calibri" w:eastAsia="Calibri" w:hAnsi="Calibri"/>
                <w:sz w:val="19"/>
                <w:szCs w:val="19"/>
                <w:b w:val="1"/>
                <w:bCs w:val="1"/>
                <w:color w:val="auto"/>
              </w:rPr>
              <w:t>In China:</w:t>
            </w:r>
          </w:p>
        </w:tc>
        <w:tc>
          <w:tcPr>
            <w:tcW w:w="3020" w:type="dxa"/>
            <w:vAlign w:val="bottom"/>
            <w:gridSpan w:val="2"/>
          </w:tcPr>
          <w:p>
            <w:pPr>
              <w:ind w:left="1080"/>
              <w:spacing w:after="0"/>
              <w:rPr>
                <w:sz w:val="20"/>
                <w:szCs w:val="20"/>
                <w:color w:val="auto"/>
              </w:rPr>
            </w:pPr>
            <w:r>
              <w:rPr>
                <w:rFonts w:ascii="Calibri" w:cs="Calibri" w:eastAsia="Calibri" w:hAnsi="Calibri"/>
                <w:sz w:val="19"/>
                <w:szCs w:val="19"/>
                <w:b w:val="1"/>
                <w:bCs w:val="1"/>
                <w:color w:val="auto"/>
              </w:rPr>
              <w:t>In the United States:</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b w:val="1"/>
                <w:bCs w:val="1"/>
                <w:color w:val="auto"/>
              </w:rPr>
              <w:t>iClick Interactve Asia Group Limited</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b w:val="1"/>
                <w:bCs w:val="1"/>
                <w:color w:val="auto"/>
              </w:rPr>
              <w:t>Core IR</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Lisa Li</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Tom Caden</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Phone: +86-21-3230-3931 #866</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Tel: +1-516-222-2560</w:t>
            </w:r>
          </w:p>
        </w:tc>
      </w:tr>
      <w:tr>
        <w:trPr>
          <w:trHeight w:val="195"/>
        </w:trPr>
        <w:tc>
          <w:tcPr>
            <w:tcW w:w="4960" w:type="dxa"/>
            <w:vAlign w:val="bottom"/>
          </w:tcPr>
          <w:p>
            <w:pPr>
              <w:spacing w:after="0" w:line="195" w:lineRule="exact"/>
              <w:rPr>
                <w:sz w:val="20"/>
                <w:szCs w:val="20"/>
                <w:color w:val="auto"/>
              </w:rPr>
            </w:pPr>
            <w:r>
              <w:rPr>
                <w:rFonts w:ascii="Calibri" w:cs="Calibri" w:eastAsia="Calibri" w:hAnsi="Calibri"/>
                <w:sz w:val="19"/>
                <w:szCs w:val="19"/>
                <w:color w:val="auto"/>
              </w:rPr>
              <w:t>E-mail: ir@i-click.com</w:t>
            </w:r>
          </w:p>
        </w:tc>
        <w:tc>
          <w:tcPr>
            <w:tcW w:w="3020" w:type="dxa"/>
            <w:vAlign w:val="bottom"/>
            <w:gridSpan w:val="2"/>
          </w:tcPr>
          <w:p>
            <w:pPr>
              <w:ind w:left="1080"/>
              <w:spacing w:after="0" w:line="195" w:lineRule="exact"/>
              <w:rPr>
                <w:sz w:val="20"/>
                <w:szCs w:val="20"/>
                <w:color w:val="auto"/>
              </w:rPr>
            </w:pPr>
            <w:r>
              <w:rPr>
                <w:rFonts w:ascii="Calibri" w:cs="Calibri" w:eastAsia="Calibri" w:hAnsi="Calibri"/>
                <w:sz w:val="19"/>
                <w:szCs w:val="19"/>
                <w:color w:val="auto"/>
                <w:w w:val="97"/>
              </w:rPr>
              <w:t>E-mail: tomc@coreir.com</w:t>
            </w:r>
          </w:p>
        </w:tc>
      </w:tr>
      <w:tr>
        <w:trPr>
          <w:trHeight w:val="20"/>
        </w:trPr>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2022-10-31T08:27:48Z</dcterms:created>
  <dcterms:modified xsi:type="dcterms:W3CDTF">2022-10-31T08:27:48Z</dcterms:modified>
</cp:coreProperties>
</file>