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202565</wp:posOffset>
            </wp:positionH>
            <wp:positionV relativeFrom="page">
              <wp:posOffset>276860</wp:posOffset>
            </wp:positionV>
            <wp:extent cx="7143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0" cy="762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SCHEDULE 13G</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iClick Interactive Asia Group Limited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of Issuer)</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Class A ordinary shares, par value of $0.001 per share</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(Title of Class of Securities)</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G47048 106</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(CUSIP Number)</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31 December 2020</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Event Which Requires Filing of this Statement)</w:t>
      </w:r>
    </w:p>
    <w:p>
      <w:pPr>
        <w:spacing w:after="0" w:line="225" w:lineRule="exact"/>
        <w:rPr>
          <w:sz w:val="24"/>
          <w:szCs w:val="24"/>
          <w:color w:val="auto"/>
        </w:rPr>
      </w:pPr>
    </w:p>
    <w:p>
      <w:pPr>
        <w:ind w:left="1"/>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162" w:lineRule="exact"/>
        <w:rPr>
          <w:sz w:val="24"/>
          <w:szCs w:val="24"/>
          <w:color w:val="auto"/>
        </w:rPr>
      </w:pPr>
    </w:p>
    <w:p>
      <w:pPr>
        <w:ind w:left="181" w:hanging="181"/>
        <w:spacing w:after="0"/>
        <w:tabs>
          <w:tab w:leader="none" w:pos="1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13d-1(b)</w:t>
      </w:r>
    </w:p>
    <w:p>
      <w:pPr>
        <w:spacing w:after="0" w:line="162" w:lineRule="exact"/>
        <w:rPr>
          <w:sz w:val="24"/>
          <w:szCs w:val="24"/>
          <w:color w:val="auto"/>
        </w:rPr>
      </w:pPr>
    </w:p>
    <w:p>
      <w:pPr>
        <w:ind w:left="181" w:hanging="181"/>
        <w:spacing w:after="0"/>
        <w:tabs>
          <w:tab w:leader="none" w:pos="18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Rule 13d-1(c)</w:t>
      </w:r>
    </w:p>
    <w:p>
      <w:pPr>
        <w:spacing w:after="0" w:line="162" w:lineRule="exact"/>
        <w:rPr>
          <w:sz w:val="24"/>
          <w:szCs w:val="24"/>
          <w:color w:val="auto"/>
        </w:rPr>
      </w:pPr>
    </w:p>
    <w:p>
      <w:pPr>
        <w:ind w:left="181" w:hanging="181"/>
        <w:spacing w:after="0"/>
        <w:tabs>
          <w:tab w:leader="none" w:pos="181"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Rule 13d-1(d)</w:t>
      </w:r>
    </w:p>
    <w:p>
      <w:pPr>
        <w:spacing w:after="0" w:line="162" w:lineRule="exact"/>
        <w:rPr>
          <w:sz w:val="24"/>
          <w:szCs w:val="24"/>
          <w:color w:val="auto"/>
        </w:rPr>
      </w:pPr>
    </w:p>
    <w:p>
      <w:pPr>
        <w:ind w:left="1" w:hanging="1"/>
        <w:spacing w:after="0" w:line="289" w:lineRule="auto"/>
        <w:tabs>
          <w:tab w:leader="none" w:pos="148"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0" w:lineRule="exact"/>
        <w:rPr>
          <w:sz w:val="24"/>
          <w:szCs w:val="24"/>
          <w:color w:val="auto"/>
        </w:rPr>
      </w:pPr>
    </w:p>
    <w:p>
      <w:pPr>
        <w:ind w:left="1"/>
        <w:spacing w:after="0" w:line="289"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7159625"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764" w:right="339" w:bottom="1440" w:gutter="0" w:footer="0" w:header="0"/>
        </w:sectPr>
      </w:pPr>
    </w:p>
    <w:bookmarkStart w:id="1" w:name="page2"/>
    <w:bookmarkEnd w:id="1"/>
    <w:p>
      <w:pPr>
        <w:ind w:left="40"/>
        <w:spacing w:after="0"/>
        <w:rPr>
          <w:sz w:val="20"/>
          <w:szCs w:val="20"/>
          <w:color w:val="auto"/>
        </w:rPr>
      </w:pPr>
      <w:r>
        <w:rPr>
          <w:rFonts w:ascii="Arial" w:cs="Arial" w:eastAsia="Arial" w:hAnsi="Arial"/>
          <w:sz w:val="16"/>
          <w:szCs w:val="16"/>
          <w:color w:val="auto"/>
        </w:rPr>
        <w:t>CUSIP No: G47048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1437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7620"/>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306705</wp:posOffset>
            </wp:positionV>
            <wp:extent cx="7096760" cy="1693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6760" cy="169354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209"/>
        </w:trPr>
        <w:tc>
          <w:tcPr>
            <w:tcW w:w="640" w:type="dxa"/>
            <w:vAlign w:val="bottom"/>
          </w:tcPr>
          <w:p>
            <w:pPr>
              <w:jc w:val="right"/>
              <w:ind w:right="438"/>
              <w:spacing w:after="0"/>
              <w:rPr>
                <w:sz w:val="20"/>
                <w:szCs w:val="20"/>
                <w:color w:val="auto"/>
              </w:rPr>
            </w:pPr>
            <w:r>
              <w:rPr>
                <w:rFonts w:ascii="Arial" w:cs="Arial" w:eastAsia="Arial" w:hAnsi="Arial"/>
                <w:sz w:val="16"/>
                <w:szCs w:val="16"/>
                <w:color w:val="auto"/>
              </w:rPr>
              <w:t>1</w:t>
            </w:r>
          </w:p>
        </w:tc>
        <w:tc>
          <w:tcPr>
            <w:tcW w:w="7260" w:type="dxa"/>
            <w:vAlign w:val="bottom"/>
          </w:tcPr>
          <w:p>
            <w:pPr>
              <w:ind w:left="520"/>
              <w:spacing w:after="0"/>
              <w:rPr>
                <w:sz w:val="20"/>
                <w:szCs w:val="20"/>
                <w:color w:val="auto"/>
              </w:rPr>
            </w:pPr>
            <w:r>
              <w:rPr>
                <w:rFonts w:ascii="Arial" w:cs="Arial" w:eastAsia="Arial" w:hAnsi="Arial"/>
                <w:sz w:val="16"/>
                <w:szCs w:val="16"/>
                <w:color w:val="auto"/>
              </w:rPr>
              <w:t>NAME OF REPORTING PERSON</w:t>
            </w:r>
          </w:p>
        </w:tc>
        <w:tc>
          <w:tcPr>
            <w:tcW w:w="3260" w:type="dxa"/>
            <w:vAlign w:val="bottom"/>
          </w:tcPr>
          <w:p>
            <w:pPr>
              <w:spacing w:after="0"/>
              <w:rPr>
                <w:sz w:val="18"/>
                <w:szCs w:val="18"/>
                <w:color w:val="auto"/>
              </w:rPr>
            </w:pPr>
          </w:p>
        </w:tc>
      </w:tr>
      <w:tr>
        <w:trPr>
          <w:trHeight w:val="395"/>
        </w:trPr>
        <w:tc>
          <w:tcPr>
            <w:tcW w:w="640" w:type="dxa"/>
            <w:vAlign w:val="bottom"/>
          </w:tcPr>
          <w:p>
            <w:pPr>
              <w:spacing w:after="0"/>
              <w:rPr>
                <w:sz w:val="24"/>
                <w:szCs w:val="24"/>
                <w:color w:val="auto"/>
              </w:rPr>
            </w:pPr>
          </w:p>
        </w:tc>
        <w:tc>
          <w:tcPr>
            <w:tcW w:w="7260" w:type="dxa"/>
            <w:vAlign w:val="bottom"/>
          </w:tcPr>
          <w:p>
            <w:pPr>
              <w:ind w:left="520"/>
              <w:spacing w:after="0"/>
              <w:rPr>
                <w:sz w:val="20"/>
                <w:szCs w:val="20"/>
                <w:color w:val="auto"/>
              </w:rPr>
            </w:pPr>
            <w:r>
              <w:rPr>
                <w:rFonts w:ascii="Arial" w:cs="Arial" w:eastAsia="Arial" w:hAnsi="Arial"/>
                <w:sz w:val="16"/>
                <w:szCs w:val="16"/>
                <w:color w:val="auto"/>
              </w:rPr>
              <w:t>Yam Tak Cheung</w:t>
            </w:r>
          </w:p>
        </w:tc>
        <w:tc>
          <w:tcPr>
            <w:tcW w:w="3260" w:type="dxa"/>
            <w:vAlign w:val="bottom"/>
          </w:tcPr>
          <w:p>
            <w:pPr>
              <w:spacing w:after="0"/>
              <w:rPr>
                <w:sz w:val="24"/>
                <w:szCs w:val="24"/>
                <w:color w:val="auto"/>
              </w:rPr>
            </w:pPr>
          </w:p>
        </w:tc>
      </w:tr>
      <w:tr>
        <w:trPr>
          <w:trHeight w:val="31"/>
        </w:trPr>
        <w:tc>
          <w:tcPr>
            <w:tcW w:w="640" w:type="dxa"/>
            <w:vAlign w:val="bottom"/>
            <w:tcBorders>
              <w:bottom w:val="single" w:sz="8" w:color="auto"/>
            </w:tcBorders>
          </w:tcPr>
          <w:p>
            <w:pPr>
              <w:spacing w:after="0"/>
              <w:rPr>
                <w:sz w:val="2"/>
                <w:szCs w:val="2"/>
                <w:color w:val="auto"/>
              </w:rPr>
            </w:pPr>
          </w:p>
        </w:tc>
        <w:tc>
          <w:tcPr>
            <w:tcW w:w="726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180"/>
        </w:trPr>
        <w:tc>
          <w:tcPr>
            <w:tcW w:w="640" w:type="dxa"/>
            <w:vAlign w:val="bottom"/>
          </w:tcPr>
          <w:p>
            <w:pPr>
              <w:jc w:val="right"/>
              <w:ind w:right="438"/>
              <w:spacing w:after="0" w:line="180" w:lineRule="exact"/>
              <w:rPr>
                <w:sz w:val="20"/>
                <w:szCs w:val="20"/>
                <w:color w:val="auto"/>
              </w:rPr>
            </w:pPr>
            <w:r>
              <w:rPr>
                <w:rFonts w:ascii="Arial" w:cs="Arial" w:eastAsia="Arial" w:hAnsi="Arial"/>
                <w:sz w:val="16"/>
                <w:szCs w:val="16"/>
                <w:color w:val="auto"/>
              </w:rPr>
              <w:t>2</w:t>
            </w:r>
          </w:p>
        </w:tc>
        <w:tc>
          <w:tcPr>
            <w:tcW w:w="7260" w:type="dxa"/>
            <w:vAlign w:val="bottom"/>
          </w:tcPr>
          <w:p>
            <w:pPr>
              <w:ind w:left="520"/>
              <w:spacing w:after="0" w:line="180" w:lineRule="exact"/>
              <w:rPr>
                <w:sz w:val="20"/>
                <w:szCs w:val="20"/>
                <w:color w:val="auto"/>
              </w:rPr>
            </w:pPr>
            <w:r>
              <w:rPr>
                <w:rFonts w:ascii="Arial" w:cs="Arial" w:eastAsia="Arial" w:hAnsi="Arial"/>
                <w:sz w:val="16"/>
                <w:szCs w:val="16"/>
                <w:color w:val="auto"/>
              </w:rPr>
              <w:t>CHECK THE APPROPRIATE BOX IF A MEMBER OF A GROUP</w:t>
            </w:r>
          </w:p>
        </w:tc>
        <w:tc>
          <w:tcPr>
            <w:tcW w:w="3260" w:type="dxa"/>
            <w:vAlign w:val="bottom"/>
          </w:tcPr>
          <w:p>
            <w:pPr>
              <w:ind w:left="2160"/>
              <w:spacing w:after="0" w:line="180"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r>
      <w:tr>
        <w:trPr>
          <w:trHeight w:val="259"/>
        </w:trPr>
        <w:tc>
          <w:tcPr>
            <w:tcW w:w="640" w:type="dxa"/>
            <w:vAlign w:val="bottom"/>
          </w:tcPr>
          <w:p>
            <w:pPr>
              <w:spacing w:after="0"/>
              <w:rPr>
                <w:sz w:val="22"/>
                <w:szCs w:val="22"/>
                <w:color w:val="auto"/>
              </w:rPr>
            </w:pPr>
          </w:p>
        </w:tc>
        <w:tc>
          <w:tcPr>
            <w:tcW w:w="7260" w:type="dxa"/>
            <w:vAlign w:val="bottom"/>
          </w:tcPr>
          <w:p>
            <w:pPr>
              <w:spacing w:after="0"/>
              <w:rPr>
                <w:sz w:val="22"/>
                <w:szCs w:val="22"/>
                <w:color w:val="auto"/>
              </w:rPr>
            </w:pPr>
          </w:p>
        </w:tc>
        <w:tc>
          <w:tcPr>
            <w:tcW w:w="3260" w:type="dxa"/>
            <w:vAlign w:val="bottom"/>
          </w:tcPr>
          <w:p>
            <w:pPr>
              <w:ind w:left="2160"/>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r>
      <w:tr>
        <w:trPr>
          <w:trHeight w:val="208"/>
        </w:trPr>
        <w:tc>
          <w:tcPr>
            <w:tcW w:w="640" w:type="dxa"/>
            <w:vAlign w:val="bottom"/>
            <w:tcBorders>
              <w:bottom w:val="single" w:sz="8" w:color="auto"/>
            </w:tcBorders>
          </w:tcPr>
          <w:p>
            <w:pPr>
              <w:spacing w:after="0"/>
              <w:rPr>
                <w:sz w:val="18"/>
                <w:szCs w:val="18"/>
                <w:color w:val="auto"/>
              </w:rPr>
            </w:pPr>
          </w:p>
        </w:tc>
        <w:tc>
          <w:tcPr>
            <w:tcW w:w="726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r>
      <w:tr>
        <w:trPr>
          <w:trHeight w:val="221"/>
        </w:trPr>
        <w:tc>
          <w:tcPr>
            <w:tcW w:w="640" w:type="dxa"/>
            <w:vAlign w:val="bottom"/>
          </w:tcPr>
          <w:p>
            <w:pPr>
              <w:jc w:val="right"/>
              <w:ind w:right="438"/>
              <w:spacing w:after="0"/>
              <w:rPr>
                <w:sz w:val="20"/>
                <w:szCs w:val="20"/>
                <w:color w:val="auto"/>
              </w:rPr>
            </w:pPr>
            <w:r>
              <w:rPr>
                <w:rFonts w:ascii="Arial" w:cs="Arial" w:eastAsia="Arial" w:hAnsi="Arial"/>
                <w:sz w:val="16"/>
                <w:szCs w:val="16"/>
                <w:color w:val="auto"/>
              </w:rPr>
              <w:t>3</w:t>
            </w:r>
          </w:p>
        </w:tc>
        <w:tc>
          <w:tcPr>
            <w:tcW w:w="7260" w:type="dxa"/>
            <w:vAlign w:val="bottom"/>
          </w:tcPr>
          <w:p>
            <w:pPr>
              <w:ind w:left="520"/>
              <w:spacing w:after="0"/>
              <w:rPr>
                <w:sz w:val="20"/>
                <w:szCs w:val="20"/>
                <w:color w:val="auto"/>
              </w:rPr>
            </w:pPr>
            <w:r>
              <w:rPr>
                <w:rFonts w:ascii="Arial" w:cs="Arial" w:eastAsia="Arial" w:hAnsi="Arial"/>
                <w:sz w:val="16"/>
                <w:szCs w:val="16"/>
                <w:color w:val="auto"/>
              </w:rPr>
              <w:t>SEC USE ONLY</w:t>
            </w:r>
          </w:p>
        </w:tc>
        <w:tc>
          <w:tcPr>
            <w:tcW w:w="3260" w:type="dxa"/>
            <w:vAlign w:val="bottom"/>
          </w:tcPr>
          <w:p>
            <w:pPr>
              <w:spacing w:after="0"/>
              <w:rPr>
                <w:sz w:val="19"/>
                <w:szCs w:val="19"/>
                <w:color w:val="auto"/>
              </w:rPr>
            </w:pPr>
          </w:p>
        </w:tc>
      </w:tr>
    </w:tbl>
    <w:p>
      <w:pPr>
        <w:spacing w:after="0" w:line="200" w:lineRule="exact"/>
        <w:rPr>
          <w:sz w:val="20"/>
          <w:szCs w:val="20"/>
          <w:color w:val="auto"/>
        </w:rPr>
      </w:pPr>
    </w:p>
    <w:p>
      <w:pPr>
        <w:spacing w:after="0" w:line="258" w:lineRule="exact"/>
        <w:rPr>
          <w:sz w:val="20"/>
          <w:szCs w:val="20"/>
          <w:color w:val="auto"/>
        </w:rPr>
      </w:pPr>
    </w:p>
    <w:p>
      <w:pPr>
        <w:ind w:left="1240" w:right="6680" w:hanging="1120"/>
        <w:spacing w:after="0" w:line="547"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CITIZENSHIP OR PLACE OF ORGANIZATION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-6350</wp:posOffset>
            </wp:positionV>
            <wp:extent cx="7096760" cy="1693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6760" cy="1693545"/>
                    </a:xfrm>
                    <a:prstGeom prst="rect">
                      <a:avLst/>
                    </a:prstGeom>
                    <a:noFill/>
                  </pic:spPr>
                </pic:pic>
              </a:graphicData>
            </a:graphic>
          </wp:anchor>
        </w:drawing>
      </w:r>
    </w:p>
    <w:p>
      <w:pPr>
        <w:sectPr>
          <w:pgSz w:w="11900" w:h="16838" w:orient="portrait"/>
          <w:cols w:equalWidth="0" w:num="1">
            <w:col w:w="11280"/>
          </w:cols>
          <w:pgMar w:left="320" w:top="52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auto"/>
        </w:rPr>
        <w:t>NUMBER OF</w:t>
      </w:r>
    </w:p>
    <w:p>
      <w:pPr>
        <w:spacing w:after="0" w:line="25"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auto"/>
        </w:rPr>
        <w:t>SHARES</w:t>
      </w:r>
    </w:p>
    <w:p>
      <w:pPr>
        <w:spacing w:after="0" w:line="14"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auto"/>
        </w:rPr>
        <w:t>BENEFICIALLY OWNED</w:t>
      </w:r>
    </w:p>
    <w:p>
      <w:pPr>
        <w:spacing w:after="0" w:line="14"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auto"/>
        </w:rPr>
        <w:t>BY EACH REPORTING</w:t>
      </w:r>
    </w:p>
    <w:p>
      <w:pPr>
        <w:spacing w:after="0" w:line="14"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auto"/>
        </w:rPr>
        <w:t>PERSON</w:t>
      </w:r>
    </w:p>
    <w:p>
      <w:pPr>
        <w:spacing w:after="0" w:line="14"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auto"/>
        </w:rPr>
        <w:t>WITH</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7</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SOLE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3,299,105.5</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-0-</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3,299,105.5</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auto"/>
        </w:rPr>
        <w:t>SHARED DISPOSITIVE POWER</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-0-</w:t>
      </w:r>
    </w:p>
    <w:p>
      <w:pPr>
        <w:spacing w:after="0" w:line="200" w:lineRule="exact"/>
        <w:rPr>
          <w:sz w:val="20"/>
          <w:szCs w:val="20"/>
          <w:color w:val="auto"/>
        </w:rPr>
      </w:pPr>
    </w:p>
    <w:p>
      <w:pPr>
        <w:sectPr>
          <w:pgSz w:w="11900" w:h="16838" w:orient="portrait"/>
          <w:cols w:equalWidth="0" w:num="3">
            <w:col w:w="2000" w:space="140"/>
            <w:col w:w="80" w:space="360"/>
            <w:col w:w="8700"/>
          </w:cols>
          <w:pgMar w:left="320" w:top="522" w:right="299" w:bottom="1440" w:gutter="0" w:footer="0" w:header="0"/>
          <w:type w:val="continuous"/>
        </w:sectPr>
      </w:pP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0" w:type="dxa"/>
            <w:vAlign w:val="bottom"/>
            <w:tcBorders>
              <w:right w:val="single" w:sz="8" w:color="auto"/>
            </w:tcBorders>
          </w:tcPr>
          <w:p>
            <w:pPr>
              <w:spacing w:after="0"/>
              <w:rPr>
                <w:sz w:val="21"/>
                <w:szCs w:val="21"/>
                <w:color w:val="auto"/>
              </w:rPr>
            </w:pPr>
          </w:p>
        </w:tc>
        <w:tc>
          <w:tcPr>
            <w:tcW w:w="1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9</w:t>
            </w:r>
          </w:p>
        </w:tc>
        <w:tc>
          <w:tcPr>
            <w:tcW w:w="77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AGGREGATE AMOUNT BENEFICIALLY OWNED BY EACH REPORTING PERSON</w:t>
            </w:r>
          </w:p>
        </w:tc>
        <w:tc>
          <w:tcPr>
            <w:tcW w:w="2320" w:type="dxa"/>
            <w:vAlign w:val="bottom"/>
            <w:tcBorders>
              <w:top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395"/>
        </w:trPr>
        <w:tc>
          <w:tcPr>
            <w:tcW w:w="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7700" w:type="dxa"/>
            <w:vAlign w:val="bottom"/>
          </w:tcPr>
          <w:p>
            <w:pPr>
              <w:ind w:left="20"/>
              <w:spacing w:after="0"/>
              <w:rPr>
                <w:sz w:val="20"/>
                <w:szCs w:val="20"/>
                <w:color w:val="auto"/>
              </w:rPr>
            </w:pPr>
            <w:r>
              <w:rPr>
                <w:rFonts w:ascii="Arial" w:cs="Arial" w:eastAsia="Arial" w:hAnsi="Arial"/>
                <w:sz w:val="16"/>
                <w:szCs w:val="16"/>
                <w:color w:val="auto"/>
              </w:rPr>
              <w:t>3,299,105.5</w:t>
            </w:r>
          </w:p>
        </w:tc>
        <w:tc>
          <w:tcPr>
            <w:tcW w:w="2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1"/>
        </w:trPr>
        <w:tc>
          <w:tcPr>
            <w:tcW w:w="100" w:type="dxa"/>
            <w:vAlign w:val="bottom"/>
            <w:tcBorders>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9"/>
        </w:trPr>
        <w:tc>
          <w:tcPr>
            <w:tcW w:w="100" w:type="dxa"/>
            <w:vAlign w:val="bottom"/>
            <w:tcBorders>
              <w:right w:val="single" w:sz="8" w:color="auto"/>
            </w:tcBorders>
          </w:tcPr>
          <w:p>
            <w:pPr>
              <w:spacing w:after="0"/>
              <w:rPr>
                <w:sz w:val="22"/>
                <w:szCs w:val="22"/>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w:t>
            </w:r>
          </w:p>
        </w:tc>
        <w:tc>
          <w:tcPr>
            <w:tcW w:w="7700" w:type="dxa"/>
            <w:vAlign w:val="bottom"/>
          </w:tcPr>
          <w:p>
            <w:pPr>
              <w:ind w:left="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320" w:type="dxa"/>
            <w:vAlign w:val="bottom"/>
            <w:tcBorders>
              <w:right w:val="single" w:sz="8" w:color="auto"/>
            </w:tcBorders>
          </w:tcPr>
          <w:p>
            <w:pPr>
              <w:ind w:left="1220"/>
              <w:spacing w:after="0" w:line="161" w:lineRule="exact"/>
              <w:rPr>
                <w:sz w:val="20"/>
                <w:szCs w:val="20"/>
                <w:color w:val="auto"/>
              </w:rPr>
            </w:pPr>
            <w:r>
              <w:rPr>
                <w:rFonts w:ascii="MS PGothic" w:cs="MS PGothic" w:eastAsia="MS PGothic" w:hAnsi="MS PGothic"/>
                <w:sz w:val="16"/>
                <w:szCs w:val="16"/>
                <w:color w:val="auto"/>
              </w:rPr>
              <w:t>☐</w:t>
            </w:r>
          </w:p>
        </w:tc>
        <w:tc>
          <w:tcPr>
            <w:tcW w:w="40" w:type="dxa"/>
            <w:vAlign w:val="bottom"/>
          </w:tcPr>
          <w:p>
            <w:pPr>
              <w:spacing w:after="0"/>
              <w:rPr>
                <w:sz w:val="22"/>
                <w:szCs w:val="22"/>
                <w:color w:val="auto"/>
              </w:rPr>
            </w:pPr>
          </w:p>
        </w:tc>
      </w:tr>
      <w:tr>
        <w:trPr>
          <w:trHeight w:val="388"/>
        </w:trPr>
        <w:tc>
          <w:tcPr>
            <w:tcW w:w="100" w:type="dxa"/>
            <w:vAlign w:val="bottom"/>
            <w:tcBorders>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7700" w:type="dxa"/>
            <w:vAlign w:val="bottom"/>
            <w:tcBorders>
              <w:bottom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1"/>
        </w:trPr>
        <w:tc>
          <w:tcPr>
            <w:tcW w:w="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w:t>
            </w:r>
          </w:p>
        </w:tc>
        <w:tc>
          <w:tcPr>
            <w:tcW w:w="7700" w:type="dxa"/>
            <w:vAlign w:val="bottom"/>
          </w:tcPr>
          <w:p>
            <w:pPr>
              <w:ind w:left="20"/>
              <w:spacing w:after="0"/>
              <w:rPr>
                <w:sz w:val="20"/>
                <w:szCs w:val="20"/>
                <w:color w:val="auto"/>
              </w:rPr>
            </w:pPr>
            <w:r>
              <w:rPr>
                <w:rFonts w:ascii="Arial" w:cs="Arial" w:eastAsia="Arial" w:hAnsi="Arial"/>
                <w:sz w:val="16"/>
                <w:szCs w:val="16"/>
                <w:color w:val="auto"/>
              </w:rPr>
              <w:t>PERCENT OF CLASS REPRESENTED BY AMOUNT IN ROW (9)</w:t>
            </w:r>
          </w:p>
        </w:tc>
        <w:tc>
          <w:tcPr>
            <w:tcW w:w="23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395"/>
        </w:trPr>
        <w:tc>
          <w:tcPr>
            <w:tcW w:w="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7700" w:type="dxa"/>
            <w:vAlign w:val="bottom"/>
          </w:tcPr>
          <w:p>
            <w:pPr>
              <w:ind w:left="20"/>
              <w:spacing w:after="0"/>
              <w:rPr>
                <w:sz w:val="20"/>
                <w:szCs w:val="20"/>
                <w:color w:val="auto"/>
              </w:rPr>
            </w:pPr>
            <w:r>
              <w:rPr>
                <w:rFonts w:ascii="Arial" w:cs="Arial" w:eastAsia="Arial" w:hAnsi="Arial"/>
                <w:sz w:val="16"/>
                <w:szCs w:val="16"/>
                <w:color w:val="auto"/>
              </w:rPr>
              <w:t>7.3%</w:t>
            </w:r>
          </w:p>
        </w:tc>
        <w:tc>
          <w:tcPr>
            <w:tcW w:w="2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1"/>
        </w:trPr>
        <w:tc>
          <w:tcPr>
            <w:tcW w:w="100" w:type="dxa"/>
            <w:vAlign w:val="bottom"/>
            <w:tcBorders>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1"/>
        </w:trPr>
        <w:tc>
          <w:tcPr>
            <w:tcW w:w="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w:t>
            </w:r>
          </w:p>
        </w:tc>
        <w:tc>
          <w:tcPr>
            <w:tcW w:w="7700" w:type="dxa"/>
            <w:vAlign w:val="bottom"/>
          </w:tcPr>
          <w:p>
            <w:pPr>
              <w:ind w:left="20"/>
              <w:spacing w:after="0"/>
              <w:rPr>
                <w:sz w:val="20"/>
                <w:szCs w:val="20"/>
                <w:color w:val="auto"/>
              </w:rPr>
            </w:pPr>
            <w:r>
              <w:rPr>
                <w:rFonts w:ascii="Arial" w:cs="Arial" w:eastAsia="Arial" w:hAnsi="Arial"/>
                <w:sz w:val="16"/>
                <w:szCs w:val="16"/>
                <w:color w:val="auto"/>
              </w:rPr>
              <w:t>TYPE OF REPORTING PERSON</w:t>
            </w:r>
          </w:p>
        </w:tc>
        <w:tc>
          <w:tcPr>
            <w:tcW w:w="23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395"/>
        </w:trPr>
        <w:tc>
          <w:tcPr>
            <w:tcW w:w="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7700" w:type="dxa"/>
            <w:vAlign w:val="bottom"/>
          </w:tcPr>
          <w:p>
            <w:pPr>
              <w:ind w:left="20"/>
              <w:spacing w:after="0"/>
              <w:rPr>
                <w:sz w:val="20"/>
                <w:szCs w:val="20"/>
                <w:color w:val="auto"/>
              </w:rPr>
            </w:pPr>
            <w:r>
              <w:rPr>
                <w:rFonts w:ascii="Arial" w:cs="Arial" w:eastAsia="Arial" w:hAnsi="Arial"/>
                <w:sz w:val="16"/>
                <w:szCs w:val="16"/>
                <w:color w:val="auto"/>
              </w:rPr>
              <w:t>IN</w:t>
            </w:r>
          </w:p>
        </w:tc>
        <w:tc>
          <w:tcPr>
            <w:tcW w:w="2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1"/>
        </w:trPr>
        <w:tc>
          <w:tcPr>
            <w:tcW w:w="100" w:type="dxa"/>
            <w:vAlign w:val="bottom"/>
            <w:tcBorders>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289"/>
        </w:trPr>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7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7151370</wp:posOffset>
            </wp:positionH>
            <wp:positionV relativeFrom="paragraph">
              <wp:posOffset>-6985</wp:posOffset>
            </wp:positionV>
            <wp:extent cx="76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80"/>
          </w:cols>
          <w:pgMar w:left="320" w:top="522" w:right="299" w:bottom="144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16"/>
          <w:szCs w:val="16"/>
          <w:color w:val="auto"/>
        </w:rPr>
        <w:t>CUSIP No: G47048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143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750" cy="7620"/>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306705</wp:posOffset>
            </wp:positionV>
            <wp:extent cx="7096760" cy="1693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6760" cy="169354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209"/>
        </w:trPr>
        <w:tc>
          <w:tcPr>
            <w:tcW w:w="640" w:type="dxa"/>
            <w:vAlign w:val="bottom"/>
          </w:tcPr>
          <w:p>
            <w:pPr>
              <w:jc w:val="right"/>
              <w:ind w:right="438"/>
              <w:spacing w:after="0"/>
              <w:rPr>
                <w:sz w:val="20"/>
                <w:szCs w:val="20"/>
                <w:color w:val="auto"/>
              </w:rPr>
            </w:pPr>
            <w:r>
              <w:rPr>
                <w:rFonts w:ascii="Arial" w:cs="Arial" w:eastAsia="Arial" w:hAnsi="Arial"/>
                <w:sz w:val="16"/>
                <w:szCs w:val="16"/>
                <w:color w:val="auto"/>
              </w:rPr>
              <w:t>1</w:t>
            </w:r>
          </w:p>
        </w:tc>
        <w:tc>
          <w:tcPr>
            <w:tcW w:w="7260" w:type="dxa"/>
            <w:vAlign w:val="bottom"/>
          </w:tcPr>
          <w:p>
            <w:pPr>
              <w:ind w:left="520"/>
              <w:spacing w:after="0"/>
              <w:rPr>
                <w:sz w:val="20"/>
                <w:szCs w:val="20"/>
                <w:color w:val="auto"/>
              </w:rPr>
            </w:pPr>
            <w:r>
              <w:rPr>
                <w:rFonts w:ascii="Arial" w:cs="Arial" w:eastAsia="Arial" w:hAnsi="Arial"/>
                <w:sz w:val="16"/>
                <w:szCs w:val="16"/>
                <w:color w:val="auto"/>
              </w:rPr>
              <w:t>NAME OF REPORTING PERSON</w:t>
            </w:r>
          </w:p>
        </w:tc>
        <w:tc>
          <w:tcPr>
            <w:tcW w:w="3260" w:type="dxa"/>
            <w:vAlign w:val="bottom"/>
          </w:tcPr>
          <w:p>
            <w:pPr>
              <w:spacing w:after="0"/>
              <w:rPr>
                <w:sz w:val="18"/>
                <w:szCs w:val="18"/>
                <w:color w:val="auto"/>
              </w:rPr>
            </w:pPr>
          </w:p>
        </w:tc>
      </w:tr>
      <w:tr>
        <w:trPr>
          <w:trHeight w:val="395"/>
        </w:trPr>
        <w:tc>
          <w:tcPr>
            <w:tcW w:w="640" w:type="dxa"/>
            <w:vAlign w:val="bottom"/>
          </w:tcPr>
          <w:p>
            <w:pPr>
              <w:spacing w:after="0"/>
              <w:rPr>
                <w:sz w:val="24"/>
                <w:szCs w:val="24"/>
                <w:color w:val="auto"/>
              </w:rPr>
            </w:pPr>
          </w:p>
        </w:tc>
        <w:tc>
          <w:tcPr>
            <w:tcW w:w="7260" w:type="dxa"/>
            <w:vAlign w:val="bottom"/>
          </w:tcPr>
          <w:p>
            <w:pPr>
              <w:ind w:left="520"/>
              <w:spacing w:after="0"/>
              <w:rPr>
                <w:sz w:val="20"/>
                <w:szCs w:val="20"/>
                <w:color w:val="auto"/>
              </w:rPr>
            </w:pPr>
            <w:r>
              <w:rPr>
                <w:rFonts w:ascii="Arial" w:cs="Arial" w:eastAsia="Arial" w:hAnsi="Arial"/>
                <w:sz w:val="16"/>
                <w:szCs w:val="16"/>
                <w:color w:val="auto"/>
              </w:rPr>
              <w:t>Integrated Asset Management (Asia) Ltd.</w:t>
            </w:r>
          </w:p>
        </w:tc>
        <w:tc>
          <w:tcPr>
            <w:tcW w:w="3260" w:type="dxa"/>
            <w:vAlign w:val="bottom"/>
          </w:tcPr>
          <w:p>
            <w:pPr>
              <w:spacing w:after="0"/>
              <w:rPr>
                <w:sz w:val="24"/>
                <w:szCs w:val="24"/>
                <w:color w:val="auto"/>
              </w:rPr>
            </w:pPr>
          </w:p>
        </w:tc>
      </w:tr>
      <w:tr>
        <w:trPr>
          <w:trHeight w:val="31"/>
        </w:trPr>
        <w:tc>
          <w:tcPr>
            <w:tcW w:w="640" w:type="dxa"/>
            <w:vAlign w:val="bottom"/>
            <w:tcBorders>
              <w:bottom w:val="single" w:sz="8" w:color="auto"/>
            </w:tcBorders>
          </w:tcPr>
          <w:p>
            <w:pPr>
              <w:spacing w:after="0"/>
              <w:rPr>
                <w:sz w:val="2"/>
                <w:szCs w:val="2"/>
                <w:color w:val="auto"/>
              </w:rPr>
            </w:pPr>
          </w:p>
        </w:tc>
        <w:tc>
          <w:tcPr>
            <w:tcW w:w="726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180"/>
        </w:trPr>
        <w:tc>
          <w:tcPr>
            <w:tcW w:w="640" w:type="dxa"/>
            <w:vAlign w:val="bottom"/>
          </w:tcPr>
          <w:p>
            <w:pPr>
              <w:jc w:val="right"/>
              <w:ind w:right="438"/>
              <w:spacing w:after="0" w:line="180" w:lineRule="exact"/>
              <w:rPr>
                <w:sz w:val="20"/>
                <w:szCs w:val="20"/>
                <w:color w:val="auto"/>
              </w:rPr>
            </w:pPr>
            <w:r>
              <w:rPr>
                <w:rFonts w:ascii="Arial" w:cs="Arial" w:eastAsia="Arial" w:hAnsi="Arial"/>
                <w:sz w:val="16"/>
                <w:szCs w:val="16"/>
                <w:color w:val="auto"/>
              </w:rPr>
              <w:t>2</w:t>
            </w:r>
          </w:p>
        </w:tc>
        <w:tc>
          <w:tcPr>
            <w:tcW w:w="7260" w:type="dxa"/>
            <w:vAlign w:val="bottom"/>
          </w:tcPr>
          <w:p>
            <w:pPr>
              <w:ind w:left="520"/>
              <w:spacing w:after="0" w:line="180" w:lineRule="exact"/>
              <w:rPr>
                <w:sz w:val="20"/>
                <w:szCs w:val="20"/>
                <w:color w:val="auto"/>
              </w:rPr>
            </w:pPr>
            <w:r>
              <w:rPr>
                <w:rFonts w:ascii="Arial" w:cs="Arial" w:eastAsia="Arial" w:hAnsi="Arial"/>
                <w:sz w:val="16"/>
                <w:szCs w:val="16"/>
                <w:color w:val="auto"/>
              </w:rPr>
              <w:t>CHECK THE APPROPRIATE BOX IF A MEMBER OF A GROUP</w:t>
            </w:r>
          </w:p>
        </w:tc>
        <w:tc>
          <w:tcPr>
            <w:tcW w:w="3260" w:type="dxa"/>
            <w:vAlign w:val="bottom"/>
          </w:tcPr>
          <w:p>
            <w:pPr>
              <w:ind w:left="2160"/>
              <w:spacing w:after="0" w:line="180"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r>
      <w:tr>
        <w:trPr>
          <w:trHeight w:val="259"/>
        </w:trPr>
        <w:tc>
          <w:tcPr>
            <w:tcW w:w="640" w:type="dxa"/>
            <w:vAlign w:val="bottom"/>
          </w:tcPr>
          <w:p>
            <w:pPr>
              <w:spacing w:after="0"/>
              <w:rPr>
                <w:sz w:val="22"/>
                <w:szCs w:val="22"/>
                <w:color w:val="auto"/>
              </w:rPr>
            </w:pPr>
          </w:p>
        </w:tc>
        <w:tc>
          <w:tcPr>
            <w:tcW w:w="7260" w:type="dxa"/>
            <w:vAlign w:val="bottom"/>
          </w:tcPr>
          <w:p>
            <w:pPr>
              <w:spacing w:after="0"/>
              <w:rPr>
                <w:sz w:val="22"/>
                <w:szCs w:val="22"/>
                <w:color w:val="auto"/>
              </w:rPr>
            </w:pPr>
          </w:p>
        </w:tc>
        <w:tc>
          <w:tcPr>
            <w:tcW w:w="3260" w:type="dxa"/>
            <w:vAlign w:val="bottom"/>
          </w:tcPr>
          <w:p>
            <w:pPr>
              <w:ind w:left="2160"/>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r>
      <w:tr>
        <w:trPr>
          <w:trHeight w:val="208"/>
        </w:trPr>
        <w:tc>
          <w:tcPr>
            <w:tcW w:w="640" w:type="dxa"/>
            <w:vAlign w:val="bottom"/>
            <w:tcBorders>
              <w:bottom w:val="single" w:sz="8" w:color="auto"/>
            </w:tcBorders>
          </w:tcPr>
          <w:p>
            <w:pPr>
              <w:spacing w:after="0"/>
              <w:rPr>
                <w:sz w:val="18"/>
                <w:szCs w:val="18"/>
                <w:color w:val="auto"/>
              </w:rPr>
            </w:pPr>
          </w:p>
        </w:tc>
        <w:tc>
          <w:tcPr>
            <w:tcW w:w="726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r>
      <w:tr>
        <w:trPr>
          <w:trHeight w:val="221"/>
        </w:trPr>
        <w:tc>
          <w:tcPr>
            <w:tcW w:w="640" w:type="dxa"/>
            <w:vAlign w:val="bottom"/>
          </w:tcPr>
          <w:p>
            <w:pPr>
              <w:jc w:val="right"/>
              <w:ind w:right="438"/>
              <w:spacing w:after="0"/>
              <w:rPr>
                <w:sz w:val="20"/>
                <w:szCs w:val="20"/>
                <w:color w:val="auto"/>
              </w:rPr>
            </w:pPr>
            <w:r>
              <w:rPr>
                <w:rFonts w:ascii="Arial" w:cs="Arial" w:eastAsia="Arial" w:hAnsi="Arial"/>
                <w:sz w:val="16"/>
                <w:szCs w:val="16"/>
                <w:color w:val="auto"/>
              </w:rPr>
              <w:t>3</w:t>
            </w:r>
          </w:p>
        </w:tc>
        <w:tc>
          <w:tcPr>
            <w:tcW w:w="7260" w:type="dxa"/>
            <w:vAlign w:val="bottom"/>
          </w:tcPr>
          <w:p>
            <w:pPr>
              <w:ind w:left="520"/>
              <w:spacing w:after="0"/>
              <w:rPr>
                <w:sz w:val="20"/>
                <w:szCs w:val="20"/>
                <w:color w:val="auto"/>
              </w:rPr>
            </w:pPr>
            <w:r>
              <w:rPr>
                <w:rFonts w:ascii="Arial" w:cs="Arial" w:eastAsia="Arial" w:hAnsi="Arial"/>
                <w:sz w:val="16"/>
                <w:szCs w:val="16"/>
                <w:color w:val="auto"/>
              </w:rPr>
              <w:t>SEC USE ONLY</w:t>
            </w:r>
          </w:p>
        </w:tc>
        <w:tc>
          <w:tcPr>
            <w:tcW w:w="3260" w:type="dxa"/>
            <w:vAlign w:val="bottom"/>
          </w:tcPr>
          <w:p>
            <w:pPr>
              <w:spacing w:after="0"/>
              <w:rPr>
                <w:sz w:val="19"/>
                <w:szCs w:val="19"/>
                <w:color w:val="auto"/>
              </w:rPr>
            </w:pPr>
          </w:p>
        </w:tc>
      </w:tr>
    </w:tbl>
    <w:p>
      <w:pPr>
        <w:spacing w:after="0" w:line="200" w:lineRule="exact"/>
        <w:rPr>
          <w:sz w:val="20"/>
          <w:szCs w:val="20"/>
          <w:color w:val="auto"/>
        </w:rPr>
      </w:pPr>
    </w:p>
    <w:p>
      <w:pPr>
        <w:spacing w:after="0" w:line="258" w:lineRule="exact"/>
        <w:rPr>
          <w:sz w:val="20"/>
          <w:szCs w:val="20"/>
          <w:color w:val="auto"/>
        </w:rPr>
      </w:pPr>
    </w:p>
    <w:p>
      <w:pPr>
        <w:ind w:left="1240" w:right="6680" w:hanging="1120"/>
        <w:spacing w:after="0" w:line="547"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OR PLACE OF ORGANIZATION 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-6350</wp:posOffset>
            </wp:positionV>
            <wp:extent cx="7096760" cy="1693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6760" cy="1693545"/>
                    </a:xfrm>
                    <a:prstGeom prst="rect">
                      <a:avLst/>
                    </a:prstGeom>
                    <a:noFill/>
                  </pic:spPr>
                </pic:pic>
              </a:graphicData>
            </a:graphic>
          </wp:anchor>
        </w:drawing>
      </w:r>
    </w:p>
    <w:p>
      <w:pPr>
        <w:sectPr>
          <w:pgSz w:w="11900" w:h="16838" w:orient="portrait"/>
          <w:cols w:equalWidth="0" w:num="1">
            <w:col w:w="11280"/>
          </w:cols>
          <w:pgMar w:left="320" w:top="17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auto"/>
        </w:rPr>
        <w:t>NUMBER OF</w:t>
      </w:r>
    </w:p>
    <w:p>
      <w:pPr>
        <w:spacing w:after="0" w:line="25"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auto"/>
        </w:rPr>
        <w:t>SHARES</w:t>
      </w:r>
    </w:p>
    <w:p>
      <w:pPr>
        <w:spacing w:after="0" w:line="14"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auto"/>
        </w:rPr>
        <w:t>BENEFICIALLY OWNED</w:t>
      </w:r>
    </w:p>
    <w:p>
      <w:pPr>
        <w:spacing w:after="0" w:line="14"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auto"/>
        </w:rPr>
        <w:t>BY EACH REPORTING</w:t>
      </w:r>
    </w:p>
    <w:p>
      <w:pPr>
        <w:spacing w:after="0" w:line="14"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auto"/>
        </w:rPr>
        <w:t>PERSON</w:t>
      </w:r>
    </w:p>
    <w:p>
      <w:pPr>
        <w:spacing w:after="0" w:line="14"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auto"/>
        </w:rPr>
        <w:t>WITH</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7</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SOLE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3,299,105.5</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-0-</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3,299,105.5</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auto"/>
        </w:rPr>
        <w:t>SHARED DISPOSITIVE POWER</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-0-</w:t>
      </w:r>
    </w:p>
    <w:p>
      <w:pPr>
        <w:spacing w:after="0" w:line="200" w:lineRule="exact"/>
        <w:rPr>
          <w:sz w:val="20"/>
          <w:szCs w:val="20"/>
          <w:color w:val="auto"/>
        </w:rPr>
      </w:pPr>
    </w:p>
    <w:p>
      <w:pPr>
        <w:sectPr>
          <w:pgSz w:w="11900" w:h="16838" w:orient="portrait"/>
          <w:cols w:equalWidth="0" w:num="3">
            <w:col w:w="2000" w:space="140"/>
            <w:col w:w="80" w:space="360"/>
            <w:col w:w="8700"/>
          </w:cols>
          <w:pgMar w:left="320" w:top="176" w:right="299" w:bottom="1440" w:gutter="0" w:footer="0" w:header="0"/>
          <w:type w:val="continuous"/>
        </w:sectPr>
      </w:pP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0" w:type="dxa"/>
            <w:vAlign w:val="bottom"/>
            <w:tcBorders>
              <w:right w:val="single" w:sz="8" w:color="auto"/>
            </w:tcBorders>
          </w:tcPr>
          <w:p>
            <w:pPr>
              <w:spacing w:after="0"/>
              <w:rPr>
                <w:sz w:val="21"/>
                <w:szCs w:val="21"/>
                <w:color w:val="auto"/>
              </w:rPr>
            </w:pPr>
          </w:p>
        </w:tc>
        <w:tc>
          <w:tcPr>
            <w:tcW w:w="1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9</w:t>
            </w:r>
          </w:p>
        </w:tc>
        <w:tc>
          <w:tcPr>
            <w:tcW w:w="77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AGGREGATE AMOUNT BENEFICIALLY OWNED BY EACH REPORTING PERSON</w:t>
            </w:r>
          </w:p>
        </w:tc>
        <w:tc>
          <w:tcPr>
            <w:tcW w:w="2320" w:type="dxa"/>
            <w:vAlign w:val="bottom"/>
            <w:tcBorders>
              <w:top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395"/>
        </w:trPr>
        <w:tc>
          <w:tcPr>
            <w:tcW w:w="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7700" w:type="dxa"/>
            <w:vAlign w:val="bottom"/>
          </w:tcPr>
          <w:p>
            <w:pPr>
              <w:ind w:left="20"/>
              <w:spacing w:after="0"/>
              <w:rPr>
                <w:sz w:val="20"/>
                <w:szCs w:val="20"/>
                <w:color w:val="auto"/>
              </w:rPr>
            </w:pPr>
            <w:r>
              <w:rPr>
                <w:rFonts w:ascii="Arial" w:cs="Arial" w:eastAsia="Arial" w:hAnsi="Arial"/>
                <w:sz w:val="16"/>
                <w:szCs w:val="16"/>
                <w:color w:val="auto"/>
              </w:rPr>
              <w:t>3,299,105.5</w:t>
            </w:r>
          </w:p>
        </w:tc>
        <w:tc>
          <w:tcPr>
            <w:tcW w:w="2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1"/>
        </w:trPr>
        <w:tc>
          <w:tcPr>
            <w:tcW w:w="100" w:type="dxa"/>
            <w:vAlign w:val="bottom"/>
            <w:tcBorders>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9"/>
        </w:trPr>
        <w:tc>
          <w:tcPr>
            <w:tcW w:w="100" w:type="dxa"/>
            <w:vAlign w:val="bottom"/>
            <w:tcBorders>
              <w:right w:val="single" w:sz="8" w:color="auto"/>
            </w:tcBorders>
          </w:tcPr>
          <w:p>
            <w:pPr>
              <w:spacing w:after="0"/>
              <w:rPr>
                <w:sz w:val="22"/>
                <w:szCs w:val="22"/>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w:t>
            </w:r>
          </w:p>
        </w:tc>
        <w:tc>
          <w:tcPr>
            <w:tcW w:w="7700" w:type="dxa"/>
            <w:vAlign w:val="bottom"/>
          </w:tcPr>
          <w:p>
            <w:pPr>
              <w:ind w:left="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320" w:type="dxa"/>
            <w:vAlign w:val="bottom"/>
            <w:tcBorders>
              <w:right w:val="single" w:sz="8" w:color="auto"/>
            </w:tcBorders>
          </w:tcPr>
          <w:p>
            <w:pPr>
              <w:ind w:left="1220"/>
              <w:spacing w:after="0" w:line="161" w:lineRule="exact"/>
              <w:rPr>
                <w:sz w:val="20"/>
                <w:szCs w:val="20"/>
                <w:color w:val="auto"/>
              </w:rPr>
            </w:pPr>
            <w:r>
              <w:rPr>
                <w:rFonts w:ascii="MS PGothic" w:cs="MS PGothic" w:eastAsia="MS PGothic" w:hAnsi="MS PGothic"/>
                <w:sz w:val="16"/>
                <w:szCs w:val="16"/>
                <w:color w:val="auto"/>
              </w:rPr>
              <w:t>☐</w:t>
            </w:r>
          </w:p>
        </w:tc>
        <w:tc>
          <w:tcPr>
            <w:tcW w:w="40" w:type="dxa"/>
            <w:vAlign w:val="bottom"/>
          </w:tcPr>
          <w:p>
            <w:pPr>
              <w:spacing w:after="0"/>
              <w:rPr>
                <w:sz w:val="22"/>
                <w:szCs w:val="22"/>
                <w:color w:val="auto"/>
              </w:rPr>
            </w:pPr>
          </w:p>
        </w:tc>
      </w:tr>
      <w:tr>
        <w:trPr>
          <w:trHeight w:val="388"/>
        </w:trPr>
        <w:tc>
          <w:tcPr>
            <w:tcW w:w="100" w:type="dxa"/>
            <w:vAlign w:val="bottom"/>
            <w:tcBorders>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7700" w:type="dxa"/>
            <w:vAlign w:val="bottom"/>
            <w:tcBorders>
              <w:bottom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1"/>
        </w:trPr>
        <w:tc>
          <w:tcPr>
            <w:tcW w:w="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11</w:t>
            </w:r>
          </w:p>
        </w:tc>
        <w:tc>
          <w:tcPr>
            <w:tcW w:w="7700" w:type="dxa"/>
            <w:vAlign w:val="bottom"/>
          </w:tcPr>
          <w:p>
            <w:pPr>
              <w:ind w:left="20"/>
              <w:spacing w:after="0"/>
              <w:rPr>
                <w:sz w:val="20"/>
                <w:szCs w:val="20"/>
                <w:color w:val="auto"/>
              </w:rPr>
            </w:pPr>
            <w:r>
              <w:rPr>
                <w:rFonts w:ascii="Arial" w:cs="Arial" w:eastAsia="Arial" w:hAnsi="Arial"/>
                <w:sz w:val="16"/>
                <w:szCs w:val="16"/>
                <w:color w:val="auto"/>
              </w:rPr>
              <w:t>PERCENT OF CLASS REPRESENTED BY AMOUNT IN ROW (9)</w:t>
            </w:r>
          </w:p>
        </w:tc>
        <w:tc>
          <w:tcPr>
            <w:tcW w:w="23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395"/>
        </w:trPr>
        <w:tc>
          <w:tcPr>
            <w:tcW w:w="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7700" w:type="dxa"/>
            <w:vAlign w:val="bottom"/>
          </w:tcPr>
          <w:p>
            <w:pPr>
              <w:ind w:left="20"/>
              <w:spacing w:after="0"/>
              <w:rPr>
                <w:sz w:val="20"/>
                <w:szCs w:val="20"/>
                <w:color w:val="auto"/>
              </w:rPr>
            </w:pPr>
            <w:r>
              <w:rPr>
                <w:rFonts w:ascii="Arial" w:cs="Arial" w:eastAsia="Arial" w:hAnsi="Arial"/>
                <w:sz w:val="16"/>
                <w:szCs w:val="16"/>
                <w:color w:val="auto"/>
              </w:rPr>
              <w:t>7.3%</w:t>
            </w:r>
          </w:p>
        </w:tc>
        <w:tc>
          <w:tcPr>
            <w:tcW w:w="2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1"/>
        </w:trPr>
        <w:tc>
          <w:tcPr>
            <w:tcW w:w="100" w:type="dxa"/>
            <w:vAlign w:val="bottom"/>
            <w:tcBorders>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1"/>
        </w:trPr>
        <w:tc>
          <w:tcPr>
            <w:tcW w:w="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w:t>
            </w:r>
          </w:p>
        </w:tc>
        <w:tc>
          <w:tcPr>
            <w:tcW w:w="7700" w:type="dxa"/>
            <w:vAlign w:val="bottom"/>
          </w:tcPr>
          <w:p>
            <w:pPr>
              <w:ind w:left="20"/>
              <w:spacing w:after="0"/>
              <w:rPr>
                <w:sz w:val="20"/>
                <w:szCs w:val="20"/>
                <w:color w:val="auto"/>
              </w:rPr>
            </w:pPr>
            <w:r>
              <w:rPr>
                <w:rFonts w:ascii="Arial" w:cs="Arial" w:eastAsia="Arial" w:hAnsi="Arial"/>
                <w:sz w:val="16"/>
                <w:szCs w:val="16"/>
                <w:color w:val="auto"/>
              </w:rPr>
              <w:t>TYPE OF REPORTING PERSON</w:t>
            </w:r>
          </w:p>
        </w:tc>
        <w:tc>
          <w:tcPr>
            <w:tcW w:w="23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395"/>
        </w:trPr>
        <w:tc>
          <w:tcPr>
            <w:tcW w:w="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7700" w:type="dxa"/>
            <w:vAlign w:val="bottom"/>
          </w:tcPr>
          <w:p>
            <w:pPr>
              <w:ind w:left="20"/>
              <w:spacing w:after="0"/>
              <w:rPr>
                <w:sz w:val="20"/>
                <w:szCs w:val="20"/>
                <w:color w:val="auto"/>
              </w:rPr>
            </w:pPr>
            <w:r>
              <w:rPr>
                <w:rFonts w:ascii="Arial" w:cs="Arial" w:eastAsia="Arial" w:hAnsi="Arial"/>
                <w:sz w:val="16"/>
                <w:szCs w:val="16"/>
                <w:color w:val="auto"/>
              </w:rPr>
              <w:t>CO</w:t>
            </w:r>
          </w:p>
        </w:tc>
        <w:tc>
          <w:tcPr>
            <w:tcW w:w="2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1"/>
        </w:trPr>
        <w:tc>
          <w:tcPr>
            <w:tcW w:w="100" w:type="dxa"/>
            <w:vAlign w:val="bottom"/>
            <w:tcBorders>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635"/>
        </w:trPr>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7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7151370</wp:posOffset>
            </wp:positionH>
            <wp:positionV relativeFrom="paragraph">
              <wp:posOffset>-6985</wp:posOffset>
            </wp:positionV>
            <wp:extent cx="762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80"/>
          </w:cols>
          <w:pgMar w:left="320" w:top="176" w:right="29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13"/>
        </w:trPr>
        <w:tc>
          <w:tcPr>
            <w:tcW w:w="100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10280" w:type="dxa"/>
            <w:vAlign w:val="bottom"/>
          </w:tcPr>
          <w:p>
            <w:pPr>
              <w:ind w:left="340"/>
              <w:spacing w:after="0"/>
              <w:rPr>
                <w:sz w:val="20"/>
                <w:szCs w:val="20"/>
                <w:color w:val="auto"/>
              </w:rPr>
            </w:pPr>
            <w:r>
              <w:rPr>
                <w:rFonts w:ascii="Arial" w:cs="Arial" w:eastAsia="Arial" w:hAnsi="Arial"/>
                <w:sz w:val="16"/>
                <w:szCs w:val="16"/>
                <w:b w:val="1"/>
                <w:bCs w:val="1"/>
                <w:color w:val="auto"/>
              </w:rPr>
              <w:t>Name of Issuer:</w:t>
            </w:r>
          </w:p>
        </w:tc>
      </w:tr>
      <w:tr>
        <w:trPr>
          <w:trHeight w:val="296"/>
        </w:trPr>
        <w:tc>
          <w:tcPr>
            <w:tcW w:w="1000" w:type="dxa"/>
            <w:vAlign w:val="bottom"/>
          </w:tcPr>
          <w:p>
            <w:pPr>
              <w:spacing w:after="0"/>
              <w:rPr>
                <w:sz w:val="24"/>
                <w:szCs w:val="24"/>
                <w:color w:val="auto"/>
              </w:rPr>
            </w:pPr>
          </w:p>
        </w:tc>
        <w:tc>
          <w:tcPr>
            <w:tcW w:w="10280" w:type="dxa"/>
            <w:vAlign w:val="bottom"/>
          </w:tcPr>
          <w:p>
            <w:pPr>
              <w:ind w:left="400"/>
              <w:spacing w:after="0"/>
              <w:rPr>
                <w:sz w:val="20"/>
                <w:szCs w:val="20"/>
                <w:color w:val="auto"/>
              </w:rPr>
            </w:pPr>
            <w:r>
              <w:rPr>
                <w:rFonts w:ascii="Arial" w:cs="Arial" w:eastAsia="Arial" w:hAnsi="Arial"/>
                <w:sz w:val="16"/>
                <w:szCs w:val="16"/>
                <w:color w:val="auto"/>
              </w:rPr>
              <w:t>iClick Interactive Asia Group Limited</w:t>
            </w:r>
          </w:p>
        </w:tc>
      </w:tr>
      <w:tr>
        <w:trPr>
          <w:trHeight w:val="420"/>
        </w:trPr>
        <w:tc>
          <w:tcPr>
            <w:tcW w:w="1000" w:type="dxa"/>
            <w:vAlign w:val="bottom"/>
          </w:tcPr>
          <w:p>
            <w:pPr>
              <w:spacing w:after="0"/>
              <w:rPr>
                <w:sz w:val="20"/>
                <w:szCs w:val="20"/>
                <w:color w:val="auto"/>
              </w:rPr>
            </w:pPr>
            <w:r>
              <w:rPr>
                <w:rFonts w:ascii="Arial" w:cs="Arial" w:eastAsia="Arial" w:hAnsi="Arial"/>
                <w:sz w:val="16"/>
                <w:szCs w:val="16"/>
                <w:b w:val="1"/>
                <w:bCs w:val="1"/>
                <w:color w:val="auto"/>
              </w:rPr>
              <w:t>Item 1(b).</w:t>
            </w:r>
          </w:p>
        </w:tc>
        <w:tc>
          <w:tcPr>
            <w:tcW w:w="10280" w:type="dxa"/>
            <w:vAlign w:val="bottom"/>
          </w:tcPr>
          <w:p>
            <w:pPr>
              <w:ind w:left="340"/>
              <w:spacing w:after="0"/>
              <w:rPr>
                <w:sz w:val="20"/>
                <w:szCs w:val="20"/>
                <w:color w:val="auto"/>
              </w:rPr>
            </w:pPr>
            <w:r>
              <w:rPr>
                <w:rFonts w:ascii="Arial" w:cs="Arial" w:eastAsia="Arial" w:hAnsi="Arial"/>
                <w:sz w:val="16"/>
                <w:szCs w:val="16"/>
                <w:b w:val="1"/>
                <w:bCs w:val="1"/>
                <w:color w:val="auto"/>
              </w:rPr>
              <w:t>Address of Issuer’s Principal Executive Offices:</w:t>
            </w:r>
          </w:p>
        </w:tc>
      </w:tr>
      <w:tr>
        <w:trPr>
          <w:trHeight w:val="285"/>
        </w:trPr>
        <w:tc>
          <w:tcPr>
            <w:tcW w:w="1000" w:type="dxa"/>
            <w:vAlign w:val="bottom"/>
          </w:tcPr>
          <w:p>
            <w:pPr>
              <w:spacing w:after="0"/>
              <w:rPr>
                <w:sz w:val="24"/>
                <w:szCs w:val="24"/>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rPr>
              <w:t>15/F, Prosperity Millennia Plaza</w:t>
            </w:r>
          </w:p>
        </w:tc>
      </w:tr>
      <w:tr>
        <w:trPr>
          <w:trHeight w:val="198"/>
        </w:trPr>
        <w:tc>
          <w:tcPr>
            <w:tcW w:w="1000" w:type="dxa"/>
            <w:vAlign w:val="bottom"/>
          </w:tcPr>
          <w:p>
            <w:pPr>
              <w:spacing w:after="0"/>
              <w:rPr>
                <w:sz w:val="17"/>
                <w:szCs w:val="17"/>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rPr>
              <w:t>663 King’s Road, Quarry Bay</w:t>
            </w:r>
          </w:p>
        </w:tc>
      </w:tr>
      <w:tr>
        <w:trPr>
          <w:trHeight w:val="209"/>
        </w:trPr>
        <w:tc>
          <w:tcPr>
            <w:tcW w:w="100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Arial" w:cs="Arial" w:eastAsia="Arial" w:hAnsi="Arial"/>
                <w:sz w:val="16"/>
                <w:szCs w:val="16"/>
                <w:color w:val="auto"/>
              </w:rPr>
              <w:t>Hong Kong S.A.R.</w:t>
            </w:r>
          </w:p>
        </w:tc>
      </w:tr>
      <w:tr>
        <w:trPr>
          <w:trHeight w:val="420"/>
        </w:trPr>
        <w:tc>
          <w:tcPr>
            <w:tcW w:w="1000" w:type="dxa"/>
            <w:vAlign w:val="bottom"/>
          </w:tcPr>
          <w:p>
            <w:pPr>
              <w:spacing w:after="0"/>
              <w:rPr>
                <w:sz w:val="20"/>
                <w:szCs w:val="20"/>
                <w:color w:val="auto"/>
              </w:rPr>
            </w:pPr>
            <w:r>
              <w:rPr>
                <w:rFonts w:ascii="Arial" w:cs="Arial" w:eastAsia="Arial" w:hAnsi="Arial"/>
                <w:sz w:val="16"/>
                <w:szCs w:val="16"/>
                <w:b w:val="1"/>
                <w:bCs w:val="1"/>
                <w:color w:val="auto"/>
              </w:rPr>
              <w:t>Item 2(a).</w:t>
            </w:r>
          </w:p>
        </w:tc>
        <w:tc>
          <w:tcPr>
            <w:tcW w:w="10280" w:type="dxa"/>
            <w:vAlign w:val="bottom"/>
          </w:tcPr>
          <w:p>
            <w:pPr>
              <w:ind w:left="340"/>
              <w:spacing w:after="0"/>
              <w:rPr>
                <w:sz w:val="20"/>
                <w:szCs w:val="20"/>
                <w:color w:val="auto"/>
              </w:rPr>
            </w:pPr>
            <w:r>
              <w:rPr>
                <w:rFonts w:ascii="Arial" w:cs="Arial" w:eastAsia="Arial" w:hAnsi="Arial"/>
                <w:sz w:val="16"/>
                <w:szCs w:val="16"/>
                <w:b w:val="1"/>
                <w:bCs w:val="1"/>
                <w:color w:val="auto"/>
              </w:rPr>
              <w:t>Name of Person Filing:</w:t>
            </w:r>
          </w:p>
        </w:tc>
      </w:tr>
      <w:tr>
        <w:trPr>
          <w:trHeight w:val="285"/>
        </w:trPr>
        <w:tc>
          <w:tcPr>
            <w:tcW w:w="1000" w:type="dxa"/>
            <w:vAlign w:val="bottom"/>
          </w:tcPr>
          <w:p>
            <w:pPr>
              <w:spacing w:after="0"/>
              <w:rPr>
                <w:sz w:val="24"/>
                <w:szCs w:val="24"/>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rPr>
              <w:t>Integrated Asset Management (Asia) Ltd.</w:t>
            </w:r>
          </w:p>
        </w:tc>
      </w:tr>
      <w:tr>
        <w:trPr>
          <w:trHeight w:val="198"/>
        </w:trPr>
        <w:tc>
          <w:tcPr>
            <w:tcW w:w="1000" w:type="dxa"/>
            <w:vAlign w:val="bottom"/>
          </w:tcPr>
          <w:p>
            <w:pPr>
              <w:spacing w:after="0"/>
              <w:rPr>
                <w:sz w:val="17"/>
                <w:szCs w:val="17"/>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rPr>
              <w:t>Yam Tak Cheung</w:t>
            </w:r>
          </w:p>
        </w:tc>
      </w:tr>
      <w:tr>
        <w:trPr>
          <w:trHeight w:val="209"/>
        </w:trPr>
        <w:tc>
          <w:tcPr>
            <w:tcW w:w="1000" w:type="dxa"/>
            <w:vAlign w:val="bottom"/>
          </w:tcPr>
          <w:p>
            <w:pPr>
              <w:spacing w:after="0"/>
              <w:rPr>
                <w:sz w:val="18"/>
                <w:szCs w:val="18"/>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rPr>
              <w:t>(collectively, “Reporting Persons”)</w:t>
            </w:r>
          </w:p>
        </w:tc>
      </w:tr>
      <w:tr>
        <w:trPr>
          <w:trHeight w:val="420"/>
        </w:trPr>
        <w:tc>
          <w:tcPr>
            <w:tcW w:w="1000" w:type="dxa"/>
            <w:vAlign w:val="bottom"/>
          </w:tcPr>
          <w:p>
            <w:pPr>
              <w:spacing w:after="0"/>
              <w:rPr>
                <w:sz w:val="20"/>
                <w:szCs w:val="20"/>
                <w:color w:val="auto"/>
              </w:rPr>
            </w:pPr>
            <w:r>
              <w:rPr>
                <w:rFonts w:ascii="Arial" w:cs="Arial" w:eastAsia="Arial" w:hAnsi="Arial"/>
                <w:sz w:val="16"/>
                <w:szCs w:val="16"/>
                <w:b w:val="1"/>
                <w:bCs w:val="1"/>
                <w:color w:val="auto"/>
              </w:rPr>
              <w:t>Item 2(b).</w:t>
            </w:r>
          </w:p>
        </w:tc>
        <w:tc>
          <w:tcPr>
            <w:tcW w:w="10280" w:type="dxa"/>
            <w:vAlign w:val="bottom"/>
          </w:tcPr>
          <w:p>
            <w:pPr>
              <w:ind w:left="340"/>
              <w:spacing w:after="0"/>
              <w:rPr>
                <w:sz w:val="20"/>
                <w:szCs w:val="20"/>
                <w:color w:val="auto"/>
              </w:rPr>
            </w:pPr>
            <w:r>
              <w:rPr>
                <w:rFonts w:ascii="Arial" w:cs="Arial" w:eastAsia="Arial" w:hAnsi="Arial"/>
                <w:sz w:val="16"/>
                <w:szCs w:val="16"/>
                <w:b w:val="1"/>
                <w:bCs w:val="1"/>
                <w:color w:val="auto"/>
              </w:rPr>
              <w:t>Address of Principal Business Office, or, if None, Residence:</w:t>
            </w:r>
          </w:p>
        </w:tc>
      </w:tr>
      <w:tr>
        <w:trPr>
          <w:trHeight w:val="296"/>
        </w:trPr>
        <w:tc>
          <w:tcPr>
            <w:tcW w:w="1000" w:type="dxa"/>
            <w:vAlign w:val="bottom"/>
          </w:tcPr>
          <w:p>
            <w:pPr>
              <w:spacing w:after="0"/>
              <w:rPr>
                <w:sz w:val="24"/>
                <w:szCs w:val="24"/>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rPr>
              <w:t>The address of the Reporting Persons is 21/F, 88 Gloucester Road, Wan Chai, Hong Kong S.A.R</w:t>
            </w:r>
          </w:p>
        </w:tc>
      </w:tr>
      <w:tr>
        <w:trPr>
          <w:trHeight w:val="420"/>
        </w:trPr>
        <w:tc>
          <w:tcPr>
            <w:tcW w:w="1000" w:type="dxa"/>
            <w:vAlign w:val="bottom"/>
          </w:tcPr>
          <w:p>
            <w:pPr>
              <w:spacing w:after="0"/>
              <w:rPr>
                <w:sz w:val="20"/>
                <w:szCs w:val="20"/>
                <w:color w:val="auto"/>
              </w:rPr>
            </w:pPr>
            <w:r>
              <w:rPr>
                <w:rFonts w:ascii="Arial" w:cs="Arial" w:eastAsia="Arial" w:hAnsi="Arial"/>
                <w:sz w:val="16"/>
                <w:szCs w:val="16"/>
                <w:b w:val="1"/>
                <w:bCs w:val="1"/>
                <w:color w:val="auto"/>
              </w:rPr>
              <w:t>Item 2(c).</w:t>
            </w:r>
          </w:p>
        </w:tc>
        <w:tc>
          <w:tcPr>
            <w:tcW w:w="10280" w:type="dxa"/>
            <w:vAlign w:val="bottom"/>
          </w:tcPr>
          <w:p>
            <w:pPr>
              <w:ind w:left="340"/>
              <w:spacing w:after="0"/>
              <w:rPr>
                <w:sz w:val="20"/>
                <w:szCs w:val="20"/>
                <w:color w:val="auto"/>
              </w:rPr>
            </w:pPr>
            <w:r>
              <w:rPr>
                <w:rFonts w:ascii="Arial" w:cs="Arial" w:eastAsia="Arial" w:hAnsi="Arial"/>
                <w:sz w:val="16"/>
                <w:szCs w:val="16"/>
                <w:b w:val="1"/>
                <w:bCs w:val="1"/>
                <w:color w:val="auto"/>
              </w:rPr>
              <w:t>Citizenship:</w:t>
            </w:r>
          </w:p>
        </w:tc>
      </w:tr>
      <w:tr>
        <w:trPr>
          <w:trHeight w:val="285"/>
        </w:trPr>
        <w:tc>
          <w:tcPr>
            <w:tcW w:w="1000" w:type="dxa"/>
            <w:vAlign w:val="bottom"/>
          </w:tcPr>
          <w:p>
            <w:pPr>
              <w:spacing w:after="0"/>
              <w:rPr>
                <w:sz w:val="24"/>
                <w:szCs w:val="24"/>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rPr>
              <w:t>Integrated Asset Management (Asia) Ltd. — British Virgin Islands</w:t>
            </w:r>
          </w:p>
        </w:tc>
      </w:tr>
      <w:tr>
        <w:trPr>
          <w:trHeight w:val="209"/>
        </w:trPr>
        <w:tc>
          <w:tcPr>
            <w:tcW w:w="1000" w:type="dxa"/>
            <w:vAlign w:val="bottom"/>
          </w:tcPr>
          <w:p>
            <w:pPr>
              <w:spacing w:after="0"/>
              <w:rPr>
                <w:sz w:val="18"/>
                <w:szCs w:val="18"/>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rPr>
              <w:t>Yam Tak Cheung — Hong Kong</w:t>
            </w:r>
          </w:p>
        </w:tc>
      </w:tr>
      <w:tr>
        <w:trPr>
          <w:trHeight w:val="420"/>
        </w:trPr>
        <w:tc>
          <w:tcPr>
            <w:tcW w:w="1000" w:type="dxa"/>
            <w:vAlign w:val="bottom"/>
          </w:tcPr>
          <w:p>
            <w:pPr>
              <w:spacing w:after="0"/>
              <w:rPr>
                <w:sz w:val="20"/>
                <w:szCs w:val="20"/>
                <w:color w:val="auto"/>
              </w:rPr>
            </w:pPr>
            <w:r>
              <w:rPr>
                <w:rFonts w:ascii="Arial" w:cs="Arial" w:eastAsia="Arial" w:hAnsi="Arial"/>
                <w:sz w:val="16"/>
                <w:szCs w:val="16"/>
                <w:b w:val="1"/>
                <w:bCs w:val="1"/>
                <w:color w:val="auto"/>
              </w:rPr>
              <w:t>Item 2(d).</w:t>
            </w:r>
          </w:p>
        </w:tc>
        <w:tc>
          <w:tcPr>
            <w:tcW w:w="10280" w:type="dxa"/>
            <w:vAlign w:val="bottom"/>
          </w:tcPr>
          <w:p>
            <w:pPr>
              <w:ind w:left="340"/>
              <w:spacing w:after="0"/>
              <w:rPr>
                <w:sz w:val="20"/>
                <w:szCs w:val="20"/>
                <w:color w:val="auto"/>
              </w:rPr>
            </w:pPr>
            <w:r>
              <w:rPr>
                <w:rFonts w:ascii="Arial" w:cs="Arial" w:eastAsia="Arial" w:hAnsi="Arial"/>
                <w:sz w:val="16"/>
                <w:szCs w:val="16"/>
                <w:b w:val="1"/>
                <w:bCs w:val="1"/>
                <w:color w:val="auto"/>
              </w:rPr>
              <w:t>Title of Class of Securities:</w:t>
            </w:r>
          </w:p>
        </w:tc>
      </w:tr>
      <w:tr>
        <w:trPr>
          <w:trHeight w:val="285"/>
        </w:trPr>
        <w:tc>
          <w:tcPr>
            <w:tcW w:w="1000" w:type="dxa"/>
            <w:vAlign w:val="bottom"/>
          </w:tcPr>
          <w:p>
            <w:pPr>
              <w:spacing w:after="0"/>
              <w:rPr>
                <w:sz w:val="24"/>
                <w:szCs w:val="24"/>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w w:val="97"/>
              </w:rPr>
              <w:t>Class A ordinary shares, par value of $0.001 per share (the “Class A Ordinary Shares”). The Issuer’s ordinary shares consist of Class A Ordinary</w:t>
            </w:r>
          </w:p>
        </w:tc>
      </w:tr>
      <w:tr>
        <w:trPr>
          <w:trHeight w:val="198"/>
        </w:trPr>
        <w:tc>
          <w:tcPr>
            <w:tcW w:w="1000" w:type="dxa"/>
            <w:vAlign w:val="bottom"/>
          </w:tcPr>
          <w:p>
            <w:pPr>
              <w:spacing w:after="0"/>
              <w:rPr>
                <w:sz w:val="17"/>
                <w:szCs w:val="17"/>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w w:val="94"/>
              </w:rPr>
              <w:t>Shares and Class B ordinary shares, par value of $0.001 per share (“Class B Ordinary Shares”). The rights of the holders of Class A Ordinary Shares</w:t>
            </w:r>
          </w:p>
        </w:tc>
      </w:tr>
      <w:tr>
        <w:trPr>
          <w:trHeight w:val="198"/>
        </w:trPr>
        <w:tc>
          <w:tcPr>
            <w:tcW w:w="1000" w:type="dxa"/>
            <w:vAlign w:val="bottom"/>
          </w:tcPr>
          <w:p>
            <w:pPr>
              <w:spacing w:after="0"/>
              <w:rPr>
                <w:sz w:val="17"/>
                <w:szCs w:val="17"/>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w w:val="95"/>
              </w:rPr>
              <w:t>and Class B Ordinary Shares are identical, except with respect to conversion rights and voting rights. Each Class B Ordinary Share is convertible at</w:t>
            </w:r>
          </w:p>
        </w:tc>
      </w:tr>
      <w:tr>
        <w:trPr>
          <w:trHeight w:val="198"/>
        </w:trPr>
        <w:tc>
          <w:tcPr>
            <w:tcW w:w="1000" w:type="dxa"/>
            <w:vAlign w:val="bottom"/>
          </w:tcPr>
          <w:p>
            <w:pPr>
              <w:spacing w:after="0"/>
              <w:rPr>
                <w:sz w:val="17"/>
                <w:szCs w:val="17"/>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w w:val="94"/>
              </w:rPr>
              <w:t>the option of the holder at any time into one Class A Ordinary Share. Each Class B Ordinary Share is entitled to twenty (20) votes per share, whereas</w:t>
            </w:r>
          </w:p>
        </w:tc>
      </w:tr>
      <w:tr>
        <w:trPr>
          <w:trHeight w:val="209"/>
        </w:trPr>
        <w:tc>
          <w:tcPr>
            <w:tcW w:w="1000" w:type="dxa"/>
            <w:vAlign w:val="bottom"/>
          </w:tcPr>
          <w:p>
            <w:pPr>
              <w:spacing w:after="0"/>
              <w:rPr>
                <w:sz w:val="18"/>
                <w:szCs w:val="18"/>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rPr>
              <w:t>each Class A Ordinary Share is entitled to one vote per share.</w:t>
            </w:r>
          </w:p>
        </w:tc>
      </w:tr>
      <w:tr>
        <w:trPr>
          <w:trHeight w:val="420"/>
        </w:trPr>
        <w:tc>
          <w:tcPr>
            <w:tcW w:w="1000" w:type="dxa"/>
            <w:vAlign w:val="bottom"/>
          </w:tcPr>
          <w:p>
            <w:pPr>
              <w:spacing w:after="0"/>
              <w:rPr>
                <w:sz w:val="20"/>
                <w:szCs w:val="20"/>
                <w:color w:val="auto"/>
              </w:rPr>
            </w:pPr>
            <w:r>
              <w:rPr>
                <w:rFonts w:ascii="Arial" w:cs="Arial" w:eastAsia="Arial" w:hAnsi="Arial"/>
                <w:sz w:val="16"/>
                <w:szCs w:val="16"/>
                <w:b w:val="1"/>
                <w:bCs w:val="1"/>
                <w:color w:val="auto"/>
              </w:rPr>
              <w:t>Item 2(e)</w:t>
            </w:r>
          </w:p>
        </w:tc>
        <w:tc>
          <w:tcPr>
            <w:tcW w:w="10280" w:type="dxa"/>
            <w:vAlign w:val="bottom"/>
          </w:tcPr>
          <w:p>
            <w:pPr>
              <w:ind w:left="340"/>
              <w:spacing w:after="0"/>
              <w:rPr>
                <w:sz w:val="20"/>
                <w:szCs w:val="20"/>
                <w:color w:val="auto"/>
              </w:rPr>
            </w:pPr>
            <w:r>
              <w:rPr>
                <w:rFonts w:ascii="Arial" w:cs="Arial" w:eastAsia="Arial" w:hAnsi="Arial"/>
                <w:sz w:val="16"/>
                <w:szCs w:val="16"/>
                <w:b w:val="1"/>
                <w:bCs w:val="1"/>
                <w:color w:val="auto"/>
              </w:rPr>
              <w:t>CUSIP Number:</w:t>
            </w:r>
          </w:p>
        </w:tc>
      </w:tr>
      <w:tr>
        <w:trPr>
          <w:trHeight w:val="296"/>
        </w:trPr>
        <w:tc>
          <w:tcPr>
            <w:tcW w:w="1000" w:type="dxa"/>
            <w:vAlign w:val="bottom"/>
          </w:tcPr>
          <w:p>
            <w:pPr>
              <w:spacing w:after="0"/>
              <w:rPr>
                <w:sz w:val="24"/>
                <w:szCs w:val="24"/>
                <w:color w:val="auto"/>
              </w:rPr>
            </w:pPr>
          </w:p>
        </w:tc>
        <w:tc>
          <w:tcPr>
            <w:tcW w:w="10280" w:type="dxa"/>
            <w:vAlign w:val="bottom"/>
          </w:tcPr>
          <w:p>
            <w:pPr>
              <w:ind w:left="320"/>
              <w:spacing w:after="0"/>
              <w:rPr>
                <w:sz w:val="20"/>
                <w:szCs w:val="20"/>
                <w:color w:val="auto"/>
              </w:rPr>
            </w:pPr>
            <w:r>
              <w:rPr>
                <w:rFonts w:ascii="Arial" w:cs="Arial" w:eastAsia="Arial" w:hAnsi="Arial"/>
                <w:sz w:val="16"/>
                <w:szCs w:val="16"/>
                <w:color w:val="auto"/>
              </w:rPr>
              <w:t>G47048 106</w:t>
            </w:r>
          </w:p>
        </w:tc>
      </w:tr>
      <w:tr>
        <w:trPr>
          <w:trHeight w:val="420"/>
        </w:trPr>
        <w:tc>
          <w:tcPr>
            <w:tcW w:w="100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10280" w:type="dxa"/>
            <w:vAlign w:val="bottom"/>
          </w:tcPr>
          <w:p>
            <w:pPr>
              <w:ind w:left="340"/>
              <w:spacing w:after="0"/>
              <w:rPr>
                <w:sz w:val="20"/>
                <w:szCs w:val="20"/>
                <w:color w:val="auto"/>
              </w:rPr>
            </w:pPr>
            <w:r>
              <w:rPr>
                <w:rFonts w:ascii="Arial" w:cs="Arial" w:eastAsia="Arial" w:hAnsi="Arial"/>
                <w:sz w:val="16"/>
                <w:szCs w:val="16"/>
                <w:b w:val="1"/>
                <w:bCs w:val="1"/>
                <w:color w:val="auto"/>
              </w:rPr>
              <w:t>If this statement is filed pursuant to §§ 240.13d-1(b), or 240.13d -2(b) or (c), check whether the persons filing is a:</w:t>
            </w:r>
          </w:p>
        </w:tc>
      </w:tr>
      <w:tr>
        <w:trPr>
          <w:trHeight w:val="296"/>
        </w:trPr>
        <w:tc>
          <w:tcPr>
            <w:tcW w:w="1000" w:type="dxa"/>
            <w:vAlign w:val="bottom"/>
          </w:tcPr>
          <w:p>
            <w:pPr>
              <w:spacing w:after="0"/>
              <w:rPr>
                <w:sz w:val="24"/>
                <w:szCs w:val="24"/>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rPr>
              <w:t>Not applicable</w:t>
            </w:r>
          </w:p>
        </w:tc>
      </w:tr>
      <w:tr>
        <w:trPr>
          <w:trHeight w:val="327"/>
        </w:trPr>
        <w:tc>
          <w:tcPr>
            <w:tcW w:w="1000" w:type="dxa"/>
            <w:vAlign w:val="bottom"/>
            <w:tcBorders>
              <w:bottom w:val="single" w:sz="8" w:color="9A9A9A"/>
            </w:tcBorders>
          </w:tcPr>
          <w:p>
            <w:pPr>
              <w:spacing w:after="0"/>
              <w:rPr>
                <w:sz w:val="24"/>
                <w:szCs w:val="24"/>
                <w:color w:val="auto"/>
              </w:rPr>
            </w:pPr>
          </w:p>
        </w:tc>
        <w:tc>
          <w:tcPr>
            <w:tcW w:w="10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7151370</wp:posOffset>
            </wp:positionH>
            <wp:positionV relativeFrom="paragraph">
              <wp:posOffset>-6985</wp:posOffset>
            </wp:positionV>
            <wp:extent cx="762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80"/>
          </w:cols>
          <w:pgMar w:left="320" w:top="123" w:right="299" w:bottom="1440" w:gutter="0" w:footer="0" w:header="0"/>
        </w:sectPr>
      </w:pPr>
    </w:p>
    <w:bookmarkStart w:id="4" w:name="page5"/>
    <w:bookmarkEnd w:id="4"/>
    <w:tbl>
      <w:tblPr>
        <w:tblLayout w:type="fixed"/>
        <w:tblInd w:w="1" w:type="dxa"/>
        <w:tblCellMar>
          <w:top w:w="0" w:type="dxa"/>
          <w:left w:w="0" w:type="dxa"/>
          <w:bottom w:w="0" w:type="dxa"/>
          <w:right w:w="0" w:type="dxa"/>
        </w:tblCellMar>
      </w:tblPr>
      <w:tr>
        <w:trPr>
          <w:trHeight w:val="237"/>
        </w:trPr>
        <w:tc>
          <w:tcPr>
            <w:tcW w:w="15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2620" w:type="dxa"/>
            <w:vAlign w:val="bottom"/>
            <w:gridSpan w:val="4"/>
          </w:tcPr>
          <w:p>
            <w:pPr>
              <w:ind w:left="360"/>
              <w:spacing w:after="0"/>
              <w:rPr>
                <w:sz w:val="20"/>
                <w:szCs w:val="20"/>
                <w:color w:val="auto"/>
              </w:rPr>
            </w:pPr>
            <w:r>
              <w:rPr>
                <w:rFonts w:ascii="Arial" w:cs="Arial" w:eastAsia="Arial" w:hAnsi="Arial"/>
                <w:sz w:val="16"/>
                <w:szCs w:val="16"/>
                <w:b w:val="1"/>
                <w:bCs w:val="1"/>
                <w:color w:val="auto"/>
              </w:rPr>
              <w:t>Ownership.</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97"/>
        </w:trPr>
        <w:tc>
          <w:tcPr>
            <w:tcW w:w="1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57"/>
        </w:trPr>
        <w:tc>
          <w:tcPr>
            <w:tcW w:w="1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Sole Power to</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1"/>
              </w:rPr>
              <w:t>Shared Power to</w:t>
            </w:r>
          </w:p>
        </w:tc>
      </w:tr>
      <w:tr>
        <w:trPr>
          <w:trHeight w:val="136"/>
        </w:trPr>
        <w:tc>
          <w:tcPr>
            <w:tcW w:w="1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ind w:left="420"/>
              <w:spacing w:after="0" w:line="136" w:lineRule="exact"/>
              <w:rPr>
                <w:sz w:val="20"/>
                <w:szCs w:val="20"/>
                <w:color w:val="auto"/>
              </w:rPr>
            </w:pPr>
            <w:r>
              <w:rPr>
                <w:rFonts w:ascii="Arial" w:cs="Arial" w:eastAsia="Arial" w:hAnsi="Arial"/>
                <w:sz w:val="13"/>
                <w:szCs w:val="13"/>
                <w:b w:val="1"/>
                <w:bCs w:val="1"/>
                <w:color w:val="auto"/>
              </w:rPr>
              <w:t>Amount</w:t>
            </w: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160"/>
              <w:spacing w:after="0" w:line="136" w:lineRule="exact"/>
              <w:rPr>
                <w:sz w:val="20"/>
                <w:szCs w:val="20"/>
                <w:color w:val="auto"/>
              </w:rPr>
            </w:pPr>
            <w:r>
              <w:rPr>
                <w:rFonts w:ascii="Arial" w:cs="Arial" w:eastAsia="Arial" w:hAnsi="Arial"/>
                <w:sz w:val="13"/>
                <w:szCs w:val="13"/>
                <w:b w:val="1"/>
                <w:bCs w:val="1"/>
                <w:color w:val="auto"/>
                <w:w w:val="88"/>
              </w:rPr>
              <w:t>Sole Power to</w:t>
            </w:r>
          </w:p>
        </w:tc>
        <w:tc>
          <w:tcPr>
            <w:tcW w:w="1440" w:type="dxa"/>
            <w:vAlign w:val="bottom"/>
            <w:gridSpan w:val="2"/>
          </w:tcPr>
          <w:p>
            <w:pPr>
              <w:jc w:val="center"/>
              <w:ind w:right="160"/>
              <w:spacing w:after="0" w:line="136" w:lineRule="exact"/>
              <w:rPr>
                <w:sz w:val="20"/>
                <w:szCs w:val="20"/>
                <w:color w:val="auto"/>
              </w:rPr>
            </w:pPr>
            <w:r>
              <w:rPr>
                <w:rFonts w:ascii="Arial" w:cs="Arial" w:eastAsia="Arial" w:hAnsi="Arial"/>
                <w:sz w:val="13"/>
                <w:szCs w:val="13"/>
                <w:b w:val="1"/>
                <w:bCs w:val="1"/>
                <w:color w:val="auto"/>
                <w:w w:val="92"/>
              </w:rPr>
              <w:t>Shared Power</w:t>
            </w:r>
          </w:p>
        </w:tc>
        <w:tc>
          <w:tcPr>
            <w:tcW w:w="1440" w:type="dxa"/>
            <w:vAlign w:val="bottom"/>
            <w:gridSpan w:val="2"/>
          </w:tcPr>
          <w:p>
            <w:pPr>
              <w:jc w:val="center"/>
              <w:ind w:right="160"/>
              <w:spacing w:after="0" w:line="136" w:lineRule="exact"/>
              <w:rPr>
                <w:sz w:val="20"/>
                <w:szCs w:val="20"/>
                <w:color w:val="auto"/>
              </w:rPr>
            </w:pPr>
            <w:r>
              <w:rPr>
                <w:rFonts w:ascii="Arial" w:cs="Arial" w:eastAsia="Arial" w:hAnsi="Arial"/>
                <w:sz w:val="13"/>
                <w:szCs w:val="13"/>
                <w:b w:val="1"/>
                <w:bCs w:val="1"/>
                <w:color w:val="auto"/>
                <w:w w:val="86"/>
              </w:rPr>
              <w:t>Dispose or to</w:t>
            </w:r>
          </w:p>
        </w:tc>
        <w:tc>
          <w:tcPr>
            <w:tcW w:w="13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9"/>
              </w:rPr>
              <w:t>Dispose or to</w:t>
            </w:r>
          </w:p>
        </w:tc>
      </w:tr>
      <w:tr>
        <w:trPr>
          <w:trHeight w:val="136"/>
        </w:trPr>
        <w:tc>
          <w:tcPr>
            <w:tcW w:w="1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ind w:left="320"/>
              <w:spacing w:after="0" w:line="136" w:lineRule="exact"/>
              <w:rPr>
                <w:sz w:val="20"/>
                <w:szCs w:val="20"/>
                <w:color w:val="auto"/>
              </w:rPr>
            </w:pPr>
            <w:r>
              <w:rPr>
                <w:rFonts w:ascii="Arial" w:cs="Arial" w:eastAsia="Arial" w:hAnsi="Arial"/>
                <w:sz w:val="13"/>
                <w:szCs w:val="13"/>
                <w:b w:val="1"/>
                <w:bCs w:val="1"/>
                <w:color w:val="auto"/>
              </w:rPr>
              <w:t>Beneficially</w:t>
            </w:r>
          </w:p>
        </w:tc>
        <w:tc>
          <w:tcPr>
            <w:tcW w:w="148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88"/>
              </w:rPr>
              <w:t>Percent of</w:t>
            </w:r>
          </w:p>
        </w:tc>
        <w:tc>
          <w:tcPr>
            <w:tcW w:w="1440" w:type="dxa"/>
            <w:vAlign w:val="bottom"/>
            <w:gridSpan w:val="2"/>
          </w:tcPr>
          <w:p>
            <w:pPr>
              <w:jc w:val="center"/>
              <w:ind w:right="160"/>
              <w:spacing w:after="0" w:line="136" w:lineRule="exact"/>
              <w:rPr>
                <w:sz w:val="20"/>
                <w:szCs w:val="20"/>
                <w:color w:val="auto"/>
              </w:rPr>
            </w:pPr>
            <w:r>
              <w:rPr>
                <w:rFonts w:ascii="Arial" w:cs="Arial" w:eastAsia="Arial" w:hAnsi="Arial"/>
                <w:sz w:val="13"/>
                <w:szCs w:val="13"/>
                <w:b w:val="1"/>
                <w:bCs w:val="1"/>
                <w:color w:val="auto"/>
                <w:w w:val="90"/>
              </w:rPr>
              <w:t>Vote or to Direct</w:t>
            </w:r>
          </w:p>
        </w:tc>
        <w:tc>
          <w:tcPr>
            <w:tcW w:w="1440" w:type="dxa"/>
            <w:vAlign w:val="bottom"/>
            <w:gridSpan w:val="2"/>
          </w:tcPr>
          <w:p>
            <w:pPr>
              <w:jc w:val="center"/>
              <w:ind w:right="160"/>
              <w:spacing w:after="0" w:line="136" w:lineRule="exact"/>
              <w:rPr>
                <w:sz w:val="20"/>
                <w:szCs w:val="20"/>
                <w:color w:val="auto"/>
              </w:rPr>
            </w:pPr>
            <w:r>
              <w:rPr>
                <w:rFonts w:ascii="Arial" w:cs="Arial" w:eastAsia="Arial" w:hAnsi="Arial"/>
                <w:sz w:val="13"/>
                <w:szCs w:val="13"/>
                <w:b w:val="1"/>
                <w:bCs w:val="1"/>
                <w:color w:val="auto"/>
                <w:w w:val="88"/>
              </w:rPr>
              <w:t>to Vote or to</w:t>
            </w:r>
          </w:p>
        </w:tc>
        <w:tc>
          <w:tcPr>
            <w:tcW w:w="1440" w:type="dxa"/>
            <w:vAlign w:val="bottom"/>
            <w:gridSpan w:val="2"/>
          </w:tcPr>
          <w:p>
            <w:pPr>
              <w:jc w:val="center"/>
              <w:ind w:right="160"/>
              <w:spacing w:after="0" w:line="136" w:lineRule="exact"/>
              <w:rPr>
                <w:sz w:val="20"/>
                <w:szCs w:val="20"/>
                <w:color w:val="auto"/>
              </w:rPr>
            </w:pPr>
            <w:r>
              <w:rPr>
                <w:rFonts w:ascii="Arial" w:cs="Arial" w:eastAsia="Arial" w:hAnsi="Arial"/>
                <w:sz w:val="13"/>
                <w:szCs w:val="13"/>
                <w:b w:val="1"/>
                <w:bCs w:val="1"/>
                <w:color w:val="auto"/>
                <w:w w:val="93"/>
              </w:rPr>
              <w:t>Direct the</w:t>
            </w:r>
          </w:p>
        </w:tc>
        <w:tc>
          <w:tcPr>
            <w:tcW w:w="13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9"/>
              </w:rPr>
              <w:t>Direct the</w:t>
            </w:r>
          </w:p>
        </w:tc>
      </w:tr>
      <w:tr>
        <w:trPr>
          <w:trHeight w:val="156"/>
        </w:trPr>
        <w:tc>
          <w:tcPr>
            <w:tcW w:w="1520" w:type="dxa"/>
            <w:vAlign w:val="bottom"/>
          </w:tcPr>
          <w:p>
            <w:pPr>
              <w:spacing w:after="0"/>
              <w:rPr>
                <w:sz w:val="20"/>
                <w:szCs w:val="20"/>
                <w:color w:val="auto"/>
              </w:rPr>
            </w:pPr>
            <w:r>
              <w:rPr>
                <w:rFonts w:ascii="Arial" w:cs="Arial" w:eastAsia="Arial" w:hAnsi="Arial"/>
                <w:sz w:val="13"/>
                <w:szCs w:val="13"/>
                <w:b w:val="1"/>
                <w:bCs w:val="1"/>
                <w:color w:val="auto"/>
              </w:rPr>
              <w:t>Reporting Person:</w:t>
            </w: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ind w:left="420"/>
              <w:spacing w:after="0"/>
              <w:rPr>
                <w:sz w:val="20"/>
                <w:szCs w:val="20"/>
                <w:color w:val="auto"/>
              </w:rPr>
            </w:pPr>
            <w:r>
              <w:rPr>
                <w:rFonts w:ascii="Arial" w:cs="Arial" w:eastAsia="Arial" w:hAnsi="Arial"/>
                <w:sz w:val="13"/>
                <w:szCs w:val="13"/>
                <w:b w:val="1"/>
                <w:bCs w:val="1"/>
                <w:color w:val="auto"/>
              </w:rPr>
              <w:t>Owned:</w:t>
            </w:r>
          </w:p>
        </w:tc>
        <w:tc>
          <w:tcPr>
            <w:tcW w:w="14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Class:</w:t>
            </w:r>
            <w:r>
              <w:rPr>
                <w:rFonts w:ascii="Arial" w:cs="Arial" w:eastAsia="Arial" w:hAnsi="Arial"/>
                <w:sz w:val="11"/>
                <w:szCs w:val="11"/>
                <w:b w:val="1"/>
                <w:bCs w:val="1"/>
                <w:color w:val="auto"/>
                <w:w w:val="91"/>
              </w:rPr>
              <w:t>(1)</w:t>
            </w:r>
          </w:p>
        </w:tc>
        <w:tc>
          <w:tcPr>
            <w:tcW w:w="14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the Vote:</w:t>
            </w:r>
          </w:p>
        </w:tc>
        <w:tc>
          <w:tcPr>
            <w:tcW w:w="14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Direct the Vote:</w:t>
            </w:r>
          </w:p>
        </w:tc>
        <w:tc>
          <w:tcPr>
            <w:tcW w:w="14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Disposition of:</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0"/>
              </w:rPr>
              <w:t>Disposition of:</w:t>
            </w:r>
          </w:p>
        </w:tc>
      </w:tr>
      <w:tr>
        <w:trPr>
          <w:trHeight w:val="202"/>
        </w:trPr>
        <w:tc>
          <w:tcPr>
            <w:tcW w:w="1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Yam Tak Cheung</w:t>
            </w: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ind w:left="320"/>
              <w:spacing w:after="0"/>
              <w:rPr>
                <w:sz w:val="20"/>
                <w:szCs w:val="20"/>
                <w:color w:val="auto"/>
              </w:rPr>
            </w:pPr>
            <w:r>
              <w:rPr>
                <w:rFonts w:ascii="Arial" w:cs="Arial" w:eastAsia="Arial" w:hAnsi="Arial"/>
                <w:sz w:val="16"/>
                <w:szCs w:val="16"/>
                <w:color w:val="auto"/>
                <w:w w:val="92"/>
              </w:rPr>
              <w:t>3,299,105.5(2)</w:t>
            </w:r>
          </w:p>
        </w:tc>
        <w:tc>
          <w:tcPr>
            <w:tcW w:w="14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40" w:type="dxa"/>
            <w:vAlign w:val="bottom"/>
            <w:tcBorders>
              <w:top w:val="single" w:sz="8" w:color="CFF0FC"/>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3,299,105.5(2)</w:t>
            </w:r>
          </w:p>
        </w:tc>
        <w:tc>
          <w:tcPr>
            <w:tcW w:w="140" w:type="dxa"/>
            <w:vAlign w:val="bottom"/>
            <w:tcBorders>
              <w:top w:val="single" w:sz="8" w:color="CFF0FC"/>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w:t>
            </w:r>
          </w:p>
        </w:tc>
        <w:tc>
          <w:tcPr>
            <w:tcW w:w="140" w:type="dxa"/>
            <w:vAlign w:val="bottom"/>
            <w:tcBorders>
              <w:top w:val="single" w:sz="8" w:color="CFF0FC"/>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3,299,105.5(2)</w:t>
            </w:r>
          </w:p>
        </w:tc>
        <w:tc>
          <w:tcPr>
            <w:tcW w:w="140" w:type="dxa"/>
            <w:vAlign w:val="bottom"/>
            <w:tcBorders>
              <w:top w:val="single" w:sz="8" w:color="CFF0FC"/>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w:t>
            </w:r>
          </w:p>
        </w:tc>
      </w:tr>
      <w:tr>
        <w:trPr>
          <w:trHeight w:val="197"/>
        </w:trPr>
        <w:tc>
          <w:tcPr>
            <w:tcW w:w="4140" w:type="dxa"/>
            <w:vAlign w:val="bottom"/>
            <w:gridSpan w:val="5"/>
          </w:tcPr>
          <w:p>
            <w:pPr>
              <w:spacing w:after="0"/>
              <w:rPr>
                <w:sz w:val="20"/>
                <w:szCs w:val="20"/>
                <w:color w:val="auto"/>
              </w:rPr>
            </w:pPr>
            <w:r>
              <w:rPr>
                <w:rFonts w:ascii="Arial" w:cs="Arial" w:eastAsia="Arial" w:hAnsi="Arial"/>
                <w:sz w:val="16"/>
                <w:szCs w:val="16"/>
                <w:color w:val="auto"/>
              </w:rPr>
              <w:t>Integrated Asset Management (Asia)</w:t>
            </w: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9"/>
        </w:trPr>
        <w:tc>
          <w:tcPr>
            <w:tcW w:w="1520" w:type="dxa"/>
            <w:vAlign w:val="bottom"/>
          </w:tcPr>
          <w:p>
            <w:pPr>
              <w:spacing w:after="0"/>
              <w:rPr>
                <w:sz w:val="20"/>
                <w:szCs w:val="20"/>
                <w:color w:val="auto"/>
              </w:rPr>
            </w:pPr>
            <w:r>
              <w:rPr>
                <w:rFonts w:ascii="Arial" w:cs="Arial" w:eastAsia="Arial" w:hAnsi="Arial"/>
                <w:sz w:val="16"/>
                <w:szCs w:val="16"/>
                <w:color w:val="auto"/>
              </w:rPr>
              <w:t>Ltd.</w:t>
            </w:r>
          </w:p>
        </w:tc>
        <w:tc>
          <w:tcPr>
            <w:tcW w:w="2480" w:type="dxa"/>
            <w:vAlign w:val="bottom"/>
            <w:gridSpan w:val="3"/>
          </w:tcPr>
          <w:p>
            <w:pPr>
              <w:ind w:left="1500"/>
              <w:spacing w:after="0"/>
              <w:rPr>
                <w:sz w:val="20"/>
                <w:szCs w:val="20"/>
                <w:color w:val="auto"/>
              </w:rPr>
            </w:pPr>
            <w:r>
              <w:rPr>
                <w:rFonts w:ascii="Arial" w:cs="Arial" w:eastAsia="Arial" w:hAnsi="Arial"/>
                <w:sz w:val="16"/>
                <w:szCs w:val="16"/>
                <w:color w:val="auto"/>
                <w:w w:val="92"/>
              </w:rPr>
              <w:t>3,299,105.5(3)</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7.3%</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3,299,105.5(3)</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3,299,105.5(3)</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437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204" w:lineRule="exact"/>
        <w:rPr>
          <w:sz w:val="20"/>
          <w:szCs w:val="20"/>
          <w:color w:val="auto"/>
        </w:rPr>
      </w:pPr>
    </w:p>
    <w:p>
      <w:pPr>
        <w:ind w:left="441" w:right="200" w:hanging="441"/>
        <w:spacing w:after="0" w:line="273" w:lineRule="auto"/>
        <w:tabs>
          <w:tab w:leader="none" w:pos="44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percentages of the class of securities beneficially owned by each reporting person is based on 45,205,666 ordinary shares, comprised of 40,385,058 Class A Ordinary Shares and 4,820,608 Class B Ordinary Shares, outstanding as of September 30, 2020, as reported in the Issuer’s Form 6-K filed with the Securities and Exchange Commission (the “SEC”) on November 24, 2020.</w:t>
      </w:r>
    </w:p>
    <w:p>
      <w:pPr>
        <w:spacing w:after="0" w:line="162" w:lineRule="exact"/>
        <w:rPr>
          <w:rFonts w:ascii="Arial" w:cs="Arial" w:eastAsia="Arial" w:hAnsi="Arial"/>
          <w:sz w:val="16"/>
          <w:szCs w:val="16"/>
          <w:color w:val="auto"/>
        </w:rPr>
      </w:pPr>
    </w:p>
    <w:p>
      <w:pPr>
        <w:ind w:left="441" w:right="240" w:hanging="441"/>
        <w:spacing w:after="0" w:line="289" w:lineRule="auto"/>
        <w:tabs>
          <w:tab w:leader="none" w:pos="441"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3,299,105.5 Class A ordinary shares directly held by Integrated Asset Management (Asia) Ltd., a company incorporated in the British Virgin Islands. Mr. Yam Tak Cheung is the sole shareholder and the sole director of Integrated Asset Management (Asia) Ltd.</w:t>
      </w:r>
    </w:p>
    <w:p>
      <w:pPr>
        <w:spacing w:after="0" w:line="149" w:lineRule="exact"/>
        <w:rPr>
          <w:rFonts w:ascii="Arial" w:cs="Arial" w:eastAsia="Arial" w:hAnsi="Arial"/>
          <w:sz w:val="16"/>
          <w:szCs w:val="16"/>
          <w:color w:val="auto"/>
        </w:rPr>
      </w:pPr>
    </w:p>
    <w:p>
      <w:pPr>
        <w:ind w:left="441" w:hanging="441"/>
        <w:spacing w:after="0"/>
        <w:tabs>
          <w:tab w:leader="none" w:pos="441"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3,299,105.5 Class A ordinary shares directly held by Integrated Asset Management (Asia) Ltd.</w:t>
      </w:r>
    </w:p>
    <w:p>
      <w:pPr>
        <w:spacing w:after="0" w:line="232" w:lineRule="exact"/>
        <w:rPr>
          <w:sz w:val="20"/>
          <w:szCs w:val="20"/>
          <w:color w:val="auto"/>
        </w:rPr>
      </w:pPr>
    </w:p>
    <w:tbl>
      <w:tblPr>
        <w:tblLayout w:type="fixed"/>
        <w:tblInd w:w="1" w:type="dxa"/>
        <w:tblCellMar>
          <w:top w:w="0" w:type="dxa"/>
          <w:left w:w="0" w:type="dxa"/>
          <w:bottom w:w="0" w:type="dxa"/>
          <w:right w:w="0" w:type="dxa"/>
        </w:tblCellMar>
      </w:tblPr>
      <w:tr>
        <w:trPr>
          <w:trHeight w:val="213"/>
        </w:trPr>
        <w:tc>
          <w:tcPr>
            <w:tcW w:w="940" w:type="dxa"/>
            <w:vAlign w:val="bottom"/>
          </w:tcPr>
          <w:p>
            <w:pPr>
              <w:spacing w:after="0"/>
              <w:rPr>
                <w:sz w:val="20"/>
                <w:szCs w:val="20"/>
                <w:color w:val="auto"/>
              </w:rPr>
            </w:pPr>
            <w:r>
              <w:rPr>
                <w:rFonts w:ascii="Arial" w:cs="Arial" w:eastAsia="Arial" w:hAnsi="Arial"/>
                <w:sz w:val="16"/>
                <w:szCs w:val="16"/>
                <w:b w:val="1"/>
                <w:bCs w:val="1"/>
                <w:color w:val="auto"/>
              </w:rPr>
              <w:t>Item 5.</w:t>
            </w:r>
          </w:p>
        </w:tc>
        <w:tc>
          <w:tcPr>
            <w:tcW w:w="10340" w:type="dxa"/>
            <w:vAlign w:val="bottom"/>
          </w:tcPr>
          <w:p>
            <w:pPr>
              <w:ind w:left="400"/>
              <w:spacing w:after="0"/>
              <w:rPr>
                <w:sz w:val="20"/>
                <w:szCs w:val="20"/>
                <w:color w:val="auto"/>
              </w:rPr>
            </w:pPr>
            <w:r>
              <w:rPr>
                <w:rFonts w:ascii="Arial" w:cs="Arial" w:eastAsia="Arial" w:hAnsi="Arial"/>
                <w:sz w:val="16"/>
                <w:szCs w:val="16"/>
                <w:b w:val="1"/>
                <w:bCs w:val="1"/>
                <w:color w:val="auto"/>
              </w:rPr>
              <w:t>Ownership of Five Percent or Less of a Class</w:t>
            </w:r>
          </w:p>
        </w:tc>
      </w:tr>
      <w:tr>
        <w:trPr>
          <w:trHeight w:val="296"/>
        </w:trPr>
        <w:tc>
          <w:tcPr>
            <w:tcW w:w="940" w:type="dxa"/>
            <w:vAlign w:val="bottom"/>
          </w:tcPr>
          <w:p>
            <w:pPr>
              <w:spacing w:after="0"/>
              <w:rPr>
                <w:sz w:val="24"/>
                <w:szCs w:val="24"/>
                <w:color w:val="auto"/>
              </w:rPr>
            </w:pPr>
          </w:p>
        </w:tc>
        <w:tc>
          <w:tcPr>
            <w:tcW w:w="10340" w:type="dxa"/>
            <w:vAlign w:val="bottom"/>
          </w:tcPr>
          <w:p>
            <w:pPr>
              <w:ind w:left="360"/>
              <w:spacing w:after="0"/>
              <w:rPr>
                <w:sz w:val="20"/>
                <w:szCs w:val="20"/>
                <w:color w:val="auto"/>
              </w:rPr>
            </w:pPr>
            <w:r>
              <w:rPr>
                <w:rFonts w:ascii="Arial" w:cs="Arial" w:eastAsia="Arial" w:hAnsi="Arial"/>
                <w:sz w:val="16"/>
                <w:szCs w:val="16"/>
                <w:color w:val="auto"/>
              </w:rPr>
              <w:t>Not applicable</w:t>
            </w:r>
          </w:p>
        </w:tc>
      </w:tr>
      <w:tr>
        <w:trPr>
          <w:trHeight w:val="395"/>
        </w:trPr>
        <w:tc>
          <w:tcPr>
            <w:tcW w:w="94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10340" w:type="dxa"/>
            <w:vAlign w:val="bottom"/>
          </w:tcPr>
          <w:p>
            <w:pPr>
              <w:ind w:left="400"/>
              <w:spacing w:after="0"/>
              <w:rPr>
                <w:sz w:val="20"/>
                <w:szCs w:val="20"/>
                <w:color w:val="auto"/>
              </w:rPr>
            </w:pPr>
            <w:r>
              <w:rPr>
                <w:rFonts w:ascii="Arial" w:cs="Arial" w:eastAsia="Arial" w:hAnsi="Arial"/>
                <w:sz w:val="16"/>
                <w:szCs w:val="16"/>
                <w:b w:val="1"/>
                <w:bCs w:val="1"/>
                <w:color w:val="auto"/>
              </w:rPr>
              <w:t>Ownership of More than Five Percent on Behalf of Another Person</w:t>
            </w:r>
          </w:p>
        </w:tc>
      </w:tr>
      <w:tr>
        <w:trPr>
          <w:trHeight w:val="296"/>
        </w:trPr>
        <w:tc>
          <w:tcPr>
            <w:tcW w:w="940" w:type="dxa"/>
            <w:vAlign w:val="bottom"/>
          </w:tcPr>
          <w:p>
            <w:pPr>
              <w:spacing w:after="0"/>
              <w:rPr>
                <w:sz w:val="24"/>
                <w:szCs w:val="24"/>
                <w:color w:val="auto"/>
              </w:rPr>
            </w:pPr>
          </w:p>
        </w:tc>
        <w:tc>
          <w:tcPr>
            <w:tcW w:w="10340" w:type="dxa"/>
            <w:vAlign w:val="bottom"/>
          </w:tcPr>
          <w:p>
            <w:pPr>
              <w:ind w:left="360"/>
              <w:spacing w:after="0"/>
              <w:rPr>
                <w:sz w:val="20"/>
                <w:szCs w:val="20"/>
                <w:color w:val="auto"/>
              </w:rPr>
            </w:pPr>
            <w:r>
              <w:rPr>
                <w:rFonts w:ascii="Arial" w:cs="Arial" w:eastAsia="Arial" w:hAnsi="Arial"/>
                <w:sz w:val="16"/>
                <w:szCs w:val="16"/>
                <w:color w:val="auto"/>
              </w:rPr>
              <w:t>Not applicable</w:t>
            </w:r>
          </w:p>
        </w:tc>
      </w:tr>
      <w:tr>
        <w:trPr>
          <w:trHeight w:val="380"/>
        </w:trPr>
        <w:tc>
          <w:tcPr>
            <w:tcW w:w="940" w:type="dxa"/>
            <w:vAlign w:val="bottom"/>
          </w:tcPr>
          <w:p>
            <w:pPr>
              <w:spacing w:after="0"/>
              <w:rPr>
                <w:sz w:val="20"/>
                <w:szCs w:val="20"/>
                <w:color w:val="auto"/>
              </w:rPr>
            </w:pPr>
            <w:r>
              <w:rPr>
                <w:rFonts w:ascii="Arial" w:cs="Arial" w:eastAsia="Arial" w:hAnsi="Arial"/>
                <w:sz w:val="16"/>
                <w:szCs w:val="16"/>
                <w:b w:val="1"/>
                <w:bCs w:val="1"/>
                <w:color w:val="auto"/>
              </w:rPr>
              <w:t>Item 7.</w:t>
            </w:r>
          </w:p>
        </w:tc>
        <w:tc>
          <w:tcPr>
            <w:tcW w:w="10340" w:type="dxa"/>
            <w:vAlign w:val="bottom"/>
          </w:tcPr>
          <w:p>
            <w:pPr>
              <w:ind w:left="400"/>
              <w:spacing w:after="0"/>
              <w:rPr>
                <w:sz w:val="20"/>
                <w:szCs w:val="20"/>
                <w:color w:val="auto"/>
              </w:rPr>
            </w:pPr>
            <w:r>
              <w:rPr>
                <w:rFonts w:ascii="Arial" w:cs="Arial" w:eastAsia="Arial" w:hAnsi="Arial"/>
                <w:sz w:val="16"/>
                <w:szCs w:val="16"/>
                <w:b w:val="1"/>
                <w:bCs w:val="1"/>
                <w:color w:val="auto"/>
                <w:w w:val="97"/>
              </w:rPr>
              <w:t>Identification and Classification of the Subsidiary Which Acquired the Security Being Reported on By the Parent Holding Company or</w:t>
            </w:r>
          </w:p>
        </w:tc>
      </w:tr>
      <w:tr>
        <w:trPr>
          <w:trHeight w:val="213"/>
        </w:trPr>
        <w:tc>
          <w:tcPr>
            <w:tcW w:w="94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Arial" w:cs="Arial" w:eastAsia="Arial" w:hAnsi="Arial"/>
                <w:sz w:val="16"/>
                <w:szCs w:val="16"/>
                <w:b w:val="1"/>
                <w:bCs w:val="1"/>
                <w:color w:val="auto"/>
              </w:rPr>
              <w:t>Control Person</w:t>
            </w:r>
          </w:p>
        </w:tc>
      </w:tr>
      <w:tr>
        <w:trPr>
          <w:trHeight w:val="296"/>
        </w:trPr>
        <w:tc>
          <w:tcPr>
            <w:tcW w:w="940" w:type="dxa"/>
            <w:vAlign w:val="bottom"/>
          </w:tcPr>
          <w:p>
            <w:pPr>
              <w:spacing w:after="0"/>
              <w:rPr>
                <w:sz w:val="24"/>
                <w:szCs w:val="24"/>
                <w:color w:val="auto"/>
              </w:rPr>
            </w:pPr>
          </w:p>
        </w:tc>
        <w:tc>
          <w:tcPr>
            <w:tcW w:w="10340" w:type="dxa"/>
            <w:vAlign w:val="bottom"/>
          </w:tcPr>
          <w:p>
            <w:pPr>
              <w:ind w:left="360"/>
              <w:spacing w:after="0"/>
              <w:rPr>
                <w:sz w:val="20"/>
                <w:szCs w:val="20"/>
                <w:color w:val="auto"/>
              </w:rPr>
            </w:pPr>
            <w:r>
              <w:rPr>
                <w:rFonts w:ascii="Arial" w:cs="Arial" w:eastAsia="Arial" w:hAnsi="Arial"/>
                <w:sz w:val="16"/>
                <w:szCs w:val="16"/>
                <w:color w:val="auto"/>
              </w:rPr>
              <w:t>Not applicable</w:t>
            </w:r>
          </w:p>
        </w:tc>
      </w:tr>
      <w:tr>
        <w:trPr>
          <w:trHeight w:val="420"/>
        </w:trPr>
        <w:tc>
          <w:tcPr>
            <w:tcW w:w="940" w:type="dxa"/>
            <w:vAlign w:val="bottom"/>
          </w:tcPr>
          <w:p>
            <w:pPr>
              <w:spacing w:after="0"/>
              <w:rPr>
                <w:sz w:val="20"/>
                <w:szCs w:val="20"/>
                <w:color w:val="auto"/>
              </w:rPr>
            </w:pPr>
            <w:r>
              <w:rPr>
                <w:rFonts w:ascii="Arial" w:cs="Arial" w:eastAsia="Arial" w:hAnsi="Arial"/>
                <w:sz w:val="16"/>
                <w:szCs w:val="16"/>
                <w:b w:val="1"/>
                <w:bCs w:val="1"/>
                <w:color w:val="auto"/>
              </w:rPr>
              <w:t>Item 8.</w:t>
            </w:r>
          </w:p>
        </w:tc>
        <w:tc>
          <w:tcPr>
            <w:tcW w:w="10340" w:type="dxa"/>
            <w:vAlign w:val="bottom"/>
          </w:tcPr>
          <w:p>
            <w:pPr>
              <w:ind w:left="400"/>
              <w:spacing w:after="0"/>
              <w:rPr>
                <w:sz w:val="20"/>
                <w:szCs w:val="20"/>
                <w:color w:val="auto"/>
              </w:rPr>
            </w:pPr>
            <w:r>
              <w:rPr>
                <w:rFonts w:ascii="Arial" w:cs="Arial" w:eastAsia="Arial" w:hAnsi="Arial"/>
                <w:sz w:val="16"/>
                <w:szCs w:val="16"/>
                <w:b w:val="1"/>
                <w:bCs w:val="1"/>
                <w:color w:val="auto"/>
              </w:rPr>
              <w:t>Identification and Classification of Members of the Group</w:t>
            </w:r>
          </w:p>
        </w:tc>
      </w:tr>
      <w:tr>
        <w:trPr>
          <w:trHeight w:val="296"/>
        </w:trPr>
        <w:tc>
          <w:tcPr>
            <w:tcW w:w="940" w:type="dxa"/>
            <w:vAlign w:val="bottom"/>
          </w:tcPr>
          <w:p>
            <w:pPr>
              <w:spacing w:after="0"/>
              <w:rPr>
                <w:sz w:val="24"/>
                <w:szCs w:val="24"/>
                <w:color w:val="auto"/>
              </w:rPr>
            </w:pPr>
          </w:p>
        </w:tc>
        <w:tc>
          <w:tcPr>
            <w:tcW w:w="10340" w:type="dxa"/>
            <w:vAlign w:val="bottom"/>
          </w:tcPr>
          <w:p>
            <w:pPr>
              <w:ind w:left="360"/>
              <w:spacing w:after="0"/>
              <w:rPr>
                <w:sz w:val="20"/>
                <w:szCs w:val="20"/>
                <w:color w:val="auto"/>
              </w:rPr>
            </w:pPr>
            <w:r>
              <w:rPr>
                <w:rFonts w:ascii="Arial" w:cs="Arial" w:eastAsia="Arial" w:hAnsi="Arial"/>
                <w:sz w:val="16"/>
                <w:szCs w:val="16"/>
                <w:color w:val="auto"/>
              </w:rPr>
              <w:t>Not applicable</w:t>
            </w:r>
          </w:p>
        </w:tc>
      </w:tr>
      <w:tr>
        <w:trPr>
          <w:trHeight w:val="420"/>
        </w:trPr>
        <w:tc>
          <w:tcPr>
            <w:tcW w:w="940" w:type="dxa"/>
            <w:vAlign w:val="bottom"/>
          </w:tcPr>
          <w:p>
            <w:pPr>
              <w:spacing w:after="0"/>
              <w:rPr>
                <w:sz w:val="20"/>
                <w:szCs w:val="20"/>
                <w:color w:val="auto"/>
              </w:rPr>
            </w:pPr>
            <w:r>
              <w:rPr>
                <w:rFonts w:ascii="Arial" w:cs="Arial" w:eastAsia="Arial" w:hAnsi="Arial"/>
                <w:sz w:val="16"/>
                <w:szCs w:val="16"/>
                <w:b w:val="1"/>
                <w:bCs w:val="1"/>
                <w:color w:val="auto"/>
              </w:rPr>
              <w:t>Item 9.</w:t>
            </w:r>
          </w:p>
        </w:tc>
        <w:tc>
          <w:tcPr>
            <w:tcW w:w="10340" w:type="dxa"/>
            <w:vAlign w:val="bottom"/>
          </w:tcPr>
          <w:p>
            <w:pPr>
              <w:ind w:left="400"/>
              <w:spacing w:after="0"/>
              <w:rPr>
                <w:sz w:val="20"/>
                <w:szCs w:val="20"/>
                <w:color w:val="auto"/>
              </w:rPr>
            </w:pPr>
            <w:r>
              <w:rPr>
                <w:rFonts w:ascii="Arial" w:cs="Arial" w:eastAsia="Arial" w:hAnsi="Arial"/>
                <w:sz w:val="16"/>
                <w:szCs w:val="16"/>
                <w:b w:val="1"/>
                <w:bCs w:val="1"/>
                <w:color w:val="auto"/>
              </w:rPr>
              <w:t>Notice of Dissolution of Group</w:t>
            </w:r>
          </w:p>
        </w:tc>
      </w:tr>
      <w:tr>
        <w:trPr>
          <w:trHeight w:val="296"/>
        </w:trPr>
        <w:tc>
          <w:tcPr>
            <w:tcW w:w="940" w:type="dxa"/>
            <w:vAlign w:val="bottom"/>
          </w:tcPr>
          <w:p>
            <w:pPr>
              <w:spacing w:after="0"/>
              <w:rPr>
                <w:sz w:val="24"/>
                <w:szCs w:val="24"/>
                <w:color w:val="auto"/>
              </w:rPr>
            </w:pPr>
          </w:p>
        </w:tc>
        <w:tc>
          <w:tcPr>
            <w:tcW w:w="10340" w:type="dxa"/>
            <w:vAlign w:val="bottom"/>
          </w:tcPr>
          <w:p>
            <w:pPr>
              <w:ind w:left="360"/>
              <w:spacing w:after="0"/>
              <w:rPr>
                <w:sz w:val="20"/>
                <w:szCs w:val="20"/>
                <w:color w:val="auto"/>
              </w:rPr>
            </w:pPr>
            <w:r>
              <w:rPr>
                <w:rFonts w:ascii="Arial" w:cs="Arial" w:eastAsia="Arial" w:hAnsi="Arial"/>
                <w:sz w:val="16"/>
                <w:szCs w:val="16"/>
                <w:color w:val="auto"/>
              </w:rPr>
              <w:t>Not applicable</w:t>
            </w:r>
          </w:p>
        </w:tc>
      </w:tr>
      <w:tr>
        <w:trPr>
          <w:trHeight w:val="420"/>
        </w:trPr>
        <w:tc>
          <w:tcPr>
            <w:tcW w:w="940" w:type="dxa"/>
            <w:vAlign w:val="bottom"/>
          </w:tcPr>
          <w:p>
            <w:pPr>
              <w:spacing w:after="0"/>
              <w:rPr>
                <w:sz w:val="20"/>
                <w:szCs w:val="20"/>
                <w:color w:val="auto"/>
              </w:rPr>
            </w:pPr>
            <w:r>
              <w:rPr>
                <w:rFonts w:ascii="Arial" w:cs="Arial" w:eastAsia="Arial" w:hAnsi="Arial"/>
                <w:sz w:val="16"/>
                <w:szCs w:val="16"/>
                <w:b w:val="1"/>
                <w:bCs w:val="1"/>
                <w:color w:val="auto"/>
              </w:rPr>
              <w:t>Item 10.</w:t>
            </w:r>
          </w:p>
        </w:tc>
        <w:tc>
          <w:tcPr>
            <w:tcW w:w="10340" w:type="dxa"/>
            <w:vAlign w:val="bottom"/>
          </w:tcPr>
          <w:p>
            <w:pPr>
              <w:ind w:left="400"/>
              <w:spacing w:after="0"/>
              <w:rPr>
                <w:sz w:val="20"/>
                <w:szCs w:val="20"/>
                <w:color w:val="auto"/>
              </w:rPr>
            </w:pPr>
            <w:r>
              <w:rPr>
                <w:rFonts w:ascii="Arial" w:cs="Arial" w:eastAsia="Arial" w:hAnsi="Arial"/>
                <w:sz w:val="16"/>
                <w:szCs w:val="16"/>
                <w:b w:val="1"/>
                <w:bCs w:val="1"/>
                <w:color w:val="auto"/>
              </w:rPr>
              <w:t>Certifications</w:t>
            </w:r>
          </w:p>
        </w:tc>
      </w:tr>
      <w:tr>
        <w:trPr>
          <w:trHeight w:val="285"/>
        </w:trPr>
        <w:tc>
          <w:tcPr>
            <w:tcW w:w="940" w:type="dxa"/>
            <w:vAlign w:val="bottom"/>
          </w:tcPr>
          <w:p>
            <w:pPr>
              <w:spacing w:after="0"/>
              <w:rPr>
                <w:sz w:val="24"/>
                <w:szCs w:val="24"/>
                <w:color w:val="auto"/>
              </w:rPr>
            </w:pPr>
          </w:p>
        </w:tc>
        <w:tc>
          <w:tcPr>
            <w:tcW w:w="10340" w:type="dxa"/>
            <w:vAlign w:val="bottom"/>
          </w:tcPr>
          <w:p>
            <w:pPr>
              <w:ind w:left="360"/>
              <w:spacing w:after="0"/>
              <w:rPr>
                <w:sz w:val="20"/>
                <w:szCs w:val="20"/>
                <w:color w:val="auto"/>
              </w:rPr>
            </w:pPr>
            <w:r>
              <w:rPr>
                <w:rFonts w:ascii="Arial" w:cs="Arial" w:eastAsia="Arial" w:hAnsi="Arial"/>
                <w:sz w:val="16"/>
                <w:szCs w:val="16"/>
                <w:color w:val="auto"/>
                <w:w w:val="97"/>
              </w:rPr>
              <w:t>By signing below I certify that, to the best of my knowledge and belief, the securities referred to above were not acquired and are not held for the</w:t>
            </w:r>
          </w:p>
        </w:tc>
      </w:tr>
      <w:tr>
        <w:trPr>
          <w:trHeight w:val="198"/>
        </w:trPr>
        <w:tc>
          <w:tcPr>
            <w:tcW w:w="940" w:type="dxa"/>
            <w:vAlign w:val="bottom"/>
          </w:tcPr>
          <w:p>
            <w:pPr>
              <w:spacing w:after="0"/>
              <w:rPr>
                <w:sz w:val="17"/>
                <w:szCs w:val="17"/>
                <w:color w:val="auto"/>
              </w:rPr>
            </w:pPr>
          </w:p>
        </w:tc>
        <w:tc>
          <w:tcPr>
            <w:tcW w:w="10340" w:type="dxa"/>
            <w:vAlign w:val="bottom"/>
          </w:tcPr>
          <w:p>
            <w:pPr>
              <w:ind w:left="360"/>
              <w:spacing w:after="0"/>
              <w:rPr>
                <w:sz w:val="20"/>
                <w:szCs w:val="20"/>
                <w:color w:val="auto"/>
              </w:rPr>
            </w:pPr>
            <w:r>
              <w:rPr>
                <w:rFonts w:ascii="Arial" w:cs="Arial" w:eastAsia="Arial" w:hAnsi="Arial"/>
                <w:sz w:val="16"/>
                <w:szCs w:val="16"/>
                <w:color w:val="auto"/>
                <w:w w:val="94"/>
              </w:rPr>
              <w:t>purpose of or with the effect of changing or influencing the control of the issuer of the securities and were not acquired and are not held in connection</w:t>
            </w:r>
          </w:p>
        </w:tc>
      </w:tr>
      <w:tr>
        <w:trPr>
          <w:trHeight w:val="198"/>
        </w:trPr>
        <w:tc>
          <w:tcPr>
            <w:tcW w:w="940" w:type="dxa"/>
            <w:vAlign w:val="bottom"/>
          </w:tcPr>
          <w:p>
            <w:pPr>
              <w:spacing w:after="0"/>
              <w:rPr>
                <w:sz w:val="17"/>
                <w:szCs w:val="17"/>
                <w:color w:val="auto"/>
              </w:rPr>
            </w:pPr>
          </w:p>
        </w:tc>
        <w:tc>
          <w:tcPr>
            <w:tcW w:w="10340" w:type="dxa"/>
            <w:vAlign w:val="bottom"/>
          </w:tcPr>
          <w:p>
            <w:pPr>
              <w:ind w:left="360"/>
              <w:spacing w:after="0"/>
              <w:rPr>
                <w:sz w:val="20"/>
                <w:szCs w:val="20"/>
                <w:color w:val="auto"/>
              </w:rPr>
            </w:pPr>
            <w:r>
              <w:rPr>
                <w:rFonts w:ascii="Arial" w:cs="Arial" w:eastAsia="Arial" w:hAnsi="Arial"/>
                <w:sz w:val="16"/>
                <w:szCs w:val="16"/>
                <w:color w:val="auto"/>
                <w:w w:val="95"/>
              </w:rPr>
              <w:t>with or as a participant in any transaction having that purpose or effect, other than activities solely in connection with a nomination under § 240.14a-</w:t>
            </w:r>
          </w:p>
        </w:tc>
      </w:tr>
      <w:tr>
        <w:trPr>
          <w:trHeight w:val="209"/>
        </w:trPr>
        <w:tc>
          <w:tcPr>
            <w:tcW w:w="94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6"/>
                <w:szCs w:val="16"/>
                <w:color w:val="auto"/>
              </w:rPr>
              <w:t>11.</w:t>
            </w:r>
          </w:p>
        </w:tc>
      </w:tr>
      <w:tr>
        <w:trPr>
          <w:trHeight w:val="549"/>
        </w:trPr>
        <w:tc>
          <w:tcPr>
            <w:tcW w:w="940" w:type="dxa"/>
            <w:vAlign w:val="bottom"/>
            <w:tcBorders>
              <w:bottom w:val="single" w:sz="8" w:color="9A9A9A"/>
            </w:tcBorders>
          </w:tcPr>
          <w:p>
            <w:pPr>
              <w:spacing w:after="0"/>
              <w:rPr>
                <w:sz w:val="24"/>
                <w:szCs w:val="24"/>
                <w:color w:val="auto"/>
              </w:rPr>
            </w:pPr>
          </w:p>
        </w:tc>
        <w:tc>
          <w:tcPr>
            <w:tcW w:w="10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7152005</wp:posOffset>
            </wp:positionH>
            <wp:positionV relativeFrom="paragraph">
              <wp:posOffset>-6985</wp:posOffset>
            </wp:positionV>
            <wp:extent cx="762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81"/>
          </w:cols>
          <w:pgMar w:left="319" w:top="321" w:right="299" w:bottom="1440" w:gutter="0" w:footer="0" w:header="0"/>
        </w:sectPr>
      </w:pPr>
    </w:p>
    <w:bookmarkStart w:id="5" w:name="page6"/>
    <w:bookmarkEnd w:id="5"/>
    <w:p>
      <w:pPr>
        <w:jc w:val="center"/>
        <w:ind w:right="-279"/>
        <w:spacing w:after="0"/>
        <w:rPr>
          <w:sz w:val="20"/>
          <w:szCs w:val="20"/>
          <w:color w:val="auto"/>
        </w:rPr>
      </w:pPr>
      <w:r>
        <w:rPr>
          <w:rFonts w:ascii="Arial" w:cs="Arial" w:eastAsia="Arial" w:hAnsi="Arial"/>
          <w:sz w:val="16"/>
          <w:szCs w:val="16"/>
          <w:b w:val="1"/>
          <w:bCs w:val="1"/>
          <w:color w:val="auto"/>
        </w:rPr>
        <w:t>SIGNATURE</w:t>
      </w:r>
    </w:p>
    <w:p>
      <w:pPr>
        <w:spacing w:after="0" w:line="240" w:lineRule="exact"/>
        <w:rPr>
          <w:sz w:val="20"/>
          <w:szCs w:val="20"/>
          <w:color w:val="auto"/>
        </w:rPr>
      </w:pPr>
    </w:p>
    <w:p>
      <w:pPr>
        <w:ind w:firstLine="865"/>
        <w:spacing w:after="0" w:line="418" w:lineRule="auto"/>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 Date: February 10, 2021</w:t>
      </w:r>
    </w:p>
    <w:p>
      <w:pPr>
        <w:spacing w:after="0" w:line="170"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Yam Tak Cheung</w:t>
      </w:r>
    </w:p>
    <w:p>
      <w:pPr>
        <w:spacing w:after="0" w:line="215" w:lineRule="exact"/>
        <w:rPr>
          <w:sz w:val="20"/>
          <w:szCs w:val="20"/>
          <w:color w:val="auto"/>
        </w:rPr>
      </w:pPr>
    </w:p>
    <w:p>
      <w:pPr>
        <w:ind w:left="8060"/>
        <w:spacing w:after="0"/>
        <w:rPr>
          <w:sz w:val="20"/>
          <w:szCs w:val="20"/>
          <w:color w:val="auto"/>
        </w:rPr>
      </w:pPr>
      <w:r>
        <w:rPr>
          <w:rFonts w:ascii="Arial" w:cs="Arial" w:eastAsia="Arial" w:hAnsi="Arial"/>
          <w:sz w:val="16"/>
          <w:szCs w:val="16"/>
          <w:color w:val="auto"/>
        </w:rPr>
        <w:t>/s/ Yam Tak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5112385</wp:posOffset>
            </wp:positionH>
            <wp:positionV relativeFrom="paragraph">
              <wp:posOffset>16510</wp:posOffset>
            </wp:positionV>
            <wp:extent cx="203136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31365" cy="7620"/>
                    </a:xfrm>
                    <a:prstGeom prst="rect">
                      <a:avLst/>
                    </a:prstGeom>
                    <a:noFill/>
                  </pic:spPr>
                </pic:pic>
              </a:graphicData>
            </a:graphic>
          </wp:anchor>
        </w:drawing>
      </w:r>
    </w:p>
    <w:p>
      <w:pPr>
        <w:spacing w:after="0" w:line="200" w:lineRule="exact"/>
        <w:rPr>
          <w:sz w:val="20"/>
          <w:szCs w:val="20"/>
          <w:color w:val="auto"/>
        </w:rPr>
      </w:pPr>
    </w:p>
    <w:p>
      <w:pPr>
        <w:ind w:left="8060"/>
        <w:spacing w:after="0"/>
        <w:rPr>
          <w:sz w:val="20"/>
          <w:szCs w:val="20"/>
          <w:color w:val="auto"/>
        </w:rPr>
      </w:pPr>
      <w:r>
        <w:rPr>
          <w:rFonts w:ascii="Arial" w:cs="Arial" w:eastAsia="Arial" w:hAnsi="Arial"/>
          <w:sz w:val="15"/>
          <w:szCs w:val="15"/>
          <w:b w:val="1"/>
          <w:bCs w:val="1"/>
          <w:color w:val="auto"/>
        </w:rPr>
        <w:t>Integrated Asset Management (Asia) Ltd</w:t>
      </w:r>
    </w:p>
    <w:p>
      <w:pPr>
        <w:spacing w:after="0" w:line="40" w:lineRule="exact"/>
        <w:rPr>
          <w:sz w:val="20"/>
          <w:szCs w:val="20"/>
          <w:color w:val="auto"/>
        </w:rPr>
      </w:pPr>
    </w:p>
    <w:p>
      <w:pPr>
        <w:ind w:left="8060"/>
        <w:spacing w:after="0"/>
        <w:tabs>
          <w:tab w:leader="none" w:pos="87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Yam Tak Cheung</w:t>
      </w:r>
    </w:p>
    <w:p>
      <w:pPr>
        <w:spacing w:after="0" w:line="15" w:lineRule="exact"/>
        <w:rPr>
          <w:sz w:val="20"/>
          <w:szCs w:val="20"/>
          <w:color w:val="auto"/>
        </w:rPr>
      </w:pPr>
    </w:p>
    <w:p>
      <w:pPr>
        <w:ind w:left="8060"/>
        <w:spacing w:after="0"/>
        <w:tabs>
          <w:tab w:leader="none" w:pos="8700" w:val="left"/>
        </w:tabs>
        <w:rPr>
          <w:sz w:val="20"/>
          <w:szCs w:val="20"/>
          <w:color w:val="auto"/>
        </w:rPr>
      </w:pPr>
      <w:r>
        <w:rPr>
          <w:rFonts w:ascii="Arial" w:cs="Arial" w:eastAsia="Arial" w:hAnsi="Arial"/>
          <w:sz w:val="16"/>
          <w:szCs w:val="16"/>
          <w:color w:val="auto"/>
        </w:rPr>
        <w:t>Name:</w:t>
        <w:tab/>
        <w:t>Yam Tak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5535930</wp:posOffset>
            </wp:positionH>
            <wp:positionV relativeFrom="paragraph">
              <wp:posOffset>-116205</wp:posOffset>
            </wp:positionV>
            <wp:extent cx="160782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07820" cy="7620"/>
                    </a:xfrm>
                    <a:prstGeom prst="rect">
                      <a:avLst/>
                    </a:prstGeom>
                    <a:noFill/>
                  </pic:spPr>
                </pic:pic>
              </a:graphicData>
            </a:graphic>
          </wp:anchor>
        </w:drawing>
      </w:r>
    </w:p>
    <w:p>
      <w:pPr>
        <w:spacing w:after="0" w:line="5" w:lineRule="exact"/>
        <w:rPr>
          <w:sz w:val="20"/>
          <w:szCs w:val="20"/>
          <w:color w:val="auto"/>
        </w:rPr>
      </w:pPr>
    </w:p>
    <w:p>
      <w:pPr>
        <w:ind w:left="8060"/>
        <w:spacing w:after="0"/>
        <w:tabs>
          <w:tab w:leader="none" w:pos="87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Director</w:t>
      </w:r>
    </w:p>
    <w:p>
      <w:pPr>
        <w:sectPr>
          <w:pgSz w:w="11900" w:h="16838" w:orient="portrait"/>
          <w:cols w:equalWidth="0" w:num="1">
            <w:col w:w="10960"/>
          </w:cols>
          <w:pgMar w:left="320" w:top="123" w:right="61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JOINT FILING AGREEMENT</w:t>
      </w:r>
    </w:p>
    <w:p>
      <w:pPr>
        <w:spacing w:after="0" w:line="215" w:lineRule="exact"/>
        <w:rPr>
          <w:sz w:val="20"/>
          <w:szCs w:val="20"/>
          <w:color w:val="auto"/>
        </w:rPr>
      </w:pPr>
    </w:p>
    <w:p>
      <w:pPr>
        <w:ind w:right="120" w:firstLine="589"/>
        <w:spacing w:after="0" w:line="265" w:lineRule="auto"/>
        <w:rPr>
          <w:sz w:val="20"/>
          <w:szCs w:val="20"/>
          <w:color w:val="auto"/>
        </w:rPr>
      </w:pPr>
      <w:r>
        <w:rPr>
          <w:rFonts w:ascii="Arial" w:cs="Arial" w:eastAsia="Arial" w:hAnsi="Arial"/>
          <w:sz w:val="16"/>
          <w:szCs w:val="16"/>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of $0.001 per share, of iClick Interactive Asia Group Limited,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WITNESS WHEREOF, the undersigned hereby execute this Agreement as of February 10, 2021.</w:t>
      </w:r>
    </w:p>
    <w:p>
      <w:pPr>
        <w:spacing w:after="0" w:line="200" w:lineRule="exact"/>
        <w:rPr>
          <w:sz w:val="20"/>
          <w:szCs w:val="20"/>
          <w:color w:val="auto"/>
        </w:rPr>
      </w:pPr>
    </w:p>
    <w:p>
      <w:pPr>
        <w:spacing w:after="0" w:line="205"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Yam Tak Cheung</w:t>
      </w:r>
    </w:p>
    <w:p>
      <w:pPr>
        <w:spacing w:after="0" w:line="215" w:lineRule="exact"/>
        <w:rPr>
          <w:sz w:val="20"/>
          <w:szCs w:val="20"/>
          <w:color w:val="auto"/>
        </w:rPr>
      </w:pPr>
    </w:p>
    <w:p>
      <w:pPr>
        <w:ind w:left="8060"/>
        <w:spacing w:after="0"/>
        <w:rPr>
          <w:sz w:val="20"/>
          <w:szCs w:val="20"/>
          <w:color w:val="auto"/>
        </w:rPr>
      </w:pPr>
      <w:r>
        <w:rPr>
          <w:rFonts w:ascii="Arial" w:cs="Arial" w:eastAsia="Arial" w:hAnsi="Arial"/>
          <w:sz w:val="16"/>
          <w:szCs w:val="16"/>
          <w:color w:val="auto"/>
        </w:rPr>
        <w:t>/s/ Yam Tak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5112385</wp:posOffset>
            </wp:positionH>
            <wp:positionV relativeFrom="paragraph">
              <wp:posOffset>16510</wp:posOffset>
            </wp:positionV>
            <wp:extent cx="203136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31365" cy="7620"/>
                    </a:xfrm>
                    <a:prstGeom prst="rect">
                      <a:avLst/>
                    </a:prstGeom>
                    <a:noFill/>
                  </pic:spPr>
                </pic:pic>
              </a:graphicData>
            </a:graphic>
          </wp:anchor>
        </w:drawing>
      </w:r>
    </w:p>
    <w:p>
      <w:pPr>
        <w:spacing w:after="0" w:line="200"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Integrated Asset Management (Asia) Ltd</w:t>
      </w:r>
    </w:p>
    <w:p>
      <w:pPr>
        <w:spacing w:after="0" w:line="29" w:lineRule="exact"/>
        <w:rPr>
          <w:sz w:val="20"/>
          <w:szCs w:val="20"/>
          <w:color w:val="auto"/>
        </w:rPr>
      </w:pPr>
    </w:p>
    <w:p>
      <w:pPr>
        <w:ind w:left="8060"/>
        <w:spacing w:after="0"/>
        <w:tabs>
          <w:tab w:leader="none" w:pos="87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Yam Tak Cheung</w:t>
      </w:r>
    </w:p>
    <w:p>
      <w:pPr>
        <w:spacing w:after="0" w:line="15" w:lineRule="exact"/>
        <w:rPr>
          <w:sz w:val="20"/>
          <w:szCs w:val="20"/>
          <w:color w:val="auto"/>
        </w:rPr>
      </w:pPr>
    </w:p>
    <w:p>
      <w:pPr>
        <w:ind w:left="8060"/>
        <w:spacing w:after="0"/>
        <w:tabs>
          <w:tab w:leader="none" w:pos="8700" w:val="left"/>
        </w:tabs>
        <w:rPr>
          <w:sz w:val="20"/>
          <w:szCs w:val="20"/>
          <w:color w:val="auto"/>
        </w:rPr>
      </w:pPr>
      <w:r>
        <w:rPr>
          <w:rFonts w:ascii="Arial" w:cs="Arial" w:eastAsia="Arial" w:hAnsi="Arial"/>
          <w:sz w:val="16"/>
          <w:szCs w:val="16"/>
          <w:color w:val="auto"/>
        </w:rPr>
        <w:t>Name:</w:t>
        <w:tab/>
        <w:t>Yam Tak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5535930</wp:posOffset>
            </wp:positionH>
            <wp:positionV relativeFrom="paragraph">
              <wp:posOffset>-116205</wp:posOffset>
            </wp:positionV>
            <wp:extent cx="160782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07820" cy="7620"/>
                    </a:xfrm>
                    <a:prstGeom prst="rect">
                      <a:avLst/>
                    </a:prstGeom>
                    <a:noFill/>
                  </pic:spPr>
                </pic:pic>
              </a:graphicData>
            </a:graphic>
          </wp:anchor>
        </w:drawing>
      </w:r>
    </w:p>
    <w:p>
      <w:pPr>
        <w:spacing w:after="0" w:line="5" w:lineRule="exact"/>
        <w:rPr>
          <w:sz w:val="20"/>
          <w:szCs w:val="20"/>
          <w:color w:val="auto"/>
        </w:rPr>
      </w:pPr>
    </w:p>
    <w:p>
      <w:pPr>
        <w:ind w:left="8060"/>
        <w:spacing w:after="0"/>
        <w:tabs>
          <w:tab w:leader="none" w:pos="87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Director</w:t>
      </w: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4"/>
      <w:numFmt w:val="bullet"/>
      <w:start w:val="1"/>
    </w:lvl>
  </w:abstractNum>
  <w:abstractNum w:abstractNumId="5">
    <w:nsid w:val="2EB141F2"/>
    <w:multiLevelType w:val="hybridMultilevel"/>
    <w:lvl w:ilvl="0">
      <w:lvlJc w:val="left"/>
      <w:lvlText w:val="4"/>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2021-02-10T15:16:14Z</dcterms:created>
  <dcterms:modified xsi:type="dcterms:W3CDTF">2021-02-10T15:16:14Z</dcterms:modified>
</cp:coreProperties>
</file>