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13G</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5,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8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5" w:lineRule="exact"/>
        <w:rPr>
          <w:sz w:val="24"/>
          <w:szCs w:val="24"/>
          <w:color w:val="auto"/>
        </w:rPr>
      </w:pPr>
    </w:p>
    <w:p>
      <w:pPr>
        <w:ind w:firstLine="8"/>
        <w:spacing w:after="0" w:line="277" w:lineRule="auto"/>
        <w:tabs>
          <w:tab w:leader="none" w:pos="1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6"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383540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100" w:type="dxa"/>
            <w:vAlign w:val="bottom"/>
            <w:tcBorders>
              <w:top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Chiu Sin Nang, Kenny</w:t>
            </w: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92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100" w:type="dxa"/>
            <w:vAlign w:val="bottom"/>
            <w:tcBorders>
              <w:right w:val="single" w:sz="8" w:color="auto"/>
            </w:tcBorders>
          </w:tcPr>
          <w:p>
            <w:pPr>
              <w:ind w:left="94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10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tcBorders>
            <w:gridSpan w:val="2"/>
          </w:tcPr>
          <w:p>
            <w:pPr>
              <w:spacing w:after="0"/>
              <w:rPr>
                <w:sz w:val="17"/>
                <w:szCs w:val="17"/>
                <w:color w:val="auto"/>
              </w:rPr>
            </w:pPr>
          </w:p>
        </w:tc>
        <w:tc>
          <w:tcPr>
            <w:tcW w:w="632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32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92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Hong Kong</w:t>
            </w: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 w:type="dxa"/>
            <w:vAlign w:val="bottom"/>
            <w:tcBorders>
              <w:lef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w w:val="99"/>
              </w:rPr>
              <w:t>5</w:t>
            </w:r>
          </w:p>
        </w:tc>
        <w:tc>
          <w:tcPr>
            <w:tcW w:w="63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20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6"/>
              </w:rPr>
              <w:t>NUMBER OF</w:t>
            </w:r>
          </w:p>
        </w:tc>
        <w:tc>
          <w:tcPr>
            <w:tcW w:w="580" w:type="dxa"/>
            <w:vAlign w:val="bottom"/>
            <w:tcBorders>
              <w:right w:val="single" w:sz="8" w:color="auto"/>
            </w:tcBorders>
          </w:tcPr>
          <w:p>
            <w:pPr>
              <w:spacing w:after="0"/>
              <w:rPr>
                <w:sz w:val="24"/>
                <w:szCs w:val="24"/>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3,589,744</w:t>
            </w: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0" w:type="dxa"/>
            <w:vAlign w:val="bottom"/>
            <w:tcBorders>
              <w:left w:val="single" w:sz="8" w:color="auto"/>
            </w:tcBorders>
          </w:tcPr>
          <w:p>
            <w:pPr>
              <w:spacing w:after="0"/>
              <w:rPr>
                <w:sz w:val="2"/>
                <w:szCs w:val="2"/>
                <w:color w:val="auto"/>
              </w:rPr>
            </w:pPr>
          </w:p>
        </w:tc>
        <w:tc>
          <w:tcPr>
            <w:tcW w:w="2020" w:type="dxa"/>
            <w:vAlign w:val="bottom"/>
            <w:tcBorders>
              <w:right w:val="single" w:sz="8" w:color="auto"/>
            </w:tcBorders>
            <w:gridSpan w:val="2"/>
            <w:vMerge w:val="continue"/>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400" w:type="dxa"/>
            <w:vAlign w:val="bottom"/>
            <w:tcBorders>
              <w:left w:val="single" w:sz="8" w:color="auto"/>
            </w:tcBorders>
          </w:tcPr>
          <w:p>
            <w:pPr>
              <w:spacing w:after="0"/>
              <w:rPr>
                <w:sz w:val="4"/>
                <w:szCs w:val="4"/>
                <w:color w:val="auto"/>
              </w:rPr>
            </w:pPr>
          </w:p>
        </w:tc>
        <w:tc>
          <w:tcPr>
            <w:tcW w:w="2020" w:type="dxa"/>
            <w:vAlign w:val="bottom"/>
            <w:tcBorders>
              <w:right w:val="single" w:sz="8" w:color="auto"/>
            </w:tcBorders>
            <w:gridSpan w:val="2"/>
            <w:vMerge w:val="continue"/>
          </w:tcPr>
          <w:p>
            <w:pPr>
              <w:spacing w:after="0"/>
              <w:rPr>
                <w:sz w:val="4"/>
                <w:szCs w:val="4"/>
                <w:color w:val="auto"/>
              </w:rPr>
            </w:pPr>
          </w:p>
        </w:tc>
        <w:tc>
          <w:tcPr>
            <w:tcW w:w="5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99"/>
              </w:rPr>
              <w:t>6</w:t>
            </w:r>
          </w:p>
        </w:tc>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1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1"/>
              </w:rPr>
              <w:t>SHARES</w:t>
            </w:r>
          </w:p>
        </w:tc>
        <w:tc>
          <w:tcPr>
            <w:tcW w:w="580" w:type="dxa"/>
            <w:vAlign w:val="bottom"/>
            <w:tcBorders>
              <w:right w:val="single" w:sz="8" w:color="auto"/>
            </w:tcBorders>
            <w:vMerge w:val="continue"/>
          </w:tcPr>
          <w:p>
            <w:pPr>
              <w:spacing w:after="0"/>
              <w:rPr>
                <w:sz w:val="18"/>
                <w:szCs w:val="18"/>
                <w:color w:val="auto"/>
              </w:rPr>
            </w:pPr>
          </w:p>
        </w:tc>
        <w:tc>
          <w:tcPr>
            <w:tcW w:w="6320" w:type="dxa"/>
            <w:vAlign w:val="bottom"/>
            <w:vMerge w:val="continue"/>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right w:val="single" w:sz="8" w:color="auto"/>
            </w:tcBorders>
          </w:tcPr>
          <w:p>
            <w:pPr>
              <w:spacing w:after="0"/>
              <w:rPr>
                <w:sz w:val="19"/>
                <w:szCs w:val="19"/>
                <w:color w:val="auto"/>
              </w:rPr>
            </w:pPr>
          </w:p>
        </w:tc>
        <w:tc>
          <w:tcPr>
            <w:tcW w:w="632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202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98"/>
              </w:rPr>
              <w:t>BY EACH</w:t>
            </w:r>
          </w:p>
        </w:tc>
        <w:tc>
          <w:tcPr>
            <w:tcW w:w="5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w w:val="99"/>
              </w:rPr>
              <w:t>7</w:t>
            </w:r>
          </w:p>
        </w:tc>
        <w:tc>
          <w:tcPr>
            <w:tcW w:w="632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2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3"/>
              </w:rPr>
              <w:t>REPORTING</w:t>
            </w:r>
          </w:p>
        </w:tc>
        <w:tc>
          <w:tcPr>
            <w:tcW w:w="580" w:type="dxa"/>
            <w:vAlign w:val="bottom"/>
            <w:tcBorders>
              <w:right w:val="single" w:sz="8" w:color="auto"/>
            </w:tcBorders>
          </w:tcPr>
          <w:p>
            <w:pPr>
              <w:spacing w:after="0"/>
              <w:rPr>
                <w:sz w:val="18"/>
                <w:szCs w:val="18"/>
                <w:color w:val="auto"/>
              </w:rPr>
            </w:pPr>
          </w:p>
        </w:tc>
        <w:tc>
          <w:tcPr>
            <w:tcW w:w="632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89"/>
              </w:rPr>
              <w:t>PERSON</w:t>
            </w:r>
          </w:p>
        </w:tc>
        <w:tc>
          <w:tcPr>
            <w:tcW w:w="580" w:type="dxa"/>
            <w:vAlign w:val="bottom"/>
            <w:tcBorders>
              <w:right w:val="single" w:sz="8" w:color="auto"/>
            </w:tcBorders>
          </w:tcPr>
          <w:p>
            <w:pPr>
              <w:spacing w:after="0"/>
              <w:rPr>
                <w:sz w:val="18"/>
                <w:szCs w:val="18"/>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3,589,744</w:t>
            </w: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00" w:type="dxa"/>
            <w:vAlign w:val="bottom"/>
            <w:tcBorders>
              <w:left w:val="single" w:sz="8" w:color="auto"/>
            </w:tcBorders>
          </w:tcPr>
          <w:p>
            <w:pPr>
              <w:spacing w:after="0"/>
              <w:rPr>
                <w:sz w:val="7"/>
                <w:szCs w:val="7"/>
                <w:color w:val="auto"/>
              </w:rPr>
            </w:pPr>
          </w:p>
        </w:tc>
        <w:tc>
          <w:tcPr>
            <w:tcW w:w="20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right w:val="single" w:sz="8" w:color="auto"/>
            </w:tcBorders>
          </w:tcPr>
          <w:p>
            <w:pPr>
              <w:spacing w:after="0"/>
              <w:rPr>
                <w:sz w:val="7"/>
                <w:szCs w:val="7"/>
                <w:color w:val="auto"/>
              </w:rPr>
            </w:pPr>
          </w:p>
        </w:tc>
        <w:tc>
          <w:tcPr>
            <w:tcW w:w="632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2020" w:type="dxa"/>
            <w:vAlign w:val="bottom"/>
            <w:tcBorders>
              <w:right w:val="single" w:sz="8" w:color="auto"/>
            </w:tcBorders>
            <w:gridSpan w:val="2"/>
            <w:vMerge w:val="continue"/>
          </w:tcPr>
          <w:p>
            <w:pPr>
              <w:spacing w:after="0"/>
              <w:rPr>
                <w:sz w:val="10"/>
                <w:szCs w:val="10"/>
                <w:color w:val="auto"/>
              </w:rPr>
            </w:pPr>
          </w:p>
        </w:tc>
        <w:tc>
          <w:tcPr>
            <w:tcW w:w="5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99"/>
              </w:rPr>
              <w:t>8</w:t>
            </w:r>
          </w:p>
        </w:tc>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6320" w:type="dxa"/>
            <w:vAlign w:val="bottom"/>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-0-</w:t>
            </w: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92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3,589,744</w:t>
            </w: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92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0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92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9.8%</w:t>
            </w: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92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95" w:right="21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right w:val="single" w:sz="8" w:color="auto"/>
            </w:tcBorders>
          </w:tcPr>
          <w:p>
            <w:pPr>
              <w:spacing w:after="0"/>
              <w:rPr>
                <w:sz w:val="23"/>
                <w:szCs w:val="23"/>
                <w:color w:val="auto"/>
              </w:rPr>
            </w:pPr>
          </w:p>
        </w:tc>
        <w:tc>
          <w:tcPr>
            <w:tcW w:w="80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Creative Big Limited</w:t>
            </w:r>
          </w:p>
        </w:tc>
        <w:tc>
          <w:tcPr>
            <w:tcW w:w="632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00" w:type="dxa"/>
            <w:vAlign w:val="bottom"/>
            <w:tcBorders>
              <w:bottom w:val="single" w:sz="8" w:color="auto"/>
            </w:tcBorders>
            <w:gridSpan w:val="3"/>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tcBorders>
              <w:left w:val="single" w:sz="8" w:color="auto"/>
            </w:tcBorders>
          </w:tcPr>
          <w:p>
            <w:pPr>
              <w:ind w:left="60"/>
              <w:spacing w:after="0" w:line="196" w:lineRule="exact"/>
              <w:rPr>
                <w:sz w:val="20"/>
                <w:szCs w:val="20"/>
                <w:color w:val="auto"/>
              </w:rPr>
            </w:pPr>
            <w:r>
              <w:rPr>
                <w:rFonts w:ascii="Arial" w:cs="Arial" w:eastAsia="Arial" w:hAnsi="Arial"/>
                <w:sz w:val="18"/>
                <w:szCs w:val="18"/>
                <w:color w:val="auto"/>
              </w:rPr>
              <w:t>2</w:t>
            </w:r>
          </w:p>
        </w:tc>
        <w:tc>
          <w:tcPr>
            <w:tcW w:w="920" w:type="dxa"/>
            <w:vAlign w:val="bottom"/>
            <w:tcBorders>
              <w:right w:val="single" w:sz="8" w:color="auto"/>
            </w:tcBorders>
          </w:tcPr>
          <w:p>
            <w:pPr>
              <w:spacing w:after="0"/>
              <w:rPr>
                <w:sz w:val="17"/>
                <w:szCs w:val="17"/>
                <w:color w:val="auto"/>
              </w:rPr>
            </w:pPr>
          </w:p>
        </w:tc>
        <w:tc>
          <w:tcPr>
            <w:tcW w:w="80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2100" w:type="dxa"/>
            <w:vAlign w:val="bottom"/>
            <w:tcBorders>
              <w:right w:val="single" w:sz="8" w:color="auto"/>
            </w:tcBorders>
          </w:tcPr>
          <w:p>
            <w:pPr>
              <w:ind w:left="96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100" w:type="dxa"/>
            <w:vAlign w:val="bottom"/>
            <w:tcBorders>
              <w:right w:val="single" w:sz="8" w:color="auto"/>
            </w:tcBorders>
          </w:tcPr>
          <w:p>
            <w:pPr>
              <w:ind w:left="9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gridSpan w:val="2"/>
          </w:tcPr>
          <w:p>
            <w:pPr>
              <w:spacing w:after="0"/>
              <w:rPr>
                <w:sz w:val="20"/>
                <w:szCs w:val="20"/>
                <w:color w:val="auto"/>
              </w:rPr>
            </w:pPr>
          </w:p>
        </w:tc>
        <w:tc>
          <w:tcPr>
            <w:tcW w:w="6320" w:type="dxa"/>
            <w:vAlign w:val="bottom"/>
            <w:tcBorders>
              <w:bottom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tcPr>
          <w:p>
            <w:pPr>
              <w:spacing w:after="0"/>
              <w:rPr>
                <w:sz w:val="21"/>
                <w:szCs w:val="21"/>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632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92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British Virgin Islands</w:t>
            </w: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 w:type="dxa"/>
            <w:vAlign w:val="bottom"/>
            <w:tcBorders>
              <w:lef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58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w w:val="99"/>
              </w:rPr>
              <w:t>5</w:t>
            </w:r>
          </w:p>
        </w:tc>
        <w:tc>
          <w:tcPr>
            <w:tcW w:w="63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1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20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6"/>
              </w:rPr>
              <w:t>NUMBER OF</w:t>
            </w:r>
          </w:p>
        </w:tc>
        <w:tc>
          <w:tcPr>
            <w:tcW w:w="580" w:type="dxa"/>
            <w:vAlign w:val="bottom"/>
            <w:tcBorders>
              <w:right w:val="single" w:sz="8" w:color="auto"/>
            </w:tcBorders>
          </w:tcPr>
          <w:p>
            <w:pPr>
              <w:spacing w:after="0"/>
              <w:rPr>
                <w:sz w:val="24"/>
                <w:szCs w:val="24"/>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3,589,744</w:t>
            </w: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0" w:type="dxa"/>
            <w:vAlign w:val="bottom"/>
            <w:tcBorders>
              <w:left w:val="single" w:sz="8" w:color="auto"/>
            </w:tcBorders>
          </w:tcPr>
          <w:p>
            <w:pPr>
              <w:spacing w:after="0"/>
              <w:rPr>
                <w:sz w:val="2"/>
                <w:szCs w:val="2"/>
                <w:color w:val="auto"/>
              </w:rPr>
            </w:pPr>
          </w:p>
        </w:tc>
        <w:tc>
          <w:tcPr>
            <w:tcW w:w="2020" w:type="dxa"/>
            <w:vAlign w:val="bottom"/>
            <w:tcBorders>
              <w:right w:val="single" w:sz="8" w:color="auto"/>
            </w:tcBorders>
            <w:gridSpan w:val="2"/>
            <w:vMerge w:val="continue"/>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400" w:type="dxa"/>
            <w:vAlign w:val="bottom"/>
            <w:tcBorders>
              <w:left w:val="single" w:sz="8" w:color="auto"/>
            </w:tcBorders>
          </w:tcPr>
          <w:p>
            <w:pPr>
              <w:spacing w:after="0"/>
              <w:rPr>
                <w:sz w:val="4"/>
                <w:szCs w:val="4"/>
                <w:color w:val="auto"/>
              </w:rPr>
            </w:pPr>
          </w:p>
        </w:tc>
        <w:tc>
          <w:tcPr>
            <w:tcW w:w="2020" w:type="dxa"/>
            <w:vAlign w:val="bottom"/>
            <w:tcBorders>
              <w:right w:val="single" w:sz="8" w:color="auto"/>
            </w:tcBorders>
            <w:gridSpan w:val="2"/>
            <w:vMerge w:val="continue"/>
          </w:tcPr>
          <w:p>
            <w:pPr>
              <w:spacing w:after="0"/>
              <w:rPr>
                <w:sz w:val="4"/>
                <w:szCs w:val="4"/>
                <w:color w:val="auto"/>
              </w:rPr>
            </w:pPr>
          </w:p>
        </w:tc>
        <w:tc>
          <w:tcPr>
            <w:tcW w:w="5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99"/>
              </w:rPr>
              <w:t>6</w:t>
            </w:r>
          </w:p>
        </w:tc>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1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1"/>
              </w:rPr>
              <w:t>SHARES</w:t>
            </w:r>
          </w:p>
        </w:tc>
        <w:tc>
          <w:tcPr>
            <w:tcW w:w="580" w:type="dxa"/>
            <w:vAlign w:val="bottom"/>
            <w:tcBorders>
              <w:right w:val="single" w:sz="8" w:color="auto"/>
            </w:tcBorders>
            <w:vMerge w:val="continue"/>
          </w:tcPr>
          <w:p>
            <w:pPr>
              <w:spacing w:after="0"/>
              <w:rPr>
                <w:sz w:val="18"/>
                <w:szCs w:val="18"/>
                <w:color w:val="auto"/>
              </w:rPr>
            </w:pPr>
          </w:p>
        </w:tc>
        <w:tc>
          <w:tcPr>
            <w:tcW w:w="6320" w:type="dxa"/>
            <w:vAlign w:val="bottom"/>
            <w:vMerge w:val="continue"/>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right w:val="single" w:sz="8" w:color="auto"/>
            </w:tcBorders>
          </w:tcPr>
          <w:p>
            <w:pPr>
              <w:spacing w:after="0"/>
              <w:rPr>
                <w:sz w:val="19"/>
                <w:szCs w:val="19"/>
                <w:color w:val="auto"/>
              </w:rPr>
            </w:pPr>
          </w:p>
        </w:tc>
        <w:tc>
          <w:tcPr>
            <w:tcW w:w="632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202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98"/>
              </w:rPr>
              <w:t>BY EACH</w:t>
            </w:r>
          </w:p>
        </w:tc>
        <w:tc>
          <w:tcPr>
            <w:tcW w:w="580" w:type="dxa"/>
            <w:vAlign w:val="bottom"/>
            <w:tcBorders>
              <w:right w:val="single" w:sz="8" w:color="auto"/>
            </w:tcBorders>
          </w:tcPr>
          <w:p>
            <w:pPr>
              <w:jc w:val="right"/>
              <w:ind w:right="370"/>
              <w:spacing w:after="0" w:line="189" w:lineRule="exact"/>
              <w:rPr>
                <w:sz w:val="20"/>
                <w:szCs w:val="20"/>
                <w:color w:val="auto"/>
              </w:rPr>
            </w:pPr>
            <w:r>
              <w:rPr>
                <w:rFonts w:ascii="Arial" w:cs="Arial" w:eastAsia="Arial" w:hAnsi="Arial"/>
                <w:sz w:val="18"/>
                <w:szCs w:val="18"/>
                <w:color w:val="auto"/>
                <w:w w:val="99"/>
              </w:rPr>
              <w:t>7</w:t>
            </w:r>
          </w:p>
        </w:tc>
        <w:tc>
          <w:tcPr>
            <w:tcW w:w="632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2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3"/>
              </w:rPr>
              <w:t>REPORTING</w:t>
            </w:r>
          </w:p>
        </w:tc>
        <w:tc>
          <w:tcPr>
            <w:tcW w:w="580" w:type="dxa"/>
            <w:vAlign w:val="bottom"/>
            <w:tcBorders>
              <w:right w:val="single" w:sz="8" w:color="auto"/>
            </w:tcBorders>
          </w:tcPr>
          <w:p>
            <w:pPr>
              <w:spacing w:after="0"/>
              <w:rPr>
                <w:sz w:val="18"/>
                <w:szCs w:val="18"/>
                <w:color w:val="auto"/>
              </w:rPr>
            </w:pPr>
          </w:p>
        </w:tc>
        <w:tc>
          <w:tcPr>
            <w:tcW w:w="632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89"/>
              </w:rPr>
              <w:t>PERSON</w:t>
            </w:r>
          </w:p>
        </w:tc>
        <w:tc>
          <w:tcPr>
            <w:tcW w:w="580" w:type="dxa"/>
            <w:vAlign w:val="bottom"/>
            <w:tcBorders>
              <w:right w:val="single" w:sz="8" w:color="auto"/>
            </w:tcBorders>
          </w:tcPr>
          <w:p>
            <w:pPr>
              <w:spacing w:after="0"/>
              <w:rPr>
                <w:sz w:val="18"/>
                <w:szCs w:val="18"/>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3,589,744</w:t>
            </w:r>
          </w:p>
        </w:tc>
        <w:tc>
          <w:tcPr>
            <w:tcW w:w="2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400" w:type="dxa"/>
            <w:vAlign w:val="bottom"/>
            <w:tcBorders>
              <w:left w:val="single" w:sz="8" w:color="auto"/>
            </w:tcBorders>
          </w:tcPr>
          <w:p>
            <w:pPr>
              <w:spacing w:after="0"/>
              <w:rPr>
                <w:sz w:val="7"/>
                <w:szCs w:val="7"/>
                <w:color w:val="auto"/>
              </w:rPr>
            </w:pPr>
          </w:p>
        </w:tc>
        <w:tc>
          <w:tcPr>
            <w:tcW w:w="20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right w:val="single" w:sz="8" w:color="auto"/>
            </w:tcBorders>
          </w:tcPr>
          <w:p>
            <w:pPr>
              <w:spacing w:after="0"/>
              <w:rPr>
                <w:sz w:val="7"/>
                <w:szCs w:val="7"/>
                <w:color w:val="auto"/>
              </w:rPr>
            </w:pPr>
          </w:p>
        </w:tc>
        <w:tc>
          <w:tcPr>
            <w:tcW w:w="632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2020" w:type="dxa"/>
            <w:vAlign w:val="bottom"/>
            <w:tcBorders>
              <w:right w:val="single" w:sz="8" w:color="auto"/>
            </w:tcBorders>
            <w:gridSpan w:val="2"/>
            <w:vMerge w:val="continue"/>
          </w:tcPr>
          <w:p>
            <w:pPr>
              <w:spacing w:after="0"/>
              <w:rPr>
                <w:sz w:val="10"/>
                <w:szCs w:val="10"/>
                <w:color w:val="auto"/>
              </w:rPr>
            </w:pPr>
          </w:p>
        </w:tc>
        <w:tc>
          <w:tcPr>
            <w:tcW w:w="5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99"/>
              </w:rPr>
              <w:t>8</w:t>
            </w:r>
          </w:p>
        </w:tc>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6320" w:type="dxa"/>
            <w:vAlign w:val="bottom"/>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40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-0-</w:t>
            </w:r>
          </w:p>
        </w:tc>
        <w:tc>
          <w:tcPr>
            <w:tcW w:w="21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92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3,589,744</w:t>
            </w: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92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0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92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9.8%</w:t>
            </w: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92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95" w:right="219" w:bottom="1440" w:gutter="0" w:footer="0" w:header="0"/>
        </w:sectPr>
      </w:pPr>
    </w:p>
    <w:bookmarkStart w:id="3" w:name="page4"/>
    <w:bookmarkEnd w:id="3"/>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iClick Interactive Asia Group Limited</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Hong Kong S.A.R.</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Chiu Sin Nang, Kenny</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Creative Big Limited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(collectively, “Reporting Persons”)</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The address of the Reporting Persons is Flat 23B, Block 6, Hanley Villa, 22 Yau Lai Road, Yau Kom Tau, Tsuen Wan, Hong Kong S.A.R.</w:t>
      </w:r>
    </w:p>
    <w:p>
      <w:pPr>
        <w:spacing w:after="0" w:line="24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Chiu Sin Nang, Kenny — Hong Kong</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Creative Big Limited — British Virgin Islands</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Class A ordinary shares, par value of $0.001 per share (the “Class A Ordinary Shares”). The Issuer’s ordinary shares consist of Class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and Class B ordinary shares, par value of $0.001 per share (“Class B Ordinary Shares”). The rights of the 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and Class B Ordinary Shares are identical, except with respect to conversion rights and voting rights.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B Ordinary Share is convertible at the option of the holder at any time into one Class A Ordinary Share. Each Class B Ordinary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entitled to twenty (20) votes per share, whereas each Class A Ordinary Share is entitled to one vote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G47048 106</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If this statement is filed pursuant to §§ 240.13d-1(b), or 240.13d -2(b) or (c), check whether the persons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208280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700" w:space="620"/>
            <w:col w:w="10060"/>
          </w:cols>
          <w:pgMar w:left="240" w:top="121" w:right="2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100" w:type="dxa"/>
            <w:vAlign w:val="bottom"/>
            <w:gridSpan w:val="2"/>
          </w:tcPr>
          <w:p>
            <w:pPr>
              <w:ind w:left="680"/>
              <w:spacing w:after="0"/>
              <w:rPr>
                <w:sz w:val="20"/>
                <w:szCs w:val="20"/>
                <w:color w:val="auto"/>
              </w:rPr>
            </w:pPr>
            <w:r>
              <w:rPr>
                <w:rFonts w:ascii="Arial" w:cs="Arial" w:eastAsia="Arial" w:hAnsi="Arial"/>
                <w:sz w:val="18"/>
                <w:szCs w:val="18"/>
                <w:b w:val="1"/>
                <w:bCs w:val="1"/>
                <w:color w:val="auto"/>
              </w:rPr>
              <w:t>Ownership.</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Sole Power to</w:t>
            </w: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Shared Power</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Sole Power to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Shared Power to</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Percent of</w:t>
            </w:r>
          </w:p>
        </w:tc>
        <w:tc>
          <w:tcPr>
            <w:tcW w:w="14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Reporting Person:</w:t>
            </w:r>
          </w:p>
        </w:tc>
        <w:tc>
          <w:tcPr>
            <w:tcW w:w="14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Beneficially</w:t>
            </w:r>
          </w:p>
        </w:tc>
        <w:tc>
          <w:tcPr>
            <w:tcW w:w="150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Vote or to</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Direct the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Owned:</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Direct the Vote:</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Direct the Vote:</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Disposition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Chiu Sin Nang, Kenny</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91"/>
              </w:rPr>
              <w:t>3,589,744</w:t>
            </w:r>
            <w:r>
              <w:rPr>
                <w:rFonts w:ascii="Arial" w:cs="Arial" w:eastAsia="Arial" w:hAnsi="Arial"/>
                <w:sz w:val="15"/>
                <w:szCs w:val="15"/>
                <w:color w:val="auto"/>
                <w:w w:val="91"/>
              </w:rPr>
              <w:t>(2)</w:t>
            </w: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3,589,744</w:t>
            </w:r>
            <w:r>
              <w:rPr>
                <w:rFonts w:ascii="Arial" w:cs="Arial" w:eastAsia="Arial" w:hAnsi="Arial"/>
                <w:sz w:val="15"/>
                <w:szCs w:val="15"/>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3,589,744</w:t>
            </w:r>
            <w:r>
              <w:rPr>
                <w:rFonts w:ascii="Arial" w:cs="Arial" w:eastAsia="Arial" w:hAnsi="Arial"/>
                <w:sz w:val="15"/>
                <w:szCs w:val="15"/>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Creative Big Limited</w:t>
            </w:r>
          </w:p>
        </w:tc>
        <w:tc>
          <w:tcPr>
            <w:tcW w:w="1320" w:type="dxa"/>
            <w:vAlign w:val="bottom"/>
          </w:tcPr>
          <w:p>
            <w:pPr>
              <w:ind w:left="400"/>
              <w:spacing w:after="0"/>
              <w:rPr>
                <w:sz w:val="20"/>
                <w:szCs w:val="20"/>
                <w:color w:val="auto"/>
              </w:rPr>
            </w:pPr>
            <w:r>
              <w:rPr>
                <w:rFonts w:ascii="Arial" w:cs="Arial" w:eastAsia="Arial" w:hAnsi="Arial"/>
                <w:sz w:val="18"/>
                <w:szCs w:val="18"/>
                <w:color w:val="auto"/>
                <w:w w:val="91"/>
              </w:rPr>
              <w:t>3,589,744</w:t>
            </w:r>
            <w:r>
              <w:rPr>
                <w:rFonts w:ascii="Arial" w:cs="Arial" w:eastAsia="Arial" w:hAnsi="Arial"/>
                <w:sz w:val="15"/>
                <w:szCs w:val="15"/>
                <w:color w:val="auto"/>
                <w:w w:val="91"/>
              </w:rPr>
              <w:t>(3)</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3,589,744</w:t>
            </w:r>
            <w:r>
              <w:rPr>
                <w:rFonts w:ascii="Arial" w:cs="Arial" w:eastAsia="Arial" w:hAnsi="Arial"/>
                <w:sz w:val="15"/>
                <w:szCs w:val="15"/>
                <w:color w:val="auto"/>
              </w:rPr>
              <w:t>(3)</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3,589,744</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0"/>
          <w:szCs w:val="20"/>
          <w:color w:val="auto"/>
        </w:rPr>
      </w:pPr>
    </w:p>
    <w:p>
      <w:pPr>
        <w:jc w:val="both"/>
        <w:ind w:left="460" w:right="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percentages set forth in this Schedule 13G are calculated based upon an aggregate of 36,719,179 ordinary shares, comprised of 31,898,571 Class A Ordinary Shares and 4,820,608 Class B Ordinary Shares, outstanding as of February 24, 2020, assuming conversion of all Class B Ordinary Shares into Class A Ordinary Shares.</w:t>
      </w:r>
    </w:p>
    <w:p>
      <w:pPr>
        <w:spacing w:after="0" w:line="18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3,589,744 Class A ordinary shares directly held by Creative Big Limited, a company incorporated in the British Virgin Islands. Mr. Chiu Sin Nang, Kenny is the sole shareholder and the sole director of Creative Big Limited.</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3,589,744 Class A ordinary shares directly held by Creative Big Limited.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Company or Control Person</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Certifications</w:t>
            </w:r>
          </w:p>
        </w:tc>
      </w:tr>
      <w:tr>
        <w:trPr>
          <w:trHeight w:val="310"/>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held in connection with or as a participant in any transaction having that purpose or effect, other than activities solely in connection with a</w:t>
            </w:r>
          </w:p>
        </w:tc>
      </w:tr>
      <w:tr>
        <w:trPr>
          <w:trHeight w:val="230"/>
        </w:trPr>
        <w:tc>
          <w:tcPr>
            <w:tcW w:w="98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nomination under § 240.14a-11.</w:t>
            </w:r>
          </w:p>
        </w:tc>
      </w:tr>
      <w:tr>
        <w:trPr>
          <w:trHeight w:val="115"/>
        </w:trPr>
        <w:tc>
          <w:tcPr>
            <w:tcW w:w="980" w:type="dxa"/>
            <w:vAlign w:val="bottom"/>
            <w:tcBorders>
              <w:bottom w:val="single" w:sz="8" w:color="9A9A9A"/>
            </w:tcBorders>
          </w:tcPr>
          <w:p>
            <w:pPr>
              <w:spacing w:after="0"/>
              <w:rPr>
                <w:sz w:val="10"/>
                <w:szCs w:val="10"/>
                <w:color w:val="auto"/>
              </w:rPr>
            </w:pPr>
          </w:p>
        </w:tc>
        <w:tc>
          <w:tcPr>
            <w:tcW w:w="10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35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Chiu Sin Nang, Kenny</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Creative Big Limited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ind w:left="628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Chiu Sin Nang, Kenny</w:t>
            </w:r>
          </w:p>
        </w:tc>
        <w:tc>
          <w:tcPr>
            <w:tcW w:w="20" w:type="dxa"/>
            <w:vAlign w:val="bottom"/>
          </w:tcPr>
          <w:p>
            <w:pPr>
              <w:spacing w:after="0"/>
              <w:rPr>
                <w:sz w:val="18"/>
                <w:szCs w:val="18"/>
                <w:color w:val="auto"/>
              </w:rPr>
            </w:pPr>
          </w:p>
        </w:tc>
      </w:tr>
      <w:tr>
        <w:trPr>
          <w:trHeight w:val="195"/>
        </w:trPr>
        <w:tc>
          <w:tcPr>
            <w:tcW w:w="7240" w:type="dxa"/>
            <w:vAlign w:val="bottom"/>
          </w:tcPr>
          <w:p>
            <w:pPr>
              <w:ind w:left="628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Chiu Sin Nang, Kenny</w:t>
            </w:r>
          </w:p>
        </w:tc>
        <w:tc>
          <w:tcPr>
            <w:tcW w:w="20" w:type="dxa"/>
            <w:vAlign w:val="bottom"/>
          </w:tcPr>
          <w:p>
            <w:pPr>
              <w:spacing w:after="0"/>
              <w:rPr>
                <w:sz w:val="16"/>
                <w:szCs w:val="16"/>
                <w:color w:val="auto"/>
              </w:rPr>
            </w:pPr>
          </w:p>
        </w:tc>
      </w:tr>
      <w:tr>
        <w:trPr>
          <w:trHeight w:val="230"/>
        </w:trPr>
        <w:tc>
          <w:tcPr>
            <w:tcW w:w="7240" w:type="dxa"/>
            <w:vAlign w:val="bottom"/>
          </w:tcPr>
          <w:p>
            <w:pPr>
              <w:ind w:left="628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r>
      <w:tr>
        <w:trPr>
          <w:trHeight w:val="601"/>
        </w:trPr>
        <w:tc>
          <w:tcPr>
            <w:tcW w:w="72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p>
      <w:pPr>
        <w:jc w:val="right"/>
        <w:ind w:right="3699"/>
        <w:spacing w:after="0"/>
        <w:rPr>
          <w:sz w:val="20"/>
          <w:szCs w:val="20"/>
          <w:color w:val="auto"/>
        </w:rPr>
      </w:pPr>
      <w:r>
        <w:rPr>
          <w:rFonts w:ascii="Arial" w:cs="Arial" w:eastAsia="Arial" w:hAnsi="Arial"/>
          <w:sz w:val="18"/>
          <w:szCs w:val="18"/>
          <w:b w:val="1"/>
          <w:bCs w:val="1"/>
          <w:color w:val="auto"/>
        </w:rPr>
        <w:t>LIST OF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ectPr>
          <w:pgSz w:w="11900" w:h="16838" w:orient="portrait"/>
          <w:cols w:equalWidth="0" w:num="1">
            <w:col w:w="10219"/>
          </w:cols>
          <w:pgMar w:left="240" w:top="12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undersigned hereby execute this Agreement as of March 5, 2020.</w:t>
      </w:r>
    </w:p>
    <w:p>
      <w:pPr>
        <w:spacing w:after="0" w:line="200" w:lineRule="exact"/>
        <w:rPr>
          <w:sz w:val="20"/>
          <w:szCs w:val="20"/>
          <w:color w:val="auto"/>
        </w:rPr>
      </w:pPr>
    </w:p>
    <w:p>
      <w:pPr>
        <w:spacing w:after="0" w:line="23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Chiu Sin Nang, Kenny</w:t>
      </w:r>
    </w:p>
    <w:p>
      <w:pPr>
        <w:spacing w:after="0" w:line="22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14605</wp:posOffset>
            </wp:positionV>
            <wp:extent cx="22212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1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Creative Big Limited</w:t>
      </w:r>
    </w:p>
    <w:p>
      <w:pPr>
        <w:spacing w:after="0" w:line="27"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Chiu Sin Nang, Kenny</w:t>
      </w:r>
    </w:p>
    <w:p>
      <w:pPr>
        <w:spacing w:after="0" w:line="9"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Name:</w:t>
        <w:tab/>
        <w:t>Chiu Sin Nang,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-130810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2020-03-05T10:56:02Z</dcterms:created>
  <dcterms:modified xsi:type="dcterms:W3CDTF">2020-03-05T10:56:02Z</dcterms:modified>
</cp:coreProperties>
</file>