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202565</wp:posOffset>
            </wp:positionH>
            <wp:positionV relativeFrom="page">
              <wp:posOffset>276860</wp:posOffset>
            </wp:positionV>
            <wp:extent cx="7143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SCHEDULE 13G/A</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iClick Interactive Asia Group Limited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 of Securities)</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G47048 106</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(CUSIP Number)</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 December 2021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25"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62" w:lineRule="exact"/>
        <w:rPr>
          <w:sz w:val="24"/>
          <w:szCs w:val="24"/>
          <w:color w:val="auto"/>
        </w:rPr>
      </w:pPr>
    </w:p>
    <w:p>
      <w:pPr>
        <w:ind w:left="181" w:hanging="181"/>
        <w:spacing w:after="0"/>
        <w:tabs>
          <w:tab w:leader="none" w:pos="1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w:t>
      </w:r>
    </w:p>
    <w:p>
      <w:pPr>
        <w:spacing w:after="0" w:line="162" w:lineRule="exact"/>
        <w:rPr>
          <w:sz w:val="24"/>
          <w:szCs w:val="24"/>
          <w:color w:val="auto"/>
        </w:rPr>
      </w:pPr>
    </w:p>
    <w:p>
      <w:pPr>
        <w:ind w:left="181" w:hanging="181"/>
        <w:spacing w:after="0"/>
        <w:tabs>
          <w:tab w:leader="none" w:pos="18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13d-1(c)</w:t>
      </w:r>
    </w:p>
    <w:p>
      <w:pPr>
        <w:spacing w:after="0" w:line="162" w:lineRule="exact"/>
        <w:rPr>
          <w:sz w:val="24"/>
          <w:szCs w:val="24"/>
          <w:color w:val="auto"/>
        </w:rPr>
      </w:pPr>
    </w:p>
    <w:p>
      <w:pPr>
        <w:ind w:left="181" w:hanging="181"/>
        <w:spacing w:after="0"/>
        <w:tabs>
          <w:tab w:leader="none" w:pos="18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Rule 13d-1(d)</w:t>
      </w:r>
    </w:p>
    <w:p>
      <w:pPr>
        <w:spacing w:after="0" w:line="162" w:lineRule="exact"/>
        <w:rPr>
          <w:sz w:val="24"/>
          <w:szCs w:val="24"/>
          <w:color w:val="auto"/>
        </w:rPr>
      </w:pPr>
    </w:p>
    <w:p>
      <w:pPr>
        <w:ind w:left="1" w:hanging="1"/>
        <w:spacing w:after="0" w:line="289" w:lineRule="auto"/>
        <w:tabs>
          <w:tab w:leader="none" w:pos="14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0" w:lineRule="exact"/>
        <w:rPr>
          <w:sz w:val="24"/>
          <w:szCs w:val="24"/>
          <w:color w:val="auto"/>
        </w:rPr>
      </w:pPr>
    </w:p>
    <w:p>
      <w:pPr>
        <w:ind w:left="1"/>
        <w:spacing w:after="0" w:line="28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262890</wp:posOffset>
            </wp:positionV>
            <wp:extent cx="718502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1241"/>
          </w:cols>
          <w:pgMar w:left="319" w:top="764" w:right="3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3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306705</wp:posOffset>
            </wp:positionV>
            <wp:extent cx="7096760" cy="169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6760" cy="16935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7260" w:type="dxa"/>
            <w:vAlign w:val="bottom"/>
          </w:tcPr>
          <w:p>
            <w:pPr>
              <w:ind w:left="520"/>
              <w:spacing w:after="0"/>
              <w:rPr>
                <w:sz w:val="20"/>
                <w:szCs w:val="20"/>
                <w:color w:val="auto"/>
              </w:rPr>
            </w:pPr>
            <w:r>
              <w:rPr>
                <w:rFonts w:ascii="Arial" w:cs="Arial" w:eastAsia="Arial" w:hAnsi="Arial"/>
                <w:sz w:val="16"/>
                <w:szCs w:val="16"/>
                <w:color w:val="auto"/>
              </w:rPr>
              <w:t>NAME OF REPORTING PERSON</w:t>
            </w:r>
          </w:p>
        </w:tc>
        <w:tc>
          <w:tcPr>
            <w:tcW w:w="3260" w:type="dxa"/>
            <w:vAlign w:val="bottom"/>
          </w:tcPr>
          <w:p>
            <w:pPr>
              <w:spacing w:after="0"/>
              <w:rPr>
                <w:sz w:val="18"/>
                <w:szCs w:val="18"/>
                <w:color w:val="auto"/>
              </w:rPr>
            </w:pPr>
          </w:p>
        </w:tc>
      </w:tr>
      <w:tr>
        <w:trPr>
          <w:trHeight w:val="395"/>
        </w:trPr>
        <w:tc>
          <w:tcPr>
            <w:tcW w:w="640" w:type="dxa"/>
            <w:vAlign w:val="bottom"/>
          </w:tcPr>
          <w:p>
            <w:pPr>
              <w:spacing w:after="0"/>
              <w:rPr>
                <w:sz w:val="24"/>
                <w:szCs w:val="24"/>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auto"/>
              </w:rPr>
              <w:t>Yam Tak Cheung</w:t>
            </w:r>
          </w:p>
        </w:tc>
        <w:tc>
          <w:tcPr>
            <w:tcW w:w="3260" w:type="dxa"/>
            <w:vAlign w:val="bottom"/>
          </w:tcPr>
          <w:p>
            <w:pPr>
              <w:spacing w:after="0"/>
              <w:rPr>
                <w:sz w:val="24"/>
                <w:szCs w:val="24"/>
                <w:color w:val="auto"/>
              </w:rPr>
            </w:pPr>
          </w:p>
        </w:tc>
      </w:tr>
      <w:tr>
        <w:trPr>
          <w:trHeight w:val="31"/>
        </w:trPr>
        <w:tc>
          <w:tcPr>
            <w:tcW w:w="64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0"/>
        </w:trPr>
        <w:tc>
          <w:tcPr>
            <w:tcW w:w="640" w:type="dxa"/>
            <w:vAlign w:val="bottom"/>
          </w:tcPr>
          <w:p>
            <w:pPr>
              <w:jc w:val="right"/>
              <w:ind w:right="438"/>
              <w:spacing w:after="0" w:line="180" w:lineRule="exact"/>
              <w:rPr>
                <w:sz w:val="20"/>
                <w:szCs w:val="20"/>
                <w:color w:val="auto"/>
              </w:rPr>
            </w:pPr>
            <w:r>
              <w:rPr>
                <w:rFonts w:ascii="Arial" w:cs="Arial" w:eastAsia="Arial" w:hAnsi="Arial"/>
                <w:sz w:val="16"/>
                <w:szCs w:val="16"/>
                <w:color w:val="auto"/>
              </w:rPr>
              <w:t>2</w:t>
            </w:r>
          </w:p>
        </w:tc>
        <w:tc>
          <w:tcPr>
            <w:tcW w:w="7260" w:type="dxa"/>
            <w:vAlign w:val="bottom"/>
          </w:tcPr>
          <w:p>
            <w:pPr>
              <w:ind w:left="520"/>
              <w:spacing w:after="0" w:line="180" w:lineRule="exact"/>
              <w:rPr>
                <w:sz w:val="20"/>
                <w:szCs w:val="20"/>
                <w:color w:val="auto"/>
              </w:rPr>
            </w:pPr>
            <w:r>
              <w:rPr>
                <w:rFonts w:ascii="Arial" w:cs="Arial" w:eastAsia="Arial" w:hAnsi="Arial"/>
                <w:sz w:val="16"/>
                <w:szCs w:val="16"/>
                <w:color w:val="auto"/>
              </w:rPr>
              <w:t>CHECK THE APPROPRIATE BOX IF A MEMBER OF A GROUP</w:t>
            </w:r>
          </w:p>
        </w:tc>
        <w:tc>
          <w:tcPr>
            <w:tcW w:w="3260" w:type="dxa"/>
            <w:vAlign w:val="bottom"/>
          </w:tcPr>
          <w:p>
            <w:pPr>
              <w:ind w:left="2160"/>
              <w:spacing w:after="0" w:line="180"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9"/>
        </w:trPr>
        <w:tc>
          <w:tcPr>
            <w:tcW w:w="64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3260" w:type="dxa"/>
            <w:vAlign w:val="bottom"/>
          </w:tcPr>
          <w:p>
            <w:pPr>
              <w:ind w:left="216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208"/>
        </w:trPr>
        <w:tc>
          <w:tcPr>
            <w:tcW w:w="64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r>
      <w:tr>
        <w:trPr>
          <w:trHeight w:val="221"/>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3</w:t>
            </w:r>
          </w:p>
        </w:tc>
        <w:tc>
          <w:tcPr>
            <w:tcW w:w="7260" w:type="dxa"/>
            <w:vAlign w:val="bottom"/>
          </w:tcPr>
          <w:p>
            <w:pPr>
              <w:ind w:left="520"/>
              <w:spacing w:after="0"/>
              <w:rPr>
                <w:sz w:val="20"/>
                <w:szCs w:val="20"/>
                <w:color w:val="auto"/>
              </w:rPr>
            </w:pPr>
            <w:r>
              <w:rPr>
                <w:rFonts w:ascii="Arial" w:cs="Arial" w:eastAsia="Arial" w:hAnsi="Arial"/>
                <w:sz w:val="16"/>
                <w:szCs w:val="16"/>
                <w:color w:val="auto"/>
              </w:rPr>
              <w:t>SEC USE ONLY</w:t>
            </w:r>
          </w:p>
        </w:tc>
        <w:tc>
          <w:tcPr>
            <w:tcW w:w="326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left="1240" w:right="6680" w:hanging="1120"/>
        <w:spacing w:after="0" w:line="539"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Hong Kong</w:t>
      </w:r>
    </w:p>
    <w:tbl>
      <w:tblPr>
        <w:tblLayout w:type="fixed"/>
        <w:tblInd w:w="0" w:type="dxa"/>
        <w:tblCellMar>
          <w:top w:w="0" w:type="dxa"/>
          <w:left w:w="0" w:type="dxa"/>
          <w:bottom w:w="0" w:type="dxa"/>
          <w:right w:w="0" w:type="dxa"/>
        </w:tblCellMar>
      </w:tblPr>
      <w:tr>
        <w:trPr>
          <w:trHeight w:val="227"/>
        </w:trPr>
        <w:tc>
          <w:tcPr>
            <w:tcW w:w="100" w:type="dxa"/>
            <w:vAlign w:val="bottom"/>
            <w:tcBorders>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440" w:type="dxa"/>
            <w:vAlign w:val="bottom"/>
            <w:tcBorders>
              <w:top w:val="single" w:sz="8" w:color="auto"/>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5</w:t>
            </w:r>
          </w:p>
        </w:tc>
        <w:tc>
          <w:tcPr>
            <w:tcW w:w="6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SOLE VOTING POWER</w:t>
            </w:r>
          </w:p>
        </w:tc>
        <w:tc>
          <w:tcPr>
            <w:tcW w:w="2320" w:type="dxa"/>
            <w:vAlign w:val="bottom"/>
            <w:tcBorders>
              <w:top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3,282,453</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w w:val="97"/>
              </w:rPr>
              <w:t>NUMBER OF</w:t>
            </w:r>
          </w:p>
        </w:tc>
        <w:tc>
          <w:tcPr>
            <w:tcW w:w="440" w:type="dxa"/>
            <w:vAlign w:val="bottom"/>
            <w:tcBorders>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6</w:t>
            </w:r>
          </w:p>
        </w:tc>
        <w:tc>
          <w:tcPr>
            <w:tcW w:w="6360" w:type="dxa"/>
            <w:vAlign w:val="bottom"/>
          </w:tcPr>
          <w:p>
            <w:pPr>
              <w:ind w:left="20"/>
              <w:spacing w:after="0"/>
              <w:rPr>
                <w:sz w:val="20"/>
                <w:szCs w:val="20"/>
                <w:color w:val="auto"/>
              </w:rPr>
            </w:pPr>
            <w:r>
              <w:rPr>
                <w:rFonts w:ascii="Arial" w:cs="Arial" w:eastAsia="Arial" w:hAnsi="Arial"/>
                <w:sz w:val="16"/>
                <w:szCs w:val="16"/>
                <w:color w:val="auto"/>
              </w:rPr>
              <w:t>SHARED VOTING POWER</w:t>
            </w:r>
          </w:p>
        </w:tc>
        <w:tc>
          <w:tcPr>
            <w:tcW w:w="23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w w:val="94"/>
              </w:rPr>
              <w:t>SHARES</w:t>
            </w:r>
          </w:p>
        </w:tc>
        <w:tc>
          <w:tcPr>
            <w:tcW w:w="440" w:type="dxa"/>
            <w:vAlign w:val="bottom"/>
            <w:tcBorders>
              <w:right w:val="single" w:sz="8" w:color="auto"/>
            </w:tcBorders>
          </w:tcPr>
          <w:p>
            <w:pPr>
              <w:spacing w:after="0"/>
              <w:rPr>
                <w:sz w:val="17"/>
                <w:szCs w:val="17"/>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-0-</w:t>
            </w:r>
          </w:p>
        </w:tc>
        <w:tc>
          <w:tcPr>
            <w:tcW w:w="2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BENEFICIALLY OWNED</w:t>
            </w:r>
          </w:p>
        </w:tc>
        <w:tc>
          <w:tcPr>
            <w:tcW w:w="440" w:type="dxa"/>
            <w:vAlign w:val="bottom"/>
            <w:tcBorders>
              <w:bottom w:val="single" w:sz="8" w:color="auto"/>
              <w:right w:val="single" w:sz="8" w:color="auto"/>
            </w:tcBorders>
          </w:tcPr>
          <w:p>
            <w:pPr>
              <w:spacing w:after="0"/>
              <w:rPr>
                <w:sz w:val="16"/>
                <w:szCs w:val="16"/>
                <w:color w:val="auto"/>
              </w:rPr>
            </w:pPr>
          </w:p>
        </w:tc>
        <w:tc>
          <w:tcPr>
            <w:tcW w:w="63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7"/>
              </w:rPr>
              <w:t>BY EACH REPORTING</w:t>
            </w:r>
          </w:p>
        </w:tc>
        <w:tc>
          <w:tcPr>
            <w:tcW w:w="440" w:type="dxa"/>
            <w:vAlign w:val="bottom"/>
            <w:tcBorders>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7</w:t>
            </w:r>
          </w:p>
        </w:tc>
        <w:tc>
          <w:tcPr>
            <w:tcW w:w="6360" w:type="dxa"/>
            <w:vAlign w:val="bottom"/>
          </w:tcPr>
          <w:p>
            <w:pPr>
              <w:ind w:left="20"/>
              <w:spacing w:after="0"/>
              <w:rPr>
                <w:sz w:val="20"/>
                <w:szCs w:val="20"/>
                <w:color w:val="auto"/>
              </w:rPr>
            </w:pPr>
            <w:r>
              <w:rPr>
                <w:rFonts w:ascii="Arial" w:cs="Arial" w:eastAsia="Arial" w:hAnsi="Arial"/>
                <w:sz w:val="16"/>
                <w:szCs w:val="16"/>
                <w:color w:val="auto"/>
              </w:rPr>
              <w:t>SOLE DISPOSITIVE POWER</w:t>
            </w:r>
          </w:p>
        </w:tc>
        <w:tc>
          <w:tcPr>
            <w:tcW w:w="2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w w:val="91"/>
              </w:rPr>
              <w:t>PERSON</w:t>
            </w:r>
          </w:p>
        </w:tc>
        <w:tc>
          <w:tcPr>
            <w:tcW w:w="440" w:type="dxa"/>
            <w:vAlign w:val="bottom"/>
            <w:tcBorders>
              <w:right w:val="single" w:sz="8" w:color="auto"/>
            </w:tcBorders>
          </w:tcPr>
          <w:p>
            <w:pPr>
              <w:spacing w:after="0"/>
              <w:rPr>
                <w:sz w:val="17"/>
                <w:szCs w:val="17"/>
                <w:color w:val="auto"/>
              </w:rPr>
            </w:pPr>
          </w:p>
        </w:tc>
        <w:tc>
          <w:tcPr>
            <w:tcW w:w="636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rPr>
              <w:t>WITH</w:t>
            </w:r>
          </w:p>
        </w:tc>
        <w:tc>
          <w:tcPr>
            <w:tcW w:w="440" w:type="dxa"/>
            <w:vAlign w:val="bottom"/>
            <w:tcBorders>
              <w:right w:val="single" w:sz="8" w:color="auto"/>
            </w:tcBorders>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3,282,453</w:t>
            </w:r>
          </w:p>
        </w:tc>
        <w:tc>
          <w:tcPr>
            <w:tcW w:w="2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8</w:t>
            </w:r>
          </w:p>
        </w:tc>
        <w:tc>
          <w:tcPr>
            <w:tcW w:w="6360" w:type="dxa"/>
            <w:vAlign w:val="bottom"/>
          </w:tcPr>
          <w:p>
            <w:pPr>
              <w:ind w:left="20"/>
              <w:spacing w:after="0"/>
              <w:rPr>
                <w:sz w:val="20"/>
                <w:szCs w:val="20"/>
                <w:color w:val="auto"/>
              </w:rPr>
            </w:pPr>
            <w:r>
              <w:rPr>
                <w:rFonts w:ascii="Arial" w:cs="Arial" w:eastAsia="Arial" w:hAnsi="Arial"/>
                <w:sz w:val="16"/>
                <w:szCs w:val="16"/>
                <w:color w:val="auto"/>
              </w:rPr>
              <w:t>SHARED DISPOSITIVE POWER</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-0-</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9</w:t>
            </w:r>
          </w:p>
        </w:tc>
        <w:tc>
          <w:tcPr>
            <w:tcW w:w="780" w:type="dxa"/>
            <w:vAlign w:val="bottom"/>
            <w:tcBorders>
              <w:right w:val="single" w:sz="8" w:color="auto"/>
            </w:tcBorders>
          </w:tcPr>
          <w:p>
            <w:pPr>
              <w:spacing w:after="0"/>
              <w:rPr>
                <w:sz w:val="19"/>
                <w:szCs w:val="19"/>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AGGREGATE AMOUNT BENEFICIALLY OWNED BY EACH REPORTING PERSON</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3,282,453</w:t>
            </w: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gridSpan w:val="3"/>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10</w:t>
            </w:r>
          </w:p>
        </w:tc>
        <w:tc>
          <w:tcPr>
            <w:tcW w:w="780" w:type="dxa"/>
            <w:vAlign w:val="bottom"/>
            <w:tcBorders>
              <w:right w:val="single" w:sz="8" w:color="auto"/>
            </w:tcBorders>
          </w:tcPr>
          <w:p>
            <w:pPr>
              <w:spacing w:after="0"/>
              <w:rPr>
                <w:sz w:val="22"/>
                <w:szCs w:val="22"/>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320" w:type="dxa"/>
            <w:vAlign w:val="bottom"/>
            <w:tcBorders>
              <w:right w:val="single" w:sz="8" w:color="auto"/>
            </w:tcBorders>
          </w:tcPr>
          <w:p>
            <w:pPr>
              <w:ind w:left="1220"/>
              <w:spacing w:after="0" w:line="161" w:lineRule="exact"/>
              <w:rPr>
                <w:sz w:val="20"/>
                <w:szCs w:val="20"/>
                <w:color w:val="auto"/>
              </w:rPr>
            </w:pPr>
            <w:r>
              <w:rPr>
                <w:rFonts w:ascii="MS PGothic" w:cs="MS PGothic" w:eastAsia="MS PGothic" w:hAnsi="MS PGothic"/>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11</w:t>
            </w:r>
          </w:p>
        </w:tc>
        <w:tc>
          <w:tcPr>
            <w:tcW w:w="780" w:type="dxa"/>
            <w:vAlign w:val="bottom"/>
            <w:tcBorders>
              <w:right w:val="single" w:sz="8" w:color="auto"/>
            </w:tcBorders>
          </w:tcPr>
          <w:p>
            <w:pPr>
              <w:spacing w:after="0"/>
              <w:rPr>
                <w:sz w:val="19"/>
                <w:szCs w:val="19"/>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PERCENT OF CLASS REPRESENTED BY AMOUNT IN ROW (9)</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6.9%</w:t>
            </w: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gridSpan w:val="3"/>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12</w:t>
            </w:r>
          </w:p>
        </w:tc>
        <w:tc>
          <w:tcPr>
            <w:tcW w:w="780" w:type="dxa"/>
            <w:vAlign w:val="bottom"/>
            <w:tcBorders>
              <w:right w:val="single" w:sz="8" w:color="auto"/>
            </w:tcBorders>
          </w:tcPr>
          <w:p>
            <w:pPr>
              <w:spacing w:after="0"/>
              <w:rPr>
                <w:sz w:val="19"/>
                <w:szCs w:val="19"/>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TYPE OF REPORTING PERSON</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IN</w:t>
            </w: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9"/>
        </w:trPr>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720" w:right="299" w:bottom="1440" w:gutter="0" w:footer="0" w:header="0"/>
        </w:sectPr>
      </w:pPr>
    </w:p>
    <w:bookmarkStart w:id="2" w:name="page3"/>
    <w:bookmarkEnd w:id="2"/>
    <w:p>
      <w:pPr>
        <w:ind w:left="40"/>
        <w:spacing w:after="0"/>
        <w:rPr>
          <w:sz w:val="20"/>
          <w:szCs w:val="20"/>
          <w:color w:val="auto"/>
        </w:rPr>
      </w:pPr>
      <w:r>
        <w:rPr>
          <w:rFonts w:ascii="Arial" w:cs="Arial" w:eastAsia="Arial" w:hAnsi="Arial"/>
          <w:sz w:val="16"/>
          <w:szCs w:val="16"/>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3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306705</wp:posOffset>
            </wp:positionV>
            <wp:extent cx="7096760" cy="1693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6760" cy="16935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1</w:t>
            </w:r>
          </w:p>
        </w:tc>
        <w:tc>
          <w:tcPr>
            <w:tcW w:w="7260" w:type="dxa"/>
            <w:vAlign w:val="bottom"/>
          </w:tcPr>
          <w:p>
            <w:pPr>
              <w:ind w:left="520"/>
              <w:spacing w:after="0"/>
              <w:rPr>
                <w:sz w:val="20"/>
                <w:szCs w:val="20"/>
                <w:color w:val="auto"/>
              </w:rPr>
            </w:pPr>
            <w:r>
              <w:rPr>
                <w:rFonts w:ascii="Arial" w:cs="Arial" w:eastAsia="Arial" w:hAnsi="Arial"/>
                <w:sz w:val="16"/>
                <w:szCs w:val="16"/>
                <w:color w:val="auto"/>
              </w:rPr>
              <w:t>NAME OF REPORTING PERSON</w:t>
            </w:r>
          </w:p>
        </w:tc>
        <w:tc>
          <w:tcPr>
            <w:tcW w:w="3260" w:type="dxa"/>
            <w:vAlign w:val="bottom"/>
          </w:tcPr>
          <w:p>
            <w:pPr>
              <w:spacing w:after="0"/>
              <w:rPr>
                <w:sz w:val="18"/>
                <w:szCs w:val="18"/>
                <w:color w:val="auto"/>
              </w:rPr>
            </w:pPr>
          </w:p>
        </w:tc>
      </w:tr>
      <w:tr>
        <w:trPr>
          <w:trHeight w:val="395"/>
        </w:trPr>
        <w:tc>
          <w:tcPr>
            <w:tcW w:w="640" w:type="dxa"/>
            <w:vAlign w:val="bottom"/>
          </w:tcPr>
          <w:p>
            <w:pPr>
              <w:spacing w:after="0"/>
              <w:rPr>
                <w:sz w:val="24"/>
                <w:szCs w:val="24"/>
                <w:color w:val="auto"/>
              </w:rPr>
            </w:pPr>
          </w:p>
        </w:tc>
        <w:tc>
          <w:tcPr>
            <w:tcW w:w="7260" w:type="dxa"/>
            <w:vAlign w:val="bottom"/>
          </w:tcPr>
          <w:p>
            <w:pPr>
              <w:ind w:left="520"/>
              <w:spacing w:after="0"/>
              <w:rPr>
                <w:sz w:val="20"/>
                <w:szCs w:val="20"/>
                <w:color w:val="auto"/>
              </w:rPr>
            </w:pPr>
            <w:r>
              <w:rPr>
                <w:rFonts w:ascii="Arial" w:cs="Arial" w:eastAsia="Arial" w:hAnsi="Arial"/>
                <w:sz w:val="16"/>
                <w:szCs w:val="16"/>
                <w:color w:val="auto"/>
              </w:rPr>
              <w:t>Integrated Asset Management (Asia) Ltd.</w:t>
            </w:r>
          </w:p>
        </w:tc>
        <w:tc>
          <w:tcPr>
            <w:tcW w:w="3260" w:type="dxa"/>
            <w:vAlign w:val="bottom"/>
          </w:tcPr>
          <w:p>
            <w:pPr>
              <w:spacing w:after="0"/>
              <w:rPr>
                <w:sz w:val="24"/>
                <w:szCs w:val="24"/>
                <w:color w:val="auto"/>
              </w:rPr>
            </w:pPr>
          </w:p>
        </w:tc>
      </w:tr>
      <w:tr>
        <w:trPr>
          <w:trHeight w:val="31"/>
        </w:trPr>
        <w:tc>
          <w:tcPr>
            <w:tcW w:w="64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0"/>
        </w:trPr>
        <w:tc>
          <w:tcPr>
            <w:tcW w:w="640" w:type="dxa"/>
            <w:vAlign w:val="bottom"/>
          </w:tcPr>
          <w:p>
            <w:pPr>
              <w:jc w:val="right"/>
              <w:ind w:right="438"/>
              <w:spacing w:after="0" w:line="180" w:lineRule="exact"/>
              <w:rPr>
                <w:sz w:val="20"/>
                <w:szCs w:val="20"/>
                <w:color w:val="auto"/>
              </w:rPr>
            </w:pPr>
            <w:r>
              <w:rPr>
                <w:rFonts w:ascii="Arial" w:cs="Arial" w:eastAsia="Arial" w:hAnsi="Arial"/>
                <w:sz w:val="16"/>
                <w:szCs w:val="16"/>
                <w:color w:val="auto"/>
              </w:rPr>
              <w:t>2</w:t>
            </w:r>
          </w:p>
        </w:tc>
        <w:tc>
          <w:tcPr>
            <w:tcW w:w="7260" w:type="dxa"/>
            <w:vAlign w:val="bottom"/>
          </w:tcPr>
          <w:p>
            <w:pPr>
              <w:ind w:left="520"/>
              <w:spacing w:after="0" w:line="180" w:lineRule="exact"/>
              <w:rPr>
                <w:sz w:val="20"/>
                <w:szCs w:val="20"/>
                <w:color w:val="auto"/>
              </w:rPr>
            </w:pPr>
            <w:r>
              <w:rPr>
                <w:rFonts w:ascii="Arial" w:cs="Arial" w:eastAsia="Arial" w:hAnsi="Arial"/>
                <w:sz w:val="16"/>
                <w:szCs w:val="16"/>
                <w:color w:val="auto"/>
              </w:rPr>
              <w:t>CHECK THE APPROPRIATE BOX IF A MEMBER OF A GROUP</w:t>
            </w:r>
          </w:p>
        </w:tc>
        <w:tc>
          <w:tcPr>
            <w:tcW w:w="3260" w:type="dxa"/>
            <w:vAlign w:val="bottom"/>
          </w:tcPr>
          <w:p>
            <w:pPr>
              <w:ind w:left="2160"/>
              <w:spacing w:after="0" w:line="180"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r>
      <w:tr>
        <w:trPr>
          <w:trHeight w:val="259"/>
        </w:trPr>
        <w:tc>
          <w:tcPr>
            <w:tcW w:w="64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3260" w:type="dxa"/>
            <w:vAlign w:val="bottom"/>
          </w:tcPr>
          <w:p>
            <w:pPr>
              <w:ind w:left="2160"/>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r>
      <w:tr>
        <w:trPr>
          <w:trHeight w:val="208"/>
        </w:trPr>
        <w:tc>
          <w:tcPr>
            <w:tcW w:w="64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r>
      <w:tr>
        <w:trPr>
          <w:trHeight w:val="221"/>
        </w:trPr>
        <w:tc>
          <w:tcPr>
            <w:tcW w:w="640" w:type="dxa"/>
            <w:vAlign w:val="bottom"/>
          </w:tcPr>
          <w:p>
            <w:pPr>
              <w:jc w:val="right"/>
              <w:ind w:right="438"/>
              <w:spacing w:after="0"/>
              <w:rPr>
                <w:sz w:val="20"/>
                <w:szCs w:val="20"/>
                <w:color w:val="auto"/>
              </w:rPr>
            </w:pPr>
            <w:r>
              <w:rPr>
                <w:rFonts w:ascii="Arial" w:cs="Arial" w:eastAsia="Arial" w:hAnsi="Arial"/>
                <w:sz w:val="16"/>
                <w:szCs w:val="16"/>
                <w:color w:val="auto"/>
              </w:rPr>
              <w:t>3</w:t>
            </w:r>
          </w:p>
        </w:tc>
        <w:tc>
          <w:tcPr>
            <w:tcW w:w="7260" w:type="dxa"/>
            <w:vAlign w:val="bottom"/>
          </w:tcPr>
          <w:p>
            <w:pPr>
              <w:ind w:left="520"/>
              <w:spacing w:after="0"/>
              <w:rPr>
                <w:sz w:val="20"/>
                <w:szCs w:val="20"/>
                <w:color w:val="auto"/>
              </w:rPr>
            </w:pPr>
            <w:r>
              <w:rPr>
                <w:rFonts w:ascii="Arial" w:cs="Arial" w:eastAsia="Arial" w:hAnsi="Arial"/>
                <w:sz w:val="16"/>
                <w:szCs w:val="16"/>
                <w:color w:val="auto"/>
              </w:rPr>
              <w:t>SEC USE ONLY</w:t>
            </w:r>
          </w:p>
        </w:tc>
        <w:tc>
          <w:tcPr>
            <w:tcW w:w="326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ind w:left="1240" w:right="6680" w:hanging="1120"/>
        <w:spacing w:after="0" w:line="539"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British Virgin Islands</w:t>
      </w:r>
    </w:p>
    <w:tbl>
      <w:tblPr>
        <w:tblLayout w:type="fixed"/>
        <w:tblInd w:w="0" w:type="dxa"/>
        <w:tblCellMar>
          <w:top w:w="0" w:type="dxa"/>
          <w:left w:w="0" w:type="dxa"/>
          <w:bottom w:w="0" w:type="dxa"/>
          <w:right w:w="0" w:type="dxa"/>
        </w:tblCellMar>
      </w:tblPr>
      <w:tr>
        <w:trPr>
          <w:trHeight w:val="227"/>
        </w:trPr>
        <w:tc>
          <w:tcPr>
            <w:tcW w:w="100" w:type="dxa"/>
            <w:vAlign w:val="bottom"/>
            <w:tcBorders>
              <w:right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440" w:type="dxa"/>
            <w:vAlign w:val="bottom"/>
            <w:tcBorders>
              <w:top w:val="single" w:sz="8" w:color="auto"/>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5</w:t>
            </w:r>
          </w:p>
        </w:tc>
        <w:tc>
          <w:tcPr>
            <w:tcW w:w="6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SOLE VOTING POWER</w:t>
            </w:r>
          </w:p>
        </w:tc>
        <w:tc>
          <w:tcPr>
            <w:tcW w:w="2320" w:type="dxa"/>
            <w:vAlign w:val="bottom"/>
            <w:tcBorders>
              <w:top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3,282,453</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w w:val="97"/>
              </w:rPr>
              <w:t>NUMBER OF</w:t>
            </w:r>
          </w:p>
        </w:tc>
        <w:tc>
          <w:tcPr>
            <w:tcW w:w="440" w:type="dxa"/>
            <w:vAlign w:val="bottom"/>
            <w:tcBorders>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6</w:t>
            </w:r>
          </w:p>
        </w:tc>
        <w:tc>
          <w:tcPr>
            <w:tcW w:w="6360" w:type="dxa"/>
            <w:vAlign w:val="bottom"/>
          </w:tcPr>
          <w:p>
            <w:pPr>
              <w:ind w:left="20"/>
              <w:spacing w:after="0"/>
              <w:rPr>
                <w:sz w:val="20"/>
                <w:szCs w:val="20"/>
                <w:color w:val="auto"/>
              </w:rPr>
            </w:pPr>
            <w:r>
              <w:rPr>
                <w:rFonts w:ascii="Arial" w:cs="Arial" w:eastAsia="Arial" w:hAnsi="Arial"/>
                <w:sz w:val="16"/>
                <w:szCs w:val="16"/>
                <w:color w:val="auto"/>
              </w:rPr>
              <w:t>SHARED VOTING POWER</w:t>
            </w:r>
          </w:p>
        </w:tc>
        <w:tc>
          <w:tcPr>
            <w:tcW w:w="23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w w:val="94"/>
              </w:rPr>
              <w:t>SHARES</w:t>
            </w:r>
          </w:p>
        </w:tc>
        <w:tc>
          <w:tcPr>
            <w:tcW w:w="440" w:type="dxa"/>
            <w:vAlign w:val="bottom"/>
            <w:tcBorders>
              <w:right w:val="single" w:sz="8" w:color="auto"/>
            </w:tcBorders>
          </w:tcPr>
          <w:p>
            <w:pPr>
              <w:spacing w:after="0"/>
              <w:rPr>
                <w:sz w:val="17"/>
                <w:szCs w:val="17"/>
                <w:color w:val="auto"/>
              </w:rPr>
            </w:pPr>
          </w:p>
        </w:tc>
        <w:tc>
          <w:tcPr>
            <w:tcW w:w="6360" w:type="dxa"/>
            <w:vAlign w:val="bottom"/>
            <w:vMerge w:val="restart"/>
          </w:tcPr>
          <w:p>
            <w:pPr>
              <w:ind w:left="20"/>
              <w:spacing w:after="0"/>
              <w:rPr>
                <w:sz w:val="20"/>
                <w:szCs w:val="20"/>
                <w:color w:val="auto"/>
              </w:rPr>
            </w:pPr>
            <w:r>
              <w:rPr>
                <w:rFonts w:ascii="Arial" w:cs="Arial" w:eastAsia="Arial" w:hAnsi="Arial"/>
                <w:sz w:val="16"/>
                <w:szCs w:val="16"/>
                <w:color w:val="auto"/>
              </w:rPr>
              <w:t>-0-</w:t>
            </w:r>
          </w:p>
        </w:tc>
        <w:tc>
          <w:tcPr>
            <w:tcW w:w="2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BENEFICIALLY OWNED</w:t>
            </w:r>
          </w:p>
        </w:tc>
        <w:tc>
          <w:tcPr>
            <w:tcW w:w="440" w:type="dxa"/>
            <w:vAlign w:val="bottom"/>
            <w:tcBorders>
              <w:bottom w:val="single" w:sz="8" w:color="auto"/>
              <w:right w:val="single" w:sz="8" w:color="auto"/>
            </w:tcBorders>
          </w:tcPr>
          <w:p>
            <w:pPr>
              <w:spacing w:after="0"/>
              <w:rPr>
                <w:sz w:val="16"/>
                <w:szCs w:val="16"/>
                <w:color w:val="auto"/>
              </w:rPr>
            </w:pPr>
          </w:p>
        </w:tc>
        <w:tc>
          <w:tcPr>
            <w:tcW w:w="63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w w:val="97"/>
              </w:rPr>
              <w:t>BY EACH REPORTING</w:t>
            </w:r>
          </w:p>
        </w:tc>
        <w:tc>
          <w:tcPr>
            <w:tcW w:w="440" w:type="dxa"/>
            <w:vAlign w:val="bottom"/>
            <w:tcBorders>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7</w:t>
            </w:r>
          </w:p>
        </w:tc>
        <w:tc>
          <w:tcPr>
            <w:tcW w:w="6360" w:type="dxa"/>
            <w:vAlign w:val="bottom"/>
          </w:tcPr>
          <w:p>
            <w:pPr>
              <w:ind w:left="20"/>
              <w:spacing w:after="0"/>
              <w:rPr>
                <w:sz w:val="20"/>
                <w:szCs w:val="20"/>
                <w:color w:val="auto"/>
              </w:rPr>
            </w:pPr>
            <w:r>
              <w:rPr>
                <w:rFonts w:ascii="Arial" w:cs="Arial" w:eastAsia="Arial" w:hAnsi="Arial"/>
                <w:sz w:val="16"/>
                <w:szCs w:val="16"/>
                <w:color w:val="auto"/>
              </w:rPr>
              <w:t>SOLE DISPOSITIVE POWER</w:t>
            </w:r>
          </w:p>
        </w:tc>
        <w:tc>
          <w:tcPr>
            <w:tcW w:w="2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w w:val="91"/>
              </w:rPr>
              <w:t>PERSON</w:t>
            </w:r>
          </w:p>
        </w:tc>
        <w:tc>
          <w:tcPr>
            <w:tcW w:w="440" w:type="dxa"/>
            <w:vAlign w:val="bottom"/>
            <w:tcBorders>
              <w:right w:val="single" w:sz="8" w:color="auto"/>
            </w:tcBorders>
          </w:tcPr>
          <w:p>
            <w:pPr>
              <w:spacing w:after="0"/>
              <w:rPr>
                <w:sz w:val="17"/>
                <w:szCs w:val="17"/>
                <w:color w:val="auto"/>
              </w:rPr>
            </w:pPr>
          </w:p>
        </w:tc>
        <w:tc>
          <w:tcPr>
            <w:tcW w:w="636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Borders>
              <w:right w:val="single" w:sz="8" w:color="auto"/>
            </w:tcBorders>
            <w:gridSpan w:val="2"/>
          </w:tcPr>
          <w:p>
            <w:pPr>
              <w:jc w:val="center"/>
              <w:ind w:right="298"/>
              <w:spacing w:after="0"/>
              <w:rPr>
                <w:sz w:val="20"/>
                <w:szCs w:val="20"/>
                <w:color w:val="auto"/>
              </w:rPr>
            </w:pPr>
            <w:r>
              <w:rPr>
                <w:rFonts w:ascii="Arial" w:cs="Arial" w:eastAsia="Arial" w:hAnsi="Arial"/>
                <w:sz w:val="16"/>
                <w:szCs w:val="16"/>
                <w:color w:val="auto"/>
              </w:rPr>
              <w:t>WITH</w:t>
            </w:r>
          </w:p>
        </w:tc>
        <w:tc>
          <w:tcPr>
            <w:tcW w:w="440" w:type="dxa"/>
            <w:vAlign w:val="bottom"/>
            <w:tcBorders>
              <w:right w:val="single" w:sz="8" w:color="auto"/>
            </w:tcBorders>
          </w:tcPr>
          <w:p>
            <w:pPr>
              <w:spacing w:after="0"/>
              <w:rPr>
                <w:sz w:val="20"/>
                <w:szCs w:val="20"/>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3,282,453</w:t>
            </w:r>
          </w:p>
        </w:tc>
        <w:tc>
          <w:tcPr>
            <w:tcW w:w="23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258"/>
              <w:spacing w:after="0"/>
              <w:rPr>
                <w:sz w:val="20"/>
                <w:szCs w:val="20"/>
                <w:color w:val="auto"/>
              </w:rPr>
            </w:pPr>
            <w:r>
              <w:rPr>
                <w:rFonts w:ascii="Arial" w:cs="Arial" w:eastAsia="Arial" w:hAnsi="Arial"/>
                <w:sz w:val="16"/>
                <w:szCs w:val="16"/>
                <w:color w:val="auto"/>
                <w:w w:val="89"/>
              </w:rPr>
              <w:t>8</w:t>
            </w:r>
          </w:p>
        </w:tc>
        <w:tc>
          <w:tcPr>
            <w:tcW w:w="6360" w:type="dxa"/>
            <w:vAlign w:val="bottom"/>
          </w:tcPr>
          <w:p>
            <w:pPr>
              <w:ind w:left="20"/>
              <w:spacing w:after="0"/>
              <w:rPr>
                <w:sz w:val="20"/>
                <w:szCs w:val="20"/>
                <w:color w:val="auto"/>
              </w:rPr>
            </w:pPr>
            <w:r>
              <w:rPr>
                <w:rFonts w:ascii="Arial" w:cs="Arial" w:eastAsia="Arial" w:hAnsi="Arial"/>
                <w:sz w:val="16"/>
                <w:szCs w:val="16"/>
                <w:color w:val="auto"/>
              </w:rPr>
              <w:t>SHARED DISPOSITIVE POWER</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360" w:type="dxa"/>
            <w:vAlign w:val="bottom"/>
          </w:tcPr>
          <w:p>
            <w:pPr>
              <w:ind w:left="20"/>
              <w:spacing w:after="0"/>
              <w:rPr>
                <w:sz w:val="20"/>
                <w:szCs w:val="20"/>
                <w:color w:val="auto"/>
              </w:rPr>
            </w:pPr>
            <w:r>
              <w:rPr>
                <w:rFonts w:ascii="Arial" w:cs="Arial" w:eastAsia="Arial" w:hAnsi="Arial"/>
                <w:sz w:val="16"/>
                <w:szCs w:val="16"/>
                <w:color w:val="auto"/>
              </w:rPr>
              <w:t>-0-</w:t>
            </w: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700" w:type="dxa"/>
            <w:vAlign w:val="bottom"/>
            <w:tcBorders>
              <w:bottom w:val="single" w:sz="8" w:color="auto"/>
            </w:tcBorders>
            <w:gridSpan w:val="3"/>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9</w:t>
            </w:r>
          </w:p>
        </w:tc>
        <w:tc>
          <w:tcPr>
            <w:tcW w:w="780" w:type="dxa"/>
            <w:vAlign w:val="bottom"/>
            <w:tcBorders>
              <w:right w:val="single" w:sz="8" w:color="auto"/>
            </w:tcBorders>
          </w:tcPr>
          <w:p>
            <w:pPr>
              <w:spacing w:after="0"/>
              <w:rPr>
                <w:sz w:val="19"/>
                <w:szCs w:val="19"/>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AGGREGATE AMOUNT BENEFICIALLY OWNED BY EACH REPORTING PERSON</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3,282,453</w:t>
            </w: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gridSpan w:val="3"/>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100" w:type="dxa"/>
            <w:vAlign w:val="bottom"/>
            <w:tcBorders>
              <w:right w:val="single" w:sz="8" w:color="auto"/>
            </w:tcBorders>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10</w:t>
            </w:r>
          </w:p>
        </w:tc>
        <w:tc>
          <w:tcPr>
            <w:tcW w:w="780" w:type="dxa"/>
            <w:vAlign w:val="bottom"/>
            <w:tcBorders>
              <w:right w:val="single" w:sz="8" w:color="auto"/>
            </w:tcBorders>
          </w:tcPr>
          <w:p>
            <w:pPr>
              <w:spacing w:after="0"/>
              <w:rPr>
                <w:sz w:val="22"/>
                <w:szCs w:val="22"/>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320" w:type="dxa"/>
            <w:vAlign w:val="bottom"/>
            <w:tcBorders>
              <w:right w:val="single" w:sz="8" w:color="auto"/>
            </w:tcBorders>
          </w:tcPr>
          <w:p>
            <w:pPr>
              <w:ind w:left="1220"/>
              <w:spacing w:after="0" w:line="161" w:lineRule="exact"/>
              <w:rPr>
                <w:sz w:val="20"/>
                <w:szCs w:val="20"/>
                <w:color w:val="auto"/>
              </w:rPr>
            </w:pPr>
            <w:r>
              <w:rPr>
                <w:rFonts w:ascii="MS PGothic" w:cs="MS PGothic" w:eastAsia="MS PGothic" w:hAnsi="MS PGothic"/>
                <w:sz w:val="16"/>
                <w:szCs w:val="16"/>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3"/>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11</w:t>
            </w:r>
          </w:p>
        </w:tc>
        <w:tc>
          <w:tcPr>
            <w:tcW w:w="780" w:type="dxa"/>
            <w:vAlign w:val="bottom"/>
            <w:tcBorders>
              <w:right w:val="single" w:sz="8" w:color="auto"/>
            </w:tcBorders>
          </w:tcPr>
          <w:p>
            <w:pPr>
              <w:spacing w:after="0"/>
              <w:rPr>
                <w:sz w:val="19"/>
                <w:szCs w:val="19"/>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PERCENT OF CLASS REPRESENTED BY AMOUNT IN ROW (9)</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6.9%</w:t>
            </w: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700" w:type="dxa"/>
            <w:vAlign w:val="bottom"/>
            <w:tcBorders>
              <w:bottom w:val="single" w:sz="8" w:color="auto"/>
            </w:tcBorders>
            <w:gridSpan w:val="3"/>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00" w:type="dxa"/>
            <w:vAlign w:val="bottom"/>
            <w:tcBorders>
              <w:right w:val="single" w:sz="8" w:color="auto"/>
            </w:tcBorders>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12</w:t>
            </w:r>
          </w:p>
        </w:tc>
        <w:tc>
          <w:tcPr>
            <w:tcW w:w="780" w:type="dxa"/>
            <w:vAlign w:val="bottom"/>
            <w:tcBorders>
              <w:right w:val="single" w:sz="8" w:color="auto"/>
            </w:tcBorders>
          </w:tcPr>
          <w:p>
            <w:pPr>
              <w:spacing w:after="0"/>
              <w:rPr>
                <w:sz w:val="19"/>
                <w:szCs w:val="19"/>
                <w:color w:val="auto"/>
              </w:rPr>
            </w:pPr>
          </w:p>
        </w:tc>
        <w:tc>
          <w:tcPr>
            <w:tcW w:w="7700" w:type="dxa"/>
            <w:vAlign w:val="bottom"/>
            <w:gridSpan w:val="3"/>
          </w:tcPr>
          <w:p>
            <w:pPr>
              <w:ind w:left="20"/>
              <w:spacing w:after="0"/>
              <w:rPr>
                <w:sz w:val="20"/>
                <w:szCs w:val="20"/>
                <w:color w:val="auto"/>
              </w:rPr>
            </w:pPr>
            <w:r>
              <w:rPr>
                <w:rFonts w:ascii="Arial" w:cs="Arial" w:eastAsia="Arial" w:hAnsi="Arial"/>
                <w:sz w:val="16"/>
                <w:szCs w:val="16"/>
                <w:color w:val="auto"/>
              </w:rPr>
              <w:t>TYPE OF REPORTING PERSON</w:t>
            </w:r>
          </w:p>
        </w:tc>
        <w:tc>
          <w:tcPr>
            <w:tcW w:w="23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CO</w:t>
            </w: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00" w:type="dxa"/>
            <w:vAlign w:val="bottom"/>
            <w:tcBorders>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5"/>
        </w:trPr>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74"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3"/>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Name of Issuer:</w:t>
            </w:r>
          </w:p>
        </w:tc>
      </w:tr>
      <w:tr>
        <w:trPr>
          <w:trHeight w:val="296"/>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iClick Interactive Asia Group Limited</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1(b).</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Address of Issuer’s Principal Executive Offices:</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15/F, Prosperity Millennia Plaza</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663 King’s Road, Quarry Bay</w:t>
            </w:r>
          </w:p>
        </w:tc>
      </w:tr>
      <w:tr>
        <w:trPr>
          <w:trHeight w:val="209"/>
        </w:trPr>
        <w:tc>
          <w:tcPr>
            <w:tcW w:w="1000" w:type="dxa"/>
            <w:vAlign w:val="bottom"/>
          </w:tcPr>
          <w:p>
            <w:pPr>
              <w:spacing w:after="0"/>
              <w:rPr>
                <w:sz w:val="18"/>
                <w:szCs w:val="18"/>
                <w:color w:val="auto"/>
              </w:rPr>
            </w:pPr>
          </w:p>
        </w:tc>
        <w:tc>
          <w:tcPr>
            <w:tcW w:w="10280" w:type="dxa"/>
            <w:vAlign w:val="bottom"/>
          </w:tcPr>
          <w:p>
            <w:pPr>
              <w:ind w:left="280"/>
              <w:spacing w:after="0"/>
              <w:rPr>
                <w:sz w:val="20"/>
                <w:szCs w:val="20"/>
                <w:color w:val="auto"/>
              </w:rPr>
            </w:pPr>
            <w:r>
              <w:rPr>
                <w:rFonts w:ascii="Arial" w:cs="Arial" w:eastAsia="Arial" w:hAnsi="Arial"/>
                <w:sz w:val="16"/>
                <w:szCs w:val="16"/>
                <w:color w:val="auto"/>
              </w:rPr>
              <w:t>Hong Kong S.A.R.</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2(a).</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Name of Person Filing:</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Integrated Asset Management (Asia) Ltd.</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Yam Tak Cheung</w:t>
            </w:r>
          </w:p>
        </w:tc>
      </w:tr>
      <w:tr>
        <w:trPr>
          <w:trHeight w:val="209"/>
        </w:trPr>
        <w:tc>
          <w:tcPr>
            <w:tcW w:w="100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(collectively, “Reporting Persons”)</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2(b).</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Address of Principal Business Office, or, if None, Residence:</w:t>
            </w:r>
          </w:p>
        </w:tc>
      </w:tr>
      <w:tr>
        <w:trPr>
          <w:trHeight w:val="296"/>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The address of the Reporting Persons is 21/F, 88 Gloucester Road, Wan Chai, Hong Kong S.A.R</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2(c).</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Citizenship:</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Integrated Asset Management (Asia) Ltd. — British Virgin Islands</w:t>
            </w:r>
          </w:p>
        </w:tc>
      </w:tr>
      <w:tr>
        <w:trPr>
          <w:trHeight w:val="209"/>
        </w:trPr>
        <w:tc>
          <w:tcPr>
            <w:tcW w:w="100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Yam Tak Cheung — Hong Kong</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2(d).</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Title of Class of Securities:</w:t>
            </w:r>
          </w:p>
        </w:tc>
      </w:tr>
      <w:tr>
        <w:trPr>
          <w:trHeight w:val="285"/>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7"/>
              </w:rPr>
              <w:t>Class A ordinary shares, par value of $0.001 per share (the “Class A Ordinary Shares”). The Issuer’s ordinary shares consist of Class A Ordinary</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4"/>
              </w:rPr>
              <w:t>Shares and Class B ordinary shares, par value of $0.001 per share (“Class B Ordinary Shares”). The rights of the holders of Class A Ordinary Shares</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5"/>
              </w:rPr>
              <w:t>and Class B Ordinary Shares are identical, except with respect to conversion rights and voting rights. Each Class B Ordinary Share is convertible at</w:t>
            </w:r>
          </w:p>
        </w:tc>
      </w:tr>
      <w:tr>
        <w:trPr>
          <w:trHeight w:val="198"/>
        </w:trPr>
        <w:tc>
          <w:tcPr>
            <w:tcW w:w="1000" w:type="dxa"/>
            <w:vAlign w:val="bottom"/>
          </w:tcPr>
          <w:p>
            <w:pPr>
              <w:spacing w:after="0"/>
              <w:rPr>
                <w:sz w:val="17"/>
                <w:szCs w:val="17"/>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w w:val="94"/>
              </w:rPr>
              <w:t>the option of the holder at any time into one Class A Ordinary Share. Each Class B Ordinary Share is entitled to twenty (20) votes per share, whereas</w:t>
            </w:r>
          </w:p>
        </w:tc>
      </w:tr>
      <w:tr>
        <w:trPr>
          <w:trHeight w:val="209"/>
        </w:trPr>
        <w:tc>
          <w:tcPr>
            <w:tcW w:w="100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each Class A Ordinary Share is entitled to one vote per share.</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2(e)</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CUSIP Number:</w:t>
            </w:r>
          </w:p>
        </w:tc>
      </w:tr>
      <w:tr>
        <w:trPr>
          <w:trHeight w:val="296"/>
        </w:trPr>
        <w:tc>
          <w:tcPr>
            <w:tcW w:w="1000" w:type="dxa"/>
            <w:vAlign w:val="bottom"/>
          </w:tcPr>
          <w:p>
            <w:pPr>
              <w:spacing w:after="0"/>
              <w:rPr>
                <w:sz w:val="24"/>
                <w:szCs w:val="24"/>
                <w:color w:val="auto"/>
              </w:rPr>
            </w:pPr>
          </w:p>
        </w:tc>
        <w:tc>
          <w:tcPr>
            <w:tcW w:w="10280" w:type="dxa"/>
            <w:vAlign w:val="bottom"/>
          </w:tcPr>
          <w:p>
            <w:pPr>
              <w:ind w:left="320"/>
              <w:spacing w:after="0"/>
              <w:rPr>
                <w:sz w:val="20"/>
                <w:szCs w:val="20"/>
                <w:color w:val="auto"/>
              </w:rPr>
            </w:pPr>
            <w:r>
              <w:rPr>
                <w:rFonts w:ascii="Arial" w:cs="Arial" w:eastAsia="Arial" w:hAnsi="Arial"/>
                <w:sz w:val="16"/>
                <w:szCs w:val="16"/>
                <w:color w:val="auto"/>
              </w:rPr>
              <w:t>G47048 106</w:t>
            </w:r>
          </w:p>
        </w:tc>
      </w:tr>
      <w:tr>
        <w:trPr>
          <w:trHeight w:val="420"/>
        </w:trPr>
        <w:tc>
          <w:tcPr>
            <w:tcW w:w="100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10280" w:type="dxa"/>
            <w:vAlign w:val="bottom"/>
          </w:tcPr>
          <w:p>
            <w:pPr>
              <w:ind w:left="340"/>
              <w:spacing w:after="0"/>
              <w:rPr>
                <w:sz w:val="20"/>
                <w:szCs w:val="20"/>
                <w:color w:val="auto"/>
              </w:rPr>
            </w:pPr>
            <w:r>
              <w:rPr>
                <w:rFonts w:ascii="Arial" w:cs="Arial" w:eastAsia="Arial" w:hAnsi="Arial"/>
                <w:sz w:val="16"/>
                <w:szCs w:val="16"/>
                <w:b w:val="1"/>
                <w:bCs w:val="1"/>
                <w:color w:val="auto"/>
              </w:rPr>
              <w:t>If this statement is filed pursuant to §§ 240.13d-1(b), or 240.13d -2(b) or (c), check whether the persons filing is a:</w:t>
            </w:r>
          </w:p>
        </w:tc>
      </w:tr>
      <w:tr>
        <w:trPr>
          <w:trHeight w:val="296"/>
        </w:trPr>
        <w:tc>
          <w:tcPr>
            <w:tcW w:w="1000" w:type="dxa"/>
            <w:vAlign w:val="bottom"/>
          </w:tcPr>
          <w:p>
            <w:pPr>
              <w:spacing w:after="0"/>
              <w:rPr>
                <w:sz w:val="24"/>
                <w:szCs w:val="24"/>
                <w:color w:val="auto"/>
              </w:rPr>
            </w:pPr>
          </w:p>
        </w:tc>
        <w:tc>
          <w:tcPr>
            <w:tcW w:w="10280" w:type="dxa"/>
            <w:vAlign w:val="bottom"/>
          </w:tcPr>
          <w:p>
            <w:pPr>
              <w:ind w:left="300"/>
              <w:spacing w:after="0"/>
              <w:rPr>
                <w:sz w:val="20"/>
                <w:szCs w:val="20"/>
                <w:color w:val="auto"/>
              </w:rPr>
            </w:pPr>
            <w:r>
              <w:rPr>
                <w:rFonts w:ascii="Arial" w:cs="Arial" w:eastAsia="Arial" w:hAnsi="Arial"/>
                <w:sz w:val="16"/>
                <w:szCs w:val="16"/>
                <w:color w:val="auto"/>
              </w:rPr>
              <w:t>Not applicable</w:t>
            </w:r>
          </w:p>
        </w:tc>
      </w:tr>
      <w:tr>
        <w:trPr>
          <w:trHeight w:val="327"/>
        </w:trPr>
        <w:tc>
          <w:tcPr>
            <w:tcW w:w="100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321" w:right="299" w:bottom="144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237"/>
        </w:trPr>
        <w:tc>
          <w:tcPr>
            <w:tcW w:w="18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2040" w:type="dxa"/>
            <w:vAlign w:val="bottom"/>
            <w:gridSpan w:val="3"/>
          </w:tcPr>
          <w:p>
            <w:pPr>
              <w:ind w:left="40"/>
              <w:spacing w:after="0"/>
              <w:rPr>
                <w:sz w:val="20"/>
                <w:szCs w:val="20"/>
                <w:color w:val="auto"/>
              </w:rPr>
            </w:pPr>
            <w:r>
              <w:rPr>
                <w:rFonts w:ascii="Arial" w:cs="Arial" w:eastAsia="Arial" w:hAnsi="Arial"/>
                <w:sz w:val="16"/>
                <w:szCs w:val="16"/>
                <w:b w:val="1"/>
                <w:bCs w:val="1"/>
                <w:color w:val="auto"/>
              </w:rPr>
              <w:t>Ownership.</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Sole Power</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Sole Power</w:t>
            </w:r>
          </w:p>
        </w:tc>
        <w:tc>
          <w:tcPr>
            <w:tcW w:w="68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Shared</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to Dispose</w:t>
            </w:r>
          </w:p>
        </w:tc>
        <w:tc>
          <w:tcPr>
            <w:tcW w:w="680" w:type="dxa"/>
            <w:vAlign w:val="bottom"/>
            <w:gridSpan w:val="2"/>
          </w:tcPr>
          <w:p>
            <w:pPr>
              <w:jc w:val="center"/>
              <w:ind w:left="70"/>
              <w:spacing w:after="0"/>
              <w:rPr>
                <w:sz w:val="20"/>
                <w:szCs w:val="20"/>
                <w:color w:val="auto"/>
              </w:rPr>
            </w:pPr>
            <w:r>
              <w:rPr>
                <w:rFonts w:ascii="Arial" w:cs="Arial" w:eastAsia="Arial" w:hAnsi="Arial"/>
                <w:sz w:val="14"/>
                <w:szCs w:val="14"/>
                <w:b w:val="1"/>
                <w:bCs w:val="1"/>
                <w:color w:val="auto"/>
                <w:w w:val="99"/>
              </w:rPr>
              <w:t>Power</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Percent</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Vote or</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Power</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or to</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Dispose</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Beneficially</w:t>
            </w: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of</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Direct</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to Vote or to</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Direct the</w:t>
            </w:r>
          </w:p>
        </w:tc>
        <w:tc>
          <w:tcPr>
            <w:tcW w:w="680" w:type="dxa"/>
            <w:vAlign w:val="bottom"/>
            <w:gridSpan w:val="2"/>
          </w:tcPr>
          <w:p>
            <w:pPr>
              <w:jc w:val="center"/>
              <w:ind w:left="90"/>
              <w:spacing w:after="0"/>
              <w:rPr>
                <w:sz w:val="20"/>
                <w:szCs w:val="20"/>
                <w:color w:val="auto"/>
              </w:rPr>
            </w:pPr>
            <w:r>
              <w:rPr>
                <w:rFonts w:ascii="Arial" w:cs="Arial" w:eastAsia="Arial" w:hAnsi="Arial"/>
                <w:sz w:val="14"/>
                <w:szCs w:val="14"/>
                <w:b w:val="1"/>
                <w:bCs w:val="1"/>
                <w:color w:val="auto"/>
                <w:w w:val="99"/>
              </w:rPr>
              <w:t>Direct t</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20"/>
                <w:szCs w:val="20"/>
                <w:color w:val="auto"/>
              </w:rPr>
            </w:pPr>
            <w:r>
              <w:rPr>
                <w:rFonts w:ascii="Arial" w:cs="Arial" w:eastAsia="Arial" w:hAnsi="Arial"/>
                <w:sz w:val="14"/>
                <w:szCs w:val="14"/>
                <w:b w:val="1"/>
                <w:bCs w:val="1"/>
                <w:color w:val="auto"/>
              </w:rPr>
              <w:t>Reporting Person:</w:t>
            </w:r>
          </w:p>
        </w:tc>
        <w:tc>
          <w:tcPr>
            <w:tcW w:w="3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Owned:</w:t>
            </w: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Class:(1)</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the Vote:</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Direct the Vote:</w:t>
            </w: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Disposition of:</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Dispositio</w:t>
            </w:r>
          </w:p>
        </w:tc>
        <w:tc>
          <w:tcPr>
            <w:tcW w:w="0" w:type="dxa"/>
            <w:vAlign w:val="bottom"/>
          </w:tcPr>
          <w:p>
            <w:pPr>
              <w:spacing w:after="0"/>
              <w:rPr>
                <w:sz w:val="1"/>
                <w:szCs w:val="1"/>
                <w:color w:val="auto"/>
              </w:rPr>
            </w:pPr>
          </w:p>
        </w:tc>
      </w:tr>
      <w:tr>
        <w:trPr>
          <w:trHeight w:val="157"/>
        </w:trPr>
        <w:tc>
          <w:tcPr>
            <w:tcW w:w="184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Yam Tak Cheung</w:t>
            </w:r>
          </w:p>
        </w:tc>
        <w:tc>
          <w:tcPr>
            <w:tcW w:w="3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rPr>
              <w:t>3,282,453(2)</w:t>
            </w:r>
          </w:p>
        </w:tc>
        <w:tc>
          <w:tcPr>
            <w:tcW w:w="3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rPr>
              <w:t>6.9%</w:t>
            </w:r>
          </w:p>
        </w:tc>
        <w:tc>
          <w:tcPr>
            <w:tcW w:w="3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8"/>
              </w:rPr>
              <w:t>3,282,453(2)</w:t>
            </w:r>
          </w:p>
        </w:tc>
        <w:tc>
          <w:tcPr>
            <w:tcW w:w="3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rPr>
              <w:t>0</w:t>
            </w:r>
          </w:p>
        </w:tc>
        <w:tc>
          <w:tcPr>
            <w:tcW w:w="3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8"/>
              </w:rPr>
              <w:t>3,282,453(2)</w:t>
            </w:r>
          </w:p>
        </w:tc>
        <w:tc>
          <w:tcPr>
            <w:tcW w:w="3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40" w:type="dxa"/>
            <w:vAlign w:val="bottom"/>
          </w:tcPr>
          <w:p>
            <w:pPr>
              <w:spacing w:after="0" w:line="145" w:lineRule="exact"/>
              <w:rPr>
                <w:sz w:val="20"/>
                <w:szCs w:val="20"/>
                <w:color w:val="auto"/>
              </w:rPr>
            </w:pPr>
            <w:r>
              <w:rPr>
                <w:rFonts w:ascii="Arial" w:cs="Arial" w:eastAsia="Arial" w:hAnsi="Arial"/>
                <w:sz w:val="14"/>
                <w:szCs w:val="14"/>
                <w:color w:val="auto"/>
              </w:rPr>
              <w:t>Integrated Asset</w:t>
            </w:r>
          </w:p>
        </w:tc>
        <w:tc>
          <w:tcPr>
            <w:tcW w:w="1740" w:type="dxa"/>
            <w:vAlign w:val="bottom"/>
            <w:gridSpan w:val="2"/>
            <w:vMerge w:val="restart"/>
          </w:tcPr>
          <w:p>
            <w:pPr>
              <w:jc w:val="center"/>
              <w:ind w:left="224"/>
              <w:spacing w:after="0"/>
              <w:rPr>
                <w:sz w:val="20"/>
                <w:szCs w:val="20"/>
                <w:color w:val="auto"/>
              </w:rPr>
            </w:pPr>
            <w:r>
              <w:rPr>
                <w:rFonts w:ascii="Arial" w:cs="Arial" w:eastAsia="Arial" w:hAnsi="Arial"/>
                <w:sz w:val="14"/>
                <w:szCs w:val="14"/>
                <w:color w:val="auto"/>
              </w:rPr>
              <w:t>3,282,453(3)</w:t>
            </w:r>
          </w:p>
        </w:tc>
        <w:tc>
          <w:tcPr>
            <w:tcW w:w="3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6.9%</w:t>
            </w:r>
          </w:p>
        </w:tc>
        <w:tc>
          <w:tcPr>
            <w:tcW w:w="3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8"/>
              </w:rPr>
              <w:t>3,282,453(3)</w:t>
            </w:r>
          </w:p>
        </w:tc>
        <w:tc>
          <w:tcPr>
            <w:tcW w:w="3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8"/>
              </w:rPr>
              <w:t>3,282,453(3)</w:t>
            </w:r>
          </w:p>
        </w:tc>
        <w:tc>
          <w:tcPr>
            <w:tcW w:w="3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40" w:type="dxa"/>
            <w:vAlign w:val="bottom"/>
            <w:vMerge w:val="restart"/>
          </w:tcPr>
          <w:p>
            <w:pPr>
              <w:spacing w:after="0"/>
              <w:rPr>
                <w:sz w:val="20"/>
                <w:szCs w:val="20"/>
                <w:color w:val="auto"/>
              </w:rPr>
            </w:pPr>
            <w:r>
              <w:rPr>
                <w:rFonts w:ascii="Arial" w:cs="Arial" w:eastAsia="Arial" w:hAnsi="Arial"/>
                <w:sz w:val="14"/>
                <w:szCs w:val="14"/>
                <w:color w:val="auto"/>
              </w:rPr>
              <w:t>Management (Asia) Ltd.</w:t>
            </w:r>
          </w:p>
        </w:tc>
        <w:tc>
          <w:tcPr>
            <w:tcW w:w="17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437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85" w:lineRule="exact"/>
        <w:rPr>
          <w:sz w:val="20"/>
          <w:szCs w:val="20"/>
          <w:color w:val="auto"/>
        </w:rPr>
      </w:pPr>
    </w:p>
    <w:p>
      <w:pPr>
        <w:ind w:left="441" w:right="260" w:hanging="441"/>
        <w:spacing w:after="0" w:line="273"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percentages of the class of securities beneficially owned by each reporting person is based on 47,374,564 ordinary shares, comprised of 42,340,137 Class A Ordinary Shares and 5,034,427 Class B Ordinary Shares, outstanding as of September 30, 2021, as reported in the Issuer’s Form 6-K filed with the Securities and Exchange Commission (the “SEC”) on November 30, 2021.</w:t>
      </w:r>
    </w:p>
    <w:p>
      <w:pPr>
        <w:spacing w:after="0" w:line="162" w:lineRule="exact"/>
        <w:rPr>
          <w:rFonts w:ascii="Arial" w:cs="Arial" w:eastAsia="Arial" w:hAnsi="Arial"/>
          <w:sz w:val="16"/>
          <w:szCs w:val="16"/>
          <w:color w:val="auto"/>
        </w:rPr>
      </w:pPr>
    </w:p>
    <w:p>
      <w:pPr>
        <w:ind w:left="441" w:right="160" w:hanging="441"/>
        <w:spacing w:after="0" w:line="289"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3,282,453 Class A ordinary shares directly held by Integrated Asset Management (Asia) Ltd., a company incorporated in the British Virgin Islands. Mr. Yam Tak Cheung is the sole shareholder and the sole director of Integrated Asset Management (Asia) Ltd.</w:t>
      </w:r>
    </w:p>
    <w:p>
      <w:pPr>
        <w:spacing w:after="0" w:line="149" w:lineRule="exact"/>
        <w:rPr>
          <w:rFonts w:ascii="Arial" w:cs="Arial" w:eastAsia="Arial" w:hAnsi="Arial"/>
          <w:sz w:val="16"/>
          <w:szCs w:val="16"/>
          <w:color w:val="auto"/>
        </w:rPr>
      </w:pPr>
    </w:p>
    <w:p>
      <w:pPr>
        <w:ind w:left="441" w:hanging="441"/>
        <w:spacing w:after="0"/>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3,282,453 Class A ordinary shares directly held by Integrated Asset Management (Asia) Ltd.</w:t>
      </w:r>
    </w:p>
    <w:p>
      <w:pPr>
        <w:spacing w:after="0" w:line="232"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Ownership of Five Percent or Less of a Class</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395"/>
        </w:trPr>
        <w:tc>
          <w:tcPr>
            <w:tcW w:w="9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Ownership of More than Five Percent on Behalf of Another Person</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380"/>
        </w:trPr>
        <w:tc>
          <w:tcPr>
            <w:tcW w:w="940" w:type="dxa"/>
            <w:vAlign w:val="bottom"/>
          </w:tcPr>
          <w:p>
            <w:pPr>
              <w:spacing w:after="0"/>
              <w:rPr>
                <w:sz w:val="20"/>
                <w:szCs w:val="20"/>
                <w:color w:val="auto"/>
              </w:rPr>
            </w:pPr>
            <w:r>
              <w:rPr>
                <w:rFonts w:ascii="Arial" w:cs="Arial" w:eastAsia="Arial" w:hAnsi="Arial"/>
                <w:sz w:val="16"/>
                <w:szCs w:val="16"/>
                <w:b w:val="1"/>
                <w:bCs w:val="1"/>
                <w:color w:val="auto"/>
              </w:rPr>
              <w:t>Item 7.</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w w:val="97"/>
              </w:rPr>
              <w:t>Identification and Classification of the Subsidiary Which Acquired the Security Being Reported on By the Parent Holding Company or</w:t>
            </w:r>
          </w:p>
        </w:tc>
      </w:tr>
      <w:tr>
        <w:trPr>
          <w:trHeight w:val="213"/>
        </w:trPr>
        <w:tc>
          <w:tcPr>
            <w:tcW w:w="94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Control Person</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420"/>
        </w:trPr>
        <w:tc>
          <w:tcPr>
            <w:tcW w:w="94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Identification and Classification of Members of the Group</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420"/>
        </w:trPr>
        <w:tc>
          <w:tcPr>
            <w:tcW w:w="940" w:type="dxa"/>
            <w:vAlign w:val="bottom"/>
          </w:tcPr>
          <w:p>
            <w:pPr>
              <w:spacing w:after="0"/>
              <w:rPr>
                <w:sz w:val="20"/>
                <w:szCs w:val="20"/>
                <w:color w:val="auto"/>
              </w:rPr>
            </w:pPr>
            <w:r>
              <w:rPr>
                <w:rFonts w:ascii="Arial" w:cs="Arial" w:eastAsia="Arial" w:hAnsi="Arial"/>
                <w:sz w:val="16"/>
                <w:szCs w:val="16"/>
                <w:b w:val="1"/>
                <w:bCs w:val="1"/>
                <w:color w:val="auto"/>
              </w:rPr>
              <w:t>Item 9.</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Notice of Dissolution of Group</w:t>
            </w:r>
          </w:p>
        </w:tc>
      </w:tr>
      <w:tr>
        <w:trPr>
          <w:trHeight w:val="296"/>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Not applicable</w:t>
            </w:r>
          </w:p>
        </w:tc>
      </w:tr>
      <w:tr>
        <w:trPr>
          <w:trHeight w:val="420"/>
        </w:trPr>
        <w:tc>
          <w:tcPr>
            <w:tcW w:w="940" w:type="dxa"/>
            <w:vAlign w:val="bottom"/>
          </w:tcPr>
          <w:p>
            <w:pPr>
              <w:spacing w:after="0"/>
              <w:rPr>
                <w:sz w:val="20"/>
                <w:szCs w:val="20"/>
                <w:color w:val="auto"/>
              </w:rPr>
            </w:pPr>
            <w:r>
              <w:rPr>
                <w:rFonts w:ascii="Arial" w:cs="Arial" w:eastAsia="Arial" w:hAnsi="Arial"/>
                <w:sz w:val="16"/>
                <w:szCs w:val="16"/>
                <w:b w:val="1"/>
                <w:bCs w:val="1"/>
                <w:color w:val="auto"/>
              </w:rPr>
              <w:t>Item 10.</w:t>
            </w:r>
          </w:p>
        </w:tc>
        <w:tc>
          <w:tcPr>
            <w:tcW w:w="10340" w:type="dxa"/>
            <w:vAlign w:val="bottom"/>
          </w:tcPr>
          <w:p>
            <w:pPr>
              <w:ind w:left="400"/>
              <w:spacing w:after="0"/>
              <w:rPr>
                <w:sz w:val="20"/>
                <w:szCs w:val="20"/>
                <w:color w:val="auto"/>
              </w:rPr>
            </w:pPr>
            <w:r>
              <w:rPr>
                <w:rFonts w:ascii="Arial" w:cs="Arial" w:eastAsia="Arial" w:hAnsi="Arial"/>
                <w:sz w:val="16"/>
                <w:szCs w:val="16"/>
                <w:b w:val="1"/>
                <w:bCs w:val="1"/>
                <w:color w:val="auto"/>
              </w:rPr>
              <w:t>Certifications</w:t>
            </w:r>
          </w:p>
        </w:tc>
      </w:tr>
      <w:tr>
        <w:trPr>
          <w:trHeight w:val="285"/>
        </w:trPr>
        <w:tc>
          <w:tcPr>
            <w:tcW w:w="940" w:type="dxa"/>
            <w:vAlign w:val="bottom"/>
          </w:tcPr>
          <w:p>
            <w:pPr>
              <w:spacing w:after="0"/>
              <w:rPr>
                <w:sz w:val="24"/>
                <w:szCs w:val="24"/>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w w:val="97"/>
              </w:rPr>
              <w:t>By signing below I certify that, to the best of my knowledge and belief, the securities referred to above were not acquired and are not held for the</w:t>
            </w:r>
          </w:p>
        </w:tc>
      </w:tr>
      <w:tr>
        <w:trPr>
          <w:trHeight w:val="198"/>
        </w:trPr>
        <w:tc>
          <w:tcPr>
            <w:tcW w:w="940" w:type="dxa"/>
            <w:vAlign w:val="bottom"/>
          </w:tcPr>
          <w:p>
            <w:pPr>
              <w:spacing w:after="0"/>
              <w:rPr>
                <w:sz w:val="17"/>
                <w:szCs w:val="17"/>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w w:val="94"/>
              </w:rPr>
              <w:t>purpose of or with the effect of changing or influencing the control of the issuer of the securities and were not acquired and are not held in connection</w:t>
            </w:r>
          </w:p>
        </w:tc>
      </w:tr>
      <w:tr>
        <w:trPr>
          <w:trHeight w:val="198"/>
        </w:trPr>
        <w:tc>
          <w:tcPr>
            <w:tcW w:w="940" w:type="dxa"/>
            <w:vAlign w:val="bottom"/>
          </w:tcPr>
          <w:p>
            <w:pPr>
              <w:spacing w:after="0"/>
              <w:rPr>
                <w:sz w:val="17"/>
                <w:szCs w:val="17"/>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w w:val="95"/>
              </w:rPr>
              <w:t>with or as a participant in any transaction having that purpose or effect, other than activities solely in connection with a nomination under § 240.14a-</w:t>
            </w:r>
          </w:p>
        </w:tc>
      </w:tr>
      <w:tr>
        <w:trPr>
          <w:trHeight w:val="209"/>
        </w:trPr>
        <w:tc>
          <w:tcPr>
            <w:tcW w:w="94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6"/>
                <w:szCs w:val="16"/>
                <w:color w:val="auto"/>
              </w:rPr>
              <w:t>11.</w:t>
            </w:r>
          </w:p>
        </w:tc>
      </w:tr>
      <w:tr>
        <w:trPr>
          <w:trHeight w:val="549"/>
        </w:trPr>
        <w:tc>
          <w:tcPr>
            <w:tcW w:w="94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7139305</wp:posOffset>
            </wp:positionH>
            <wp:positionV relativeFrom="paragraph">
              <wp:posOffset>-27940</wp:posOffset>
            </wp:positionV>
            <wp:extent cx="3302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341"/>
          </w:cols>
          <w:pgMar w:left="319" w:top="518" w:right="2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6"/>
          <w:szCs w:val="16"/>
          <w:b w:val="1"/>
          <w:bCs w:val="1"/>
          <w:color w:val="auto"/>
        </w:rPr>
        <w:t>SIGNATURE</w:t>
      </w:r>
    </w:p>
    <w:p>
      <w:pPr>
        <w:spacing w:after="0" w:line="240" w:lineRule="exact"/>
        <w:rPr>
          <w:sz w:val="20"/>
          <w:szCs w:val="20"/>
          <w:color w:val="auto"/>
        </w:rPr>
      </w:pPr>
    </w:p>
    <w:p>
      <w:pPr>
        <w:ind w:firstLine="865"/>
        <w:spacing w:after="0" w:line="418"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 Date: February 14, 2022</w:t>
      </w:r>
    </w:p>
    <w:p>
      <w:pPr>
        <w:spacing w:after="0" w:line="170"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Yam Tak Cheung</w:t>
      </w:r>
    </w:p>
    <w:p>
      <w:pPr>
        <w:spacing w:after="0" w:line="215"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16510</wp:posOffset>
            </wp:positionV>
            <wp:extent cx="20313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1365" cy="762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Integrated Asset Management (Asia) Ltd</w:t>
      </w:r>
    </w:p>
    <w:p>
      <w:pPr>
        <w:spacing w:after="0" w:line="40"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Yam Tak Cheung</w:t>
      </w:r>
    </w:p>
    <w:p>
      <w:pPr>
        <w:spacing w:after="0" w:line="1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Name:</w:t>
        <w:tab/>
        <w:t>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-116205</wp:posOffset>
            </wp:positionV>
            <wp:extent cx="16078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7820" cy="7620"/>
                    </a:xfrm>
                    <a:prstGeom prst="rect">
                      <a:avLst/>
                    </a:prstGeom>
                    <a:noFill/>
                  </pic:spPr>
                </pic:pic>
              </a:graphicData>
            </a:graphic>
          </wp:anchor>
        </w:drawing>
      </w:r>
    </w:p>
    <w:p>
      <w:pPr>
        <w:spacing w:after="0" w:line="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373380</wp:posOffset>
            </wp:positionV>
            <wp:extent cx="718502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5025" cy="41275"/>
                    </a:xfrm>
                    <a:prstGeom prst="rect">
                      <a:avLst/>
                    </a:prstGeom>
                    <a:noFill/>
                  </pic:spPr>
                </pic:pic>
              </a:graphicData>
            </a:graphic>
          </wp:anchor>
        </w:drawing>
      </w:r>
    </w:p>
    <w:p>
      <w:pPr>
        <w:sectPr>
          <w:pgSz w:w="11900" w:h="16838" w:orient="portrait"/>
          <w:cols w:equalWidth="0" w:num="1">
            <w:col w:w="10960"/>
          </w:cols>
          <w:pgMar w:left="320" w:top="123" w:right="619" w:bottom="1440" w:gutter="0" w:footer="0" w:header="0"/>
        </w:sectPr>
      </w:pPr>
    </w:p>
    <w:bookmarkStart w:id="6" w:name="page7"/>
    <w:bookmarkEnd w:id="6"/>
    <w:p>
      <w:pPr>
        <w:jc w:val="right"/>
        <w:ind w:right="3779"/>
        <w:spacing w:after="0"/>
        <w:rPr>
          <w:sz w:val="20"/>
          <w:szCs w:val="20"/>
          <w:color w:val="auto"/>
        </w:rPr>
      </w:pPr>
      <w:r>
        <w:rPr>
          <w:rFonts w:ascii="Arial" w:cs="Arial" w:eastAsia="Arial" w:hAnsi="Arial"/>
          <w:sz w:val="16"/>
          <w:szCs w:val="16"/>
          <w:b w:val="1"/>
          <w:bCs w:val="1"/>
          <w:color w:val="auto"/>
        </w:rPr>
        <w:t>LIST OF EXHIBITS</w:t>
      </w:r>
    </w:p>
    <w:p>
      <w:pPr>
        <w:spacing w:after="0" w:line="21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auto"/>
          </w:rPr>
          <w:t>Joint Filing Agreement</w:t>
        </w:r>
      </w:hyperlink>
    </w:p>
    <w:p>
      <w:pPr>
        <w:sectPr>
          <w:pgSz w:w="11900" w:h="16838" w:orient="portrait"/>
          <w:cols w:equalWidth="0" w:num="1">
            <w:col w:w="10139"/>
          </w:cols>
          <w:pgMar w:left="320" w:top="123"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JOINT FILING AGREEMENT</w:t>
      </w:r>
    </w:p>
    <w:p>
      <w:pPr>
        <w:spacing w:after="0" w:line="215" w:lineRule="exact"/>
        <w:rPr>
          <w:sz w:val="20"/>
          <w:szCs w:val="20"/>
          <w:color w:val="auto"/>
        </w:rPr>
      </w:pPr>
    </w:p>
    <w:p>
      <w:pPr>
        <w:ind w:right="120" w:firstLine="589"/>
        <w:spacing w:after="0" w:line="265" w:lineRule="auto"/>
        <w:rPr>
          <w:sz w:val="20"/>
          <w:szCs w:val="20"/>
          <w:color w:val="auto"/>
        </w:rPr>
      </w:pPr>
      <w:r>
        <w:rPr>
          <w:rFonts w:ascii="Arial" w:cs="Arial" w:eastAsia="Arial" w:hAnsi="Arial"/>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WITNESS WHEREOF, the undersigned hereby execute this Agreement as of February 14, 2022.</w:t>
      </w:r>
    </w:p>
    <w:p>
      <w:pPr>
        <w:spacing w:after="0" w:line="200" w:lineRule="exact"/>
        <w:rPr>
          <w:sz w:val="20"/>
          <w:szCs w:val="20"/>
          <w:color w:val="auto"/>
        </w:rPr>
      </w:pPr>
    </w:p>
    <w:p>
      <w:pPr>
        <w:spacing w:after="0" w:line="205"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Yam Tak Cheung</w:t>
      </w:r>
    </w:p>
    <w:p>
      <w:pPr>
        <w:spacing w:after="0" w:line="215"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/s/ 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16510</wp:posOffset>
            </wp:positionV>
            <wp:extent cx="20313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1365" cy="762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Integrated Asset Management (Asia) Ltd</w:t>
      </w:r>
    </w:p>
    <w:p>
      <w:pPr>
        <w:spacing w:after="0" w:line="29"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Yam Tak Cheung</w:t>
      </w:r>
    </w:p>
    <w:p>
      <w:pPr>
        <w:spacing w:after="0" w:line="1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Name:</w:t>
        <w:tab/>
        <w:t>Yam Tak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-116205</wp:posOffset>
            </wp:positionV>
            <wp:extent cx="16078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07820" cy="7620"/>
                    </a:xfrm>
                    <a:prstGeom prst="rect">
                      <a:avLst/>
                    </a:prstGeom>
                    <a:noFill/>
                  </pic:spPr>
                </pic:pic>
              </a:graphicData>
            </a:graphic>
          </wp:anchor>
        </w:drawing>
      </w:r>
    </w:p>
    <w:p>
      <w:pPr>
        <w:spacing w:after="0" w:line="5" w:lineRule="exact"/>
        <w:rPr>
          <w:sz w:val="20"/>
          <w:szCs w:val="20"/>
          <w:color w:val="auto"/>
        </w:rPr>
      </w:pPr>
    </w:p>
    <w:p>
      <w:pPr>
        <w:ind w:left="8060"/>
        <w:spacing w:after="0"/>
        <w:tabs>
          <w:tab w:leader="none" w:pos="8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Director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2022-02-14T16:12:10Z</dcterms:created>
  <dcterms:modified xsi:type="dcterms:W3CDTF">2022-02-14T16:12:10Z</dcterms:modified>
</cp:coreProperties>
</file>