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12, 2018</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20" w:type="dxa"/>
            <w:vAlign w:val="bottom"/>
          </w:tcPr>
          <w:p>
            <w:pPr>
              <w:jc w:val="center"/>
              <w:ind w:right="1982"/>
              <w:spacing w:after="0"/>
              <w:rPr>
                <w:sz w:val="20"/>
                <w:szCs w:val="20"/>
                <w:color w:val="auto"/>
              </w:rPr>
            </w:pPr>
            <w:r>
              <w:rPr>
                <w:rFonts w:ascii="Arial" w:cs="Arial" w:eastAsia="Arial" w:hAnsi="Arial"/>
                <w:sz w:val="18"/>
                <w:szCs w:val="18"/>
                <w:b w:val="1"/>
                <w:bCs w:val="1"/>
                <w:color w:val="auto"/>
                <w:w w:val="91"/>
              </w:rPr>
              <w:t>Cayman Islands</w:t>
            </w:r>
          </w:p>
        </w:tc>
        <w:tc>
          <w:tcPr>
            <w:tcW w:w="3480" w:type="dxa"/>
            <w:vAlign w:val="bottom"/>
          </w:tcPr>
          <w:p>
            <w:pPr>
              <w:jc w:val="center"/>
              <w:ind w:left="1982"/>
              <w:spacing w:after="0"/>
              <w:rPr>
                <w:sz w:val="20"/>
                <w:szCs w:val="20"/>
                <w:color w:val="auto"/>
              </w:rPr>
            </w:pPr>
            <w:r>
              <w:rPr>
                <w:rFonts w:ascii="Arial" w:cs="Arial" w:eastAsia="Arial" w:hAnsi="Arial"/>
                <w:sz w:val="18"/>
                <w:szCs w:val="18"/>
                <w:b w:val="1"/>
                <w:bCs w:val="1"/>
                <w:color w:val="auto"/>
                <w:w w:val="90"/>
              </w:rPr>
              <w:t>Not Applicable</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left="2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left="1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+852 3700 9000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Post-IPO Share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2018 Share Incentive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 East 40th Street, 10th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(800) 221-0102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tbl>
      <w:tblPr>
        <w:tblLayout w:type="fixed"/>
        <w:tblInd w:w="110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514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Copies to:</w:t>
            </w:r>
          </w:p>
        </w:tc>
      </w:tr>
      <w:tr>
        <w:trPr>
          <w:trHeight w:val="319"/>
        </w:trPr>
        <w:tc>
          <w:tcPr>
            <w:tcW w:w="392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Jie Jiao</w:t>
            </w:r>
          </w:p>
        </w:tc>
        <w:tc>
          <w:tcPr>
            <w:tcW w:w="5140" w:type="dxa"/>
            <w:vAlign w:val="bottom"/>
          </w:tcPr>
          <w:p>
            <w:pPr>
              <w:jc w:val="center"/>
              <w:ind w:left="2030"/>
              <w:spacing w:after="0"/>
              <w:rPr>
                <w:sz w:val="20"/>
                <w:szCs w:val="20"/>
                <w:color w:val="auto"/>
              </w:rPr>
            </w:pPr>
            <w:r>
              <w:rPr>
                <w:rFonts w:ascii="Arial" w:cs="Arial" w:eastAsia="Arial" w:hAnsi="Arial"/>
                <w:sz w:val="18"/>
                <w:szCs w:val="18"/>
                <w:b w:val="1"/>
                <w:bCs w:val="1"/>
                <w:color w:val="auto"/>
                <w:w w:val="90"/>
              </w:rPr>
              <w:t>Shuang Zhao, Esq.</w:t>
            </w:r>
          </w:p>
        </w:tc>
      </w:tr>
      <w:tr>
        <w:trPr>
          <w:trHeight w:val="216"/>
        </w:trPr>
        <w:tc>
          <w:tcPr>
            <w:tcW w:w="392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Chief Financial Officer</w:t>
            </w:r>
          </w:p>
        </w:tc>
        <w:tc>
          <w:tcPr>
            <w:tcW w:w="5140" w:type="dxa"/>
            <w:vAlign w:val="bottom"/>
          </w:tcPr>
          <w:p>
            <w:pPr>
              <w:jc w:val="center"/>
              <w:ind w:left="2030"/>
              <w:spacing w:after="0"/>
              <w:rPr>
                <w:sz w:val="20"/>
                <w:szCs w:val="20"/>
                <w:color w:val="auto"/>
              </w:rPr>
            </w:pPr>
            <w:r>
              <w:rPr>
                <w:rFonts w:ascii="Arial" w:cs="Arial" w:eastAsia="Arial" w:hAnsi="Arial"/>
                <w:sz w:val="18"/>
                <w:szCs w:val="18"/>
                <w:b w:val="1"/>
                <w:bCs w:val="1"/>
                <w:color w:val="auto"/>
                <w:w w:val="94"/>
              </w:rPr>
              <w:t>Cleary Gottlieb Steen &amp; Hamilton LLP</w:t>
            </w:r>
          </w:p>
        </w:tc>
      </w:tr>
      <w:tr>
        <w:trPr>
          <w:trHeight w:val="216"/>
        </w:trPr>
        <w:tc>
          <w:tcPr>
            <w:tcW w:w="392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iClick Interactive Asia Group Limited</w:t>
            </w:r>
          </w:p>
        </w:tc>
        <w:tc>
          <w:tcPr>
            <w:tcW w:w="5140" w:type="dxa"/>
            <w:vAlign w:val="bottom"/>
          </w:tcPr>
          <w:p>
            <w:pPr>
              <w:jc w:val="center"/>
              <w:ind w:left="2030"/>
              <w:spacing w:after="0"/>
              <w:rPr>
                <w:sz w:val="20"/>
                <w:szCs w:val="20"/>
                <w:color w:val="auto"/>
              </w:rPr>
            </w:pPr>
            <w:r>
              <w:rPr>
                <w:rFonts w:ascii="Arial" w:cs="Arial" w:eastAsia="Arial" w:hAnsi="Arial"/>
                <w:sz w:val="18"/>
                <w:szCs w:val="18"/>
                <w:b w:val="1"/>
                <w:bCs w:val="1"/>
                <w:color w:val="auto"/>
                <w:w w:val="89"/>
              </w:rPr>
              <w:t>c/o 37</w:t>
            </w:r>
            <w:r>
              <w:rPr>
                <w:rFonts w:ascii="Arial" w:cs="Arial" w:eastAsia="Arial" w:hAnsi="Arial"/>
                <w:sz w:val="15"/>
                <w:szCs w:val="15"/>
                <w:b w:val="1"/>
                <w:bCs w:val="1"/>
                <w:color w:val="auto"/>
                <w:w w:val="89"/>
              </w:rPr>
              <w:t>th</w:t>
            </w:r>
            <w:r>
              <w:rPr>
                <w:rFonts w:ascii="Arial" w:cs="Arial" w:eastAsia="Arial" w:hAnsi="Arial"/>
                <w:sz w:val="18"/>
                <w:szCs w:val="18"/>
                <w:b w:val="1"/>
                <w:bCs w:val="1"/>
                <w:color w:val="auto"/>
                <w:w w:val="89"/>
              </w:rPr>
              <w:t xml:space="preserve"> Floor, Hysan Place</w:t>
            </w:r>
          </w:p>
        </w:tc>
      </w:tr>
      <w:tr>
        <w:trPr>
          <w:trHeight w:val="216"/>
        </w:trPr>
        <w:tc>
          <w:tcPr>
            <w:tcW w:w="392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15/F, Prosperity Millennia Plaza</w:t>
            </w:r>
          </w:p>
        </w:tc>
        <w:tc>
          <w:tcPr>
            <w:tcW w:w="5140" w:type="dxa"/>
            <w:vAlign w:val="bottom"/>
          </w:tcPr>
          <w:p>
            <w:pPr>
              <w:jc w:val="center"/>
              <w:ind w:left="2030"/>
              <w:spacing w:after="0"/>
              <w:rPr>
                <w:sz w:val="20"/>
                <w:szCs w:val="20"/>
                <w:color w:val="auto"/>
              </w:rPr>
            </w:pPr>
            <w:r>
              <w:rPr>
                <w:rFonts w:ascii="Arial" w:cs="Arial" w:eastAsia="Arial" w:hAnsi="Arial"/>
                <w:sz w:val="18"/>
                <w:szCs w:val="18"/>
                <w:b w:val="1"/>
                <w:bCs w:val="1"/>
                <w:color w:val="auto"/>
                <w:w w:val="88"/>
              </w:rPr>
              <w:t>500 Hennessy Road</w:t>
            </w:r>
          </w:p>
        </w:tc>
      </w:tr>
      <w:tr>
        <w:trPr>
          <w:trHeight w:val="216"/>
        </w:trPr>
        <w:tc>
          <w:tcPr>
            <w:tcW w:w="392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663 King’s Road, Quarry Bay</w:t>
            </w:r>
          </w:p>
        </w:tc>
        <w:tc>
          <w:tcPr>
            <w:tcW w:w="5140" w:type="dxa"/>
            <w:vAlign w:val="bottom"/>
          </w:tcPr>
          <w:p>
            <w:pPr>
              <w:jc w:val="center"/>
              <w:ind w:left="2030"/>
              <w:spacing w:after="0"/>
              <w:rPr>
                <w:sz w:val="20"/>
                <w:szCs w:val="20"/>
                <w:color w:val="auto"/>
              </w:rPr>
            </w:pPr>
            <w:r>
              <w:rPr>
                <w:rFonts w:ascii="Arial" w:cs="Arial" w:eastAsia="Arial" w:hAnsi="Arial"/>
                <w:sz w:val="18"/>
                <w:szCs w:val="18"/>
                <w:b w:val="1"/>
                <w:bCs w:val="1"/>
                <w:color w:val="auto"/>
                <w:w w:val="90"/>
              </w:rPr>
              <w:t>Causeway Bay, Hong Kong</w:t>
            </w:r>
          </w:p>
        </w:tc>
      </w:tr>
      <w:tr>
        <w:trPr>
          <w:trHeight w:val="216"/>
        </w:trPr>
        <w:tc>
          <w:tcPr>
            <w:tcW w:w="392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Hong Kong S.A.R., People’s Republic of China</w:t>
            </w:r>
          </w:p>
        </w:tc>
        <w:tc>
          <w:tcPr>
            <w:tcW w:w="5140" w:type="dxa"/>
            <w:vAlign w:val="bottom"/>
          </w:tcPr>
          <w:p>
            <w:pPr>
              <w:jc w:val="center"/>
              <w:ind w:left="2030"/>
              <w:spacing w:after="0"/>
              <w:rPr>
                <w:sz w:val="20"/>
                <w:szCs w:val="20"/>
                <w:color w:val="auto"/>
              </w:rPr>
            </w:pPr>
            <w:r>
              <w:rPr>
                <w:rFonts w:ascii="Arial" w:cs="Arial" w:eastAsia="Arial" w:hAnsi="Arial"/>
                <w:sz w:val="18"/>
                <w:szCs w:val="18"/>
                <w:b w:val="1"/>
                <w:bCs w:val="1"/>
                <w:color w:val="auto"/>
                <w:w w:val="90"/>
              </w:rPr>
              <w:t>+852 2521 4122</w:t>
            </w:r>
          </w:p>
        </w:tc>
      </w:tr>
      <w:tr>
        <w:trPr>
          <w:trHeight w:val="234"/>
        </w:trPr>
        <w:tc>
          <w:tcPr>
            <w:tcW w:w="392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+852 3700 9000</w:t>
            </w:r>
          </w:p>
        </w:tc>
        <w:tc>
          <w:tcPr>
            <w:tcW w:w="51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240030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25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040" w:type="dxa"/>
            <w:vAlign w:val="bottom"/>
            <w:tcBorders>
              <w:top w:val="single" w:sz="8" w:color="auto"/>
              <w:right w:val="single" w:sz="8" w:color="auto"/>
            </w:tcBorders>
          </w:tcPr>
          <w:p>
            <w:pPr>
              <w:spacing w:after="0"/>
              <w:rPr>
                <w:sz w:val="12"/>
                <w:szCs w:val="12"/>
                <w:color w:val="auto"/>
              </w:rPr>
            </w:pP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top w:val="single" w:sz="8" w:color="auto"/>
              <w:right w:val="single" w:sz="8" w:color="auto"/>
            </w:tcBorders>
          </w:tcPr>
          <w:p>
            <w:pPr>
              <w:jc w:val="center"/>
              <w:ind w:left="15"/>
              <w:spacing w:after="0" w:line="139" w:lineRule="exact"/>
              <w:rPr>
                <w:sz w:val="20"/>
                <w:szCs w:val="20"/>
                <w:color w:val="auto"/>
              </w:rPr>
            </w:pPr>
            <w:r>
              <w:rPr>
                <w:rFonts w:ascii="Arial" w:cs="Arial" w:eastAsia="Arial" w:hAnsi="Arial"/>
                <w:sz w:val="14"/>
                <w:szCs w:val="14"/>
                <w:b w:val="1"/>
                <w:bCs w:val="1"/>
                <w:color w:val="auto"/>
                <w:w w:val="89"/>
              </w:rPr>
              <w:t>Proposed</w:t>
            </w:r>
          </w:p>
        </w:tc>
        <w:tc>
          <w:tcPr>
            <w:tcW w:w="1600" w:type="dxa"/>
            <w:vAlign w:val="bottom"/>
            <w:tcBorders>
              <w:top w:val="single" w:sz="8" w:color="auto"/>
              <w:right w:val="single" w:sz="8" w:color="auto"/>
            </w:tcBorders>
          </w:tcPr>
          <w:p>
            <w:pPr>
              <w:jc w:val="center"/>
              <w:ind w:left="15"/>
              <w:spacing w:after="0" w:line="139" w:lineRule="exact"/>
              <w:rPr>
                <w:sz w:val="20"/>
                <w:szCs w:val="20"/>
                <w:color w:val="auto"/>
              </w:rPr>
            </w:pPr>
            <w:r>
              <w:rPr>
                <w:rFonts w:ascii="Arial" w:cs="Arial" w:eastAsia="Arial" w:hAnsi="Arial"/>
                <w:sz w:val="14"/>
                <w:szCs w:val="14"/>
                <w:b w:val="1"/>
                <w:bCs w:val="1"/>
                <w:color w:val="auto"/>
                <w:w w:val="89"/>
              </w:rPr>
              <w:t>Proposed</w:t>
            </w:r>
          </w:p>
        </w:tc>
        <w:tc>
          <w:tcPr>
            <w:tcW w:w="1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tcPr>
          <w:p>
            <w:pPr>
              <w:jc w:val="center"/>
              <w:ind w:left="13"/>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to be Registered </w:t>
            </w:r>
            <w:r>
              <w:rPr>
                <w:rFonts w:ascii="Arial" w:cs="Arial" w:eastAsia="Arial" w:hAnsi="Arial"/>
                <w:sz w:val="12"/>
                <w:szCs w:val="12"/>
                <w:b w:val="1"/>
                <w:bCs w:val="1"/>
                <w:color w:val="auto"/>
                <w:w w:val="90"/>
              </w:rPr>
              <w:t>(1)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Registered </w:t>
            </w:r>
            <w:r>
              <w:rPr>
                <w:rFonts w:ascii="Arial" w:cs="Arial" w:eastAsia="Arial" w:hAnsi="Arial"/>
                <w:sz w:val="12"/>
                <w:szCs w:val="12"/>
                <w:b w:val="1"/>
                <w:bCs w:val="1"/>
                <w:color w:val="auto"/>
                <w:w w:val="92"/>
              </w:rPr>
              <w:t>(2)</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Ordinary Shares, par value $0.001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74,000</w:t>
            </w:r>
            <w:r>
              <w:rPr>
                <w:rFonts w:ascii="Arial" w:cs="Arial" w:eastAsia="Arial" w:hAnsi="Arial"/>
                <w:sz w:val="15"/>
                <w:szCs w:val="15"/>
                <w:color w:val="auto"/>
                <w:w w:val="92"/>
              </w:rPr>
              <w:t>(3)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$4.800</w:t>
            </w:r>
            <w:r>
              <w:rPr>
                <w:rFonts w:ascii="Arial" w:cs="Arial" w:eastAsia="Arial" w:hAnsi="Arial"/>
                <w:sz w:val="15"/>
                <w:szCs w:val="15"/>
                <w:color w:val="auto"/>
                <w:w w:val="92"/>
              </w:rPr>
              <w:t>(3)</w:t>
            </w:r>
          </w:p>
        </w:tc>
        <w:tc>
          <w:tcPr>
            <w:tcW w:w="160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8"/>
                <w:szCs w:val="18"/>
                <w:color w:val="auto"/>
                <w:w w:val="89"/>
              </w:rPr>
              <w:t>$355,200.00</w:t>
            </w:r>
          </w:p>
        </w:tc>
        <w:tc>
          <w:tcPr>
            <w:tcW w:w="156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90"/>
              </w:rPr>
              <w:t>$44.22</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A Ordinary Shares, par value $0.001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 xml:space="preserve">27,913 </w:t>
            </w:r>
            <w:r>
              <w:rPr>
                <w:rFonts w:ascii="Arial" w:cs="Arial" w:eastAsia="Arial" w:hAnsi="Arial"/>
                <w:sz w:val="15"/>
                <w:szCs w:val="15"/>
                <w:color w:val="auto"/>
                <w:w w:val="91"/>
              </w:rPr>
              <w:t>(3)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$4.0304</w:t>
            </w:r>
            <w:r>
              <w:rPr>
                <w:rFonts w:ascii="Arial" w:cs="Arial" w:eastAsia="Arial" w:hAnsi="Arial"/>
                <w:sz w:val="15"/>
                <w:szCs w:val="15"/>
                <w:color w:val="auto"/>
                <w:w w:val="91"/>
              </w:rPr>
              <w:t>(3)</w:t>
            </w:r>
          </w:p>
        </w:tc>
        <w:tc>
          <w:tcPr>
            <w:tcW w:w="160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8"/>
                <w:szCs w:val="18"/>
                <w:color w:val="auto"/>
                <w:w w:val="89"/>
              </w:rPr>
              <w:t>$112,500.56</w:t>
            </w:r>
          </w:p>
        </w:tc>
        <w:tc>
          <w:tcPr>
            <w:tcW w:w="156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90"/>
              </w:rPr>
              <w:t>$14.01</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A Ordinary Shares, par value $0.001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xml:space="preserve">119,138 </w:t>
            </w:r>
            <w:r>
              <w:rPr>
                <w:rFonts w:ascii="Arial" w:cs="Arial" w:eastAsia="Arial" w:hAnsi="Arial"/>
                <w:sz w:val="15"/>
                <w:szCs w:val="15"/>
                <w:color w:val="auto"/>
                <w:w w:val="90"/>
              </w:rPr>
              <w:t>(3)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$8.1300</w:t>
            </w:r>
            <w:r>
              <w:rPr>
                <w:rFonts w:ascii="Arial" w:cs="Arial" w:eastAsia="Arial" w:hAnsi="Arial"/>
                <w:sz w:val="15"/>
                <w:szCs w:val="15"/>
                <w:color w:val="auto"/>
                <w:w w:val="91"/>
              </w:rPr>
              <w:t>(3)</w:t>
            </w:r>
          </w:p>
        </w:tc>
        <w:tc>
          <w:tcPr>
            <w:tcW w:w="160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8"/>
                <w:szCs w:val="18"/>
                <w:color w:val="auto"/>
                <w:w w:val="89"/>
              </w:rPr>
              <w:t>$968,591.94</w:t>
            </w:r>
          </w:p>
        </w:tc>
        <w:tc>
          <w:tcPr>
            <w:tcW w:w="156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89"/>
              </w:rPr>
              <w:t>$120.59</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A Ordinary Shares, par value $0.001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 xml:space="preserve">49,400 </w:t>
            </w:r>
            <w:r>
              <w:rPr>
                <w:rFonts w:ascii="Arial" w:cs="Arial" w:eastAsia="Arial" w:hAnsi="Arial"/>
                <w:sz w:val="15"/>
                <w:szCs w:val="15"/>
                <w:color w:val="auto"/>
                <w:w w:val="91"/>
              </w:rPr>
              <w:t>(3)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$8.1300</w:t>
            </w:r>
            <w:r>
              <w:rPr>
                <w:rFonts w:ascii="Arial" w:cs="Arial" w:eastAsia="Arial" w:hAnsi="Arial"/>
                <w:sz w:val="15"/>
                <w:szCs w:val="15"/>
                <w:color w:val="auto"/>
                <w:w w:val="91"/>
              </w:rPr>
              <w:t>(3)</w:t>
            </w:r>
          </w:p>
        </w:tc>
        <w:tc>
          <w:tcPr>
            <w:tcW w:w="160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8"/>
                <w:szCs w:val="18"/>
                <w:color w:val="auto"/>
                <w:w w:val="89"/>
              </w:rPr>
              <w:t>$401,622.00</w:t>
            </w:r>
          </w:p>
        </w:tc>
        <w:tc>
          <w:tcPr>
            <w:tcW w:w="156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90"/>
              </w:rPr>
              <w:t>$50.00</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A Ordinary Shares, par value $0.001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1,129,560</w:t>
            </w:r>
            <w:r>
              <w:rPr>
                <w:rFonts w:ascii="Arial" w:cs="Arial" w:eastAsia="Arial" w:hAnsi="Arial"/>
                <w:sz w:val="15"/>
                <w:szCs w:val="15"/>
                <w:color w:val="auto"/>
                <w:w w:val="91"/>
              </w:rPr>
              <w:t>(3)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$8.1300</w:t>
            </w:r>
            <w:r>
              <w:rPr>
                <w:rFonts w:ascii="Arial" w:cs="Arial" w:eastAsia="Arial" w:hAnsi="Arial"/>
                <w:sz w:val="15"/>
                <w:szCs w:val="15"/>
                <w:color w:val="auto"/>
                <w:w w:val="91"/>
              </w:rPr>
              <w:t>(3)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$9,183,322.80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$1,143.32</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A Ordinary Shares, par value $0.001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6,000</w:t>
            </w:r>
            <w:r>
              <w:rPr>
                <w:rFonts w:ascii="Arial" w:cs="Arial" w:eastAsia="Arial" w:hAnsi="Arial"/>
                <w:sz w:val="15"/>
                <w:szCs w:val="15"/>
                <w:color w:val="auto"/>
                <w:w w:val="91"/>
              </w:rPr>
              <w:t>(3)</w:t>
            </w:r>
          </w:p>
        </w:tc>
        <w:tc>
          <w:tcPr>
            <w:tcW w:w="160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8"/>
                <w:szCs w:val="18"/>
                <w:color w:val="auto"/>
                <w:w w:val="92"/>
              </w:rPr>
              <w:t>$12.0000</w:t>
            </w:r>
            <w:r>
              <w:rPr>
                <w:rFonts w:ascii="Arial" w:cs="Arial" w:eastAsia="Arial" w:hAnsi="Arial"/>
                <w:sz w:val="15"/>
                <w:szCs w:val="15"/>
                <w:color w:val="auto"/>
                <w:w w:val="92"/>
              </w:rPr>
              <w:t>(3)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$72,000.00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$8.96</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A Ordinary Shares, par value $0.001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26,000</w:t>
            </w:r>
            <w:r>
              <w:rPr>
                <w:rFonts w:ascii="Arial" w:cs="Arial" w:eastAsia="Arial" w:hAnsi="Arial"/>
                <w:sz w:val="15"/>
                <w:szCs w:val="15"/>
                <w:color w:val="auto"/>
                <w:w w:val="92"/>
              </w:rPr>
              <w:t>(3)</w:t>
            </w:r>
          </w:p>
        </w:tc>
        <w:tc>
          <w:tcPr>
            <w:tcW w:w="160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8"/>
                <w:szCs w:val="18"/>
                <w:color w:val="auto"/>
                <w:w w:val="92"/>
              </w:rPr>
              <w:t>$16.1700</w:t>
            </w:r>
            <w:r>
              <w:rPr>
                <w:rFonts w:ascii="Arial" w:cs="Arial" w:eastAsia="Arial" w:hAnsi="Arial"/>
                <w:sz w:val="15"/>
                <w:szCs w:val="15"/>
                <w:color w:val="auto"/>
                <w:w w:val="92"/>
              </w:rPr>
              <w:t>(3)</w:t>
            </w:r>
          </w:p>
        </w:tc>
        <w:tc>
          <w:tcPr>
            <w:tcW w:w="160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8"/>
                <w:szCs w:val="18"/>
                <w:color w:val="auto"/>
                <w:w w:val="89"/>
              </w:rPr>
              <w:t>$420,420.00</w:t>
            </w:r>
          </w:p>
        </w:tc>
        <w:tc>
          <w:tcPr>
            <w:tcW w:w="156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90"/>
              </w:rPr>
              <w:t>$52.34</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A Ordinary Shares, par value $0.001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67,950</w:t>
            </w:r>
            <w:r>
              <w:rPr>
                <w:rFonts w:ascii="Arial" w:cs="Arial" w:eastAsia="Arial" w:hAnsi="Arial"/>
                <w:sz w:val="15"/>
                <w:szCs w:val="15"/>
                <w:color w:val="auto"/>
                <w:w w:val="92"/>
              </w:rPr>
              <w:t>(3)</w:t>
            </w:r>
          </w:p>
        </w:tc>
        <w:tc>
          <w:tcPr>
            <w:tcW w:w="160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8"/>
                <w:szCs w:val="18"/>
                <w:color w:val="auto"/>
                <w:w w:val="92"/>
              </w:rPr>
              <w:t>$20.0000</w:t>
            </w:r>
            <w:r>
              <w:rPr>
                <w:rFonts w:ascii="Arial" w:cs="Arial" w:eastAsia="Arial" w:hAnsi="Arial"/>
                <w:sz w:val="15"/>
                <w:szCs w:val="15"/>
                <w:color w:val="auto"/>
                <w:w w:val="92"/>
              </w:rPr>
              <w:t>(3)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$1,359,000.00</w:t>
            </w:r>
          </w:p>
        </w:tc>
        <w:tc>
          <w:tcPr>
            <w:tcW w:w="156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89"/>
              </w:rPr>
              <w:t>$169.20</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A Ordinary Shares, par value $0.001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xml:space="preserve">1,106,194 </w:t>
            </w:r>
            <w:r>
              <w:rPr>
                <w:rFonts w:ascii="Arial" w:cs="Arial" w:eastAsia="Arial" w:hAnsi="Arial"/>
                <w:sz w:val="15"/>
                <w:szCs w:val="15"/>
                <w:color w:val="auto"/>
                <w:w w:val="90"/>
              </w:rPr>
              <w:t>(4)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$15.80</w:t>
            </w:r>
            <w:r>
              <w:rPr>
                <w:rFonts w:ascii="Arial" w:cs="Arial" w:eastAsia="Arial" w:hAnsi="Arial"/>
                <w:sz w:val="15"/>
                <w:szCs w:val="15"/>
                <w:color w:val="auto"/>
                <w:w w:val="92"/>
              </w:rPr>
              <w:t>(4)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$17,477,865.20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$2,175.99</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2,606,155</w:t>
            </w:r>
            <w:r>
              <w:rPr>
                <w:rFonts w:ascii="Arial" w:cs="Arial" w:eastAsia="Arial" w:hAnsi="Arial"/>
                <w:sz w:val="15"/>
                <w:szCs w:val="15"/>
                <w:color w:val="auto"/>
                <w:w w:val="91"/>
              </w:rPr>
              <w:t>(5)</w:t>
            </w:r>
          </w:p>
        </w:tc>
        <w:tc>
          <w:tcPr>
            <w:tcW w:w="160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$30,350,522.50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$3,778.63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00" w:hanging="452"/>
        <w:spacing w:after="0" w:line="290"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These shares may be represented by the Registrant’s ADSs, two representing one Class A ordinary share. The Registrant’s ADSs issuable upon deposit of the Class A ordinary shares registered hereby have been registered under a separate registration statement on Form F-6 (333-221860).</w:t>
      </w:r>
    </w:p>
    <w:p>
      <w:pPr>
        <w:spacing w:after="0" w:line="1"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Class A ordinary shares issuable upon exercise of options and other awards granted under the 2017 Share Incentive Plan, which has been renamed as the Post-IPO Share Incentive Plan, or the Post-IPO Plan, and the 2018 Share Incentive Plan, or the 2018 Plan, which replaces and reproduces the 2010 Share Option Incentive Scheme in its entirety and assumes all awards granted under the 2010 Share Option Incentive Scheme (the “Plans”). Pursuant to Rule 416(a) under the Securities Act of 1933, as amended (the “Securities Act”), this registration statement also covers an indeterminate number of additional shares which may be offered and issued to prevent dilution from share splits, share dividends or similar transactions as provided in the Plans.</w:t>
      </w:r>
    </w:p>
    <w:p>
      <w:pPr>
        <w:spacing w:after="0" w:line="2" w:lineRule="exact"/>
        <w:rPr>
          <w:rFonts w:ascii="Arial" w:cs="Arial" w:eastAsia="Arial" w:hAnsi="Arial"/>
          <w:sz w:val="18"/>
          <w:szCs w:val="18"/>
          <w:color w:val="auto"/>
        </w:rPr>
      </w:pPr>
    </w:p>
    <w:p>
      <w:pPr>
        <w:ind w:left="460" w:right="640" w:hanging="452"/>
        <w:spacing w:after="0" w:line="265"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amount to be registered represents shares issuable upon exercise of outstanding options granted under the 2018 Plan and the corresponding proposed maximum offering price per share represents the maximum exercise price of such outstanding options.</w:t>
      </w:r>
    </w:p>
    <w:p>
      <w:pPr>
        <w:ind w:left="460" w:right="1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shares are reserved for future award grants under the Post-IPO Plan. The number of Class A ordinary shares available for issuance under the Post-IPO Plan has been estimated for the purposes of calculating the amount of the registration fee. The proposed maximum offering price per share, which is estimated solely for the purposes of calculating the registration fee under Rule 457(h) and Rule 457(c) under the Securities Act, is based on $7.90 per ADS, the average of the high and low prices for the registrant’s ADSs as quoted on the Nasdaq Global Market on June 8, 2018 and adjusted for the Class A ordinary share-to-ADS ratio.</w:t>
      </w:r>
    </w:p>
    <w:p>
      <w:pPr>
        <w:spacing w:after="0" w:line="2"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Class A ordinary share covered by an award granted under the Plans (or portion of an award) that terminates, expires, lapses or repurchased for any reason will be deemed not to have been issued for purposes of determining the maximum aggregate number of Class A ordinary shares that may be issued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Plan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135" w:lineRule="exact"/>
        <w:rPr>
          <w:sz w:val="20"/>
          <w:szCs w:val="20"/>
          <w:color w:val="auto"/>
        </w:rPr>
      </w:pPr>
    </w:p>
    <w:p>
      <w:pPr>
        <w:ind w:left="220" w:hanging="212"/>
        <w:spacing w:after="0" w:line="276" w:lineRule="auto"/>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Information required by Part I to be contained in the Section 10(a) prospectus is omitted from this registration statement in accordance with Rule 428 under the Securities Act and the Note to Part I of Form S-8.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The documents containing information specified in this Part I will be separately provided to the participants covered by the Plans, as specified by Rule 428(b)(1) under the Securities Act.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Incorporation of Documents by Reference</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documents previously filed by iClick Interactive Asia Group Limited (the “Registrant”) with the Commission are incorporated by reference herein:</w:t>
      </w:r>
    </w:p>
    <w:p>
      <w:pPr>
        <w:spacing w:after="0" w:line="76" w:lineRule="exact"/>
        <w:rPr>
          <w:sz w:val="20"/>
          <w:szCs w:val="20"/>
          <w:color w:val="auto"/>
        </w:rPr>
      </w:pPr>
    </w:p>
    <w:p>
      <w:pPr>
        <w:ind w:left="900" w:right="62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20-F (File No. 001-38313) for the year ended December 31, 2017, filed with the Commission on April 20, 2018; and</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Class A ordinary shares and ADSs incorporated by reference in the Registrant’s registration statement on Form 8-A (File No. 001-38313) filed with the Commission on December 1, 2017, including any amendment and report subsequently filed for the purpose of updating that description.</w:t>
      </w:r>
    </w:p>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All documents subsequently filed by the Registrant pursuant to Sections 13(a), 13(c), 14 or 15(d) of the Securities Exchange Act of 1934, as amended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 Any statement in a document incorporated or deemed to be incorporated by reference in this registration statement will be deemed to be modified or superseded to the extent that a statement contained in this registration statement or in any other later filed document that also is or is deemed to be incorporated by reference modifies or supersedes such statement. Any such statement so modified or superseded will not be deemed, except as so modified or superseded, to be a part of this registration statement.</w:t>
      </w:r>
    </w:p>
    <w:p>
      <w:pPr>
        <w:spacing w:after="0" w:line="3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Description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Interests of Named Experts and Counsel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Indemnification of Directors and Officers</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Cayman Islands law does not limit the extent to which a company’s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The Registrant’s eighth amended and restated articles of association, adopted by its shareholders on October 13, 2017 and went effective as of December 21, 2017, provides that the Registrant shall indemnify its directors and officers against actions, costs, charges, losses, damages and expenses incurred by such persons in their capacity as such, except through their dishonesty or fraud.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3" w:name="page4"/>
    <w:bookmarkEnd w:id="3"/>
    <w:p>
      <w:pPr>
        <w:ind w:right="3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indemnification agreements, the form of which was filed as Exhibit 10.9 to the Registrant’s registration statement on Form F-1, as amended (File No. 333-221034) (the “Form F-1”), the Registrant has agreed to indemnify its directors and officers against certain liabilities and expenses incurred by such persons in connection with claims made by reason of their being such a director or officer.</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Underwriting Agreement, the form of which was filed as Exhibit 1.1 to the Registrant’s Form F-1, also provides for indemnification by the underwriters of the Registrant, its directors and officers for certain liabilities, including liabilities arising under the Securities Act, but only to the extent that such liabilities are caused by information relating to the underwriters furnished to the Registrant in writing expressly for use in such registration statement and certain other disclosure documents and specified in the Underwriting Agreement.</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also maintains a directors and officers liability insurance policy for its directors and officers.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Exemption From Registration Claimed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Index to Exhibits attached hereto.</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Undertakings</w:t>
      </w:r>
    </w:p>
    <w:p>
      <w:pPr>
        <w:spacing w:after="0" w:line="135"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920" w:right="100" w:hanging="440"/>
        <w:spacing w:after="0" w:line="264" w:lineRule="auto"/>
        <w:tabs>
          <w:tab w:leader="none" w:pos="19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86" w:lineRule="exact"/>
        <w:rPr>
          <w:rFonts w:ascii="Arial" w:cs="Arial" w:eastAsia="Arial" w:hAnsi="Arial"/>
          <w:sz w:val="18"/>
          <w:szCs w:val="18"/>
          <w:color w:val="auto"/>
        </w:rPr>
      </w:pPr>
    </w:p>
    <w:p>
      <w:pPr>
        <w:ind w:left="1920" w:right="120" w:hanging="440"/>
        <w:spacing w:after="0" w:line="277" w:lineRule="auto"/>
        <w:tabs>
          <w:tab w:leader="none" w:pos="19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that information in the registration statement;</w:t>
      </w:r>
    </w:p>
    <w:p>
      <w:pPr>
        <w:spacing w:after="0" w:line="62" w:lineRule="exact"/>
        <w:rPr>
          <w:sz w:val="20"/>
          <w:szCs w:val="20"/>
          <w:color w:val="auto"/>
        </w:rPr>
      </w:pPr>
    </w:p>
    <w:p>
      <w:pPr>
        <w:ind w:left="1500" w:right="20"/>
        <w:spacing w:after="0" w:line="286"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paragraphs (a)(1)(i) and (a)(1)(ii) above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71" w:lineRule="exact"/>
        <w:rPr>
          <w:sz w:val="20"/>
          <w:szCs w:val="20"/>
          <w:color w:val="auto"/>
        </w:rPr>
      </w:pPr>
    </w:p>
    <w:p>
      <w:pPr>
        <w:jc w:val="both"/>
        <w:ind w:left="1480" w:right="180" w:hanging="567"/>
        <w:spacing w:after="0" w:line="264"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 w:name="page5"/>
    <w:bookmarkEnd w:id="4"/>
    <w:p>
      <w:pPr>
        <w:ind w:left="1026" w:right="260" w:hanging="567"/>
        <w:spacing w:after="0" w:line="277" w:lineRule="auto"/>
        <w:tabs>
          <w:tab w:leader="none" w:pos="1026" w:val="left"/>
        </w:tabs>
        <w:numPr>
          <w:ilvl w:val="1"/>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446" w:right="20" w:hanging="446"/>
        <w:spacing w:after="0" w:line="257" w:lineRule="auto"/>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3" w:lineRule="exact"/>
        <w:rPr>
          <w:rFonts w:ascii="Arial" w:cs="Arial" w:eastAsia="Arial" w:hAnsi="Arial"/>
          <w:sz w:val="18"/>
          <w:szCs w:val="18"/>
          <w:color w:val="auto"/>
        </w:rPr>
      </w:pPr>
    </w:p>
    <w:p>
      <w:pPr>
        <w:ind w:left="446" w:hanging="446"/>
        <w:spacing w:after="0" w:line="271" w:lineRule="auto"/>
        <w:tabs>
          <w:tab w:leader="none" w:pos="446"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7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340" w:type="dxa"/>
            <w:vAlign w:val="bottom"/>
            <w:gridSpan w:val="7"/>
          </w:tcPr>
          <w:p>
            <w:pPr>
              <w:ind w:left="4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80" w:type="dxa"/>
            <w:vAlign w:val="bottom"/>
          </w:tcPr>
          <w:p>
            <w:pPr>
              <w:jc w:val="right"/>
              <w:spacing w:after="0"/>
              <w:rPr>
                <w:sz w:val="20"/>
                <w:szCs w:val="20"/>
                <w:color w:val="auto"/>
              </w:rPr>
            </w:pPr>
            <w:r>
              <w:rPr>
                <w:rFonts w:ascii="Arial" w:cs="Arial" w:eastAsia="Arial" w:hAnsi="Arial"/>
                <w:sz w:val="14"/>
                <w:szCs w:val="14"/>
                <w:color w:val="auto"/>
              </w:rPr>
              <w:t>Exhibit</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480" w:type="dxa"/>
            <w:vAlign w:val="bottom"/>
          </w:tcPr>
          <w:p>
            <w:pPr>
              <w:jc w:val="right"/>
              <w:spacing w:after="0"/>
              <w:rPr>
                <w:sz w:val="20"/>
                <w:szCs w:val="20"/>
                <w:color w:val="auto"/>
              </w:rPr>
            </w:pPr>
            <w:r>
              <w:rPr>
                <w:rFonts w:ascii="Arial" w:cs="Arial" w:eastAsia="Arial" w:hAnsi="Arial"/>
                <w:sz w:val="14"/>
                <w:szCs w:val="14"/>
                <w:color w:val="auto"/>
                <w:w w:val="92"/>
              </w:rPr>
              <w:t>Number</w:t>
            </w:r>
          </w:p>
        </w:tc>
        <w:tc>
          <w:tcPr>
            <w:tcW w:w="560" w:type="dxa"/>
            <w:vAlign w:val="bottom"/>
          </w:tcPr>
          <w:p>
            <w:pPr>
              <w:spacing w:after="0"/>
              <w:rPr>
                <w:sz w:val="14"/>
                <w:szCs w:val="14"/>
                <w:color w:val="auto"/>
              </w:rPr>
            </w:pPr>
          </w:p>
        </w:tc>
        <w:tc>
          <w:tcPr>
            <w:tcW w:w="10280" w:type="dxa"/>
            <w:vAlign w:val="bottom"/>
            <w:gridSpan w:val="13"/>
          </w:tcPr>
          <w:p>
            <w:pPr>
              <w:spacing w:after="0"/>
              <w:rPr>
                <w:sz w:val="20"/>
                <w:szCs w:val="20"/>
                <w:color w:val="auto"/>
              </w:rPr>
            </w:pPr>
            <w:r>
              <w:rPr>
                <w:rFonts w:ascii="Arial" w:cs="Arial" w:eastAsia="Arial" w:hAnsi="Arial"/>
                <w:sz w:val="14"/>
                <w:szCs w:val="14"/>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80" w:type="dxa"/>
            <w:vAlign w:val="bottom"/>
          </w:tcPr>
          <w:p>
            <w:pPr>
              <w:jc w:val="right"/>
              <w:ind w:right="73"/>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2"/>
                <w:szCs w:val="22"/>
                <w:color w:val="auto"/>
              </w:rPr>
            </w:pPr>
          </w:p>
        </w:tc>
        <w:tc>
          <w:tcPr>
            <w:tcW w:w="10180" w:type="dxa"/>
            <w:vAlign w:val="bottom"/>
            <w:tcBorders>
              <w:bottom w:val="single" w:sz="8" w:color="0000EE"/>
            </w:tcBorders>
            <w:gridSpan w:val="11"/>
          </w:tcPr>
          <w:p>
            <w:pPr>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Eighth Amended and Restated Memorandum and Articles of Association of the Registrant (incorporated herein by reference to Exhibit 3.2 to</w:t>
              </w:r>
            </w:hyperlink>
          </w:p>
        </w:tc>
        <w:tc>
          <w:tcPr>
            <w:tcW w:w="100" w:type="dxa"/>
            <w:vAlign w:val="bottom"/>
            <w:gridSpan w:val="2"/>
          </w:tcPr>
          <w:p>
            <w:pPr>
              <w:spacing w:after="0"/>
              <w:rPr>
                <w:sz w:val="22"/>
                <w:szCs w:val="22"/>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80" w:type="dxa"/>
            <w:vAlign w:val="bottom"/>
            <w:gridSpan w:val="13"/>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the registration statement on Form F-1, as amended (File No.333-221034))</w:t>
              </w:r>
            </w:hyperlink>
          </w:p>
        </w:tc>
      </w:tr>
      <w:tr>
        <w:trPr>
          <w:trHeight w:val="20"/>
        </w:trPr>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80" w:type="dxa"/>
            <w:vAlign w:val="bottom"/>
          </w:tcPr>
          <w:p>
            <w:pPr>
              <w:jc w:val="right"/>
              <w:ind w:right="73"/>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280" w:type="dxa"/>
            <w:vAlign w:val="bottom"/>
            <w:tcBorders>
              <w:bottom w:val="single" w:sz="8" w:color="0000EE"/>
            </w:tcBorders>
            <w:gridSpan w:val="13"/>
          </w:tcPr>
          <w:p>
            <w:pPr>
              <w:spacing w:after="0"/>
              <w:rPr>
                <w:rFonts w:ascii="Arial" w:cs="Arial" w:eastAsia="Arial" w:hAnsi="Arial"/>
                <w:sz w:val="18"/>
                <w:szCs w:val="18"/>
                <w:color w:val="0000EE"/>
                <w:w w:val="90"/>
              </w:rPr>
            </w:pPr>
            <w:hyperlink r:id="rId26">
              <w:r>
                <w:rPr>
                  <w:rFonts w:ascii="Arial" w:cs="Arial" w:eastAsia="Arial" w:hAnsi="Arial"/>
                  <w:sz w:val="18"/>
                  <w:szCs w:val="18"/>
                  <w:color w:val="0000EE"/>
                  <w:w w:val="90"/>
                </w:rPr>
                <w:t>Registrant’s Specimen Certificate for Class A Ordinary Shares (incorporated herein by reference to Exhibit 4.2 to the registration statement on</w:t>
              </w:r>
            </w:hyperlink>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26">
              <w:r>
                <w:rPr>
                  <w:rFonts w:ascii="Arial" w:cs="Arial" w:eastAsia="Arial" w:hAnsi="Arial"/>
                  <w:sz w:val="18"/>
                  <w:szCs w:val="18"/>
                  <w:color w:val="0000EE"/>
                  <w:w w:val="90"/>
                </w:rPr>
                <w:t>Form F-1, as amended (File No.333-221034))</w:t>
              </w:r>
            </w:hyperlink>
          </w:p>
        </w:tc>
        <w:tc>
          <w:tcPr>
            <w:tcW w:w="6980" w:type="dxa"/>
            <w:vAlign w:val="bottom"/>
            <w:gridSpan w:val="9"/>
          </w:tcPr>
          <w:p>
            <w:pPr>
              <w:spacing w:after="0"/>
              <w:rPr>
                <w:sz w:val="17"/>
                <w:szCs w:val="17"/>
                <w:color w:val="auto"/>
              </w:rPr>
            </w:pPr>
          </w:p>
        </w:tc>
      </w:tr>
      <w:tr>
        <w:trPr>
          <w:trHeight w:val="304"/>
        </w:trPr>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Arial" w:cs="Arial" w:eastAsia="Arial" w:hAnsi="Arial"/>
                <w:sz w:val="18"/>
                <w:szCs w:val="18"/>
                <w:color w:val="0000EE"/>
                <w:w w:val="90"/>
              </w:rPr>
              <w:t>Deposit Agreement, dated December 21, 2017, among the Registrant, JPMorgan Chase Bank, N.A., as depositary, and all holders from time to</w:t>
            </w: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time of American Depositary Receipts issued thereunder</w:t>
            </w:r>
          </w:p>
        </w:tc>
        <w:tc>
          <w:tcPr>
            <w:tcW w:w="618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01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Opinion of Travers Thorp Alberga Attorneys at Law, Cayman Islands counsel to the Registrant, regarding the legality of the Class A ordinary</w:t>
            </w:r>
          </w:p>
        </w:tc>
        <w:tc>
          <w:tcPr>
            <w:tcW w:w="100" w:type="dxa"/>
            <w:vAlign w:val="bottom"/>
            <w:gridSpan w:val="2"/>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80" w:type="dxa"/>
            <w:vAlign w:val="bottom"/>
            <w:gridSpan w:val="13"/>
          </w:tcPr>
          <w:p>
            <w:pPr>
              <w:spacing w:after="0" w:line="196" w:lineRule="exact"/>
              <w:rPr>
                <w:sz w:val="20"/>
                <w:szCs w:val="20"/>
                <w:color w:val="auto"/>
              </w:rPr>
            </w:pPr>
            <w:r>
              <w:rPr>
                <w:rFonts w:ascii="Arial" w:cs="Arial" w:eastAsia="Arial" w:hAnsi="Arial"/>
                <w:sz w:val="18"/>
                <w:szCs w:val="18"/>
                <w:color w:val="0000EE"/>
              </w:rPr>
              <w:t>shares being registered</w:t>
            </w:r>
          </w:p>
        </w:tc>
      </w:tr>
      <w:tr>
        <w:trPr>
          <w:trHeight w:val="20"/>
        </w:trPr>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r>
      <w:tr>
        <w:trPr>
          <w:trHeight w:val="304"/>
        </w:trPr>
        <w:tc>
          <w:tcPr>
            <w:tcW w:w="480" w:type="dxa"/>
            <w:vAlign w:val="bottom"/>
          </w:tcPr>
          <w:p>
            <w:pPr>
              <w:jc w:val="right"/>
              <w:spacing w:after="0"/>
              <w:rPr>
                <w:sz w:val="20"/>
                <w:szCs w:val="20"/>
                <w:color w:val="auto"/>
              </w:rPr>
            </w:pPr>
            <w:r>
              <w:rPr>
                <w:rFonts w:ascii="Arial" w:cs="Arial" w:eastAsia="Arial" w:hAnsi="Arial"/>
                <w:sz w:val="18"/>
                <w:szCs w:val="18"/>
                <w:color w:val="auto"/>
                <w:w w:val="95"/>
              </w:rPr>
              <w:t>10.1*</w:t>
            </w:r>
          </w:p>
        </w:tc>
        <w:tc>
          <w:tcPr>
            <w:tcW w:w="560" w:type="dxa"/>
            <w:vAlign w:val="bottom"/>
          </w:tcPr>
          <w:p>
            <w:pPr>
              <w:spacing w:after="0"/>
              <w:rPr>
                <w:sz w:val="24"/>
                <w:szCs w:val="24"/>
                <w:color w:val="auto"/>
              </w:rPr>
            </w:pPr>
          </w:p>
        </w:tc>
        <w:tc>
          <w:tcPr>
            <w:tcW w:w="34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9"/>
              </w:rPr>
              <w:t>Post-IPO Share Incentive Plan of the Registrant</w:t>
            </w:r>
          </w:p>
        </w:tc>
        <w:tc>
          <w:tcPr>
            <w:tcW w:w="6840" w:type="dxa"/>
            <w:vAlign w:val="bottom"/>
            <w:gridSpan w:val="8"/>
          </w:tcPr>
          <w:p>
            <w:pPr>
              <w:spacing w:after="0"/>
              <w:rPr>
                <w:sz w:val="24"/>
                <w:szCs w:val="24"/>
                <w:color w:val="auto"/>
              </w:rPr>
            </w:pPr>
          </w:p>
        </w:tc>
      </w:tr>
      <w:tr>
        <w:trPr>
          <w:trHeight w:val="304"/>
        </w:trPr>
        <w:tc>
          <w:tcPr>
            <w:tcW w:w="480" w:type="dxa"/>
            <w:vAlign w:val="bottom"/>
          </w:tcPr>
          <w:p>
            <w:pPr>
              <w:jc w:val="right"/>
              <w:spacing w:after="0"/>
              <w:rPr>
                <w:sz w:val="20"/>
                <w:szCs w:val="20"/>
                <w:color w:val="auto"/>
              </w:rPr>
            </w:pPr>
            <w:r>
              <w:rPr>
                <w:rFonts w:ascii="Arial" w:cs="Arial" w:eastAsia="Arial" w:hAnsi="Arial"/>
                <w:sz w:val="18"/>
                <w:szCs w:val="18"/>
                <w:color w:val="auto"/>
                <w:w w:val="95"/>
              </w:rPr>
              <w:t>10.2*</w:t>
            </w:r>
          </w:p>
        </w:tc>
        <w:tc>
          <w:tcPr>
            <w:tcW w:w="560" w:type="dxa"/>
            <w:vAlign w:val="bottom"/>
          </w:tcPr>
          <w:p>
            <w:pPr>
              <w:spacing w:after="0"/>
              <w:rPr>
                <w:sz w:val="24"/>
                <w:szCs w:val="24"/>
                <w:color w:val="auto"/>
              </w:rPr>
            </w:pPr>
          </w:p>
        </w:tc>
        <w:tc>
          <w:tcPr>
            <w:tcW w:w="31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2018 Share Incentive Plan of the Registrant</w:t>
            </w:r>
          </w:p>
        </w:tc>
        <w:tc>
          <w:tcPr>
            <w:tcW w:w="7140" w:type="dxa"/>
            <w:vAlign w:val="bottom"/>
            <w:gridSpan w:val="10"/>
          </w:tcPr>
          <w:p>
            <w:pPr>
              <w:spacing w:after="0"/>
              <w:rPr>
                <w:sz w:val="24"/>
                <w:szCs w:val="24"/>
                <w:color w:val="auto"/>
              </w:rPr>
            </w:pPr>
          </w:p>
        </w:tc>
      </w:tr>
      <w:tr>
        <w:trPr>
          <w:trHeight w:val="304"/>
        </w:trPr>
        <w:tc>
          <w:tcPr>
            <w:tcW w:w="480" w:type="dxa"/>
            <w:vAlign w:val="bottom"/>
          </w:tcPr>
          <w:p>
            <w:pPr>
              <w:jc w:val="right"/>
              <w:spacing w:after="0"/>
              <w:rPr>
                <w:sz w:val="20"/>
                <w:szCs w:val="20"/>
                <w:color w:val="auto"/>
              </w:rPr>
            </w:pPr>
            <w:r>
              <w:rPr>
                <w:rFonts w:ascii="Arial" w:cs="Arial" w:eastAsia="Arial" w:hAnsi="Arial"/>
                <w:sz w:val="18"/>
                <w:szCs w:val="18"/>
                <w:color w:val="auto"/>
                <w:w w:val="95"/>
              </w:rPr>
              <w:t>23.1*</w:t>
            </w:r>
          </w:p>
        </w:tc>
        <w:tc>
          <w:tcPr>
            <w:tcW w:w="560" w:type="dxa"/>
            <w:vAlign w:val="bottom"/>
          </w:tcPr>
          <w:p>
            <w:pPr>
              <w:spacing w:after="0"/>
              <w:rPr>
                <w:sz w:val="24"/>
                <w:szCs w:val="24"/>
                <w:color w:val="auto"/>
              </w:rPr>
            </w:pPr>
          </w:p>
        </w:tc>
        <w:tc>
          <w:tcPr>
            <w:tcW w:w="62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Consent of PricewaterhouseCoopers, an independent registered public accounting firm</w:t>
            </w:r>
          </w:p>
        </w:tc>
        <w:tc>
          <w:tcPr>
            <w:tcW w:w="4040" w:type="dxa"/>
            <w:vAlign w:val="bottom"/>
            <w:gridSpan w:val="3"/>
          </w:tcPr>
          <w:p>
            <w:pPr>
              <w:spacing w:after="0"/>
              <w:rPr>
                <w:sz w:val="24"/>
                <w:szCs w:val="24"/>
                <w:color w:val="auto"/>
              </w:rPr>
            </w:pPr>
          </w:p>
        </w:tc>
      </w:tr>
      <w:tr>
        <w:trPr>
          <w:trHeight w:val="304"/>
        </w:trPr>
        <w:tc>
          <w:tcPr>
            <w:tcW w:w="480" w:type="dxa"/>
            <w:vAlign w:val="bottom"/>
          </w:tcPr>
          <w:p>
            <w:pPr>
              <w:jc w:val="right"/>
              <w:spacing w:after="0"/>
              <w:rPr>
                <w:sz w:val="20"/>
                <w:szCs w:val="20"/>
                <w:color w:val="auto"/>
              </w:rPr>
            </w:pPr>
            <w:r>
              <w:rPr>
                <w:rFonts w:ascii="Arial" w:cs="Arial" w:eastAsia="Arial" w:hAnsi="Arial"/>
                <w:sz w:val="18"/>
                <w:szCs w:val="18"/>
                <w:color w:val="auto"/>
                <w:w w:val="95"/>
              </w:rPr>
              <w:t>23.2*</w:t>
            </w:r>
          </w:p>
        </w:tc>
        <w:tc>
          <w:tcPr>
            <w:tcW w:w="56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Arial" w:cs="Arial" w:eastAsia="Arial" w:hAnsi="Arial"/>
                <w:sz w:val="18"/>
                <w:szCs w:val="18"/>
                <w:color w:val="0000EE"/>
              </w:rPr>
              <w:t>Consent of Travers Thorp Alberga Attorneys at Law (included in Exhibit 5.1)</w:t>
            </w:r>
          </w:p>
        </w:tc>
      </w:tr>
      <w:tr>
        <w:trPr>
          <w:trHeight w:val="304"/>
        </w:trPr>
        <w:tc>
          <w:tcPr>
            <w:tcW w:w="480" w:type="dxa"/>
            <w:vAlign w:val="bottom"/>
          </w:tcPr>
          <w:p>
            <w:pPr>
              <w:jc w:val="right"/>
              <w:spacing w:after="0"/>
              <w:rPr>
                <w:sz w:val="20"/>
                <w:szCs w:val="20"/>
                <w:color w:val="auto"/>
              </w:rPr>
            </w:pPr>
            <w:r>
              <w:rPr>
                <w:rFonts w:ascii="Arial" w:cs="Arial" w:eastAsia="Arial" w:hAnsi="Arial"/>
                <w:sz w:val="18"/>
                <w:szCs w:val="18"/>
                <w:color w:val="auto"/>
                <w:w w:val="95"/>
              </w:rPr>
              <w:t>24.1*</w:t>
            </w:r>
          </w:p>
        </w:tc>
        <w:tc>
          <w:tcPr>
            <w:tcW w:w="560" w:type="dxa"/>
            <w:vAlign w:val="bottom"/>
          </w:tcPr>
          <w:p>
            <w:pPr>
              <w:spacing w:after="0"/>
              <w:rPr>
                <w:sz w:val="24"/>
                <w:szCs w:val="24"/>
                <w:color w:val="auto"/>
              </w:rPr>
            </w:pPr>
          </w:p>
        </w:tc>
        <w:tc>
          <w:tcPr>
            <w:tcW w:w="5580" w:type="dxa"/>
            <w:vAlign w:val="bottom"/>
            <w:tcBorders>
              <w:top w:val="single" w:sz="8" w:color="0000EE"/>
            </w:tcBorders>
            <w:gridSpan w:val="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Powers of attorney (included on signature page hereto)</w:t>
              </w:r>
            </w:hyperlink>
          </w:p>
        </w:tc>
        <w:tc>
          <w:tcPr>
            <w:tcW w:w="4700" w:type="dxa"/>
            <w:vAlign w:val="bottom"/>
            <w:gridSpan w:val="4"/>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7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Hong Kong on June 12, 2018.</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r>
      <w:tr>
        <w:trPr>
          <w:trHeight w:val="205"/>
        </w:trPr>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3920" w:type="dxa"/>
            <w:vAlign w:val="bottom"/>
          </w:tcPr>
          <w:p>
            <w:pPr>
              <w:spacing w:after="0" w:line="205" w:lineRule="exact"/>
              <w:rPr>
                <w:sz w:val="20"/>
                <w:szCs w:val="20"/>
                <w:color w:val="auto"/>
              </w:rPr>
            </w:pPr>
            <w:r>
              <w:rPr>
                <w:rFonts w:ascii="Arial" w:cs="Arial" w:eastAsia="Arial" w:hAnsi="Arial"/>
                <w:sz w:val="18"/>
                <w:szCs w:val="18"/>
                <w:b w:val="1"/>
                <w:bCs w:val="1"/>
                <w:color w:val="auto"/>
              </w:rPr>
              <w:t>Wing Hong Sammy Hsieh</w:t>
            </w:r>
          </w:p>
        </w:tc>
      </w:t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Chairman and Chief Executive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7" w:name="page8"/>
    <w:bookmarkEnd w:id="7"/>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severally and not jointly, each of Wing Hong Sammy Hsieh and Jie Jiao, with full power to act alone, as his or her true and lawful attorney-in-fact, with the power of substitution, for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each said attorney-in-fact full power and authority to do and perform each and every act and thing requisite and necessary to be done as fully to all intents and purposes as he or she might or could do in person, hereby ratifying and confirming all that each said attorney-in-fact may lawfully do or cause to be done by virtue hereof.</w:t>
      </w:r>
    </w:p>
    <w:p>
      <w:pPr>
        <w:spacing w:after="0" w:line="18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June 12, 2018.</w:t>
      </w:r>
    </w:p>
    <w:p>
      <w:pPr>
        <w:sectPr>
          <w:pgSz w:w="11900" w:h="16838" w:orient="portrait"/>
          <w:cols w:equalWidth="0" w:num="1">
            <w:col w:w="11280"/>
          </w:cols>
          <w:pgMar w:left="240" w:top="270" w:right="379" w:bottom="1440" w:gutter="0" w:footer="0" w:header="0"/>
        </w:sectPr>
      </w:pPr>
    </w:p>
    <w:p>
      <w:pPr>
        <w:spacing w:after="0" w:line="193" w:lineRule="exact"/>
        <w:rPr>
          <w:sz w:val="20"/>
          <w:szCs w:val="20"/>
          <w:color w:val="auto"/>
        </w:rPr>
      </w:pPr>
    </w:p>
    <w:p>
      <w:pPr>
        <w:ind w:left="1860"/>
        <w:spacing w:after="0"/>
        <w:rPr>
          <w:sz w:val="20"/>
          <w:szCs w:val="20"/>
          <w:color w:val="auto"/>
        </w:rPr>
      </w:pPr>
      <w:r>
        <w:rPr>
          <w:rFonts w:ascii="Arial" w:cs="Arial" w:eastAsia="Arial" w:hAnsi="Arial"/>
          <w:sz w:val="13"/>
          <w:szCs w:val="13"/>
          <w:u w:val="single" w:color="auto"/>
          <w:color w:val="auto"/>
        </w:rPr>
        <w:t>Signature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Wing Hong Sammy Hsieh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Jie Jiao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Jie Jiao</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Jian Tang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Yau Ping Ricky 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Yau Ping Ricky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101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Yu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Yu Long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Antares 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Antares Au</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24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w:t>
            </w:r>
          </w:p>
        </w:tc>
        <w:tc>
          <w:tcPr>
            <w:tcW w:w="2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360" w:type="dxa"/>
            <w:vAlign w:val="bottom"/>
          </w:tcPr>
          <w:p>
            <w:pPr>
              <w:spacing w:after="0"/>
              <w:rPr>
                <w:sz w:val="14"/>
                <w:szCs w:val="14"/>
                <w:color w:val="auto"/>
              </w:rPr>
            </w:pPr>
          </w:p>
        </w:tc>
      </w:tr>
      <w:tr>
        <w:trPr>
          <w:trHeight w:val="425"/>
        </w:trPr>
        <w:tc>
          <w:tcPr>
            <w:tcW w:w="364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Chairman and Chief Executive Officer</w:t>
            </w:r>
          </w:p>
        </w:tc>
        <w:tc>
          <w:tcPr>
            <w:tcW w:w="188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June 12, 2018</w:t>
            </w:r>
          </w:p>
        </w:tc>
      </w:tr>
      <w:tr>
        <w:trPr>
          <w:trHeight w:val="230"/>
        </w:trPr>
        <w:tc>
          <w:tcPr>
            <w:tcW w:w="364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(principal executive officer)</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5"/>
        </w:trPr>
        <w:tc>
          <w:tcPr>
            <w:tcW w:w="3640" w:type="dxa"/>
            <w:vAlign w:val="bottom"/>
            <w:gridSpan w:val="3"/>
          </w:tcPr>
          <w:p>
            <w:pPr>
              <w:jc w:val="center"/>
              <w:ind w:right="880"/>
              <w:spacing w:after="0"/>
              <w:rPr>
                <w:sz w:val="20"/>
                <w:szCs w:val="20"/>
                <w:color w:val="auto"/>
              </w:rPr>
            </w:pPr>
            <w:r>
              <w:rPr>
                <w:rFonts w:ascii="Arial" w:cs="Arial" w:eastAsia="Arial" w:hAnsi="Arial"/>
                <w:sz w:val="18"/>
                <w:szCs w:val="18"/>
                <w:color w:val="auto"/>
                <w:w w:val="94"/>
              </w:rPr>
              <w:t>Chief Financial Officer</w:t>
            </w:r>
          </w:p>
        </w:tc>
        <w:tc>
          <w:tcPr>
            <w:tcW w:w="188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June 12, 2018</w:t>
            </w:r>
          </w:p>
        </w:tc>
      </w:tr>
      <w:tr>
        <w:trPr>
          <w:trHeight w:val="216"/>
        </w:trPr>
        <w:tc>
          <w:tcPr>
            <w:tcW w:w="3640" w:type="dxa"/>
            <w:vAlign w:val="bottom"/>
            <w:gridSpan w:val="3"/>
          </w:tcPr>
          <w:p>
            <w:pPr>
              <w:jc w:val="center"/>
              <w:ind w:right="880"/>
              <w:spacing w:after="0"/>
              <w:rPr>
                <w:sz w:val="20"/>
                <w:szCs w:val="20"/>
                <w:color w:val="auto"/>
              </w:rPr>
            </w:pPr>
            <w:r>
              <w:rPr>
                <w:rFonts w:ascii="Arial" w:cs="Arial" w:eastAsia="Arial" w:hAnsi="Arial"/>
                <w:sz w:val="18"/>
                <w:szCs w:val="18"/>
                <w:color w:val="auto"/>
                <w:w w:val="92"/>
              </w:rPr>
              <w:t>(principal financial and accounting</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3640" w:type="dxa"/>
            <w:vAlign w:val="bottom"/>
            <w:gridSpan w:val="3"/>
          </w:tcPr>
          <w:p>
            <w:pPr>
              <w:jc w:val="center"/>
              <w:ind w:right="860"/>
              <w:spacing w:after="0"/>
              <w:rPr>
                <w:sz w:val="20"/>
                <w:szCs w:val="20"/>
                <w:color w:val="auto"/>
              </w:rPr>
            </w:pPr>
            <w:r>
              <w:rPr>
                <w:rFonts w:ascii="Arial" w:cs="Arial" w:eastAsia="Arial" w:hAnsi="Arial"/>
                <w:sz w:val="18"/>
                <w:szCs w:val="18"/>
                <w:color w:val="auto"/>
                <w:w w:val="98"/>
              </w:rPr>
              <w:t>officer)</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689"/>
        </w:trPr>
        <w:tc>
          <w:tcPr>
            <w:tcW w:w="3640" w:type="dxa"/>
            <w:vAlign w:val="bottom"/>
            <w:gridSpan w:val="3"/>
          </w:tcPr>
          <w:p>
            <w:pPr>
              <w:jc w:val="center"/>
              <w:ind w:right="88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June 12, 2018</w:t>
            </w:r>
          </w:p>
        </w:tc>
      </w:tr>
      <w:tr>
        <w:trPr>
          <w:trHeight w:val="662"/>
        </w:trPr>
        <w:tc>
          <w:tcPr>
            <w:tcW w:w="3640" w:type="dxa"/>
            <w:vAlign w:val="bottom"/>
            <w:gridSpan w:val="3"/>
          </w:tcPr>
          <w:p>
            <w:pPr>
              <w:jc w:val="center"/>
              <w:ind w:right="88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June 12, 2018</w:t>
            </w:r>
          </w:p>
        </w:tc>
      </w:tr>
      <w:tr>
        <w:trPr>
          <w:trHeight w:val="689"/>
        </w:trPr>
        <w:tc>
          <w:tcPr>
            <w:tcW w:w="3640" w:type="dxa"/>
            <w:vAlign w:val="bottom"/>
            <w:gridSpan w:val="3"/>
          </w:tcPr>
          <w:p>
            <w:pPr>
              <w:jc w:val="center"/>
              <w:ind w:right="88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June 12, 2018</w:t>
            </w:r>
          </w:p>
        </w:tc>
      </w:tr>
      <w:tr>
        <w:trPr>
          <w:trHeight w:val="675"/>
        </w:trPr>
        <w:tc>
          <w:tcPr>
            <w:tcW w:w="3640" w:type="dxa"/>
            <w:vAlign w:val="bottom"/>
            <w:gridSpan w:val="3"/>
          </w:tcPr>
          <w:p>
            <w:pPr>
              <w:jc w:val="center"/>
              <w:ind w:right="88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June 12, 2018</w:t>
            </w:r>
          </w:p>
        </w:tc>
      </w:tr>
      <w:tr>
        <w:trPr>
          <w:trHeight w:val="581"/>
        </w:trPr>
        <w:tc>
          <w:tcPr>
            <w:tcW w:w="1240" w:type="dxa"/>
            <w:vAlign w:val="bottom"/>
          </w:tcPr>
          <w:p>
            <w:pPr>
              <w:jc w:val="right"/>
              <w:ind w:right="93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2">
            <w:col w:w="4820" w:space="720"/>
            <w:col w:w="5740"/>
          </w:cols>
          <w:pgMar w:left="240" w:top="270" w:right="3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auto"/>
        </w:rPr>
        <w:t>Signature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Scott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Moore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Dylan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Dylan Huang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Honnus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01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Honnus Cheung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Kim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60" w:type="dxa"/>
        <w:tblCellMar>
          <w:top w:w="0" w:type="dxa"/>
          <w:left w:w="0" w:type="dxa"/>
          <w:bottom w:w="0" w:type="dxa"/>
          <w:right w:w="0" w:type="dxa"/>
        </w:tblCellMar>
      </w:tblPr>
      <w:tr>
        <w:trPr>
          <w:trHeight w:val="167"/>
        </w:trPr>
        <w:tc>
          <w:tcPr>
            <w:tcW w:w="16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w:t>
            </w: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360" w:type="dxa"/>
            <w:vAlign w:val="bottom"/>
          </w:tcPr>
          <w:p>
            <w:pPr>
              <w:spacing w:after="0"/>
              <w:rPr>
                <w:sz w:val="14"/>
                <w:szCs w:val="14"/>
                <w:color w:val="auto"/>
              </w:rPr>
            </w:pPr>
          </w:p>
        </w:tc>
      </w:tr>
      <w:tr>
        <w:trPr>
          <w:trHeight w:val="534"/>
        </w:trPr>
        <w:tc>
          <w:tcPr>
            <w:tcW w:w="2020" w:type="dxa"/>
            <w:vAlign w:val="bottom"/>
            <w:gridSpan w:val="3"/>
          </w:tcPr>
          <w:p>
            <w:pPr>
              <w:jc w:val="center"/>
              <w:ind w:right="1420"/>
              <w:spacing w:after="0"/>
              <w:rPr>
                <w:sz w:val="20"/>
                <w:szCs w:val="20"/>
                <w:color w:val="auto"/>
              </w:rPr>
            </w:pPr>
            <w:r>
              <w:rPr>
                <w:rFonts w:ascii="Arial" w:cs="Arial" w:eastAsia="Arial" w:hAnsi="Arial"/>
                <w:sz w:val="18"/>
                <w:szCs w:val="18"/>
                <w:color w:val="auto"/>
                <w:w w:val="95"/>
              </w:rPr>
              <w:t>Director</w:t>
            </w:r>
          </w:p>
        </w:tc>
        <w:tc>
          <w:tcPr>
            <w:tcW w:w="2420" w:type="dxa"/>
            <w:vAlign w:val="bottom"/>
            <w:gridSpan w:val="3"/>
          </w:tcPr>
          <w:p>
            <w:pPr>
              <w:jc w:val="center"/>
              <w:ind w:left="1310"/>
              <w:spacing w:after="0"/>
              <w:rPr>
                <w:sz w:val="20"/>
                <w:szCs w:val="20"/>
                <w:color w:val="auto"/>
              </w:rPr>
            </w:pPr>
            <w:r>
              <w:rPr>
                <w:rFonts w:ascii="Arial" w:cs="Arial" w:eastAsia="Arial" w:hAnsi="Arial"/>
                <w:sz w:val="18"/>
                <w:szCs w:val="18"/>
                <w:color w:val="auto"/>
                <w:w w:val="89"/>
              </w:rPr>
              <w:t>June 12, 2018</w:t>
            </w:r>
          </w:p>
        </w:tc>
      </w:tr>
      <w:tr>
        <w:trPr>
          <w:trHeight w:val="675"/>
        </w:trPr>
        <w:tc>
          <w:tcPr>
            <w:tcW w:w="2020" w:type="dxa"/>
            <w:vAlign w:val="bottom"/>
            <w:gridSpan w:val="3"/>
          </w:tcPr>
          <w:p>
            <w:pPr>
              <w:jc w:val="center"/>
              <w:ind w:right="1420"/>
              <w:spacing w:after="0"/>
              <w:rPr>
                <w:sz w:val="20"/>
                <w:szCs w:val="20"/>
                <w:color w:val="auto"/>
              </w:rPr>
            </w:pPr>
            <w:r>
              <w:rPr>
                <w:rFonts w:ascii="Arial" w:cs="Arial" w:eastAsia="Arial" w:hAnsi="Arial"/>
                <w:sz w:val="18"/>
                <w:szCs w:val="18"/>
                <w:color w:val="auto"/>
                <w:w w:val="95"/>
              </w:rPr>
              <w:t>Director</w:t>
            </w:r>
          </w:p>
        </w:tc>
        <w:tc>
          <w:tcPr>
            <w:tcW w:w="2420" w:type="dxa"/>
            <w:vAlign w:val="bottom"/>
            <w:gridSpan w:val="3"/>
          </w:tcPr>
          <w:p>
            <w:pPr>
              <w:jc w:val="center"/>
              <w:ind w:left="1310"/>
              <w:spacing w:after="0"/>
              <w:rPr>
                <w:sz w:val="20"/>
                <w:szCs w:val="20"/>
                <w:color w:val="auto"/>
              </w:rPr>
            </w:pPr>
            <w:r>
              <w:rPr>
                <w:rFonts w:ascii="Arial" w:cs="Arial" w:eastAsia="Arial" w:hAnsi="Arial"/>
                <w:sz w:val="18"/>
                <w:szCs w:val="18"/>
                <w:color w:val="auto"/>
                <w:w w:val="89"/>
              </w:rPr>
              <w:t>June 12, 2018</w:t>
            </w:r>
          </w:p>
        </w:tc>
      </w:tr>
      <w:tr>
        <w:trPr>
          <w:trHeight w:val="675"/>
        </w:trPr>
        <w:tc>
          <w:tcPr>
            <w:tcW w:w="2020" w:type="dxa"/>
            <w:vAlign w:val="bottom"/>
            <w:gridSpan w:val="3"/>
          </w:tcPr>
          <w:p>
            <w:pPr>
              <w:jc w:val="center"/>
              <w:ind w:right="1420"/>
              <w:spacing w:after="0"/>
              <w:rPr>
                <w:sz w:val="20"/>
                <w:szCs w:val="20"/>
                <w:color w:val="auto"/>
              </w:rPr>
            </w:pPr>
            <w:r>
              <w:rPr>
                <w:rFonts w:ascii="Arial" w:cs="Arial" w:eastAsia="Arial" w:hAnsi="Arial"/>
                <w:sz w:val="18"/>
                <w:szCs w:val="18"/>
                <w:color w:val="auto"/>
                <w:w w:val="95"/>
              </w:rPr>
              <w:t>Director</w:t>
            </w:r>
          </w:p>
        </w:tc>
        <w:tc>
          <w:tcPr>
            <w:tcW w:w="2420" w:type="dxa"/>
            <w:vAlign w:val="bottom"/>
            <w:gridSpan w:val="3"/>
          </w:tcPr>
          <w:p>
            <w:pPr>
              <w:jc w:val="center"/>
              <w:ind w:left="1310"/>
              <w:spacing w:after="0"/>
              <w:rPr>
                <w:sz w:val="20"/>
                <w:szCs w:val="20"/>
                <w:color w:val="auto"/>
              </w:rPr>
            </w:pPr>
            <w:r>
              <w:rPr>
                <w:rFonts w:ascii="Arial" w:cs="Arial" w:eastAsia="Arial" w:hAnsi="Arial"/>
                <w:sz w:val="18"/>
                <w:szCs w:val="18"/>
                <w:color w:val="auto"/>
                <w:w w:val="89"/>
              </w:rPr>
              <w:t>June 12, 2018</w:t>
            </w:r>
          </w:p>
        </w:tc>
      </w:tr>
      <w:tr>
        <w:trPr>
          <w:trHeight w:val="675"/>
        </w:trPr>
        <w:tc>
          <w:tcPr>
            <w:tcW w:w="2020" w:type="dxa"/>
            <w:vAlign w:val="bottom"/>
            <w:gridSpan w:val="3"/>
          </w:tcPr>
          <w:p>
            <w:pPr>
              <w:jc w:val="center"/>
              <w:ind w:right="1420"/>
              <w:spacing w:after="0"/>
              <w:rPr>
                <w:sz w:val="20"/>
                <w:szCs w:val="20"/>
                <w:color w:val="auto"/>
              </w:rPr>
            </w:pPr>
            <w:r>
              <w:rPr>
                <w:rFonts w:ascii="Arial" w:cs="Arial" w:eastAsia="Arial" w:hAnsi="Arial"/>
                <w:sz w:val="18"/>
                <w:szCs w:val="18"/>
                <w:color w:val="auto"/>
                <w:w w:val="95"/>
              </w:rPr>
              <w:t>Director</w:t>
            </w:r>
          </w:p>
        </w:tc>
        <w:tc>
          <w:tcPr>
            <w:tcW w:w="2420" w:type="dxa"/>
            <w:vAlign w:val="bottom"/>
            <w:gridSpan w:val="3"/>
          </w:tcPr>
          <w:p>
            <w:pPr>
              <w:jc w:val="center"/>
              <w:ind w:left="1310"/>
              <w:spacing w:after="0"/>
              <w:rPr>
                <w:sz w:val="20"/>
                <w:szCs w:val="20"/>
                <w:color w:val="auto"/>
              </w:rPr>
            </w:pPr>
            <w:r>
              <w:rPr>
                <w:rFonts w:ascii="Arial" w:cs="Arial" w:eastAsia="Arial" w:hAnsi="Arial"/>
                <w:sz w:val="18"/>
                <w:szCs w:val="18"/>
                <w:color w:val="auto"/>
                <w:w w:val="89"/>
              </w:rPr>
              <w:t>June 12,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-1826260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4940" w:space="720"/>
            <w:col w:w="5400"/>
          </w:cols>
          <w:pgMar w:left="240" w:top="269" w:right="5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OF AUTHORIZED REPRESENTATIVE IN THE UNITED STATES</w:t>
      </w:r>
    </w:p>
    <w:p>
      <w:pPr>
        <w:spacing w:after="0" w:line="22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iClick Interactive Asia Group Limited has signed this registration statement or amendment thereto in New York on June 12, 2018.</w:t>
      </w:r>
    </w:p>
    <w:p>
      <w:pPr>
        <w:spacing w:after="0" w:line="193"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Authorized U.S. Representative</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Colleen A. De Vries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Colleen A. De Vries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of Cogency Global Inc.</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0" w:name="page11"/>
    <w:bookmarkEnd w:id="10"/>
    <w:p>
      <w:pPr>
        <w:ind w:left="9380"/>
        <w:spacing w:after="0"/>
        <w:rPr>
          <w:sz w:val="20"/>
          <w:szCs w:val="20"/>
          <w:color w:val="auto"/>
        </w:rPr>
      </w:pPr>
      <w:r>
        <w:rPr>
          <w:rFonts w:ascii="Arial" w:cs="Arial" w:eastAsia="Arial" w:hAnsi="Arial"/>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186690</wp:posOffset>
            </wp:positionV>
            <wp:extent cx="7109460" cy="3533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09460" cy="353314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740" w:type="dxa"/>
            <w:vAlign w:val="bottom"/>
          </w:tcPr>
          <w:p>
            <w:pPr>
              <w:ind w:left="44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vMerge w:val="restart"/>
          </w:tcPr>
          <w:p>
            <w:pPr>
              <w:spacing w:after="0"/>
              <w:rPr>
                <w:sz w:val="20"/>
                <w:szCs w:val="20"/>
                <w:color w:val="auto"/>
              </w:rPr>
            </w:pPr>
            <w:r>
              <w:rPr>
                <w:rFonts w:ascii="Arial" w:cs="Arial" w:eastAsia="Arial" w:hAnsi="Arial"/>
                <w:sz w:val="18"/>
                <w:szCs w:val="18"/>
                <w:color w:val="auto"/>
              </w:rPr>
              <w:t>1.</w:t>
            </w:r>
          </w:p>
        </w:tc>
        <w:tc>
          <w:tcPr>
            <w:tcW w:w="10740" w:type="dxa"/>
            <w:vAlign w:val="bottom"/>
            <w:vMerge w:val="restart"/>
          </w:tcPr>
          <w:p>
            <w:pPr>
              <w:ind w:left="100"/>
              <w:spacing w:after="0"/>
              <w:rPr>
                <w:sz w:val="20"/>
                <w:szCs w:val="20"/>
                <w:color w:val="auto"/>
              </w:rPr>
            </w:pPr>
            <w:r>
              <w:rPr>
                <w:rFonts w:ascii="Arial" w:cs="Arial" w:eastAsia="Arial" w:hAnsi="Arial"/>
                <w:sz w:val="18"/>
                <w:szCs w:val="18"/>
                <w:color w:val="auto"/>
              </w:rPr>
              <w:t>Certain Definitions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340" w:type="dxa"/>
            <w:vAlign w:val="bottom"/>
            <w:vMerge w:val="continue"/>
          </w:tcPr>
          <w:p>
            <w:pPr>
              <w:spacing w:after="0"/>
              <w:rPr>
                <w:sz w:val="16"/>
                <w:szCs w:val="16"/>
                <w:color w:val="auto"/>
              </w:rPr>
            </w:pPr>
          </w:p>
        </w:tc>
        <w:tc>
          <w:tcPr>
            <w:tcW w:w="1074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10740" w:type="dxa"/>
            <w:vAlign w:val="bottom"/>
          </w:tcPr>
          <w:p>
            <w:pPr>
              <w:ind w:left="100"/>
              <w:spacing w:after="0"/>
              <w:rPr>
                <w:sz w:val="20"/>
                <w:szCs w:val="20"/>
                <w:color w:val="auto"/>
              </w:rPr>
            </w:pPr>
            <w:r>
              <w:rPr>
                <w:rFonts w:ascii="Arial" w:cs="Arial" w:eastAsia="Arial" w:hAnsi="Arial"/>
                <w:sz w:val="18"/>
                <w:szCs w:val="18"/>
                <w:color w:val="auto"/>
              </w:rPr>
              <w:t>Form of ADRs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10740" w:type="dxa"/>
            <w:vAlign w:val="bottom"/>
          </w:tcPr>
          <w:p>
            <w:pPr>
              <w:ind w:left="100"/>
              <w:spacing w:after="0"/>
              <w:rPr>
                <w:sz w:val="20"/>
                <w:szCs w:val="20"/>
                <w:color w:val="auto"/>
              </w:rPr>
            </w:pPr>
            <w:r>
              <w:rPr>
                <w:rFonts w:ascii="Arial" w:cs="Arial" w:eastAsia="Arial" w:hAnsi="Arial"/>
                <w:sz w:val="18"/>
                <w:szCs w:val="18"/>
                <w:color w:val="auto"/>
              </w:rPr>
              <w:t>Deposit of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10740" w:type="dxa"/>
            <w:vAlign w:val="bottom"/>
          </w:tcPr>
          <w:p>
            <w:pPr>
              <w:ind w:left="100"/>
              <w:spacing w:after="0"/>
              <w:rPr>
                <w:sz w:val="20"/>
                <w:szCs w:val="20"/>
                <w:color w:val="auto"/>
              </w:rPr>
            </w:pPr>
            <w:r>
              <w:rPr>
                <w:rFonts w:ascii="Arial" w:cs="Arial" w:eastAsia="Arial" w:hAnsi="Arial"/>
                <w:sz w:val="18"/>
                <w:szCs w:val="18"/>
                <w:color w:val="auto"/>
              </w:rPr>
              <w:t>Issue of ADR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10740" w:type="dxa"/>
            <w:vAlign w:val="bottom"/>
          </w:tcPr>
          <w:p>
            <w:pPr>
              <w:ind w:left="100"/>
              <w:spacing w:after="0"/>
              <w:rPr>
                <w:sz w:val="20"/>
                <w:szCs w:val="20"/>
                <w:color w:val="auto"/>
              </w:rPr>
            </w:pPr>
            <w:r>
              <w:rPr>
                <w:rFonts w:ascii="Arial" w:cs="Arial" w:eastAsia="Arial" w:hAnsi="Arial"/>
                <w:sz w:val="18"/>
                <w:szCs w:val="18"/>
                <w:color w:val="auto"/>
              </w:rPr>
              <w:t>Distributions on Deposited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10740" w:type="dxa"/>
            <w:vAlign w:val="bottom"/>
          </w:tcPr>
          <w:p>
            <w:pPr>
              <w:ind w:left="100"/>
              <w:spacing w:after="0"/>
              <w:rPr>
                <w:sz w:val="20"/>
                <w:szCs w:val="20"/>
                <w:color w:val="auto"/>
              </w:rPr>
            </w:pPr>
            <w:r>
              <w:rPr>
                <w:rFonts w:ascii="Arial" w:cs="Arial" w:eastAsia="Arial" w:hAnsi="Arial"/>
                <w:sz w:val="18"/>
                <w:szCs w:val="18"/>
                <w:color w:val="auto"/>
              </w:rPr>
              <w:t>Withdrawal of Deposited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10740" w:type="dxa"/>
            <w:vAlign w:val="bottom"/>
          </w:tcPr>
          <w:p>
            <w:pPr>
              <w:ind w:left="100"/>
              <w:spacing w:after="0"/>
              <w:rPr>
                <w:sz w:val="20"/>
                <w:szCs w:val="20"/>
                <w:color w:val="auto"/>
              </w:rPr>
            </w:pPr>
            <w:r>
              <w:rPr>
                <w:rFonts w:ascii="Arial" w:cs="Arial" w:eastAsia="Arial" w:hAnsi="Arial"/>
                <w:sz w:val="18"/>
                <w:szCs w:val="18"/>
                <w:color w:val="auto"/>
              </w:rPr>
              <w:t>Substitution of ADRs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10740" w:type="dxa"/>
            <w:vAlign w:val="bottom"/>
          </w:tcPr>
          <w:p>
            <w:pPr>
              <w:ind w:left="100"/>
              <w:spacing w:after="0"/>
              <w:rPr>
                <w:sz w:val="20"/>
                <w:szCs w:val="20"/>
                <w:color w:val="auto"/>
              </w:rPr>
            </w:pPr>
            <w:r>
              <w:rPr>
                <w:rFonts w:ascii="Arial" w:cs="Arial" w:eastAsia="Arial" w:hAnsi="Arial"/>
                <w:sz w:val="18"/>
                <w:szCs w:val="18"/>
                <w:color w:val="auto"/>
              </w:rPr>
              <w:t>Cancellation and Destruction of ADRs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10740" w:type="dxa"/>
            <w:vAlign w:val="bottom"/>
          </w:tcPr>
          <w:p>
            <w:pPr>
              <w:ind w:left="100"/>
              <w:spacing w:after="0"/>
              <w:rPr>
                <w:sz w:val="20"/>
                <w:szCs w:val="20"/>
                <w:color w:val="auto"/>
              </w:rPr>
            </w:pPr>
            <w:r>
              <w:rPr>
                <w:rFonts w:ascii="Arial" w:cs="Arial" w:eastAsia="Arial" w:hAnsi="Arial"/>
                <w:sz w:val="18"/>
                <w:szCs w:val="18"/>
                <w:color w:val="auto"/>
              </w:rPr>
              <w:t>The Custodian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10740" w:type="dxa"/>
            <w:vAlign w:val="bottom"/>
          </w:tcPr>
          <w:p>
            <w:pPr>
              <w:ind w:left="100"/>
              <w:spacing w:after="0"/>
              <w:rPr>
                <w:sz w:val="20"/>
                <w:szCs w:val="20"/>
                <w:color w:val="auto"/>
              </w:rPr>
            </w:pPr>
            <w:r>
              <w:rPr>
                <w:rFonts w:ascii="Arial" w:cs="Arial" w:eastAsia="Arial" w:hAnsi="Arial"/>
                <w:sz w:val="18"/>
                <w:szCs w:val="18"/>
                <w:color w:val="auto"/>
              </w:rPr>
              <w:t>Lists of 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10740" w:type="dxa"/>
            <w:vAlign w:val="bottom"/>
          </w:tcPr>
          <w:p>
            <w:pPr>
              <w:ind w:left="100"/>
              <w:spacing w:after="0"/>
              <w:rPr>
                <w:sz w:val="20"/>
                <w:szCs w:val="20"/>
                <w:color w:val="auto"/>
              </w:rPr>
            </w:pPr>
            <w:r>
              <w:rPr>
                <w:rFonts w:ascii="Arial" w:cs="Arial" w:eastAsia="Arial" w:hAnsi="Arial"/>
                <w:sz w:val="18"/>
                <w:szCs w:val="18"/>
                <w:color w:val="auto"/>
              </w:rPr>
              <w:t>Depositary’s Agents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10740" w:type="dxa"/>
            <w:vAlign w:val="bottom"/>
          </w:tcPr>
          <w:p>
            <w:pPr>
              <w:ind w:left="10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10740" w:type="dxa"/>
            <w:vAlign w:val="bottom"/>
          </w:tcPr>
          <w:p>
            <w:pPr>
              <w:ind w:left="100"/>
              <w:spacing w:after="0"/>
              <w:rPr>
                <w:sz w:val="20"/>
                <w:szCs w:val="20"/>
                <w:color w:val="auto"/>
              </w:rPr>
            </w:pPr>
            <w:r>
              <w:rPr>
                <w:rFonts w:ascii="Arial" w:cs="Arial" w:eastAsia="Arial" w:hAnsi="Arial"/>
                <w:sz w:val="18"/>
                <w:szCs w:val="18"/>
                <w:color w:val="auto"/>
              </w:rPr>
              <w:t>Reports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10740" w:type="dxa"/>
            <w:vAlign w:val="bottom"/>
          </w:tcPr>
          <w:p>
            <w:pPr>
              <w:ind w:left="100"/>
              <w:spacing w:after="0"/>
              <w:rPr>
                <w:sz w:val="20"/>
                <w:szCs w:val="20"/>
                <w:color w:val="auto"/>
              </w:rPr>
            </w:pPr>
            <w:r>
              <w:rPr>
                <w:rFonts w:ascii="Arial" w:cs="Arial" w:eastAsia="Arial" w:hAnsi="Arial"/>
                <w:sz w:val="18"/>
                <w:szCs w:val="18"/>
                <w:color w:val="auto"/>
              </w:rPr>
              <w:t>Additional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1074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10740" w:type="dxa"/>
            <w:vAlign w:val="bottom"/>
          </w:tcPr>
          <w:p>
            <w:pPr>
              <w:ind w:left="10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1074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18.</w:t>
            </w:r>
          </w:p>
        </w:tc>
        <w:tc>
          <w:tcPr>
            <w:tcW w:w="10740" w:type="dxa"/>
            <w:vAlign w:val="bottom"/>
          </w:tcPr>
          <w:p>
            <w:pPr>
              <w:ind w:left="100"/>
              <w:spacing w:after="0"/>
              <w:rPr>
                <w:sz w:val="20"/>
                <w:szCs w:val="20"/>
                <w:color w:val="auto"/>
              </w:rPr>
            </w:pPr>
            <w:r>
              <w:rPr>
                <w:rFonts w:ascii="Arial" w:cs="Arial" w:eastAsia="Arial" w:hAnsi="Arial"/>
                <w:sz w:val="18"/>
                <w:szCs w:val="18"/>
                <w:color w:val="auto"/>
              </w:rPr>
              <w:t>No Third-Party Beneficiaries; Holders and Owners as Parties; Binding Effect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19.</w:t>
            </w:r>
          </w:p>
        </w:tc>
        <w:tc>
          <w:tcPr>
            <w:tcW w:w="107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20.</w:t>
            </w:r>
          </w:p>
        </w:tc>
        <w:tc>
          <w:tcPr>
            <w:tcW w:w="10740" w:type="dxa"/>
            <w:vAlign w:val="bottom"/>
          </w:tcPr>
          <w:p>
            <w:pPr>
              <w:ind w:left="100"/>
              <w:spacing w:after="0"/>
              <w:rPr>
                <w:sz w:val="20"/>
                <w:szCs w:val="20"/>
                <w:color w:val="auto"/>
              </w:rPr>
            </w:pPr>
            <w:r>
              <w:rPr>
                <w:rFonts w:ascii="Arial" w:cs="Arial" w:eastAsia="Arial" w:hAnsi="Arial"/>
                <w:sz w:val="18"/>
                <w:szCs w:val="18"/>
                <w:color w:val="auto"/>
              </w:rPr>
              <w:t>Governing Law; Consent to Jurisdiction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21.</w:t>
            </w:r>
          </w:p>
        </w:tc>
        <w:tc>
          <w:tcPr>
            <w:tcW w:w="10740" w:type="dxa"/>
            <w:vAlign w:val="bottom"/>
          </w:tcPr>
          <w:p>
            <w:pPr>
              <w:ind w:left="100"/>
              <w:spacing w:after="0"/>
              <w:rPr>
                <w:sz w:val="20"/>
                <w:szCs w:val="20"/>
                <w:color w:val="auto"/>
              </w:rPr>
            </w:pPr>
            <w:r>
              <w:rPr>
                <w:rFonts w:ascii="Arial" w:cs="Arial" w:eastAsia="Arial" w:hAnsi="Arial"/>
                <w:sz w:val="18"/>
                <w:szCs w:val="18"/>
                <w:color w:val="auto"/>
              </w:rPr>
              <w:t>Appointment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22.</w:t>
            </w:r>
          </w:p>
        </w:tc>
        <w:tc>
          <w:tcPr>
            <w:tcW w:w="10740" w:type="dxa"/>
            <w:vAlign w:val="bottom"/>
          </w:tcPr>
          <w:p>
            <w:pPr>
              <w:ind w:left="100"/>
              <w:spacing w:after="0"/>
              <w:rPr>
                <w:sz w:val="20"/>
                <w:szCs w:val="20"/>
                <w:color w:val="auto"/>
              </w:rPr>
            </w:pPr>
            <w:r>
              <w:rPr>
                <w:rFonts w:ascii="Arial" w:cs="Arial" w:eastAsia="Arial" w:hAnsi="Arial"/>
                <w:sz w:val="18"/>
                <w:szCs w:val="18"/>
                <w:color w:val="auto"/>
              </w:rPr>
              <w:t>Waiver of Immunities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2"/>
        </w:trPr>
        <w:tc>
          <w:tcPr>
            <w:tcW w:w="340" w:type="dxa"/>
            <w:vAlign w:val="bottom"/>
          </w:tcPr>
          <w:p>
            <w:pPr>
              <w:spacing w:after="0"/>
              <w:rPr>
                <w:sz w:val="20"/>
                <w:szCs w:val="20"/>
                <w:color w:val="auto"/>
              </w:rPr>
            </w:pPr>
            <w:r>
              <w:rPr>
                <w:rFonts w:ascii="Arial" w:cs="Arial" w:eastAsia="Arial" w:hAnsi="Arial"/>
                <w:sz w:val="18"/>
                <w:szCs w:val="18"/>
                <w:color w:val="auto"/>
              </w:rPr>
              <w:t>23.</w:t>
            </w:r>
          </w:p>
        </w:tc>
        <w:tc>
          <w:tcPr>
            <w:tcW w:w="1074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080" w:type="dxa"/>
            <w:vAlign w:val="bottom"/>
            <w:gridSpan w:val="2"/>
          </w:tcPr>
          <w:p>
            <w:pPr>
              <w:spacing w:after="0"/>
              <w:rPr>
                <w:sz w:val="20"/>
                <w:szCs w:val="20"/>
                <w:color w:val="auto"/>
              </w:rPr>
            </w:pPr>
            <w:r>
              <w:rPr>
                <w:rFonts w:ascii="Arial" w:cs="Arial" w:eastAsia="Arial" w:hAnsi="Arial"/>
                <w:sz w:val="18"/>
                <w:szCs w:val="18"/>
                <w:b w:val="1"/>
                <w:bCs w:val="1"/>
                <w:color w:val="auto"/>
              </w:rPr>
              <w:t>TESTIMONIUM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4"/>
        </w:trPr>
        <w:tc>
          <w:tcPr>
            <w:tcW w:w="1108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823"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160" w:type="dxa"/>
            <w:vAlign w:val="bottom"/>
          </w:tcPr>
          <w:p>
            <w:pPr>
              <w:jc w:val="right"/>
              <w:ind w:right="5090"/>
              <w:spacing w:after="0"/>
              <w:rPr>
                <w:sz w:val="20"/>
                <w:szCs w:val="20"/>
                <w:color w:val="auto"/>
              </w:rPr>
            </w:pPr>
            <w:r>
              <w:rPr>
                <w:rFonts w:ascii="Arial" w:cs="Arial" w:eastAsia="Arial" w:hAnsi="Arial"/>
                <w:sz w:val="18"/>
                <w:szCs w:val="18"/>
                <w:b w:val="1"/>
                <w:bCs w:val="1"/>
                <w:color w:val="auto"/>
              </w:rPr>
              <w:t>EXHIBIT A</w:t>
            </w:r>
          </w:p>
        </w:tc>
      </w:tr>
      <w:tr>
        <w:trPr>
          <w:trHeight w:val="459"/>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FORM OF FACE OF ADR</w:t>
            </w:r>
          </w:p>
        </w:tc>
        <w:tc>
          <w:tcPr>
            <w:tcW w:w="61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24"/>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Introductory Paragraph</w:t>
            </w:r>
          </w:p>
        </w:tc>
        <w:tc>
          <w:tcPr>
            <w:tcW w:w="61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(1)</w:t>
            </w:r>
          </w:p>
        </w:tc>
        <w:tc>
          <w:tcPr>
            <w:tcW w:w="4300" w:type="dxa"/>
            <w:vAlign w:val="bottom"/>
          </w:tcPr>
          <w:p>
            <w:pPr>
              <w:ind w:left="220"/>
              <w:spacing w:after="0"/>
              <w:rPr>
                <w:sz w:val="20"/>
                <w:szCs w:val="20"/>
                <w:color w:val="auto"/>
              </w:rPr>
            </w:pPr>
            <w:r>
              <w:rPr>
                <w:rFonts w:ascii="Arial" w:cs="Arial" w:eastAsia="Arial" w:hAnsi="Arial"/>
                <w:sz w:val="18"/>
                <w:szCs w:val="18"/>
                <w:color w:val="auto"/>
              </w:rPr>
              <w:t>Issuance of ADSs</w:t>
            </w:r>
          </w:p>
        </w:tc>
        <w:tc>
          <w:tcPr>
            <w:tcW w:w="616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w:t>
            </w:r>
          </w:p>
        </w:tc>
        <w:tc>
          <w:tcPr>
            <w:tcW w:w="4300" w:type="dxa"/>
            <w:vAlign w:val="bottom"/>
          </w:tcPr>
          <w:p>
            <w:pPr>
              <w:ind w:left="220"/>
              <w:spacing w:after="0"/>
              <w:rPr>
                <w:sz w:val="20"/>
                <w:szCs w:val="20"/>
                <w:color w:val="auto"/>
              </w:rPr>
            </w:pPr>
            <w:r>
              <w:rPr>
                <w:rFonts w:ascii="Arial" w:cs="Arial" w:eastAsia="Arial" w:hAnsi="Arial"/>
                <w:sz w:val="18"/>
                <w:szCs w:val="18"/>
                <w:color w:val="auto"/>
              </w:rPr>
              <w:t>Withdrawal of Deposited Securities</w:t>
            </w:r>
          </w:p>
        </w:tc>
        <w:tc>
          <w:tcPr>
            <w:tcW w:w="616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(3)</w:t>
            </w:r>
          </w:p>
        </w:tc>
        <w:tc>
          <w:tcPr>
            <w:tcW w:w="4300" w:type="dxa"/>
            <w:vAlign w:val="bottom"/>
          </w:tcPr>
          <w:p>
            <w:pPr>
              <w:ind w:left="220"/>
              <w:spacing w:after="0"/>
              <w:rPr>
                <w:sz w:val="20"/>
                <w:szCs w:val="20"/>
                <w:color w:val="auto"/>
              </w:rPr>
            </w:pPr>
            <w:r>
              <w:rPr>
                <w:rFonts w:ascii="Arial" w:cs="Arial" w:eastAsia="Arial" w:hAnsi="Arial"/>
                <w:sz w:val="18"/>
                <w:szCs w:val="18"/>
                <w:color w:val="auto"/>
              </w:rPr>
              <w:t>Transfers of ADRs</w:t>
            </w:r>
          </w:p>
        </w:tc>
        <w:tc>
          <w:tcPr>
            <w:tcW w:w="616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w:t>
            </w:r>
          </w:p>
        </w:tc>
        <w:tc>
          <w:tcPr>
            <w:tcW w:w="4300" w:type="dxa"/>
            <w:vAlign w:val="bottom"/>
          </w:tcPr>
          <w:p>
            <w:pPr>
              <w:ind w:left="220"/>
              <w:spacing w:after="0"/>
              <w:rPr>
                <w:sz w:val="20"/>
                <w:szCs w:val="20"/>
                <w:color w:val="auto"/>
              </w:rPr>
            </w:pPr>
            <w:r>
              <w:rPr>
                <w:rFonts w:ascii="Arial" w:cs="Arial" w:eastAsia="Arial" w:hAnsi="Arial"/>
                <w:sz w:val="18"/>
                <w:szCs w:val="18"/>
                <w:color w:val="auto"/>
              </w:rPr>
              <w:t>Certain Limitations</w:t>
            </w:r>
          </w:p>
        </w:tc>
        <w:tc>
          <w:tcPr>
            <w:tcW w:w="616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w:t>
            </w:r>
          </w:p>
        </w:tc>
        <w:tc>
          <w:tcPr>
            <w:tcW w:w="4300" w:type="dxa"/>
            <w:vAlign w:val="bottom"/>
          </w:tcPr>
          <w:p>
            <w:pPr>
              <w:ind w:left="220"/>
              <w:spacing w:after="0"/>
              <w:rPr>
                <w:sz w:val="20"/>
                <w:szCs w:val="20"/>
                <w:color w:val="auto"/>
              </w:rPr>
            </w:pPr>
            <w:r>
              <w:rPr>
                <w:rFonts w:ascii="Arial" w:cs="Arial" w:eastAsia="Arial" w:hAnsi="Arial"/>
                <w:sz w:val="18"/>
                <w:szCs w:val="18"/>
                <w:color w:val="auto"/>
                <w:w w:val="92"/>
              </w:rPr>
              <w:t>Liability of Holder for Taxes, Duties and Other Charges</w:t>
            </w:r>
          </w:p>
        </w:tc>
        <w:tc>
          <w:tcPr>
            <w:tcW w:w="6160" w:type="dxa"/>
            <w:vAlign w:val="bottom"/>
          </w:tcPr>
          <w:p>
            <w:pPr>
              <w:jc w:val="right"/>
              <w:spacing w:after="0"/>
              <w:rPr>
                <w:sz w:val="20"/>
                <w:szCs w:val="20"/>
                <w:color w:val="auto"/>
              </w:rPr>
            </w:pPr>
            <w:r>
              <w:rPr>
                <w:rFonts w:ascii="Arial" w:cs="Arial" w:eastAsia="Arial" w:hAnsi="Arial"/>
                <w:sz w:val="18"/>
                <w:szCs w:val="18"/>
                <w:color w:val="auto"/>
              </w:rPr>
              <w:t>A-4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(6)</w:t>
            </w:r>
          </w:p>
        </w:tc>
        <w:tc>
          <w:tcPr>
            <w:tcW w:w="4300" w:type="dxa"/>
            <w:vAlign w:val="bottom"/>
          </w:tcPr>
          <w:p>
            <w:pPr>
              <w:ind w:left="220"/>
              <w:spacing w:after="0"/>
              <w:rPr>
                <w:sz w:val="20"/>
                <w:szCs w:val="20"/>
                <w:color w:val="auto"/>
              </w:rPr>
            </w:pPr>
            <w:r>
              <w:rPr>
                <w:rFonts w:ascii="Arial" w:cs="Arial" w:eastAsia="Arial" w:hAnsi="Arial"/>
                <w:sz w:val="18"/>
                <w:szCs w:val="18"/>
                <w:color w:val="auto"/>
              </w:rPr>
              <w:t>Disclosure of Interests</w:t>
            </w:r>
          </w:p>
        </w:tc>
        <w:tc>
          <w:tcPr>
            <w:tcW w:w="6160" w:type="dxa"/>
            <w:vAlign w:val="bottom"/>
          </w:tcPr>
          <w:p>
            <w:pPr>
              <w:jc w:val="right"/>
              <w:spacing w:after="0"/>
              <w:rPr>
                <w:sz w:val="20"/>
                <w:szCs w:val="20"/>
                <w:color w:val="auto"/>
              </w:rPr>
            </w:pPr>
            <w:r>
              <w:rPr>
                <w:rFonts w:ascii="Arial" w:cs="Arial" w:eastAsia="Arial" w:hAnsi="Arial"/>
                <w:sz w:val="18"/>
                <w:szCs w:val="18"/>
                <w:color w:val="auto"/>
              </w:rPr>
              <w:t>A-5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(7)</w:t>
            </w:r>
          </w:p>
        </w:tc>
        <w:tc>
          <w:tcPr>
            <w:tcW w:w="4300" w:type="dxa"/>
            <w:vAlign w:val="bottom"/>
          </w:tcPr>
          <w:p>
            <w:pPr>
              <w:ind w:left="220"/>
              <w:spacing w:after="0"/>
              <w:rPr>
                <w:sz w:val="20"/>
                <w:szCs w:val="20"/>
                <w:color w:val="auto"/>
              </w:rPr>
            </w:pPr>
            <w:r>
              <w:rPr>
                <w:rFonts w:ascii="Arial" w:cs="Arial" w:eastAsia="Arial" w:hAnsi="Arial"/>
                <w:sz w:val="18"/>
                <w:szCs w:val="18"/>
                <w:color w:val="auto"/>
              </w:rPr>
              <w:t>Charges of Depositary</w:t>
            </w:r>
          </w:p>
        </w:tc>
        <w:tc>
          <w:tcPr>
            <w:tcW w:w="6160" w:type="dxa"/>
            <w:vAlign w:val="bottom"/>
          </w:tcPr>
          <w:p>
            <w:pPr>
              <w:jc w:val="right"/>
              <w:spacing w:after="0"/>
              <w:rPr>
                <w:sz w:val="20"/>
                <w:szCs w:val="20"/>
                <w:color w:val="auto"/>
              </w:rPr>
            </w:pPr>
            <w:r>
              <w:rPr>
                <w:rFonts w:ascii="Arial" w:cs="Arial" w:eastAsia="Arial" w:hAnsi="Arial"/>
                <w:sz w:val="18"/>
                <w:szCs w:val="18"/>
                <w:color w:val="auto"/>
              </w:rPr>
              <w:t>A-5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(8)</w:t>
            </w:r>
          </w:p>
        </w:tc>
        <w:tc>
          <w:tcPr>
            <w:tcW w:w="4300" w:type="dxa"/>
            <w:vAlign w:val="bottom"/>
          </w:tcPr>
          <w:p>
            <w:pPr>
              <w:ind w:left="220"/>
              <w:spacing w:after="0"/>
              <w:rPr>
                <w:sz w:val="20"/>
                <w:szCs w:val="20"/>
                <w:color w:val="auto"/>
              </w:rPr>
            </w:pPr>
            <w:r>
              <w:rPr>
                <w:rFonts w:ascii="Arial" w:cs="Arial" w:eastAsia="Arial" w:hAnsi="Arial"/>
                <w:sz w:val="18"/>
                <w:szCs w:val="18"/>
                <w:color w:val="auto"/>
              </w:rPr>
              <w:t>Available Information</w:t>
            </w:r>
          </w:p>
        </w:tc>
        <w:tc>
          <w:tcPr>
            <w:tcW w:w="616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(9)</w:t>
            </w:r>
          </w:p>
        </w:tc>
        <w:tc>
          <w:tcPr>
            <w:tcW w:w="4300" w:type="dxa"/>
            <w:vAlign w:val="bottom"/>
          </w:tcPr>
          <w:p>
            <w:pPr>
              <w:ind w:left="220"/>
              <w:spacing w:after="0"/>
              <w:rPr>
                <w:sz w:val="20"/>
                <w:szCs w:val="20"/>
                <w:color w:val="auto"/>
              </w:rPr>
            </w:pPr>
            <w:r>
              <w:rPr>
                <w:rFonts w:ascii="Arial" w:cs="Arial" w:eastAsia="Arial" w:hAnsi="Arial"/>
                <w:sz w:val="18"/>
                <w:szCs w:val="18"/>
                <w:color w:val="auto"/>
              </w:rPr>
              <w:t>Execution</w:t>
            </w:r>
          </w:p>
        </w:tc>
        <w:tc>
          <w:tcPr>
            <w:tcW w:w="616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324"/>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Signature of Depositary</w:t>
            </w:r>
          </w:p>
        </w:tc>
        <w:tc>
          <w:tcPr>
            <w:tcW w:w="616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324"/>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Address of Depositary’s Office</w:t>
            </w:r>
          </w:p>
        </w:tc>
        <w:tc>
          <w:tcPr>
            <w:tcW w:w="616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FORM OF REVERSE OF ADR</w:t>
            </w:r>
          </w:p>
        </w:tc>
        <w:tc>
          <w:tcPr>
            <w:tcW w:w="616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(10)</w:t>
            </w:r>
          </w:p>
        </w:tc>
        <w:tc>
          <w:tcPr>
            <w:tcW w:w="4300" w:type="dxa"/>
            <w:vAlign w:val="bottom"/>
          </w:tcPr>
          <w:p>
            <w:pPr>
              <w:ind w:left="220"/>
              <w:spacing w:after="0"/>
              <w:rPr>
                <w:sz w:val="20"/>
                <w:szCs w:val="20"/>
                <w:color w:val="auto"/>
              </w:rPr>
            </w:pPr>
            <w:r>
              <w:rPr>
                <w:rFonts w:ascii="Arial" w:cs="Arial" w:eastAsia="Arial" w:hAnsi="Arial"/>
                <w:sz w:val="18"/>
                <w:szCs w:val="18"/>
                <w:color w:val="auto"/>
              </w:rPr>
              <w:t>Distributions on Deposited Securities</w:t>
            </w:r>
          </w:p>
        </w:tc>
        <w:tc>
          <w:tcPr>
            <w:tcW w:w="616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(11)</w:t>
            </w:r>
          </w:p>
        </w:tc>
        <w:tc>
          <w:tcPr>
            <w:tcW w:w="4300" w:type="dxa"/>
            <w:vAlign w:val="bottom"/>
          </w:tcPr>
          <w:p>
            <w:pPr>
              <w:ind w:left="220"/>
              <w:spacing w:after="0"/>
              <w:rPr>
                <w:sz w:val="20"/>
                <w:szCs w:val="20"/>
                <w:color w:val="auto"/>
              </w:rPr>
            </w:pPr>
            <w:r>
              <w:rPr>
                <w:rFonts w:ascii="Arial" w:cs="Arial" w:eastAsia="Arial" w:hAnsi="Arial"/>
                <w:sz w:val="18"/>
                <w:szCs w:val="18"/>
                <w:color w:val="auto"/>
              </w:rPr>
              <w:t>Record Dates</w:t>
            </w:r>
          </w:p>
        </w:tc>
        <w:tc>
          <w:tcPr>
            <w:tcW w:w="616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(12)</w:t>
            </w:r>
          </w:p>
        </w:tc>
        <w:tc>
          <w:tcPr>
            <w:tcW w:w="4300" w:type="dxa"/>
            <w:vAlign w:val="bottom"/>
          </w:tcPr>
          <w:p>
            <w:pPr>
              <w:ind w:left="220"/>
              <w:spacing w:after="0"/>
              <w:rPr>
                <w:sz w:val="20"/>
                <w:szCs w:val="20"/>
                <w:color w:val="auto"/>
              </w:rPr>
            </w:pPr>
            <w:r>
              <w:rPr>
                <w:rFonts w:ascii="Arial" w:cs="Arial" w:eastAsia="Arial" w:hAnsi="Arial"/>
                <w:sz w:val="18"/>
                <w:szCs w:val="18"/>
                <w:color w:val="auto"/>
              </w:rPr>
              <w:t>Voting of Deposited Securities</w:t>
            </w:r>
          </w:p>
        </w:tc>
        <w:tc>
          <w:tcPr>
            <w:tcW w:w="616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(13)</w:t>
            </w:r>
          </w:p>
        </w:tc>
        <w:tc>
          <w:tcPr>
            <w:tcW w:w="4300" w:type="dxa"/>
            <w:vAlign w:val="bottom"/>
          </w:tcPr>
          <w:p>
            <w:pPr>
              <w:ind w:left="220"/>
              <w:spacing w:after="0"/>
              <w:rPr>
                <w:sz w:val="20"/>
                <w:szCs w:val="20"/>
                <w:color w:val="auto"/>
              </w:rPr>
            </w:pPr>
            <w:r>
              <w:rPr>
                <w:rFonts w:ascii="Arial" w:cs="Arial" w:eastAsia="Arial" w:hAnsi="Arial"/>
                <w:sz w:val="18"/>
                <w:szCs w:val="18"/>
                <w:color w:val="auto"/>
              </w:rPr>
              <w:t>Changes Affecting Deposited Securities</w:t>
            </w:r>
          </w:p>
        </w:tc>
        <w:tc>
          <w:tcPr>
            <w:tcW w:w="616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(14)</w:t>
            </w:r>
          </w:p>
        </w:tc>
        <w:tc>
          <w:tcPr>
            <w:tcW w:w="4300" w:type="dxa"/>
            <w:vAlign w:val="bottom"/>
          </w:tcPr>
          <w:p>
            <w:pPr>
              <w:ind w:left="220"/>
              <w:spacing w:after="0"/>
              <w:rPr>
                <w:sz w:val="20"/>
                <w:szCs w:val="20"/>
                <w:color w:val="auto"/>
              </w:rPr>
            </w:pPr>
            <w:r>
              <w:rPr>
                <w:rFonts w:ascii="Arial" w:cs="Arial" w:eastAsia="Arial" w:hAnsi="Arial"/>
                <w:sz w:val="18"/>
                <w:szCs w:val="18"/>
                <w:color w:val="auto"/>
              </w:rPr>
              <w:t>Exoneration</w:t>
            </w:r>
          </w:p>
        </w:tc>
        <w:tc>
          <w:tcPr>
            <w:tcW w:w="616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(15)</w:t>
            </w:r>
          </w:p>
        </w:tc>
        <w:tc>
          <w:tcPr>
            <w:tcW w:w="4300" w:type="dxa"/>
            <w:vAlign w:val="bottom"/>
          </w:tcPr>
          <w:p>
            <w:pPr>
              <w:ind w:left="220"/>
              <w:spacing w:after="0"/>
              <w:rPr>
                <w:sz w:val="20"/>
                <w:szCs w:val="20"/>
                <w:color w:val="auto"/>
              </w:rPr>
            </w:pPr>
            <w:r>
              <w:rPr>
                <w:rFonts w:ascii="Arial" w:cs="Arial" w:eastAsia="Arial" w:hAnsi="Arial"/>
                <w:sz w:val="18"/>
                <w:szCs w:val="18"/>
                <w:color w:val="auto"/>
                <w:w w:val="92"/>
              </w:rPr>
              <w:t>Resignation and Removal of Depositary; the Custodian</w:t>
            </w:r>
          </w:p>
        </w:tc>
        <w:tc>
          <w:tcPr>
            <w:tcW w:w="616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(16)</w:t>
            </w:r>
          </w:p>
        </w:tc>
        <w:tc>
          <w:tcPr>
            <w:tcW w:w="4300" w:type="dxa"/>
            <w:vAlign w:val="bottom"/>
          </w:tcPr>
          <w:p>
            <w:pPr>
              <w:ind w:left="220"/>
              <w:spacing w:after="0"/>
              <w:rPr>
                <w:sz w:val="20"/>
                <w:szCs w:val="20"/>
                <w:color w:val="auto"/>
              </w:rPr>
            </w:pPr>
            <w:r>
              <w:rPr>
                <w:rFonts w:ascii="Arial" w:cs="Arial" w:eastAsia="Arial" w:hAnsi="Arial"/>
                <w:sz w:val="18"/>
                <w:szCs w:val="18"/>
                <w:color w:val="auto"/>
              </w:rPr>
              <w:t>Amendment</w:t>
            </w:r>
          </w:p>
        </w:tc>
        <w:tc>
          <w:tcPr>
            <w:tcW w:w="616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(17)</w:t>
            </w:r>
          </w:p>
        </w:tc>
        <w:tc>
          <w:tcPr>
            <w:tcW w:w="430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616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(18)</w:t>
            </w:r>
          </w:p>
        </w:tc>
        <w:tc>
          <w:tcPr>
            <w:tcW w:w="4300" w:type="dxa"/>
            <w:vAlign w:val="bottom"/>
          </w:tcPr>
          <w:p>
            <w:pPr>
              <w:ind w:left="220"/>
              <w:spacing w:after="0"/>
              <w:rPr>
                <w:sz w:val="20"/>
                <w:szCs w:val="20"/>
                <w:color w:val="auto"/>
              </w:rPr>
            </w:pPr>
            <w:r>
              <w:rPr>
                <w:rFonts w:ascii="Arial" w:cs="Arial" w:eastAsia="Arial" w:hAnsi="Arial"/>
                <w:sz w:val="18"/>
                <w:szCs w:val="18"/>
                <w:color w:val="auto"/>
              </w:rPr>
              <w:t>Appointment</w:t>
            </w:r>
          </w:p>
        </w:tc>
        <w:tc>
          <w:tcPr>
            <w:tcW w:w="616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(19)</w:t>
            </w:r>
          </w:p>
        </w:tc>
        <w:tc>
          <w:tcPr>
            <w:tcW w:w="4300" w:type="dxa"/>
            <w:vAlign w:val="bottom"/>
          </w:tcPr>
          <w:p>
            <w:pPr>
              <w:ind w:left="220"/>
              <w:spacing w:after="0"/>
              <w:rPr>
                <w:sz w:val="20"/>
                <w:szCs w:val="20"/>
                <w:color w:val="auto"/>
              </w:rPr>
            </w:pPr>
            <w:r>
              <w:rPr>
                <w:rFonts w:ascii="Arial" w:cs="Arial" w:eastAsia="Arial" w:hAnsi="Arial"/>
                <w:sz w:val="18"/>
                <w:szCs w:val="18"/>
                <w:color w:val="auto"/>
              </w:rPr>
              <w:t>Waiver</w:t>
            </w:r>
          </w:p>
        </w:tc>
        <w:tc>
          <w:tcPr>
            <w:tcW w:w="616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(20)</w:t>
            </w:r>
          </w:p>
        </w:tc>
        <w:tc>
          <w:tcPr>
            <w:tcW w:w="4300" w:type="dxa"/>
            <w:vAlign w:val="bottom"/>
          </w:tcPr>
          <w:p>
            <w:pPr>
              <w:ind w:left="220"/>
              <w:spacing w:after="0"/>
              <w:rPr>
                <w:sz w:val="20"/>
                <w:szCs w:val="20"/>
                <w:color w:val="auto"/>
              </w:rPr>
            </w:pPr>
            <w:r>
              <w:rPr>
                <w:rFonts w:ascii="Arial" w:cs="Arial" w:eastAsia="Arial" w:hAnsi="Arial"/>
                <w:sz w:val="18"/>
                <w:szCs w:val="18"/>
                <w:color w:val="auto"/>
              </w:rPr>
              <w:t>Jurisdiction</w:t>
            </w:r>
          </w:p>
        </w:tc>
        <w:tc>
          <w:tcPr>
            <w:tcW w:w="6160" w:type="dxa"/>
            <w:vAlign w:val="bottom"/>
          </w:tcPr>
          <w:p>
            <w:pPr>
              <w:jc w:val="right"/>
              <w:spacing w:after="0"/>
              <w:rPr>
                <w:sz w:val="20"/>
                <w:szCs w:val="20"/>
                <w:color w:val="auto"/>
              </w:rPr>
            </w:pPr>
            <w:r>
              <w:rPr>
                <w:rFonts w:ascii="Arial" w:cs="Arial" w:eastAsia="Arial" w:hAnsi="Arial"/>
                <w:sz w:val="18"/>
                <w:szCs w:val="18"/>
                <w:color w:val="auto"/>
              </w:rPr>
              <w:t>A-14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823" w:right="299" w:bottom="1440" w:gutter="0" w:footer="0" w:header="0"/>
        </w:sectPr>
      </w:pPr>
    </w:p>
    <w:bookmarkStart w:id="13" w:name="page14"/>
    <w:bookmarkEnd w:id="13"/>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DEPOSIT AGREEMENT, dated as of December 21, 2017 (the “</w:t>
      </w:r>
      <w:r>
        <w:rPr>
          <w:rFonts w:ascii="Arial" w:cs="Arial" w:eastAsia="Arial" w:hAnsi="Arial"/>
          <w:sz w:val="18"/>
          <w:szCs w:val="18"/>
          <w:b w:val="1"/>
          <w:bCs w:val="1"/>
          <w:color w:val="auto"/>
        </w:rPr>
        <w:t>Deposit Agreement</w:t>
      </w:r>
      <w:r>
        <w:rPr>
          <w:rFonts w:ascii="Arial" w:cs="Arial" w:eastAsia="Arial" w:hAnsi="Arial"/>
          <w:sz w:val="18"/>
          <w:szCs w:val="18"/>
          <w:color w:val="auto"/>
        </w:rPr>
        <w:t>”), among iClick Interactive Asia Group Limited and its successors (the “</w:t>
      </w:r>
      <w:r>
        <w:rPr>
          <w:rFonts w:ascii="Arial" w:cs="Arial" w:eastAsia="Arial" w:hAnsi="Arial"/>
          <w:sz w:val="18"/>
          <w:szCs w:val="18"/>
          <w:b w:val="1"/>
          <w:bCs w:val="1"/>
          <w:color w:val="auto"/>
        </w:rPr>
        <w:t>Company</w:t>
      </w:r>
      <w:r>
        <w:rPr>
          <w:rFonts w:ascii="Arial" w:cs="Arial" w:eastAsia="Arial" w:hAnsi="Arial"/>
          <w:sz w:val="18"/>
          <w:szCs w:val="18"/>
          <w:color w:val="auto"/>
        </w:rPr>
        <w:t>”), JPMORGAN CHASE BANK, N.A., as depositary hereunder (the “</w:t>
      </w:r>
      <w:r>
        <w:rPr>
          <w:rFonts w:ascii="Arial" w:cs="Arial" w:eastAsia="Arial" w:hAnsi="Arial"/>
          <w:sz w:val="18"/>
          <w:szCs w:val="18"/>
          <w:b w:val="1"/>
          <w:bCs w:val="1"/>
          <w:color w:val="auto"/>
        </w:rPr>
        <w:t>Depositary</w:t>
      </w:r>
      <w:r>
        <w:rPr>
          <w:rFonts w:ascii="Arial" w:cs="Arial" w:eastAsia="Arial" w:hAnsi="Arial"/>
          <w:sz w:val="18"/>
          <w:szCs w:val="18"/>
          <w:color w:val="auto"/>
        </w:rPr>
        <w:t>”), and all holders from time to time of American Depositary Receipts issued hereunder (“</w:t>
      </w:r>
      <w:r>
        <w:rPr>
          <w:rFonts w:ascii="Arial" w:cs="Arial" w:eastAsia="Arial" w:hAnsi="Arial"/>
          <w:sz w:val="18"/>
          <w:szCs w:val="18"/>
          <w:b w:val="1"/>
          <w:bCs w:val="1"/>
          <w:color w:val="auto"/>
        </w:rPr>
        <w:t>ADRs</w:t>
      </w:r>
      <w:r>
        <w:rPr>
          <w:rFonts w:ascii="Arial" w:cs="Arial" w:eastAsia="Arial" w:hAnsi="Arial"/>
          <w:sz w:val="18"/>
          <w:szCs w:val="18"/>
          <w:color w:val="auto"/>
        </w:rPr>
        <w:t>”) evidencing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representing deposited Shares (as defined below). The Company hereby appoints the Depositary as depositary for the Deposited Securities and hereby authorizes and directs the Depositary to act in accordance with the terms set forth in this Deposit Agreement. All capitalized terms used herein have the meanings ascribed to them in Section 1 or elsewhere in this Deposit Agreement. The parties hereto agree as follows:</w:t>
      </w:r>
    </w:p>
    <w:p>
      <w:pPr>
        <w:spacing w:after="0" w:line="80" w:lineRule="exact"/>
        <w:rPr>
          <w:sz w:val="20"/>
          <w:szCs w:val="20"/>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ADR Register</w:t>
      </w:r>
      <w:r>
        <w:rPr>
          <w:rFonts w:ascii="Arial" w:cs="Arial" w:eastAsia="Arial" w:hAnsi="Arial"/>
          <w:sz w:val="18"/>
          <w:szCs w:val="18"/>
          <w:color w:val="auto"/>
        </w:rPr>
        <w:t>” is defined in paragraph (3) of the form of ADR.</w:t>
      </w:r>
    </w:p>
    <w:p>
      <w:pPr>
        <w:spacing w:after="0" w:line="225" w:lineRule="exact"/>
        <w:rPr>
          <w:rFonts w:ascii="Arial" w:cs="Arial" w:eastAsia="Arial" w:hAnsi="Arial"/>
          <w:sz w:val="18"/>
          <w:szCs w:val="18"/>
          <w:color w:val="auto"/>
        </w:rPr>
      </w:pPr>
    </w:p>
    <w:p>
      <w:pPr>
        <w:ind w:firstLine="464"/>
        <w:spacing w:after="0" w:line="256" w:lineRule="auto"/>
        <w:tabs>
          <w:tab w:leader="none" w:pos="711"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ADRs</w:t>
      </w:r>
      <w:r>
        <w:rPr>
          <w:rFonts w:ascii="Arial" w:cs="Arial" w:eastAsia="Arial" w:hAnsi="Arial"/>
          <w:sz w:val="18"/>
          <w:szCs w:val="18"/>
          <w:color w:val="auto"/>
        </w:rPr>
        <w:t>” mean the American Depositary Receipts executed and delivered hereunder. ADRs may be either in physical certificated form or Direct Registration ADRs (as hereinafter defined). ADRs in physical certificated form, and the terms and conditions governing the Direct Registration ADRs, shall be substantially in the form of Exhibit A annexed hereto (the “</w:t>
      </w:r>
      <w:r>
        <w:rPr>
          <w:rFonts w:ascii="Arial" w:cs="Arial" w:eastAsia="Arial" w:hAnsi="Arial"/>
          <w:sz w:val="18"/>
          <w:szCs w:val="18"/>
          <w:b w:val="1"/>
          <w:bCs w:val="1"/>
          <w:color w:val="auto"/>
        </w:rPr>
        <w:t>form of ADR</w:t>
      </w:r>
      <w:r>
        <w:rPr>
          <w:rFonts w:ascii="Arial" w:cs="Arial" w:eastAsia="Arial" w:hAnsi="Arial"/>
          <w:sz w:val="18"/>
          <w:szCs w:val="18"/>
          <w:color w:val="auto"/>
        </w:rPr>
        <w:t>”). The term “</w:t>
      </w:r>
      <w:r>
        <w:rPr>
          <w:rFonts w:ascii="Arial" w:cs="Arial" w:eastAsia="Arial" w:hAnsi="Arial"/>
          <w:sz w:val="18"/>
          <w:szCs w:val="18"/>
          <w:b w:val="1"/>
          <w:bCs w:val="1"/>
          <w:color w:val="auto"/>
        </w:rPr>
        <w:t>Direct Registration ADR</w:t>
      </w:r>
      <w:r>
        <w:rPr>
          <w:rFonts w:ascii="Arial" w:cs="Arial" w:eastAsia="Arial" w:hAnsi="Arial"/>
          <w:sz w:val="18"/>
          <w:szCs w:val="18"/>
          <w:color w:val="auto"/>
        </w:rPr>
        <w:t>” means an ADR, the ownership of which is recorded on the Direct Registration System. References to “</w:t>
      </w:r>
      <w:r>
        <w:rPr>
          <w:rFonts w:ascii="Arial" w:cs="Arial" w:eastAsia="Arial" w:hAnsi="Arial"/>
          <w:sz w:val="18"/>
          <w:szCs w:val="18"/>
          <w:b w:val="1"/>
          <w:bCs w:val="1"/>
          <w:color w:val="auto"/>
        </w:rPr>
        <w:t>ADRs</w:t>
      </w:r>
      <w:r>
        <w:rPr>
          <w:rFonts w:ascii="Arial" w:cs="Arial" w:eastAsia="Arial" w:hAnsi="Arial"/>
          <w:sz w:val="18"/>
          <w:szCs w:val="18"/>
          <w:color w:val="auto"/>
        </w:rPr>
        <w:t>” shall include certificated ADRs and Direct Registration ADRs, unless the context otherwise requires. The form of ADR is hereby incorporated herein and made a part hereof; the provisions of the form of ADR shall be binding upon the parties hereto.</w:t>
      </w:r>
    </w:p>
    <w:p>
      <w:pPr>
        <w:spacing w:after="0" w:line="187" w:lineRule="exact"/>
        <w:rPr>
          <w:rFonts w:ascii="Arial" w:cs="Arial" w:eastAsia="Arial" w:hAnsi="Arial"/>
          <w:sz w:val="18"/>
          <w:szCs w:val="18"/>
          <w:color w:val="auto"/>
        </w:rPr>
      </w:pPr>
    </w:p>
    <w:p>
      <w:pPr>
        <w:ind w:right="140" w:firstLine="464"/>
        <w:spacing w:after="0" w:line="282" w:lineRule="auto"/>
        <w:tabs>
          <w:tab w:leader="none" w:pos="701"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paragraph (13) of the form of ADR, (</w:t>
      </w:r>
      <w:r>
        <w:rPr>
          <w:rFonts w:ascii="Arial" w:cs="Arial" w:eastAsia="Arial" w:hAnsi="Arial"/>
          <w:sz w:val="18"/>
          <w:szCs w:val="18"/>
          <w:i w:val="1"/>
          <w:iCs w:val="1"/>
          <w:color w:val="auto"/>
        </w:rPr>
        <w:t>Changes Affecting Deposited Securities</w:t>
      </w:r>
      <w:r>
        <w:rPr>
          <w:rFonts w:ascii="Arial" w:cs="Arial" w:eastAsia="Arial" w:hAnsi="Arial"/>
          <w:sz w:val="18"/>
          <w:szCs w:val="18"/>
          <w:color w:val="auto"/>
        </w:rPr>
        <w:t>) each “</w:t>
      </w:r>
      <w:r>
        <w:rPr>
          <w:rFonts w:ascii="Arial" w:cs="Arial" w:eastAsia="Arial" w:hAnsi="Arial"/>
          <w:sz w:val="18"/>
          <w:szCs w:val="18"/>
          <w:b w:val="1"/>
          <w:bCs w:val="1"/>
          <w:color w:val="auto"/>
        </w:rPr>
        <w:t>ADS</w:t>
      </w:r>
      <w:r>
        <w:rPr>
          <w:rFonts w:ascii="Arial" w:cs="Arial" w:eastAsia="Arial" w:hAnsi="Arial"/>
          <w:sz w:val="18"/>
          <w:szCs w:val="18"/>
          <w:color w:val="auto"/>
        </w:rPr>
        <w:t>” evidenced by an ADR represents the right to receive one-half (1/2) of one Share and a pro rata share in any other Deposited Securities.</w:t>
      </w:r>
    </w:p>
    <w:p>
      <w:pPr>
        <w:spacing w:after="0" w:line="161" w:lineRule="exact"/>
        <w:rPr>
          <w:rFonts w:ascii="Arial" w:cs="Arial" w:eastAsia="Arial" w:hAnsi="Arial"/>
          <w:sz w:val="18"/>
          <w:szCs w:val="18"/>
          <w:color w:val="auto"/>
        </w:rPr>
      </w:pPr>
    </w:p>
    <w:p>
      <w:pPr>
        <w:ind w:right="100" w:firstLine="464"/>
        <w:spacing w:after="0" w:line="282" w:lineRule="auto"/>
        <w:tabs>
          <w:tab w:leader="none" w:pos="711"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the agent or agents of the Depositary (singly or collectively, as the context requires) and any additional or substitute Custodian appointed pursuant to Section 9.</w:t>
      </w:r>
    </w:p>
    <w:p>
      <w:pPr>
        <w:spacing w:after="0" w:line="161" w:lineRule="exact"/>
        <w:rPr>
          <w:rFonts w:ascii="Arial" w:cs="Arial" w:eastAsia="Arial" w:hAnsi="Arial"/>
          <w:sz w:val="18"/>
          <w:szCs w:val="18"/>
          <w:color w:val="auto"/>
        </w:rPr>
      </w:pPr>
    </w:p>
    <w:p>
      <w:pPr>
        <w:ind w:right="300" w:firstLine="464"/>
        <w:spacing w:after="0" w:line="261" w:lineRule="auto"/>
        <w:tabs>
          <w:tab w:leader="none" w:pos="70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color w:val="auto"/>
        </w:rPr>
        <w:t>deliver</w:t>
      </w:r>
      <w:r>
        <w:rPr>
          <w:rFonts w:ascii="Arial" w:cs="Arial" w:eastAsia="Arial" w:hAnsi="Arial"/>
          <w:sz w:val="18"/>
          <w:szCs w:val="18"/>
          <w:color w:val="auto"/>
        </w:rPr>
        <w:t>”, “</w:t>
      </w:r>
      <w:r>
        <w:rPr>
          <w:rFonts w:ascii="Arial" w:cs="Arial" w:eastAsia="Arial" w:hAnsi="Arial"/>
          <w:sz w:val="18"/>
          <w:szCs w:val="18"/>
          <w:b w:val="1"/>
          <w:bCs w:val="1"/>
          <w:color w:val="auto"/>
        </w:rPr>
        <w:t>execute</w:t>
      </w:r>
      <w:r>
        <w:rPr>
          <w:rFonts w:ascii="Arial" w:cs="Arial" w:eastAsia="Arial" w:hAnsi="Arial"/>
          <w:sz w:val="18"/>
          <w:szCs w:val="18"/>
          <w:color w:val="auto"/>
        </w:rPr>
        <w:t>”, “</w:t>
      </w:r>
      <w:r>
        <w:rPr>
          <w:rFonts w:ascii="Arial" w:cs="Arial" w:eastAsia="Arial" w:hAnsi="Arial"/>
          <w:sz w:val="18"/>
          <w:szCs w:val="18"/>
          <w:b w:val="1"/>
          <w:bCs w:val="1"/>
          <w:color w:val="auto"/>
        </w:rPr>
        <w:t>issue</w:t>
      </w:r>
      <w:r>
        <w:rPr>
          <w:rFonts w:ascii="Arial" w:cs="Arial" w:eastAsia="Arial" w:hAnsi="Arial"/>
          <w:sz w:val="18"/>
          <w:szCs w:val="18"/>
          <w:color w:val="auto"/>
        </w:rPr>
        <w:t>”, “</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surrender</w:t>
      </w:r>
      <w:r>
        <w:rPr>
          <w:rFonts w:ascii="Arial" w:cs="Arial" w:eastAsia="Arial" w:hAnsi="Arial"/>
          <w:sz w:val="18"/>
          <w:szCs w:val="18"/>
          <w:color w:val="auto"/>
        </w:rPr>
        <w:t>”, “</w:t>
      </w:r>
      <w:r>
        <w:rPr>
          <w:rFonts w:ascii="Arial" w:cs="Arial" w:eastAsia="Arial" w:hAnsi="Arial"/>
          <w:sz w:val="18"/>
          <w:szCs w:val="18"/>
          <w:b w:val="1"/>
          <w:bCs w:val="1"/>
          <w:color w:val="auto"/>
        </w:rPr>
        <w:t>transfer</w:t>
      </w:r>
      <w:r>
        <w:rPr>
          <w:rFonts w:ascii="Arial" w:cs="Arial" w:eastAsia="Arial" w:hAnsi="Arial"/>
          <w:sz w:val="18"/>
          <w:szCs w:val="18"/>
          <w:color w:val="auto"/>
        </w:rPr>
        <w:t>” or “</w:t>
      </w:r>
      <w:r>
        <w:rPr>
          <w:rFonts w:ascii="Arial" w:cs="Arial" w:eastAsia="Arial" w:hAnsi="Arial"/>
          <w:sz w:val="18"/>
          <w:szCs w:val="18"/>
          <w:b w:val="1"/>
          <w:bCs w:val="1"/>
          <w:color w:val="auto"/>
        </w:rPr>
        <w:t>cancel</w:t>
      </w:r>
      <w:r>
        <w:rPr>
          <w:rFonts w:ascii="Arial" w:cs="Arial" w:eastAsia="Arial" w:hAnsi="Arial"/>
          <w:sz w:val="18"/>
          <w:szCs w:val="18"/>
          <w:color w:val="auto"/>
        </w:rPr>
        <w:t>”, when used with respect to Direct Registration ADRs, shall refer to an entry or entries or an electronic transfer or transfers in the Direct Registration System, and, when used with respect to ADRs in physical certificated form, shall refer to the physical delivery, execution, issuance, registration, surrender, transfer or cancellation of certificates representing the ADRs.</w:t>
      </w:r>
    </w:p>
    <w:p>
      <w:pPr>
        <w:spacing w:after="0" w:line="180" w:lineRule="exact"/>
        <w:rPr>
          <w:rFonts w:ascii="Arial" w:cs="Arial" w:eastAsia="Arial" w:hAnsi="Arial"/>
          <w:sz w:val="18"/>
          <w:szCs w:val="18"/>
          <w:color w:val="auto"/>
        </w:rPr>
      </w:pPr>
    </w:p>
    <w:p>
      <w:pPr>
        <w:ind w:left="680" w:hanging="21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Order</w:t>
      </w:r>
      <w:r>
        <w:rPr>
          <w:rFonts w:ascii="Arial" w:cs="Arial" w:eastAsia="Arial" w:hAnsi="Arial"/>
          <w:sz w:val="18"/>
          <w:szCs w:val="18"/>
          <w:color w:val="auto"/>
        </w:rPr>
        <w:t>” is defined in Section 3.</w:t>
      </w:r>
    </w:p>
    <w:p>
      <w:pPr>
        <w:spacing w:after="0" w:line="225" w:lineRule="exact"/>
        <w:rPr>
          <w:rFonts w:ascii="Arial" w:cs="Arial" w:eastAsia="Arial" w:hAnsi="Arial"/>
          <w:sz w:val="18"/>
          <w:szCs w:val="18"/>
          <w:color w:val="auto"/>
        </w:rPr>
      </w:pPr>
    </w:p>
    <w:p>
      <w:pPr>
        <w:ind w:right="200" w:firstLine="464"/>
        <w:spacing w:after="0" w:line="266" w:lineRule="auto"/>
        <w:tabs>
          <w:tab w:leader="none" w:pos="711"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Deposited Securities</w:t>
      </w:r>
      <w:r>
        <w:rPr>
          <w:rFonts w:ascii="Arial" w:cs="Arial" w:eastAsia="Arial" w:hAnsi="Arial"/>
          <w:sz w:val="18"/>
          <w:szCs w:val="18"/>
          <w:color w:val="auto"/>
        </w:rPr>
        <w:t>” as of any time means all Shares at such time deposited under this Deposit Agreement and any and all other Shares, securities, property and cash at such time held by the Depositary or the Custodian in respect or in lieu of such deposited Shares and other Shares, securities, property and cash.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23" w:right="239" w:bottom="1440" w:gutter="0" w:footer="0" w:header="0"/>
        </w:sectPr>
      </w:pPr>
    </w:p>
    <w:bookmarkStart w:id="14" w:name="page15"/>
    <w:bookmarkEnd w:id="14"/>
    <w:p>
      <w:pPr>
        <w:ind w:firstLine="464"/>
        <w:spacing w:after="0" w:line="258" w:lineRule="auto"/>
        <w:tabs>
          <w:tab w:leader="none" w:pos="711"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w:t>
      </w:r>
      <w:r>
        <w:rPr>
          <w:rFonts w:ascii="Arial" w:cs="Arial" w:eastAsia="Arial" w:hAnsi="Arial"/>
          <w:sz w:val="18"/>
          <w:szCs w:val="18"/>
          <w:b w:val="1"/>
          <w:bCs w:val="1"/>
          <w:color w:val="auto"/>
        </w:rPr>
        <w:t>Direct Registration System</w:t>
      </w:r>
      <w:r>
        <w:rPr>
          <w:rFonts w:ascii="Arial" w:cs="Arial" w:eastAsia="Arial" w:hAnsi="Arial"/>
          <w:sz w:val="18"/>
          <w:szCs w:val="18"/>
          <w:color w:val="auto"/>
        </w:rPr>
        <w:t>” means the system for the uncertificated registration of ownership of securities established by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and utilized by the Depositary pursuant to which the Depositary may record the ownership of ADRs without the issuance of a certificate, which ownership shall be evidenced by periodic statements issued by the Depositary to the Holders entitled thereto. For purposes hereof, the Direct Registration System shall include access to the Profile Modification System maintained by DTC which provides for automated transfer of ownership between DTC and the Depositary.</w:t>
      </w:r>
    </w:p>
    <w:p>
      <w:pPr>
        <w:spacing w:after="0" w:line="183" w:lineRule="exact"/>
        <w:rPr>
          <w:rFonts w:ascii="Arial" w:cs="Arial" w:eastAsia="Arial" w:hAnsi="Arial"/>
          <w:sz w:val="18"/>
          <w:szCs w:val="18"/>
          <w:color w:val="auto"/>
        </w:rPr>
      </w:pPr>
    </w:p>
    <w:p>
      <w:pPr>
        <w:ind w:left="680" w:hanging="216"/>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person or persons in whose name an ADR is registered on the ADR Register.</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 of 1933</w:t>
      </w:r>
      <w:r>
        <w:rPr>
          <w:rFonts w:ascii="Arial" w:cs="Arial" w:eastAsia="Arial" w:hAnsi="Arial"/>
          <w:sz w:val="18"/>
          <w:szCs w:val="18"/>
          <w:color w:val="auto"/>
        </w:rPr>
        <w:t>” means the United States Securities Act of 1933, as from time to time amended.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Exchange Act of 1934</w:t>
      </w:r>
      <w:r>
        <w:rPr>
          <w:rFonts w:ascii="Arial" w:cs="Arial" w:eastAsia="Arial" w:hAnsi="Arial"/>
          <w:sz w:val="18"/>
          <w:szCs w:val="18"/>
          <w:color w:val="auto"/>
        </w:rPr>
        <w:t>” means the United States Securities Exchange Act of 1934, as from time to time amended.</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w:t>
      </w:r>
      <w:r>
        <w:rPr>
          <w:rFonts w:ascii="Arial" w:cs="Arial" w:eastAsia="Arial" w:hAnsi="Arial"/>
          <w:sz w:val="16"/>
          <w:szCs w:val="16"/>
          <w:color w:val="auto"/>
        </w:rPr>
        <w:t>” mean the Class A ordinary shares of the Company, and shall include the rights to receive Shares specified in paragraph (1) of the form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ADR.</w:t>
      </w:r>
    </w:p>
    <w:p>
      <w:pPr>
        <w:spacing w:after="0" w:line="206" w:lineRule="exact"/>
        <w:rPr>
          <w:rFonts w:ascii="Arial" w:cs="Arial" w:eastAsia="Arial" w:hAnsi="Arial"/>
          <w:sz w:val="16"/>
          <w:szCs w:val="16"/>
          <w:color w:val="auto"/>
        </w:rPr>
      </w:pPr>
    </w:p>
    <w:p>
      <w:pPr>
        <w:ind w:left="760" w:hanging="29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Office</w:t>
      </w:r>
      <w:r>
        <w:rPr>
          <w:rFonts w:ascii="Arial" w:cs="Arial" w:eastAsia="Arial" w:hAnsi="Arial"/>
          <w:sz w:val="18"/>
          <w:szCs w:val="18"/>
          <w:color w:val="auto"/>
        </w:rPr>
        <w:t>” is defined in paragraph (3) of the form of ADR.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Order</w:t>
      </w:r>
      <w:r>
        <w:rPr>
          <w:rFonts w:ascii="Arial" w:cs="Arial" w:eastAsia="Arial" w:hAnsi="Arial"/>
          <w:sz w:val="18"/>
          <w:szCs w:val="18"/>
          <w:color w:val="auto"/>
        </w:rPr>
        <w:t>” is defined in Section 6.</w:t>
      </w:r>
    </w:p>
    <w:p>
      <w:pPr>
        <w:spacing w:after="0" w:line="225"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Form of ADRs</w:t>
      </w:r>
      <w:r>
        <w:rPr>
          <w:rFonts w:ascii="Arial" w:cs="Arial" w:eastAsia="Arial" w:hAnsi="Arial"/>
          <w:sz w:val="18"/>
          <w:szCs w:val="18"/>
          <w:color w:val="auto"/>
        </w:rPr>
        <w:t>.</w:t>
      </w:r>
    </w:p>
    <w:p>
      <w:pPr>
        <w:spacing w:after="0" w:line="229" w:lineRule="exact"/>
        <w:rPr>
          <w:sz w:val="20"/>
          <w:szCs w:val="20"/>
          <w:color w:val="auto"/>
        </w:rPr>
      </w:pPr>
    </w:p>
    <w:p>
      <w:pPr>
        <w:ind w:right="60" w:firstLine="464"/>
        <w:spacing w:after="0" w:line="277" w:lineRule="auto"/>
        <w:tabs>
          <w:tab w:leader="none" w:pos="701"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Direct Registration ADRs. </w:t>
      </w:r>
      <w:r>
        <w:rPr>
          <w:rFonts w:ascii="Arial" w:cs="Arial" w:eastAsia="Arial" w:hAnsi="Arial"/>
          <w:sz w:val="18"/>
          <w:szCs w:val="18"/>
          <w:color w:val="auto"/>
        </w:rPr>
        <w:t>Notwithstanding anything in this Deposit Agreement or in the form of ADR to the contrary, ADSs shall be evidenced by</w:t>
      </w:r>
      <w:r>
        <w:rPr>
          <w:rFonts w:ascii="Arial" w:cs="Arial" w:eastAsia="Arial" w:hAnsi="Arial"/>
          <w:sz w:val="18"/>
          <w:szCs w:val="18"/>
          <w:i w:val="1"/>
          <w:iCs w:val="1"/>
          <w:color w:val="auto"/>
        </w:rPr>
        <w:t xml:space="preserve"> </w:t>
      </w:r>
      <w:r>
        <w:rPr>
          <w:rFonts w:ascii="Arial" w:cs="Arial" w:eastAsia="Arial" w:hAnsi="Arial"/>
          <w:sz w:val="18"/>
          <w:szCs w:val="18"/>
          <w:color w:val="auto"/>
        </w:rPr>
        <w:t>Direct Registration ADRs, unless certificated ADRs are specifically requested by the Holder.</w:t>
      </w:r>
    </w:p>
    <w:p>
      <w:pPr>
        <w:spacing w:after="0" w:line="170" w:lineRule="exact"/>
        <w:rPr>
          <w:rFonts w:ascii="Arial" w:cs="Arial" w:eastAsia="Arial" w:hAnsi="Arial"/>
          <w:sz w:val="18"/>
          <w:szCs w:val="18"/>
          <w:color w:val="auto"/>
        </w:rPr>
      </w:pPr>
    </w:p>
    <w:p>
      <w:pPr>
        <w:ind w:firstLine="464"/>
        <w:spacing w:after="0" w:line="254"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Certificated ADRs. </w:t>
      </w:r>
      <w:r>
        <w:rPr>
          <w:rFonts w:ascii="Arial" w:cs="Arial" w:eastAsia="Arial" w:hAnsi="Arial"/>
          <w:sz w:val="18"/>
          <w:szCs w:val="18"/>
          <w:color w:val="auto"/>
        </w:rPr>
        <w:t>ADRs in certificated form shall be printed or otherwise reproduced at the discretion of the Depositary in accordance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practices in its American depositary receipt business, or at the request of the Company typewritten and photocopied on plain or safety paper, and shall be substantially in the form set forth in the form of ADR, with such changes as may be required by the Depositary or the Company to comply with their obligations hereunder, any applicable law, regulation or usage or to indicate any special limitations or restrictions to which any particular ADRs are subject. ADRs may be issued in denominations of any number of ADSs. ADRs in certificated form shall be executed by the Depositary by the manual or facsimile signature of a duly authorized officer of the Depositary. ADRs in certificated form bearing the facsimile signature of anyone who was at the time of execution a duly authorized officer of the Depositary shall bind the Depositary, notwithstanding that such officer has ceased to hold such office prior to the delivery of such ADRs.</w:t>
      </w:r>
    </w:p>
    <w:p>
      <w:pPr>
        <w:spacing w:after="0" w:line="192" w:lineRule="exact"/>
        <w:rPr>
          <w:rFonts w:ascii="Arial" w:cs="Arial" w:eastAsia="Arial" w:hAnsi="Arial"/>
          <w:sz w:val="18"/>
          <w:szCs w:val="18"/>
          <w:color w:val="auto"/>
        </w:rPr>
      </w:pPr>
    </w:p>
    <w:p>
      <w:pPr>
        <w:ind w:right="100" w:firstLine="464"/>
        <w:spacing w:after="0" w:line="277" w:lineRule="auto"/>
        <w:tabs>
          <w:tab w:leader="none" w:pos="701"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Binding Effect. </w:t>
      </w:r>
      <w:r>
        <w:rPr>
          <w:rFonts w:ascii="Arial" w:cs="Arial" w:eastAsia="Arial" w:hAnsi="Arial"/>
          <w:sz w:val="18"/>
          <w:szCs w:val="18"/>
          <w:color w:val="auto"/>
        </w:rPr>
        <w:t>Holders shall be bound by the terms and conditions of this Deposit Agreement and of the form of ADR, regardless of whether their</w:t>
      </w:r>
      <w:r>
        <w:rPr>
          <w:rFonts w:ascii="Arial" w:cs="Arial" w:eastAsia="Arial" w:hAnsi="Arial"/>
          <w:sz w:val="18"/>
          <w:szCs w:val="18"/>
          <w:i w:val="1"/>
          <w:iCs w:val="1"/>
          <w:color w:val="auto"/>
        </w:rPr>
        <w:t xml:space="preserve"> </w:t>
      </w:r>
      <w:r>
        <w:rPr>
          <w:rFonts w:ascii="Arial" w:cs="Arial" w:eastAsia="Arial" w:hAnsi="Arial"/>
          <w:sz w:val="18"/>
          <w:szCs w:val="18"/>
          <w:color w:val="auto"/>
        </w:rPr>
        <w:t>ADRs are Direct Registration ADRs or certificated ADRs.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823" w:right="279" w:bottom="1440" w:gutter="0" w:footer="0" w:header="0"/>
        </w:sectPr>
      </w:pPr>
    </w:p>
    <w:bookmarkStart w:id="15" w:name="page16"/>
    <w:bookmarkEnd w:id="15"/>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Deposit of Shares</w:t>
      </w:r>
      <w:r>
        <w:rPr>
          <w:rFonts w:ascii="Arial" w:cs="Arial" w:eastAsia="Arial" w:hAnsi="Arial"/>
          <w:sz w:val="18"/>
          <w:szCs w:val="18"/>
          <w:color w:val="auto"/>
        </w:rPr>
        <w:t>.</w:t>
      </w:r>
    </w:p>
    <w:p>
      <w:pPr>
        <w:spacing w:after="0" w:line="121" w:lineRule="exact"/>
        <w:rPr>
          <w:sz w:val="20"/>
          <w:szCs w:val="20"/>
          <w:color w:val="auto"/>
        </w:rPr>
      </w:pPr>
    </w:p>
    <w:p>
      <w:pPr>
        <w:ind w:left="700" w:hanging="236"/>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Requirements. </w:t>
      </w:r>
      <w:r>
        <w:rPr>
          <w:rFonts w:ascii="Arial" w:cs="Arial" w:eastAsia="Arial" w:hAnsi="Arial"/>
          <w:sz w:val="16"/>
          <w:szCs w:val="16"/>
          <w:color w:val="auto"/>
        </w:rPr>
        <w:t>In connection with the deposit of Shares hereunder, the Depositary or the Custodian may require the following in a form satisfactory</w:t>
      </w:r>
    </w:p>
    <w:p>
      <w:pPr>
        <w:spacing w:after="0" w:line="46" w:lineRule="exact"/>
        <w:rPr>
          <w:rFonts w:ascii="Arial" w:cs="Arial" w:eastAsia="Arial" w:hAnsi="Arial"/>
          <w:sz w:val="16"/>
          <w:szCs w:val="16"/>
          <w:color w:val="auto"/>
        </w:rPr>
      </w:pPr>
    </w:p>
    <w:p>
      <w:pPr>
        <w:ind w:right="120"/>
        <w:spacing w:after="0" w:line="295" w:lineRule="auto"/>
        <w:rPr>
          <w:rFonts w:ascii="Arial" w:cs="Arial" w:eastAsia="Arial" w:hAnsi="Arial"/>
          <w:sz w:val="16"/>
          <w:szCs w:val="16"/>
          <w:color w:val="auto"/>
        </w:rPr>
      </w:pPr>
      <w:r>
        <w:rPr>
          <w:rFonts w:ascii="Arial" w:cs="Arial" w:eastAsia="Arial" w:hAnsi="Arial"/>
          <w:sz w:val="16"/>
          <w:szCs w:val="16"/>
          <w:color w:val="auto"/>
        </w:rPr>
        <w:t>to it: (i) a written order directing the Depositary to issue to, or upon the written order of, the person or persons designated in such order a Direct Registration ADR or ADRs evidencing the number of ADSs representing such deposited Shares (a “</w:t>
      </w:r>
      <w:r>
        <w:rPr>
          <w:rFonts w:ascii="Arial" w:cs="Arial" w:eastAsia="Arial" w:hAnsi="Arial"/>
          <w:sz w:val="16"/>
          <w:szCs w:val="16"/>
          <w:b w:val="1"/>
          <w:bCs w:val="1"/>
          <w:color w:val="auto"/>
        </w:rPr>
        <w:t>Delivery Order</w:t>
      </w:r>
      <w:r>
        <w:rPr>
          <w:rFonts w:ascii="Arial" w:cs="Arial" w:eastAsia="Arial" w:hAnsi="Arial"/>
          <w:sz w:val="16"/>
          <w:szCs w:val="16"/>
          <w:color w:val="auto"/>
        </w:rPr>
        <w:t>”); and (ii) proper endorsements or duly executed instruments of transfer in respect of such deposited Shares. Shares presented for deposit shall, at the time of such deposit, be registered in the name of JPMorgan Chase Bank, N.A., as depositary for the benefit of holders of ADRs or in such other name as the Depositary shall direct.</w:t>
      </w:r>
    </w:p>
    <w:p>
      <w:pPr>
        <w:spacing w:after="0" w:line="161" w:lineRule="exact"/>
        <w:rPr>
          <w:rFonts w:ascii="Arial" w:cs="Arial" w:eastAsia="Arial" w:hAnsi="Arial"/>
          <w:sz w:val="16"/>
          <w:szCs w:val="16"/>
          <w:color w:val="auto"/>
        </w:rPr>
      </w:pPr>
    </w:p>
    <w:p>
      <w:pPr>
        <w:ind w:right="80" w:firstLine="464"/>
        <w:spacing w:after="0" w:line="272" w:lineRule="auto"/>
        <w:tabs>
          <w:tab w:leader="none" w:pos="711"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Delivery of Deposited Securities. </w:t>
      </w:r>
      <w:r>
        <w:rPr>
          <w:rFonts w:ascii="Arial" w:cs="Arial" w:eastAsia="Arial" w:hAnsi="Arial"/>
          <w:sz w:val="17"/>
          <w:szCs w:val="17"/>
          <w:color w:val="auto"/>
        </w:rPr>
        <w:t>Deposited Securities shall be held by the Custodian for the account and to the order of the Depositary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of Holders of ADRs (to the extent not prohibited by law) at such place or places and in such manner as the Depositary shall determine. Deposited Securities may be delivered by the Custodian to any person only under the circumstances expressly contemplated in this Deposit Agreement. To the extent that the provisions of or governing the Shares make delivery of certificates therefor impracticable, Shares may be deposited hereunder by such delivery thereof as the Depositary or the Custodian may reasonably accept, including, without limitation, by causing them to be credited to an account maintained by the Custodian for such purpose with the Company or an accredited intermediary, such as a bank, acting as a registrar for the Shares, together with delivery of the documents, payments and Delivery Order referred to herein to the Custodian or the Depositary.</w:t>
      </w:r>
    </w:p>
    <w:p>
      <w:pPr>
        <w:spacing w:after="0" w:line="174" w:lineRule="exact"/>
        <w:rPr>
          <w:sz w:val="20"/>
          <w:szCs w:val="20"/>
          <w:color w:val="auto"/>
        </w:rPr>
      </w:pPr>
    </w:p>
    <w:p>
      <w:pPr>
        <w:ind w:right="100" w:firstLine="464"/>
        <w:spacing w:after="0" w:line="258" w:lineRule="auto"/>
        <w:tabs>
          <w:tab w:leader="none" w:pos="636"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Issue of ADR</w:t>
      </w:r>
      <w:r>
        <w:rPr>
          <w:rFonts w:ascii="Arial" w:cs="Arial" w:eastAsia="Arial" w:hAnsi="Arial"/>
          <w:sz w:val="18"/>
          <w:szCs w:val="18"/>
          <w:color w:val="auto"/>
        </w:rPr>
        <w:t>. After any such deposit of Shares, the Custodian shall notify the Depositary of such deposit and of the information contained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Delivery Order by letter, first class airmail postage prepaid, or, at the request, risk and expense of the person making the deposit, by SWIFT, cable, telex or facsimile transmission. After receiving such notice from the Custodian, the Depositary, subject to this Deposit Agreement, shall properly issue at the Transfer Office, to or upon the order of any person named in such notice, an ADR or ADRs registered as requested and evidencing the aggregate ADSs to which such person is entitled.</w:t>
      </w:r>
    </w:p>
    <w:p>
      <w:pPr>
        <w:spacing w:after="0" w:line="183" w:lineRule="exact"/>
        <w:rPr>
          <w:rFonts w:ascii="Arial" w:cs="Arial" w:eastAsia="Arial" w:hAnsi="Arial"/>
          <w:sz w:val="18"/>
          <w:szCs w:val="18"/>
          <w:color w:val="auto"/>
        </w:rPr>
      </w:pPr>
    </w:p>
    <w:p>
      <w:pPr>
        <w:ind w:left="640" w:hanging="176"/>
        <w:spacing w:after="0"/>
        <w:tabs>
          <w:tab w:leader="none" w:pos="640" w:val="left"/>
        </w:tabs>
        <w:numPr>
          <w:ilvl w:val="1"/>
          <w:numId w:val="15"/>
        </w:numPr>
        <w:rPr>
          <w:rFonts w:ascii="Arial" w:cs="Arial" w:eastAsia="Arial" w:hAnsi="Arial"/>
          <w:sz w:val="16"/>
          <w:szCs w:val="16"/>
          <w:color w:val="auto"/>
        </w:rPr>
      </w:pPr>
      <w:r>
        <w:rPr>
          <w:rFonts w:ascii="Arial" w:cs="Arial" w:eastAsia="Arial" w:hAnsi="Arial"/>
          <w:sz w:val="16"/>
          <w:szCs w:val="16"/>
          <w:b w:val="1"/>
          <w:bCs w:val="1"/>
          <w:color w:val="auto"/>
        </w:rPr>
        <w:t>Distributions on Deposited Securities</w:t>
      </w:r>
      <w:r>
        <w:rPr>
          <w:rFonts w:ascii="Arial" w:cs="Arial" w:eastAsia="Arial" w:hAnsi="Arial"/>
          <w:sz w:val="16"/>
          <w:szCs w:val="16"/>
          <w:color w:val="auto"/>
        </w:rPr>
        <w:t>. To the extent that the Depositary determines in its discretion that any distribution pursuant to paragraph</w:t>
      </w:r>
    </w:p>
    <w:p>
      <w:pPr>
        <w:spacing w:after="0" w:line="50" w:lineRule="exact"/>
        <w:rPr>
          <w:rFonts w:ascii="Arial" w:cs="Arial" w:eastAsia="Arial" w:hAnsi="Arial"/>
          <w:sz w:val="16"/>
          <w:szCs w:val="16"/>
          <w:color w:val="auto"/>
        </w:rPr>
      </w:pPr>
    </w:p>
    <w:p>
      <w:pPr>
        <w:ind w:firstLine="8"/>
        <w:spacing w:after="0" w:line="254" w:lineRule="auto"/>
        <w:tabs>
          <w:tab w:leader="none" w:pos="3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 the form of ADR (</w:t>
      </w:r>
      <w:r>
        <w:rPr>
          <w:rFonts w:ascii="Arial" w:cs="Arial" w:eastAsia="Arial" w:hAnsi="Arial"/>
          <w:sz w:val="18"/>
          <w:szCs w:val="18"/>
          <w:i w:val="1"/>
          <w:iCs w:val="1"/>
          <w:color w:val="auto"/>
        </w:rPr>
        <w:t>Distributions on Deposited Securities</w:t>
      </w:r>
      <w:r>
        <w:rPr>
          <w:rFonts w:ascii="Arial" w:cs="Arial" w:eastAsia="Arial" w:hAnsi="Arial"/>
          <w:sz w:val="18"/>
          <w:szCs w:val="18"/>
          <w:color w:val="auto"/>
        </w:rPr>
        <w:t>) is not practicable with respect to any Holder, the Depositary may make such distribution as it so deems practicable, including the distribution of foreign currency, securities or property (or appropriate documents evidencing the right to receive foreign currency, securities or property) or the retention thereof as Deposited Securities with respect to such Holder’s ADRs (without liability for interest thereon or the investment thereof).</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823" w:right="259" w:bottom="1440" w:gutter="0" w:footer="0" w:header="0"/>
        </w:sectPr>
      </w:pPr>
    </w:p>
    <w:bookmarkStart w:id="16" w:name="page17"/>
    <w:bookmarkEnd w:id="16"/>
    <w:p>
      <w:pPr>
        <w:ind w:left="-20" w:right="20" w:firstLine="464"/>
        <w:spacing w:after="0" w:line="270"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Withdrawal of Deposited Securities</w:t>
      </w:r>
      <w:r>
        <w:rPr>
          <w:rFonts w:ascii="Arial" w:cs="Arial" w:eastAsia="Arial" w:hAnsi="Arial"/>
          <w:sz w:val="17"/>
          <w:szCs w:val="17"/>
          <w:color w:val="auto"/>
        </w:rPr>
        <w:t>. In connection with any surrender of an ADR for withdrawal of the Deposited Securities represented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ADSs evidenced thereby, the Depositary may require proper endorsement in blank of such ADR (or duly executed instruments of transfer thereof in blank) and the Holder’s written order directing the Depositary to cause the Deposited Securities represented by the ADSs evidenced by such ADR to be withdrawn and delivered to, or upon the written order of, any person designated in such order (a “</w:t>
      </w:r>
      <w:r>
        <w:rPr>
          <w:rFonts w:ascii="Arial" w:cs="Arial" w:eastAsia="Arial" w:hAnsi="Arial"/>
          <w:sz w:val="17"/>
          <w:szCs w:val="17"/>
          <w:b w:val="1"/>
          <w:bCs w:val="1"/>
          <w:color w:val="auto"/>
        </w:rPr>
        <w:t>Withdrawal Order</w:t>
      </w:r>
      <w:r>
        <w:rPr>
          <w:rFonts w:ascii="Arial" w:cs="Arial" w:eastAsia="Arial" w:hAnsi="Arial"/>
          <w:sz w:val="17"/>
          <w:szCs w:val="17"/>
          <w:color w:val="auto"/>
        </w:rPr>
        <w:t>”). Directions from the Depositary to the Custodian to deliver Deposited Securities shall be given by letter, first class airmail postage prepaid, or, at the request, risk and expense of the Holder, by SWIFT, cable, telex or facsimile transmission. Delivery of Deposited Securities may be made by the delivery of certificates (which, if required by law shall be properly endorsed or accompanied by properly executed instruments of transfer or, if such certificates may be registered, registered in the name of such Holder or as ordered by such Holder in any Withdrawal Order) or by such other means as the Depositary may deem practicable, including, without limitation, by transfer of record ownership thereof to an account designated in the Withdrawal Order maintained either by the Company or an accredited intermediary, such as a bank, acting as a registrar for the Deposited Securities.</w:t>
      </w:r>
    </w:p>
    <w:p>
      <w:pPr>
        <w:spacing w:after="0" w:line="177" w:lineRule="exact"/>
        <w:rPr>
          <w:rFonts w:ascii="Arial" w:cs="Arial" w:eastAsia="Arial" w:hAnsi="Arial"/>
          <w:sz w:val="17"/>
          <w:szCs w:val="17"/>
          <w:color w:val="auto"/>
        </w:rPr>
      </w:pPr>
    </w:p>
    <w:p>
      <w:pPr>
        <w:jc w:val="both"/>
        <w:ind w:left="-20" w:right="380" w:firstLine="464"/>
        <w:spacing w:after="0" w:line="281"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Substitution of ADRs</w:t>
      </w:r>
      <w:r>
        <w:rPr>
          <w:rFonts w:ascii="Arial" w:cs="Arial" w:eastAsia="Arial" w:hAnsi="Arial"/>
          <w:sz w:val="17"/>
          <w:szCs w:val="17"/>
          <w:color w:val="auto"/>
        </w:rPr>
        <w:t>. The Depositary shall execute and deliver a new Direct Registration ADR in exchange and substitution for any mutilated</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certificated ADR upon cancellation thereof or in lieu of and in substitution for such destroyed, lost or stolen certificated ADR, unless the Depositary has notice that such ADR has been acquired by a bona fide purchaser, upon the Holder thereof filing with the Depositary a request for such execution and delivery and a sufficient indemnity bond and satisfying any other reasonable requirements imposed by the Depositary.</w:t>
      </w:r>
    </w:p>
    <w:p>
      <w:pPr>
        <w:spacing w:after="0" w:line="164" w:lineRule="exact"/>
        <w:rPr>
          <w:rFonts w:ascii="Arial" w:cs="Arial" w:eastAsia="Arial" w:hAnsi="Arial"/>
          <w:sz w:val="17"/>
          <w:szCs w:val="17"/>
          <w:color w:val="auto"/>
        </w:rPr>
      </w:pPr>
    </w:p>
    <w:p>
      <w:pPr>
        <w:ind w:left="-20" w:firstLine="464"/>
        <w:spacing w:after="0" w:line="282" w:lineRule="auto"/>
        <w:tabs>
          <w:tab w:leader="none" w:pos="61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Cancellation and Destruction of ADRs</w:t>
      </w:r>
      <w:r>
        <w:rPr>
          <w:rFonts w:ascii="Arial" w:cs="Arial" w:eastAsia="Arial" w:hAnsi="Arial"/>
          <w:sz w:val="18"/>
          <w:szCs w:val="18"/>
          <w:color w:val="auto"/>
        </w:rPr>
        <w:t>. All ADRs surrendered to the Depositary shall be cancelled by the Depositary. The Depositary is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to destroy ADRs in certificated form so cancelled in accordance with its customary practices.</w:t>
      </w:r>
    </w:p>
    <w:p>
      <w:pPr>
        <w:spacing w:after="0" w:line="161" w:lineRule="exact"/>
        <w:rPr>
          <w:rFonts w:ascii="Arial" w:cs="Arial" w:eastAsia="Arial" w:hAnsi="Arial"/>
          <w:sz w:val="18"/>
          <w:szCs w:val="18"/>
          <w:color w:val="auto"/>
        </w:rPr>
      </w:pPr>
    </w:p>
    <w:p>
      <w:pPr>
        <w:ind w:left="620" w:hanging="176"/>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The Custodian</w:t>
      </w:r>
      <w:r>
        <w:rPr>
          <w:rFonts w:ascii="Arial" w:cs="Arial" w:eastAsia="Arial" w:hAnsi="Arial"/>
          <w:sz w:val="18"/>
          <w:szCs w:val="18"/>
          <w:color w:val="auto"/>
        </w:rPr>
        <w:t>.</w:t>
      </w:r>
    </w:p>
    <w:p>
      <w:pPr>
        <w:spacing w:after="0" w:line="229" w:lineRule="exact"/>
        <w:rPr>
          <w:sz w:val="20"/>
          <w:szCs w:val="20"/>
          <w:color w:val="auto"/>
        </w:rPr>
      </w:pPr>
    </w:p>
    <w:p>
      <w:pPr>
        <w:ind w:left="-20" w:right="60" w:firstLine="464"/>
        <w:spacing w:after="0" w:line="264" w:lineRule="auto"/>
        <w:tabs>
          <w:tab w:leader="none" w:pos="681"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Rights of the Depositary. </w:t>
      </w:r>
      <w:r>
        <w:rPr>
          <w:rFonts w:ascii="Arial" w:cs="Arial" w:eastAsia="Arial" w:hAnsi="Arial"/>
          <w:sz w:val="18"/>
          <w:szCs w:val="18"/>
          <w:color w:val="auto"/>
        </w:rPr>
        <w:t>Any Custodian in acting hereunder shall be subject to the directions of the Depositary and shall be responsible solely to it.</w:t>
      </w:r>
      <w:r>
        <w:rPr>
          <w:rFonts w:ascii="Arial" w:cs="Arial" w:eastAsia="Arial" w:hAnsi="Arial"/>
          <w:sz w:val="18"/>
          <w:szCs w:val="18"/>
          <w:i w:val="1"/>
          <w:iCs w:val="1"/>
          <w:color w:val="auto"/>
        </w:rPr>
        <w:t xml:space="preserve"> </w:t>
      </w:r>
      <w:r>
        <w:rPr>
          <w:rFonts w:ascii="Arial" w:cs="Arial" w:eastAsia="Arial" w:hAnsi="Arial"/>
          <w:sz w:val="18"/>
          <w:szCs w:val="18"/>
          <w:color w:val="auto"/>
        </w:rPr>
        <w:t>The Depositary reserves the right to add, replace or remove a Custodian. The Depositary will give prompt notice of any such action, which will be advance notice if practicable.</w:t>
      </w:r>
    </w:p>
    <w:p>
      <w:pPr>
        <w:spacing w:after="0" w:line="181" w:lineRule="exact"/>
        <w:rPr>
          <w:rFonts w:ascii="Arial" w:cs="Arial" w:eastAsia="Arial" w:hAnsi="Arial"/>
          <w:sz w:val="18"/>
          <w:szCs w:val="18"/>
          <w:color w:val="auto"/>
        </w:rPr>
      </w:pPr>
    </w:p>
    <w:p>
      <w:pPr>
        <w:ind w:left="-20" w:right="60" w:firstLine="464"/>
        <w:spacing w:after="0" w:line="289" w:lineRule="auto"/>
        <w:tabs>
          <w:tab w:leader="none" w:pos="691"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Rights of the Custodian. </w:t>
      </w:r>
      <w:r>
        <w:rPr>
          <w:rFonts w:ascii="Arial" w:cs="Arial" w:eastAsia="Arial" w:hAnsi="Arial"/>
          <w:sz w:val="16"/>
          <w:szCs w:val="16"/>
          <w:color w:val="auto"/>
        </w:rPr>
        <w:t>Any Custodian may resign from its duties hereunder by providing at least 30 days prior written notice to the Depositary.</w:t>
      </w:r>
      <w:r>
        <w:rPr>
          <w:rFonts w:ascii="Arial" w:cs="Arial" w:eastAsia="Arial" w:hAnsi="Arial"/>
          <w:sz w:val="16"/>
          <w:szCs w:val="16"/>
          <w:i w:val="1"/>
          <w:iCs w:val="1"/>
          <w:color w:val="auto"/>
        </w:rPr>
        <w:t xml:space="preserve"> </w:t>
      </w:r>
      <w:r>
        <w:rPr>
          <w:rFonts w:ascii="Arial" w:cs="Arial" w:eastAsia="Arial" w:hAnsi="Arial"/>
          <w:sz w:val="16"/>
          <w:szCs w:val="16"/>
          <w:color w:val="auto"/>
        </w:rPr>
        <w:t>Promptly after the receipt of such written notice, the Depositary shall endeavor to appoint a substitute custodian or custodians, each of which shall be a Custodian hereunder upon the effectiveness of such resignation. The Depositary may discharge any Custodian at any time upon notice to the Custodian being discharged. Any Custodian ceasing to act hereunder as Custodian shall deliver, upon the instruction of the Depositary, all Deposited Securities held by it to a Custodian continuing to act. Notwithstanding anything to the contrary contained in this Deposit Agreement (including the ADRs) and subject to the penultimate sentence of paragraph (14) of the form of ADR (</w:t>
      </w:r>
      <w:r>
        <w:rPr>
          <w:rFonts w:ascii="Arial" w:cs="Arial" w:eastAsia="Arial" w:hAnsi="Arial"/>
          <w:sz w:val="16"/>
          <w:szCs w:val="16"/>
          <w:i w:val="1"/>
          <w:iCs w:val="1"/>
          <w:color w:val="auto"/>
        </w:rPr>
        <w:t>Exoneration</w:t>
      </w:r>
      <w:r>
        <w:rPr>
          <w:rFonts w:ascii="Arial" w:cs="Arial" w:eastAsia="Arial" w:hAnsi="Arial"/>
          <w:sz w:val="16"/>
          <w:szCs w:val="16"/>
          <w:color w:val="auto"/>
        </w:rPr>
        <w:t>),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823" w:right="259" w:bottom="1440" w:gutter="0" w:footer="0" w:header="0"/>
        </w:sectPr>
      </w:pPr>
    </w:p>
    <w:bookmarkStart w:id="17" w:name="page18"/>
    <w:bookmarkEnd w:id="17"/>
    <w:p>
      <w:pPr>
        <w:jc w:val="both"/>
        <w:ind w:left="-60" w:right="140" w:firstLine="464"/>
        <w:spacing w:after="0" w:line="261" w:lineRule="auto"/>
        <w:tabs>
          <w:tab w:leader="none" w:pos="666"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Lists of Holders</w:t>
      </w:r>
      <w:r>
        <w:rPr>
          <w:rFonts w:ascii="Arial" w:cs="Arial" w:eastAsia="Arial" w:hAnsi="Arial"/>
          <w:sz w:val="18"/>
          <w:szCs w:val="18"/>
          <w:color w:val="auto"/>
        </w:rPr>
        <w:t>. The Company shall have the right to inspect transfer records of the Depositary and its agents and the ADR Register, take copies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and require the Depositary and its agents to supply copies of such portions of such records as the Company may request. The Depositary or its agent shall furnish to the Company promptly upon the written request of the Company, a list of the names, addresses and holdings of ADSs by all Holders as of a date within seven days of the Depositary’s receipt of such request.</w:t>
      </w:r>
    </w:p>
    <w:p>
      <w:pPr>
        <w:spacing w:after="0" w:line="180" w:lineRule="exact"/>
        <w:rPr>
          <w:rFonts w:ascii="Arial" w:cs="Arial" w:eastAsia="Arial" w:hAnsi="Arial"/>
          <w:sz w:val="18"/>
          <w:szCs w:val="18"/>
          <w:color w:val="auto"/>
        </w:rPr>
      </w:pPr>
    </w:p>
    <w:p>
      <w:pPr>
        <w:ind w:left="-60" w:right="140" w:firstLine="464"/>
        <w:spacing w:after="0" w:line="26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Depositary’s Agents</w:t>
      </w:r>
      <w:r>
        <w:rPr>
          <w:rFonts w:ascii="Arial" w:cs="Arial" w:eastAsia="Arial" w:hAnsi="Arial"/>
          <w:sz w:val="18"/>
          <w:szCs w:val="18"/>
          <w:color w:val="auto"/>
        </w:rPr>
        <w:t>. The Depositary may perform its obligations under this Deposit Agreement through any agent appointed by it,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shall notify the Company of such appointment and shall remain responsible for the performance of such obligations as if no agent were appointed, subject to paragraph (14) of the form of ADR (</w:t>
      </w:r>
      <w:r>
        <w:rPr>
          <w:rFonts w:ascii="Arial" w:cs="Arial" w:eastAsia="Arial" w:hAnsi="Arial"/>
          <w:sz w:val="18"/>
          <w:szCs w:val="18"/>
          <w:i w:val="1"/>
          <w:iCs w:val="1"/>
          <w:color w:val="auto"/>
        </w:rPr>
        <w:t>Exoneration</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680" w:hanging="276"/>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Resignation and Removal of the Depositary; Appointment of Successor Depositary</w:t>
      </w:r>
      <w:r>
        <w:rPr>
          <w:rFonts w:ascii="Arial" w:cs="Arial" w:eastAsia="Arial" w:hAnsi="Arial"/>
          <w:sz w:val="18"/>
          <w:szCs w:val="18"/>
          <w:color w:val="auto"/>
        </w:rPr>
        <w:t>.</w:t>
      </w:r>
    </w:p>
    <w:p>
      <w:pPr>
        <w:spacing w:after="0" w:line="229" w:lineRule="exact"/>
        <w:rPr>
          <w:sz w:val="20"/>
          <w:szCs w:val="20"/>
          <w:color w:val="auto"/>
        </w:rPr>
      </w:pPr>
    </w:p>
    <w:p>
      <w:pPr>
        <w:jc w:val="both"/>
        <w:ind w:left="-60" w:right="40" w:firstLine="464"/>
        <w:spacing w:after="0" w:line="342" w:lineRule="auto"/>
        <w:tabs>
          <w:tab w:leader="none" w:pos="641"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Resignation of the Depositary. </w:t>
      </w:r>
      <w:r>
        <w:rPr>
          <w:rFonts w:ascii="Arial" w:cs="Arial" w:eastAsia="Arial" w:hAnsi="Arial"/>
          <w:sz w:val="16"/>
          <w:szCs w:val="16"/>
          <w:color w:val="auto"/>
        </w:rPr>
        <w:t>The Depositary may at any time resign as Depositary hereunder by written notice of its election so to do delivered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such resignation to take effect upon the appointment of a successor depositary and its acceptance of such appointment as hereinafter provided.</w:t>
      </w:r>
    </w:p>
    <w:p>
      <w:pPr>
        <w:spacing w:after="0" w:line="123" w:lineRule="exact"/>
        <w:rPr>
          <w:rFonts w:ascii="Arial" w:cs="Arial" w:eastAsia="Arial" w:hAnsi="Arial"/>
          <w:sz w:val="16"/>
          <w:szCs w:val="16"/>
          <w:color w:val="auto"/>
        </w:rPr>
      </w:pPr>
    </w:p>
    <w:p>
      <w:pPr>
        <w:ind w:left="-60" w:firstLine="464"/>
        <w:spacing w:after="0" w:line="273" w:lineRule="auto"/>
        <w:tabs>
          <w:tab w:leader="none" w:pos="651"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Removal of the Depositary. </w:t>
      </w:r>
      <w:r>
        <w:rPr>
          <w:rFonts w:ascii="Arial" w:cs="Arial" w:eastAsia="Arial" w:hAnsi="Arial"/>
          <w:sz w:val="17"/>
          <w:szCs w:val="17"/>
          <w:color w:val="auto"/>
        </w:rPr>
        <w:t>The Depositary may at any time be removed by the Company by providing no less than 60 days prior written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removal to the Depositary, such removal to take effect on the later of (i) the 60</w:t>
      </w:r>
      <w:r>
        <w:rPr>
          <w:rFonts w:ascii="Arial" w:cs="Arial" w:eastAsia="Arial" w:hAnsi="Arial"/>
          <w:sz w:val="14"/>
          <w:szCs w:val="14"/>
          <w:color w:val="auto"/>
        </w:rPr>
        <w:t>th</w:t>
      </w:r>
      <w:r>
        <w:rPr>
          <w:rFonts w:ascii="Arial" w:cs="Arial" w:eastAsia="Arial" w:hAnsi="Arial"/>
          <w:sz w:val="17"/>
          <w:szCs w:val="17"/>
          <w:color w:val="auto"/>
        </w:rPr>
        <w:t xml:space="preserve"> day after such notice of removal is first provided and (ii) the appointment of a successor depositary and its acceptance of such appointment as hereinafter provided. Notwithstanding the foregoing, if upon the resignation or removal of the Depositary a successor depositary is not appointed within the applicable 60-day period (in the case of resignation) or 90-day period (in the case of removal) as specified in paragraph (17) of the form of ADR (</w:t>
      </w:r>
      <w:r>
        <w:rPr>
          <w:rFonts w:ascii="Arial" w:cs="Arial" w:eastAsia="Arial" w:hAnsi="Arial"/>
          <w:sz w:val="17"/>
          <w:szCs w:val="17"/>
          <w:i w:val="1"/>
          <w:iCs w:val="1"/>
          <w:color w:val="auto"/>
        </w:rPr>
        <w:t>Termination</w:t>
      </w:r>
      <w:r>
        <w:rPr>
          <w:rFonts w:ascii="Arial" w:cs="Arial" w:eastAsia="Arial" w:hAnsi="Arial"/>
          <w:sz w:val="17"/>
          <w:szCs w:val="17"/>
          <w:color w:val="auto"/>
        </w:rPr>
        <w:t>), then the Depositary may elect to terminate this Deposit Agreement and the ADR and the provisions of said paragraph (17) shall thereafter govern the Depositary’s obligations hereunder.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300" w:top="823" w:right="279" w:bottom="1440" w:gutter="0" w:footer="0" w:header="0"/>
        </w:sectPr>
      </w:pPr>
    </w:p>
    <w:bookmarkStart w:id="18" w:name="page19"/>
    <w:bookmarkEnd w:id="18"/>
    <w:p>
      <w:pPr>
        <w:ind w:left="-40" w:right="20" w:firstLine="464"/>
        <w:spacing w:after="0" w:line="269" w:lineRule="auto"/>
        <w:tabs>
          <w:tab w:leader="none" w:pos="661"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 xml:space="preserve">Appointment of Successor Depository. </w:t>
      </w:r>
      <w:r>
        <w:rPr>
          <w:rFonts w:ascii="Arial" w:cs="Arial" w:eastAsia="Arial" w:hAnsi="Arial"/>
          <w:sz w:val="17"/>
          <w:szCs w:val="17"/>
          <w:color w:val="auto"/>
        </w:rPr>
        <w:t>In case at any time the Depositary acting hereunder shall resign or be removed, the Company shall use its</w:t>
      </w:r>
      <w:r>
        <w:rPr>
          <w:rFonts w:ascii="Arial" w:cs="Arial" w:eastAsia="Arial" w:hAnsi="Arial"/>
          <w:sz w:val="17"/>
          <w:szCs w:val="17"/>
          <w:i w:val="1"/>
          <w:iCs w:val="1"/>
          <w:color w:val="auto"/>
        </w:rPr>
        <w:t xml:space="preserve"> </w:t>
      </w:r>
      <w:r>
        <w:rPr>
          <w:rFonts w:ascii="Arial" w:cs="Arial" w:eastAsia="Arial" w:hAnsi="Arial"/>
          <w:sz w:val="17"/>
          <w:szCs w:val="17"/>
          <w:color w:val="auto"/>
        </w:rPr>
        <w:t>best efforts to appoint a successor depositary, which shall be a bank or trust company having an office in the Borough of Manhattan, The City of New York.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only upon payment of all sums due to it and on the written request of the Company, shall (i) execute and deliver an instrument transferring to such successor all rights and powers of such predecessor hereunder (other than its rights to indemnification and fees owing, each of which shall survive any such removal and/or resignation), (ii) duly assign, transfer and deliver all right, title and interest to the Deposited Securities to such successor, and (iii) deliver to such successor a list of the Holders of all outstanding ADRs. Any such successor depositary shall promptly mail notice of its appointment to such Holders. Any bank or trust company into or with which the Depositary may be merged or consolidated, or to which the Depositary shall transfer substantially all its American depositary receipt business, shall be the successor of the Depositary without the execution or filing of any document or any further act.</w:t>
      </w:r>
    </w:p>
    <w:p>
      <w:pPr>
        <w:spacing w:after="0" w:line="179" w:lineRule="exact"/>
        <w:rPr>
          <w:sz w:val="20"/>
          <w:szCs w:val="20"/>
          <w:color w:val="auto"/>
        </w:rPr>
      </w:pPr>
    </w:p>
    <w:p>
      <w:pPr>
        <w:ind w:left="-40" w:firstLine="464"/>
        <w:spacing w:after="0" w:line="273" w:lineRule="auto"/>
        <w:tabs>
          <w:tab w:leader="none" w:pos="686"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Reports</w:t>
      </w:r>
      <w:r>
        <w:rPr>
          <w:rFonts w:ascii="Arial" w:cs="Arial" w:eastAsia="Arial" w:hAnsi="Arial"/>
          <w:sz w:val="17"/>
          <w:szCs w:val="17"/>
          <w:color w:val="auto"/>
        </w:rPr>
        <w:t>. On or before the first date on which the Company makes any communication available to holders of Deposited Securities or any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authority or stock exchange, by publication or otherwise, the Company shall transmit to the Depositary a copy thereof in English or with an English translation or summary. The Company has delivered to the Depositary, the Custodian and any Transfer Office, a copy of all provisions of or governing the Shares and any other Deposited Securities issued by the Company or any affiliate of the Company and, promptly upon any change thereto, the Company shall deliver to the Depositary, the Custodian and any Transfer Office, a copy (in English or with an English translation) of such provisions as so changed. The Depositary and its agents may rely upon the Company’s delivery of all such communications, information and provisions for all purposes of this Deposit Agreement and the Depositary shall have no liability for the accuracy or completeness of any thereof.</w:t>
      </w:r>
    </w:p>
    <w:p>
      <w:pPr>
        <w:spacing w:after="0" w:line="172" w:lineRule="exact"/>
        <w:rPr>
          <w:rFonts w:ascii="Arial" w:cs="Arial" w:eastAsia="Arial" w:hAnsi="Arial"/>
          <w:sz w:val="17"/>
          <w:szCs w:val="17"/>
          <w:color w:val="auto"/>
        </w:rPr>
      </w:pPr>
    </w:p>
    <w:p>
      <w:pPr>
        <w:ind w:left="-40" w:right="80" w:firstLine="464"/>
        <w:spacing w:after="0" w:line="270" w:lineRule="auto"/>
        <w:tabs>
          <w:tab w:leader="none" w:pos="686"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Additional Shares</w:t>
      </w:r>
      <w:r>
        <w:rPr>
          <w:rFonts w:ascii="Arial" w:cs="Arial" w:eastAsia="Arial" w:hAnsi="Arial"/>
          <w:sz w:val="17"/>
          <w:szCs w:val="17"/>
          <w:color w:val="auto"/>
        </w:rPr>
        <w:t>. The Company agrees with the Depositary that neither the Company nor any company controlling, controlled by or under</w:t>
      </w:r>
      <w:r>
        <w:rPr>
          <w:rFonts w:ascii="Arial" w:cs="Arial" w:eastAsia="Arial" w:hAnsi="Arial"/>
          <w:sz w:val="17"/>
          <w:szCs w:val="17"/>
          <w:b w:val="1"/>
          <w:bCs w:val="1"/>
          <w:color w:val="auto"/>
        </w:rPr>
        <w:t xml:space="preserve"> </w:t>
      </w:r>
      <w:r>
        <w:rPr>
          <w:rFonts w:ascii="Arial" w:cs="Arial" w:eastAsia="Arial" w:hAnsi="Arial"/>
          <w:sz w:val="17"/>
          <w:szCs w:val="17"/>
          <w:color w:val="auto"/>
        </w:rPr>
        <w:t>common control with the Company shall issue additional Shares, rights to subscribe for Shares, securities convertible into or exchangeable for Shares, or rights to subscribe for any such securities, or shall deposit any Shares under this Deposit Agreement, except under circumstances complying in all respects with the Securities Act of 1933. At the reasonable request of the Depositary where it deems necessary in the case of any such issuance, subscription, conversion, exchange or deposit, the Company will furnish the Depositary with legal opinions, in forms and from counsels reasonably acceptable to the Depositary, dealing with such issues requested by the Depositary. The Depositary shall not knowingly accept for deposit hereunder any Shares required to be registered under the Securities Act unless a registration statement is in effect and shall use reasonable efforts to comply with written instructions of the Company not to accept for deposit hereunder any Shares identified in such instructions at such times and under such circumstances as may reasonably be specified in such instructions in order to facilitate the Company’s compliance with the requirements of the securities laws, rules and regulations in the United States.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827" w:right="259" w:bottom="1440" w:gutter="0" w:footer="0" w:header="0"/>
        </w:sectPr>
      </w:pPr>
    </w:p>
    <w:bookmarkStart w:id="19" w:name="page20"/>
    <w:bookmarkEnd w:id="19"/>
    <w:p>
      <w:pPr>
        <w:ind w:firstLine="464"/>
        <w:spacing w:after="0" w:line="295" w:lineRule="auto"/>
        <w:tabs>
          <w:tab w:leader="none" w:pos="726"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Indemnification</w:t>
      </w:r>
      <w:r>
        <w:rPr>
          <w:rFonts w:ascii="Arial" w:cs="Arial" w:eastAsia="Arial" w:hAnsi="Arial"/>
          <w:sz w:val="16"/>
          <w:szCs w:val="16"/>
          <w:color w:val="auto"/>
        </w:rPr>
        <w:t>. The Company shall indemnify, defend and save harmless each of the Depositary, the Custodian and their respective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employees, agents and affiliates against any loss, liability or expense (including reasonable fees and expenses of counsel) which may arise out of acts performed or omitted, in connection with the provisions of this Deposit Agreement and of the ADRs, as the same may be amended, modified or supplemented from time to time in accordance herewith (i) by either the Depositary or a Custodian or their respective directors, officers, employees, agents and affiliates, except for any liability or expense directly arising out of the negligence or willful misconduct of the Depositary or its directors, officers or affiliates acting in their capacities as such hereunder, or (ii) by the Company or any of its directors, officers, employees, agents and affiliates.</w:t>
      </w:r>
    </w:p>
    <w:p>
      <w:pPr>
        <w:spacing w:after="0" w:line="16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indemnities set forth in the preceding paragraph shall also apply to any liability or expense which may arise out of any misstatement or alleged misstatement or omission or alleged omission in any registration statement, proxy statement, prospectus (or placement memorandum), or preliminary prospectus (or preliminary placement memorandum) relating to the offer, issuance, deposit, withdrawal or sale of ADSs, except to the extent any such liability or expense arises out of (i) information relating to the Depositary or its agents (other than the Company), as applicable, furnished in writing by the Depositary expressly for use in any of the foregoing documents and not changed or altered by the Company or any other person (other than the Depositary or its agents (other than the Company)) or (ii) if such information is provided, the failure to state a material fact therein necessary in order to make the information provided, in the light of the circumstances under which made, not misleading.</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Except as provided in the next succeeding paragraph or in Section 9 hereof, the Depositary shall indemnify, defend and save harmless the Company and its directors, officers, employees, agents and affiliates acting on the Company’s behalf hereunder against any loss, liability or expense (including reasonable fees and expenses of counsel) to the extent such loss, liability or expense is directly due to the negligence or willful misconduct of the Depositary or its Custodian (subject to the limitations provided for in Section 9 hereof) or their respective directors, officers, employees, agents and affiliates acting in their capacities as such hereunder on behalf of the Depositary.</w:t>
      </w:r>
    </w:p>
    <w:p>
      <w:pPr>
        <w:spacing w:after="0" w:line="18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Notwithstanding any other provision of this Deposit Agreement or the ADRs to the contrary, neither the Depositary nor the Company, nor any of their agents shall be liable to the other for any indirect, special, punitive or consequential damages or lost profits (including, without limitation, legal fees and expenses), in each case of any form (collectively, “</w:t>
      </w:r>
      <w:r>
        <w:rPr>
          <w:rFonts w:ascii="Arial" w:cs="Arial" w:eastAsia="Arial" w:hAnsi="Arial"/>
          <w:sz w:val="16"/>
          <w:szCs w:val="16"/>
          <w:b w:val="1"/>
          <w:bCs w:val="1"/>
          <w:color w:val="auto"/>
        </w:rPr>
        <w:t>Special Damages</w:t>
      </w:r>
      <w:r>
        <w:rPr>
          <w:rFonts w:ascii="Arial" w:cs="Arial" w:eastAsia="Arial" w:hAnsi="Arial"/>
          <w:sz w:val="16"/>
          <w:szCs w:val="16"/>
          <w:color w:val="auto"/>
        </w:rPr>
        <w:t>”) incurred by any of them, or liable to any other person or entity (including, without limitation, Holders and beneficial owners of, or holders of interests in, ADSs and ADRs) for any Special Damages (including, without limitation, for the avoidance of doubt, legal fees and expenses), whether or not foreseeable and regardless of the type of action in which such a claim may be brought; provided, however, that to the extent Special Damages arise from or out of a claim brought by a third party (including, without limitation, Holders and beneficial owners of, or holders of interests in, ADSs and ADRs) against the Depositary or any of its agents acting under the Deposit Agreement, the Depositary and its agents shall be entitled to full indemnification from the Company for all such Special Damages (including, without limitation, for the avoidance of doubt, legal fees and expenses), unless such Special Damages are found to have been a direct result of the gross negligence or willful misconduct of the Depositary.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23" w:right="239" w:bottom="1440" w:gutter="0" w:footer="0" w:header="0"/>
        </w:sectPr>
      </w:pPr>
    </w:p>
    <w:bookmarkStart w:id="20" w:name="page21"/>
    <w:bookmarkEnd w:id="20"/>
    <w:p>
      <w:pPr>
        <w:ind w:right="8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The obligations set forth in this Section 15 shall survive the termination of this Deposit Agreement and the succession or substitution of any indemnified person.</w:t>
      </w:r>
    </w:p>
    <w:p>
      <w:pPr>
        <w:spacing w:after="0" w:line="166" w:lineRule="exact"/>
        <w:rPr>
          <w:sz w:val="20"/>
          <w:szCs w:val="20"/>
          <w:color w:val="auto"/>
        </w:rPr>
      </w:pPr>
    </w:p>
    <w:p>
      <w:pPr>
        <w:ind w:left="740" w:hanging="27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w:t>
      </w:r>
    </w:p>
    <w:p>
      <w:pPr>
        <w:spacing w:after="0" w:line="229" w:lineRule="exact"/>
        <w:rPr>
          <w:sz w:val="20"/>
          <w:szCs w:val="20"/>
          <w:color w:val="auto"/>
        </w:rPr>
      </w:pPr>
    </w:p>
    <w:p>
      <w:pPr>
        <w:ind w:firstLine="464"/>
        <w:spacing w:after="0" w:line="259" w:lineRule="auto"/>
        <w:tabs>
          <w:tab w:leader="none" w:pos="701"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Notice to Holders. </w:t>
      </w:r>
      <w:r>
        <w:rPr>
          <w:rFonts w:ascii="Arial" w:cs="Arial" w:eastAsia="Arial" w:hAnsi="Arial"/>
          <w:sz w:val="18"/>
          <w:szCs w:val="18"/>
          <w:color w:val="auto"/>
        </w:rPr>
        <w:t>Notice to any Holder shall be deemed given when first mailed, first class postage prepaid, to the address of such Holder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ADR Register or received by such Holder. Failure to notify a Holder or any defect in the notification to a Holder shall not affect the sufficiency of notification to other Holders or beneficial owners of, and/or holders of interests in, ADSs or ADRs held by such other Holders or beneficial owners and/or holders of interests.</w:t>
      </w:r>
    </w:p>
    <w:p>
      <w:pPr>
        <w:spacing w:after="0" w:line="186" w:lineRule="exact"/>
        <w:rPr>
          <w:rFonts w:ascii="Arial" w:cs="Arial" w:eastAsia="Arial" w:hAnsi="Arial"/>
          <w:sz w:val="18"/>
          <w:szCs w:val="18"/>
          <w:color w:val="auto"/>
        </w:rPr>
      </w:pPr>
    </w:p>
    <w:p>
      <w:pPr>
        <w:jc w:val="both"/>
        <w:ind w:firstLine="464"/>
        <w:spacing w:after="0" w:line="264" w:lineRule="auto"/>
        <w:tabs>
          <w:tab w:leader="none" w:pos="711"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Notice to the Depositary or the Company. </w:t>
      </w:r>
      <w:r>
        <w:rPr>
          <w:rFonts w:ascii="Arial" w:cs="Arial" w:eastAsia="Arial" w:hAnsi="Arial"/>
          <w:sz w:val="18"/>
          <w:szCs w:val="18"/>
          <w:color w:val="auto"/>
        </w:rPr>
        <w:t>Notice to the Depositary or the Company shall be deemed given when first received by it at the address or</w:t>
      </w:r>
      <w:r>
        <w:rPr>
          <w:rFonts w:ascii="Arial" w:cs="Arial" w:eastAsia="Arial" w:hAnsi="Arial"/>
          <w:sz w:val="18"/>
          <w:szCs w:val="18"/>
          <w:i w:val="1"/>
          <w:iCs w:val="1"/>
          <w:color w:val="auto"/>
        </w:rPr>
        <w:t xml:space="preserve"> </w:t>
      </w:r>
      <w:r>
        <w:rPr>
          <w:rFonts w:ascii="Arial" w:cs="Arial" w:eastAsia="Arial" w:hAnsi="Arial"/>
          <w:sz w:val="18"/>
          <w:szCs w:val="18"/>
          <w:color w:val="auto"/>
        </w:rPr>
        <w:t>facsimile transmission number set forth in (a) or (b), respectively, or at such other address or facsimile transmission number as either may specify to the other by written notice: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JPMorgan Chase Bank, N.A.</w:t>
      </w:r>
    </w:p>
    <w:p>
      <w:pPr>
        <w:spacing w:after="0" w:line="23" w:lineRule="exact"/>
        <w:rPr>
          <w:rFonts w:ascii="Arial" w:cs="Arial" w:eastAsia="Arial" w:hAnsi="Arial"/>
          <w:sz w:val="18"/>
          <w:szCs w:val="18"/>
          <w:color w:val="auto"/>
        </w:rPr>
      </w:pPr>
    </w:p>
    <w:p>
      <w:pPr>
        <w:ind w:left="900" w:right="7760"/>
        <w:spacing w:after="0" w:line="254" w:lineRule="auto"/>
        <w:rPr>
          <w:rFonts w:ascii="Arial" w:cs="Arial" w:eastAsia="Arial" w:hAnsi="Arial"/>
          <w:sz w:val="18"/>
          <w:szCs w:val="18"/>
          <w:color w:val="auto"/>
        </w:rPr>
      </w:pPr>
      <w:r>
        <w:rPr>
          <w:rFonts w:ascii="Arial" w:cs="Arial" w:eastAsia="Arial" w:hAnsi="Arial"/>
          <w:sz w:val="18"/>
          <w:szCs w:val="18"/>
          <w:color w:val="auto"/>
        </w:rPr>
        <w:t>4 New York Plaza, Floor 12 New York, New York, 10004 Attention: Depositary Receipts Group Fax: (212) 552-1950</w:t>
      </w:r>
    </w:p>
    <w:p>
      <w:pPr>
        <w:spacing w:after="0" w:line="95" w:lineRule="exact"/>
        <w:rPr>
          <w:rFonts w:ascii="Arial" w:cs="Arial" w:eastAsia="Arial" w:hAnsi="Arial"/>
          <w:sz w:val="18"/>
          <w:szCs w:val="18"/>
          <w:color w:val="auto"/>
        </w:rPr>
      </w:pPr>
    </w:p>
    <w:p>
      <w:pPr>
        <w:ind w:left="900" w:right="7760" w:hanging="446"/>
        <w:spacing w:after="0" w:line="258" w:lineRule="auto"/>
        <w:tabs>
          <w:tab w:leader="none" w:pos="89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iClick Interactive Asia Group Limited 15/F</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Property Millennia Plaza</w:t>
      </w:r>
    </w:p>
    <w:p>
      <w:pPr>
        <w:spacing w:after="0" w:line="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663 King’s Road, Quarry Bay</w:t>
      </w:r>
    </w:p>
    <w:p>
      <w:pPr>
        <w:spacing w:after="0" w:line="9" w:lineRule="exact"/>
        <w:rPr>
          <w:rFonts w:ascii="Arial" w:cs="Arial" w:eastAsia="Arial" w:hAnsi="Arial"/>
          <w:sz w:val="18"/>
          <w:szCs w:val="18"/>
          <w:color w:val="auto"/>
        </w:rPr>
      </w:pPr>
    </w:p>
    <w:p>
      <w:pPr>
        <w:jc w:val="both"/>
        <w:ind w:left="900" w:right="7060"/>
        <w:spacing w:after="0" w:line="255" w:lineRule="auto"/>
        <w:rPr>
          <w:rFonts w:ascii="Arial" w:cs="Arial" w:eastAsia="Arial" w:hAnsi="Arial"/>
          <w:sz w:val="18"/>
          <w:szCs w:val="18"/>
          <w:color w:val="auto"/>
        </w:rPr>
      </w:pPr>
      <w:r>
        <w:rPr>
          <w:rFonts w:ascii="Arial" w:cs="Arial" w:eastAsia="Arial" w:hAnsi="Arial"/>
          <w:sz w:val="18"/>
          <w:szCs w:val="18"/>
          <w:color w:val="auto"/>
        </w:rPr>
        <w:t>Hong Kong S.A.R., People’s Republic of China Attention: Ms. Jill Jiao, Chief Financial Officer Fax: +852 3579 1056</w:t>
      </w:r>
    </w:p>
    <w:p>
      <w:pPr>
        <w:spacing w:after="0" w:line="186" w:lineRule="exact"/>
        <w:rPr>
          <w:sz w:val="20"/>
          <w:szCs w:val="20"/>
          <w:color w:val="auto"/>
        </w:rPr>
      </w:pPr>
    </w:p>
    <w:p>
      <w:pPr>
        <w:ind w:right="440" w:firstLine="464"/>
        <w:spacing w:after="0" w:line="289" w:lineRule="auto"/>
        <w:tabs>
          <w:tab w:leader="none" w:pos="726"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Counterparts</w:t>
      </w:r>
      <w:r>
        <w:rPr>
          <w:rFonts w:ascii="Arial" w:cs="Arial" w:eastAsia="Arial" w:hAnsi="Arial"/>
          <w:sz w:val="17"/>
          <w:szCs w:val="17"/>
          <w:color w:val="auto"/>
        </w:rPr>
        <w:t>. This Deposit Agreement may be executed in any number of counterparts, each of which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shall constitute one instrument. Delivery of an executed signature page of this Deposit Agreement by facsimile or other electronic transmission (including “.pdf”, “.tif” or similar format) shall be effective as delivery of a manually executed counterpart hereof.</w:t>
      </w:r>
    </w:p>
    <w:p>
      <w:pPr>
        <w:spacing w:after="0" w:line="158" w:lineRule="exact"/>
        <w:rPr>
          <w:rFonts w:ascii="Arial" w:cs="Arial" w:eastAsia="Arial" w:hAnsi="Arial"/>
          <w:sz w:val="17"/>
          <w:szCs w:val="17"/>
          <w:color w:val="auto"/>
        </w:rPr>
      </w:pPr>
    </w:p>
    <w:p>
      <w:pPr>
        <w:ind w:right="120" w:firstLine="464"/>
        <w:spacing w:after="0" w:line="261" w:lineRule="auto"/>
        <w:tabs>
          <w:tab w:leader="none" w:pos="726"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No Third-Party Beneficiaries; Holders and Owners as Parties; Binding Effect</w:t>
      </w:r>
      <w:r>
        <w:rPr>
          <w:rFonts w:ascii="Arial" w:cs="Arial" w:eastAsia="Arial" w:hAnsi="Arial"/>
          <w:sz w:val="18"/>
          <w:szCs w:val="18"/>
          <w:color w:val="auto"/>
        </w:rPr>
        <w:t>. This Deposit Agreement is for the exclusive benefit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Depositary, the Holders, and their respective successors hereunder, and, except to the extent specifically set forth in Section 15 of this Deposit Agreement, shall not give any legal or equitable right, remedy or claim whatsoever to any other person. The Holders and owners of ADRs from time to time shall be parties to this Deposit Agreement and shall be bound by all of the provisions hereof.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27" w:right="259" w:bottom="1440" w:gutter="0" w:footer="0" w:header="0"/>
        </w:sectPr>
      </w:pPr>
    </w:p>
    <w:bookmarkStart w:id="21" w:name="page22"/>
    <w:bookmarkEnd w:id="21"/>
    <w:p>
      <w:pPr>
        <w:ind w:left="720" w:hanging="276"/>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Severability</w:t>
      </w:r>
      <w:r>
        <w:rPr>
          <w:rFonts w:ascii="Arial" w:cs="Arial" w:eastAsia="Arial" w:hAnsi="Arial"/>
          <w:sz w:val="16"/>
          <w:szCs w:val="16"/>
          <w:color w:val="auto"/>
        </w:rPr>
        <w:t>. If any such provision is invalid, illegal or unenforceable in any respect, the remaining provisions shall in no way be affected thereby.</w:t>
      </w:r>
    </w:p>
    <w:p>
      <w:pPr>
        <w:spacing w:after="0" w:line="248" w:lineRule="exact"/>
        <w:rPr>
          <w:rFonts w:ascii="Arial" w:cs="Arial" w:eastAsia="Arial" w:hAnsi="Arial"/>
          <w:sz w:val="16"/>
          <w:szCs w:val="16"/>
          <w:color w:val="auto"/>
        </w:rPr>
      </w:pPr>
    </w:p>
    <w:p>
      <w:pPr>
        <w:ind w:left="720" w:hanging="27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Governing Law; Consent to Jurisdiction</w:t>
      </w:r>
      <w:r>
        <w:rPr>
          <w:rFonts w:ascii="Arial" w:cs="Arial" w:eastAsia="Arial" w:hAnsi="Arial"/>
          <w:sz w:val="18"/>
          <w:szCs w:val="18"/>
          <w:color w:val="auto"/>
        </w:rPr>
        <w:t>.</w:t>
      </w:r>
    </w:p>
    <w:p>
      <w:pPr>
        <w:spacing w:after="0" w:line="121" w:lineRule="exact"/>
        <w:rPr>
          <w:sz w:val="20"/>
          <w:szCs w:val="20"/>
          <w:color w:val="auto"/>
        </w:rPr>
      </w:pPr>
    </w:p>
    <w:p>
      <w:pPr>
        <w:ind w:left="-20" w:right="20" w:firstLine="464"/>
        <w:spacing w:after="0" w:line="269" w:lineRule="auto"/>
        <w:tabs>
          <w:tab w:leader="none" w:pos="681"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Consent to Jurisdiction. </w:t>
      </w:r>
      <w:r>
        <w:rPr>
          <w:rFonts w:ascii="Arial" w:cs="Arial" w:eastAsia="Arial" w:hAnsi="Arial"/>
          <w:sz w:val="17"/>
          <w:szCs w:val="17"/>
          <w:color w:val="auto"/>
        </w:rPr>
        <w:t>The Deposit Agreement, the ADSs and the ADRs shall be governed by and construed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internal laws of the State of New York without giving effect to the application of the conflict of law principles thereof. The Company irrevocably agrees that any legal suit, action or proceeding against the Company brought by the Depositary or any Holder, arising out of or based upon this Deposit Agreement, the ADSs or the ADRs or the transactions contemplated hereby or thereby, may be instituted in any state or federal court in the Borough of Manhattan, New York, New York, and irrevocably waives any objection which it may now or hereafter have to the laying of venue of any such proceeding, and irrevocably submits to the non-exclusive jurisdiction of such courts in any such suit, action or proceeding. The Company also irrevocably agrees that any legal suit, action or proceeding against or involving the Depositary brought by the Company, arising out of or based upon this Deposit Agreement, the ADSs or the ADRs or the transactions contemplated hereby or thereby, may only be instituted in a state or federal court in New York, New York. Notwithstanding the foregoing, subject to the federal securities law carve-out set forth in Section 20(c) below, the Depositary may refer any such suit, action or proceeding to arbitration in accordance with the provisions of the Deposit Agreement and, upon such referral, any such suit, action or proceeding instituted by the Company shall be finally decided in such arbitration rather than in such court.</w:t>
      </w:r>
    </w:p>
    <w:p>
      <w:pPr>
        <w:spacing w:after="0" w:line="182" w:lineRule="exact"/>
        <w:rPr>
          <w:rFonts w:ascii="Arial" w:cs="Arial" w:eastAsia="Arial" w:hAnsi="Arial"/>
          <w:sz w:val="17"/>
          <w:szCs w:val="17"/>
          <w:color w:val="auto"/>
        </w:rPr>
      </w:pPr>
    </w:p>
    <w:p>
      <w:pPr>
        <w:ind w:left="-20" w:firstLine="464"/>
        <w:spacing w:after="0" w:line="269" w:lineRule="auto"/>
        <w:tabs>
          <w:tab w:leader="none" w:pos="691"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Actions by Holders</w:t>
      </w:r>
      <w:r>
        <w:rPr>
          <w:rFonts w:ascii="Arial" w:cs="Arial" w:eastAsia="Arial" w:hAnsi="Arial"/>
          <w:sz w:val="17"/>
          <w:szCs w:val="17"/>
          <w:color w:val="auto"/>
        </w:rPr>
        <w:t>,</w:t>
      </w:r>
      <w:r>
        <w:rPr>
          <w:rFonts w:ascii="Arial" w:cs="Arial" w:eastAsia="Arial" w:hAnsi="Arial"/>
          <w:sz w:val="17"/>
          <w:szCs w:val="17"/>
          <w:i w:val="1"/>
          <w:iCs w:val="1"/>
          <w:color w:val="auto"/>
        </w:rPr>
        <w:t xml:space="preserve"> etc. </w:t>
      </w:r>
      <w:r>
        <w:rPr>
          <w:rFonts w:ascii="Arial" w:cs="Arial" w:eastAsia="Arial" w:hAnsi="Arial"/>
          <w:sz w:val="17"/>
          <w:szCs w:val="17"/>
          <w:color w:val="auto"/>
        </w:rPr>
        <w:t>By holding an ADS or an interest therein, Holders and owners of interests in ADSs each irrevocably agree that any legal</w:t>
      </w:r>
      <w:r>
        <w:rPr>
          <w:rFonts w:ascii="Arial" w:cs="Arial" w:eastAsia="Arial" w:hAnsi="Arial"/>
          <w:sz w:val="17"/>
          <w:szCs w:val="17"/>
          <w:i w:val="1"/>
          <w:iCs w:val="1"/>
          <w:color w:val="auto"/>
        </w:rPr>
        <w:t xml:space="preserve"> </w:t>
      </w:r>
      <w:r>
        <w:rPr>
          <w:rFonts w:ascii="Arial" w:cs="Arial" w:eastAsia="Arial" w:hAnsi="Arial"/>
          <w:sz w:val="17"/>
          <w:szCs w:val="17"/>
          <w:color w:val="auto"/>
        </w:rPr>
        <w:t>suit, action or proceeding against Holders or owners of interests in ADSs brought by the Company or the Depositary, arising out of or based upon this Deposit Agreement, the ADSs or the ADRs or the transactions contemplated hereby or thereby, may be instituted in a state or federal court in New York, New York, and by holding an ADS or an interest therein each irrevocably waives any objection which it may now or hereafter have to the laying of venue of any such proceeding, and irrevocably submits to the non-exclusive jurisdiction of such courts in any such suit, action or proceeding. By holding an ADS or an interest therein, Holders and owners of interests in ADSs each also irrevocably agree that any legal suit, action or proceeding against or involving the Company or the Depositary brought by Holders or owners of interests in ADSs, arising out of or based upon this Deposit Agreement, the ADSs or the ADRs or the transactions contemplated hereby or thereby, may only be instituted in a state or federal court in New York, New York. Notwithstanding the foregoing, subject to the federal securities law carve-out set forth in Section 20(c) below, the Depositary may refer any such suit, action or proceeding to arbitration in accordance with the provisions of the Deposit Agreement and, upon such referral, any such suit, action or proceeding instituted by Holders and/or owners of interests in ADSs shall be finally decided in such arbitration rather than in such court.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823" w:right="239" w:bottom="1440" w:gutter="0" w:footer="0" w:header="0"/>
        </w:sectPr>
      </w:pPr>
    </w:p>
    <w:bookmarkStart w:id="22" w:name="page23"/>
    <w:bookmarkEnd w:id="22"/>
    <w:p>
      <w:pPr>
        <w:ind w:left="-20" w:firstLine="464"/>
        <w:spacing w:after="0" w:line="283" w:lineRule="auto"/>
        <w:tabs>
          <w:tab w:leader="none" w:pos="681"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 xml:space="preserve">Optional Arbitration. </w:t>
      </w:r>
      <w:r>
        <w:rPr>
          <w:rFonts w:ascii="Arial" w:cs="Arial" w:eastAsia="Arial" w:hAnsi="Arial"/>
          <w:sz w:val="16"/>
          <w:szCs w:val="16"/>
          <w:color w:val="auto"/>
        </w:rPr>
        <w:t>Notwithstanding anything in this Deposit Agreement to the contrary, each of the parties hereto (i.e. the Company,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and all Holders from time to time of ADRs issued hereunder (and any persons owning or holding interests in ADSs)) agrees that: (i) the Depositary may, in its sole discretion, elect to institute any dispute, suit, action, controversy, claim or proceeding directly or indirectly based on, arising out of or relating to this Deposit Agreement, the ADSs or the ADRs or the transactions contemplated hereby or thereby, including without limitation any question regarding its or their existence, validity, interpretation, performance or termination (a “</w:t>
      </w:r>
      <w:r>
        <w:rPr>
          <w:rFonts w:ascii="Arial" w:cs="Arial" w:eastAsia="Arial" w:hAnsi="Arial"/>
          <w:sz w:val="16"/>
          <w:szCs w:val="16"/>
          <w:b w:val="1"/>
          <w:bCs w:val="1"/>
          <w:color w:val="auto"/>
        </w:rPr>
        <w:t>Dispute</w:t>
      </w:r>
      <w:r>
        <w:rPr>
          <w:rFonts w:ascii="Arial" w:cs="Arial" w:eastAsia="Arial" w:hAnsi="Arial"/>
          <w:sz w:val="16"/>
          <w:szCs w:val="16"/>
          <w:color w:val="auto"/>
        </w:rPr>
        <w:t>”) against any other party or parties hereto (including, without limitation, Disputes, suits, actions or proceedings brought against Holders and owners of interests in ADSs), by having the Dispute referred to and finally resolved by an arbitration conducted under the terms set out below, and (ii) the Depositary may in its sole discretion require, by written notice to the relevant party or parties, that any Dispute, suit, action, controversy, claim or proceeding brought by any party or parties hereto (including, without limitation, Disputes, suits, actions or proceedings brought by Holders and owners of interests in ADSs) against the Depositary shall be referred to and finally settled by an arbitration conducted under the terms set out below; provided however, notwithstanding the Depositary’s written notice under this (ii), to the extent there are specific federal securities law violation aspects to any claims against the Company and/or the Depositary brought by any Holder, the federal securities law violation aspects of such claims brought by a Holder against the Company and/or the Depositary may, at the option of such Holder, remain in state or federal court in New York, New York and all other aspects, claims, Disputes, legal suits, actions and/or proceedings brought by such Holder against the Company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A notice of arbitration may be mailed to the Company at its address last specified for notices under this Deposit Agreement, and, if applicable, to any Holders at their addresses on the ADR Register. In any case where the Depositary exercises its right to arbitrate hereunder, arbitration of the Dispute shall be mandatory and any pending litigation arising out of or related to such Dispute shall be stayed. Judgment upon the award rendered by the arbitrators may be entered in any court having jurisdiction thereof. The number of arbitrators shall be three, each of whom shall be disinterested in the dispute or controversy, shall have no connection with any party thereto, and shall be an attorney experienced in international securities transactions. Each of the Company and the Depositary shall appoint one arbitrator and the two arbitrators shall select a third arbitrator who shall serve as chairperson of the tribunal. If a Dispute shall involve more than two parties, the parties shall attempt to align themselves in two sides (i.e., claimant and respondent), each of which shall appoint one arbitrator as if there were only two parties to such Dispute. If either or both parties fail to select an arbitrator, or if such alignment (in the event there are more than two parties) shall not have occurred, within thirty (30) calendar days after the Depositary serves the arbitration demand or the two arbitrators fail to select a third arbitrator within thirty (30) calendar days of the selection of the second arbitrator, the American Arbitration Association in the case of an arbitration in New York, or the Hong Kong International Arbitration Centre in the case of an arbitration in Hong Kong, shall appoint the remaining arbitrator or arbitrators in accordance with its rules. The parties and the American Arbitration Association and/or the Hong Kong International Arbitration Centre, as the case may be, may appoint the arbitrators from among the nationals of any country, whether or not the appointing party or any other party to the arbitration is a national of that country. The arbitrators shall have no authority to award damages against any party not measured by the prevailing party’s actual damages and shall have no authority to award any consequential, special or punitive damages against any party and may not, in any event, make any ruling, finding or award that does not conform to the terms and conditions of this Deposit Agreement. In all cases, the fees of the arbitrators and other costs incurred by the parties in connection with such arbitration shall be paid by the party (or parties) that is (or are) unsuccessful in such arbitration. No party hereto shall be entitled to join or consolidate disputes by or against others in any arbitration, or to include in any arbitration any dispute as a representative or member of a class, or act in any arbitration in the interest of the general public or in a private attorney general capacity.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827" w:right="259" w:bottom="1440" w:gutter="0" w:footer="0" w:header="0"/>
        </w:sectPr>
      </w:pPr>
    </w:p>
    <w:bookmarkStart w:id="23" w:name="page24"/>
    <w:bookmarkEnd w:id="23"/>
    <w:p>
      <w:pPr>
        <w:ind w:left="-60" w:right="340" w:firstLine="464"/>
        <w:spacing w:after="0" w:line="279" w:lineRule="auto"/>
        <w:tabs>
          <w:tab w:leader="none" w:pos="651"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Notwithstanding the foregoing or anything in this Deposit Agreement to the contrary, any suit, action or proceeding based on this Deposit Agreement, the ADSs or the ADRs or the transactions contemplated hereby or thereby, may be instituted by the Depositary in any competent court in the Cayman Islands, Hong Kong, the People’s Republic of China and/or the United States, or, subject to the federal securities law carve-out set forth in Section 20(c) above, by the Depositary through the commencement of an arbitration pursuant to Section 20(c) of this Deposit Agreement.</w:t>
      </w:r>
    </w:p>
    <w:p>
      <w:pPr>
        <w:spacing w:after="0" w:line="167" w:lineRule="exact"/>
        <w:rPr>
          <w:sz w:val="20"/>
          <w:szCs w:val="20"/>
          <w:color w:val="auto"/>
        </w:rPr>
      </w:pPr>
    </w:p>
    <w:p>
      <w:pPr>
        <w:ind w:left="680" w:hanging="276"/>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Appointment</w:t>
      </w:r>
      <w:r>
        <w:rPr>
          <w:rFonts w:ascii="Arial" w:cs="Arial" w:eastAsia="Arial" w:hAnsi="Arial"/>
          <w:sz w:val="18"/>
          <w:szCs w:val="18"/>
          <w:color w:val="auto"/>
        </w:rPr>
        <w:t>.</w:t>
      </w:r>
    </w:p>
    <w:p>
      <w:pPr>
        <w:spacing w:after="0" w:line="121" w:lineRule="exact"/>
        <w:rPr>
          <w:sz w:val="20"/>
          <w:szCs w:val="20"/>
          <w:color w:val="auto"/>
        </w:rPr>
      </w:pPr>
    </w:p>
    <w:p>
      <w:pPr>
        <w:ind w:left="-60" w:right="80" w:firstLine="464"/>
        <w:spacing w:after="0" w:line="302" w:lineRule="auto"/>
        <w:tabs>
          <w:tab w:leader="none" w:pos="641"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Appointment. </w:t>
      </w:r>
      <w:r>
        <w:rPr>
          <w:rFonts w:ascii="Arial" w:cs="Arial" w:eastAsia="Arial" w:hAnsi="Arial"/>
          <w:sz w:val="16"/>
          <w:szCs w:val="16"/>
          <w:color w:val="auto"/>
        </w:rPr>
        <w:t>The Company has appointed Law Debenture Corporate Services, Inc., 4th Floor, 400 Madison Avenue, New York, New York 10017,</w:t>
      </w:r>
      <w:r>
        <w:rPr>
          <w:rFonts w:ascii="Arial" w:cs="Arial" w:eastAsia="Arial" w:hAnsi="Arial"/>
          <w:sz w:val="16"/>
          <w:szCs w:val="16"/>
          <w:i w:val="1"/>
          <w:iCs w:val="1"/>
          <w:color w:val="auto"/>
        </w:rPr>
        <w:t xml:space="preserve"> </w:t>
      </w:r>
      <w:r>
        <w:rPr>
          <w:rFonts w:ascii="Arial" w:cs="Arial" w:eastAsia="Arial" w:hAnsi="Arial"/>
          <w:sz w:val="16"/>
          <w:szCs w:val="16"/>
          <w:color w:val="auto"/>
        </w:rPr>
        <w:t>as its authorized agent (the “</w:t>
      </w:r>
      <w:r>
        <w:rPr>
          <w:rFonts w:ascii="Arial" w:cs="Arial" w:eastAsia="Arial" w:hAnsi="Arial"/>
          <w:sz w:val="16"/>
          <w:szCs w:val="16"/>
          <w:b w:val="1"/>
          <w:bCs w:val="1"/>
          <w:color w:val="auto"/>
        </w:rPr>
        <w:t>Authorized Agent</w:t>
      </w:r>
      <w:r>
        <w:rPr>
          <w:rFonts w:ascii="Arial" w:cs="Arial" w:eastAsia="Arial" w:hAnsi="Arial"/>
          <w:sz w:val="16"/>
          <w:szCs w:val="16"/>
          <w:color w:val="auto"/>
        </w:rPr>
        <w:t>”) upon which process may be served in any such suit, action or proceeding arising out of or based on this Deposit Agreement, the ADSs or the ADRs or the transactions contemplated hereby or thereby which may be instituted in any state or federal court in New York, New York by the Depositary or any Holder, and waives any other requirements of or objections to personal jurisdiction with respect thereto.</w:t>
      </w:r>
    </w:p>
    <w:p>
      <w:pPr>
        <w:spacing w:after="0" w:line="154" w:lineRule="exact"/>
        <w:rPr>
          <w:rFonts w:ascii="Arial" w:cs="Arial" w:eastAsia="Arial" w:hAnsi="Arial"/>
          <w:sz w:val="16"/>
          <w:szCs w:val="16"/>
          <w:color w:val="auto"/>
        </w:rPr>
      </w:pPr>
    </w:p>
    <w:p>
      <w:pPr>
        <w:ind w:left="-60" w:firstLine="464"/>
        <w:spacing w:after="0" w:line="269" w:lineRule="auto"/>
        <w:tabs>
          <w:tab w:leader="none" w:pos="651"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Agent for Service of Process. </w:t>
      </w:r>
      <w:r>
        <w:rPr>
          <w:rFonts w:ascii="Arial" w:cs="Arial" w:eastAsia="Arial" w:hAnsi="Arial"/>
          <w:sz w:val="17"/>
          <w:szCs w:val="17"/>
          <w:color w:val="auto"/>
        </w:rPr>
        <w:t>Subject to the Company’s rights to replace the Authorized Agent with another entity in the manner required were the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Agent to have resigned, such appointment shall be irrevocable. The Company represents and warrants that the Authorized Agent has agreed to act as said agent for service of process, and the Company agrees to take any and all action, including the filing of any and all documents and instruments, that may be necessary to continue such appointment in full force and effect as aforesaid. The Company further hereby irrevocably consents and agrees to the service of any and all legal process, summons, notices and documents in any suit, action or proceeding against the Company, by service by mail of a copy thereof upon the Authorized Agent (whether or not the appointment of such Authorized Agent shall for any reason prove to be ineffective or such Authorized Agent shall fail to accept or acknowledge such service), with a copy mailed to the Company by registered or certified air mail, postage prepaid, to its address provided in Section 16(b) hereof. The Company agrees that the failure of the Authorized Agent to give any notice of such service to it shall not impair or affect in any way the validity of such service or any judgment or award rendered in any suit, action or proceeding based thereon. If, for any reason, the Authorized Agent named above or its successor shall no longer serve as agent of the Company to receive service of process, notice or papers in New York, the Company shall promptly appoint a successor that is a legal entity with offices in New York, New York, so as to serve and will promptly advise the Depositary thereof.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300" w:top="827" w:right="279" w:bottom="1440" w:gutter="0" w:footer="0" w:header="0"/>
        </w:sectPr>
      </w:pPr>
    </w:p>
    <w:bookmarkStart w:id="24" w:name="page25"/>
    <w:bookmarkEnd w:id="24"/>
    <w:p>
      <w:pPr>
        <w:ind w:right="40" w:firstLine="464"/>
        <w:spacing w:after="0" w:line="259" w:lineRule="auto"/>
        <w:tabs>
          <w:tab w:leader="none" w:pos="70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 xml:space="preserve">Waiver of Personal Service of Process. </w:t>
      </w:r>
      <w:r>
        <w:rPr>
          <w:rFonts w:ascii="Arial" w:cs="Arial" w:eastAsia="Arial" w:hAnsi="Arial"/>
          <w:sz w:val="18"/>
          <w:szCs w:val="18"/>
          <w:color w:val="auto"/>
        </w:rPr>
        <w:t>In the event the Company fails to continue such designation and appointment in full force and effect,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hereby waives personal service of process upon it and consents that any such service of process may be made by certified or registered mail, return receipt requested, directed to the Company at its address last specified for notices hereunder, and service so made shall be deemed completed five (5) days after the same shall have been so mailed.</w:t>
      </w:r>
    </w:p>
    <w:p>
      <w:pPr>
        <w:spacing w:after="0" w:line="183" w:lineRule="exact"/>
        <w:rPr>
          <w:sz w:val="20"/>
          <w:szCs w:val="20"/>
          <w:color w:val="auto"/>
        </w:rPr>
      </w:pPr>
    </w:p>
    <w:p>
      <w:pPr>
        <w:ind w:left="740" w:hanging="27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Waiver of Immunities</w:t>
      </w:r>
      <w:r>
        <w:rPr>
          <w:rFonts w:ascii="Arial" w:cs="Arial" w:eastAsia="Arial" w:hAnsi="Arial"/>
          <w:sz w:val="18"/>
          <w:szCs w:val="18"/>
          <w:color w:val="auto"/>
        </w:rPr>
        <w:t>.</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To the extent that the Company or any of its properties, assets or revenues may have or may hereafter be entitled to, or have attributed to it, any right of immunity, on the grounds of sovereignty or otherwise, from any legal action, suit or proceeding (including any arbitration),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or arbitration award, in any jurisdiction in which proceedings may at any time be commenced, with respect to its obligations, liabilities or other matters under or arising out of or in connection with the Shares or Deposited Securities, the ADSs, the ADRs or this Deposit Agreement, the Company, to the fullest extent permitted by law, hereby irrevocably and unconditionally waives, and agrees not to plead or claim, any such immunity and consents to such relief and enforcement.</w:t>
      </w:r>
    </w:p>
    <w:p>
      <w:pPr>
        <w:spacing w:after="0" w:line="188" w:lineRule="exact"/>
        <w:rPr>
          <w:sz w:val="20"/>
          <w:szCs w:val="20"/>
          <w:color w:val="auto"/>
        </w:rPr>
      </w:pPr>
    </w:p>
    <w:p>
      <w:pPr>
        <w:ind w:left="740" w:hanging="27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EACH PARTY TO THIS DEPOSIT AGREEMENT (INCLUDING, FOR AVOIDANCE OF DOUBT, EACH HOLDER AND 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827" w:right="279" w:bottom="1440" w:gutter="0" w:footer="0" w:header="0"/>
        </w:sectPr>
      </w:pPr>
    </w:p>
    <w:bookmarkStart w:id="25" w:name="page26"/>
    <w:bookmarkEnd w:id="25"/>
    <w:p>
      <w:pPr>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IN WITNESS WHEREOF, ICLICK INTERACTIVE ASIA GROUOP LIMITED and JPMORGAN CHASE BANK, N.A. have duly executed this Deposit Agreement as of the day and year first above set forth and all holders of ADRs shall become parties hereto upon acceptance by them of ADRs issued in accordance with the terms hereof.</w:t>
      </w:r>
    </w:p>
    <w:p>
      <w:pPr>
        <w:spacing w:after="0" w:line="204"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ICLICK INTERACTIVE ASIA GROUOP LIMITED</w:t>
      </w:r>
    </w:p>
    <w:p>
      <w:pPr>
        <w:spacing w:after="0" w:line="229"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Wing Hong Sammy Hsieh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of the Board of Directors and</w:t>
            </w:r>
          </w:p>
        </w:tc>
      </w:tr>
      <w:tr>
        <w:trPr>
          <w:trHeight w:val="230"/>
        </w:trPr>
        <w:tc>
          <w:tcPr>
            <w:tcW w:w="5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7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JPMORGAN CHASE BANK, N.A.</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M. Leinhauser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Joseph M. Leinhauser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Deposit Agreement</w:t>
      </w:r>
      <w:r>
        <w:rPr>
          <w:rFonts w:ascii="Arial" w:cs="Arial" w:eastAsia="Arial" w:hAnsi="Arial"/>
          <w:sz w:val="18"/>
          <w:szCs w:val="18"/>
          <w:color w:val="auto"/>
        </w:rPr>
        <w:t>]</w:t>
      </w:r>
    </w:p>
    <w:p>
      <w:pPr>
        <w:sectPr>
          <w:pgSz w:w="11900" w:h="16838" w:orient="portrait"/>
          <w:cols w:equalWidth="0" w:num="1">
            <w:col w:w="11420"/>
          </w:cols>
          <w:pgMar w:left="240" w:top="827" w:right="2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EXHIBIT A</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ANNEXED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INCORPORATED IN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DEPOSIT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FACE OF ADR]</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3429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Each ADS represents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One-Half (1/2) of One Share</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CUSIP: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AMERICAN DEPOSITARY RECEIPT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evidencing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AMERICAN DEPOSITARY SHARES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representing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CLASS A ORDINARY SHARES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iCLICK INTERACTIVE ASIA GROUP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(Incorporated under the laws of the Cayman Islands)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JPMORGAN CHASE BANK, N.A., a national banking association organized under the laws of the United States of America, as depositary hereunder</w:t>
      </w:r>
    </w:p>
    <w:p>
      <w:pPr>
        <w:spacing w:after="0" w:line="4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Depositary</w:t>
      </w:r>
      <w:r>
        <w:rPr>
          <w:rFonts w:ascii="Arial" w:cs="Arial" w:eastAsia="Arial" w:hAnsi="Arial"/>
          <w:sz w:val="18"/>
          <w:szCs w:val="18"/>
          <w:color w:val="auto"/>
        </w:rPr>
        <w:t>”), hereby certifies that is the registered owner (a “</w:t>
      </w:r>
      <w:r>
        <w:rPr>
          <w:rFonts w:ascii="Arial" w:cs="Arial" w:eastAsia="Arial" w:hAnsi="Arial"/>
          <w:sz w:val="18"/>
          <w:szCs w:val="18"/>
          <w:b w:val="1"/>
          <w:bCs w:val="1"/>
          <w:color w:val="auto"/>
        </w:rPr>
        <w:t>Holder</w:t>
      </w:r>
      <w:r>
        <w:rPr>
          <w:rFonts w:ascii="Arial" w:cs="Arial" w:eastAsia="Arial" w:hAnsi="Arial"/>
          <w:sz w:val="18"/>
          <w:szCs w:val="18"/>
          <w:color w:val="auto"/>
        </w:rPr>
        <w:t>”) of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each (subject to paragraph (13) (</w:t>
      </w:r>
      <w:r>
        <w:rPr>
          <w:rFonts w:ascii="Arial" w:cs="Arial" w:eastAsia="Arial" w:hAnsi="Arial"/>
          <w:sz w:val="18"/>
          <w:szCs w:val="18"/>
          <w:i w:val="1"/>
          <w:iCs w:val="1"/>
          <w:color w:val="auto"/>
        </w:rPr>
        <w:t>Changes Affecting Deposited Securities</w:t>
      </w:r>
      <w:r>
        <w:rPr>
          <w:rFonts w:ascii="Arial" w:cs="Arial" w:eastAsia="Arial" w:hAnsi="Arial"/>
          <w:sz w:val="18"/>
          <w:szCs w:val="18"/>
          <w:color w:val="auto"/>
        </w:rPr>
        <w:t>)) representing one-half (1/2) of one Class A ordinary share (including the rights to receive Shares described in paragraph (1) (</w:t>
      </w:r>
      <w:r>
        <w:rPr>
          <w:rFonts w:ascii="Arial" w:cs="Arial" w:eastAsia="Arial" w:hAnsi="Arial"/>
          <w:sz w:val="18"/>
          <w:szCs w:val="18"/>
          <w:i w:val="1"/>
          <w:iCs w:val="1"/>
          <w:color w:val="auto"/>
        </w:rPr>
        <w:t>Issuance of ADSs</w:t>
      </w:r>
      <w:r>
        <w:rPr>
          <w:rFonts w:ascii="Arial" w:cs="Arial" w:eastAsia="Arial" w:hAnsi="Arial"/>
          <w:sz w:val="18"/>
          <w:szCs w:val="18"/>
          <w:color w:val="auto"/>
        </w:rPr>
        <w:t>), “</w:t>
      </w:r>
      <w:r>
        <w:rPr>
          <w:rFonts w:ascii="Arial" w:cs="Arial" w:eastAsia="Arial" w:hAnsi="Arial"/>
          <w:sz w:val="18"/>
          <w:szCs w:val="18"/>
          <w:b w:val="1"/>
          <w:bCs w:val="1"/>
          <w:color w:val="auto"/>
        </w:rPr>
        <w:t>Shares</w:t>
      </w:r>
      <w:r>
        <w:rPr>
          <w:rFonts w:ascii="Arial" w:cs="Arial" w:eastAsia="Arial" w:hAnsi="Arial"/>
          <w:sz w:val="18"/>
          <w:szCs w:val="18"/>
          <w:color w:val="auto"/>
        </w:rPr>
        <w:t>” and, together with any other securities, cash or property from time to time held by the Depositary in respect or in lieu of deposited Shares, the “</w:t>
      </w:r>
      <w:r>
        <w:rPr>
          <w:rFonts w:ascii="Arial" w:cs="Arial" w:eastAsia="Arial" w:hAnsi="Arial"/>
          <w:sz w:val="18"/>
          <w:szCs w:val="18"/>
          <w:b w:val="1"/>
          <w:bCs w:val="1"/>
          <w:color w:val="auto"/>
        </w:rPr>
        <w:t>Deposited Securities</w:t>
      </w:r>
      <w:r>
        <w:rPr>
          <w:rFonts w:ascii="Arial" w:cs="Arial" w:eastAsia="Arial" w:hAnsi="Arial"/>
          <w:sz w:val="18"/>
          <w:szCs w:val="18"/>
          <w:color w:val="auto"/>
        </w:rPr>
        <w:t>”), of iClick Interactive Asia Group Limited, an exempted company limited by shares organized under the laws of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deposited under the Deposit Agreement, dated as of December 21, 2017 (as amended from time to time, the “</w:t>
      </w:r>
      <w:r>
        <w:rPr>
          <w:rFonts w:ascii="Arial" w:cs="Arial" w:eastAsia="Arial" w:hAnsi="Arial"/>
          <w:sz w:val="18"/>
          <w:szCs w:val="18"/>
          <w:b w:val="1"/>
          <w:bCs w:val="1"/>
          <w:color w:val="auto"/>
        </w:rPr>
        <w:t>Deposit Agreement</w:t>
      </w:r>
      <w:r>
        <w:rPr>
          <w:rFonts w:ascii="Arial" w:cs="Arial" w:eastAsia="Arial" w:hAnsi="Arial"/>
          <w:sz w:val="18"/>
          <w:szCs w:val="18"/>
          <w:color w:val="auto"/>
        </w:rPr>
        <w:t>”), among the Company, the Depositary and all Holders from time to time of American Depositary Receipts issued thereunder (“</w:t>
      </w:r>
      <w:r>
        <w:rPr>
          <w:rFonts w:ascii="Arial" w:cs="Arial" w:eastAsia="Arial" w:hAnsi="Arial"/>
          <w:sz w:val="18"/>
          <w:szCs w:val="18"/>
          <w:b w:val="1"/>
          <w:bCs w:val="1"/>
          <w:color w:val="auto"/>
        </w:rPr>
        <w:t>ADRs</w:t>
      </w:r>
      <w:r>
        <w:rPr>
          <w:rFonts w:ascii="Arial" w:cs="Arial" w:eastAsia="Arial" w:hAnsi="Arial"/>
          <w:sz w:val="18"/>
          <w:szCs w:val="18"/>
          <w:color w:val="auto"/>
        </w:rPr>
        <w:t>”), each of whom by accepting an ADR becomes a party thereto. The Deposit Agreement and this ADR (which includes the provisions set forth on the reverse hereof) shall be governed by and construed in accordance with the internal laws of the State of New York without giving effect to the application of the conflict of law principles thereof. All capitalized terms used herein, and not defined herein, shall have the meanings ascribed to such terms in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1877695</wp:posOffset>
            </wp:positionH>
            <wp:positionV relativeFrom="paragraph">
              <wp:posOffset>-1262380</wp:posOffset>
            </wp:positionV>
            <wp:extent cx="571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80"/>
          </w:cols>
          <w:pgMar w:left="240" w:top="827" w:right="279" w:bottom="1440" w:gutter="0" w:footer="0" w:header="0"/>
        </w:sectPr>
      </w:pPr>
    </w:p>
    <w:bookmarkStart w:id="27" w:name="page28"/>
    <w:bookmarkEnd w:id="27"/>
    <w:p>
      <w:pPr>
        <w:ind w:left="712" w:hanging="256"/>
        <w:spacing w:after="0"/>
        <w:tabs>
          <w:tab w:leader="none" w:pos="71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Issuance of ADSs</w:t>
      </w:r>
      <w:r>
        <w:rPr>
          <w:rFonts w:ascii="Arial" w:cs="Arial" w:eastAsia="Arial" w:hAnsi="Arial"/>
          <w:sz w:val="18"/>
          <w:szCs w:val="18"/>
          <w:color w:val="auto"/>
        </w:rPr>
        <w:t>.</w:t>
      </w:r>
    </w:p>
    <w:p>
      <w:pPr>
        <w:spacing w:after="0" w:line="229" w:lineRule="exact"/>
        <w:rPr>
          <w:sz w:val="20"/>
          <w:szCs w:val="20"/>
          <w:color w:val="auto"/>
        </w:rPr>
      </w:pPr>
    </w:p>
    <w:p>
      <w:pPr>
        <w:ind w:left="-8" w:right="260" w:firstLine="464"/>
        <w:spacing w:after="0" w:line="279" w:lineRule="auto"/>
        <w:tabs>
          <w:tab w:leader="none" w:pos="693"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Issuance. </w:t>
      </w:r>
      <w:r>
        <w:rPr>
          <w:rFonts w:ascii="Arial" w:cs="Arial" w:eastAsia="Arial" w:hAnsi="Arial"/>
          <w:sz w:val="17"/>
          <w:szCs w:val="17"/>
          <w:color w:val="auto"/>
        </w:rPr>
        <w:t>This ADR is one of the ADRs issued under the Deposit Agreement. Subject to the other provisions hereof, the Depositary may so issue</w:t>
      </w:r>
      <w:r>
        <w:rPr>
          <w:rFonts w:ascii="Arial" w:cs="Arial" w:eastAsia="Arial" w:hAnsi="Arial"/>
          <w:sz w:val="17"/>
          <w:szCs w:val="17"/>
          <w:i w:val="1"/>
          <w:iCs w:val="1"/>
          <w:color w:val="auto"/>
        </w:rPr>
        <w:t xml:space="preserve"> </w:t>
      </w:r>
      <w:r>
        <w:rPr>
          <w:rFonts w:ascii="Arial" w:cs="Arial" w:eastAsia="Arial" w:hAnsi="Arial"/>
          <w:sz w:val="17"/>
          <w:szCs w:val="17"/>
          <w:color w:val="auto"/>
        </w:rPr>
        <w:t>ADRs for delivery at the Transfer Office (as hereinafter defined) only against deposit of: (i) Shares in a form satisfactory to the Custodian; (ii) rights to receive Shares from the Company or any registrar, transfer agent, clearing agent or other entity recording Share ownership or transactions; or (iii) in accordance with the next paragraph hereof. In its capacity as Depositary, the Depositary shall not lend Shares or ADSs.</w:t>
      </w:r>
    </w:p>
    <w:p>
      <w:pPr>
        <w:spacing w:after="0" w:line="171" w:lineRule="exact"/>
        <w:rPr>
          <w:rFonts w:ascii="Arial" w:cs="Arial" w:eastAsia="Arial" w:hAnsi="Arial"/>
          <w:sz w:val="17"/>
          <w:szCs w:val="17"/>
          <w:color w:val="auto"/>
        </w:rPr>
      </w:pPr>
    </w:p>
    <w:p>
      <w:pPr>
        <w:ind w:left="-8" w:right="40" w:firstLine="464"/>
        <w:spacing w:after="0" w:line="286" w:lineRule="auto"/>
        <w:tabs>
          <w:tab w:leader="none" w:pos="703"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and Warranties of Depositors. </w:t>
      </w:r>
      <w:r>
        <w:rPr>
          <w:rFonts w:ascii="Arial" w:cs="Arial" w:eastAsia="Arial" w:hAnsi="Arial"/>
          <w:sz w:val="16"/>
          <w:szCs w:val="16"/>
          <w:color w:val="auto"/>
        </w:rPr>
        <w:t>Every person depositing Shares under the Deposit Agreement represents and warrants that: (i)such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and the certificates therefor are duly authorized, validly issued and outstanding, fully paid, nonassessable and legally obtained by such person, (ii) all pre-emptive and comparable rights, if any, with respect to such Shares have been validly waived or exercised, (iii) the person making such deposit is duly authorized so to do, (iv) the Shares presented for deposit are free and clear of any lien, encumbrance, security interest, charge, mortgage or adverse claim, and</w:t>
      </w:r>
    </w:p>
    <w:p>
      <w:pPr>
        <w:spacing w:after="0" w:line="1" w:lineRule="exact"/>
        <w:rPr>
          <w:rFonts w:ascii="Arial" w:cs="Arial" w:eastAsia="Arial" w:hAnsi="Arial"/>
          <w:sz w:val="16"/>
          <w:szCs w:val="16"/>
          <w:color w:val="auto"/>
        </w:rPr>
      </w:pPr>
    </w:p>
    <w:p>
      <w:pPr>
        <w:ind w:left="-8" w:firstLine="8"/>
        <w:spacing w:after="0" w:line="287" w:lineRule="auto"/>
        <w:tabs>
          <w:tab w:leader="none" w:pos="297"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such Shares (A) are not “restricted securities” as such term is defined in Rule 144 under the Securities Act of 1933 (“</w:t>
      </w:r>
      <w:r>
        <w:rPr>
          <w:rFonts w:ascii="Arial" w:cs="Arial" w:eastAsia="Arial" w:hAnsi="Arial"/>
          <w:sz w:val="16"/>
          <w:szCs w:val="16"/>
          <w:b w:val="1"/>
          <w:bCs w:val="1"/>
          <w:color w:val="auto"/>
        </w:rPr>
        <w:t>Restricted Securities</w:t>
      </w:r>
      <w:r>
        <w:rPr>
          <w:rFonts w:ascii="Arial" w:cs="Arial" w:eastAsia="Arial" w:hAnsi="Arial"/>
          <w:sz w:val="16"/>
          <w:szCs w:val="16"/>
          <w:color w:val="auto"/>
        </w:rPr>
        <w:t>”) unless at the time of deposit the requirements of paragraphs (c), (e), (f) and (h) of Rule 144 shall not apply and such Shares may be freely transferred and may otherwise be offered and sold freely in the United States or (B) have been registered under the Securities Act of 1933. To the extent the person depositing Shares is an “affiliate” of the Company as such term is defined in Rule 144, the person also represents and warrants that upon the sale of the ADSs, all of the provisions of Rule 144 which enable the Shares to be freely sold (in the form of ADSs) will be fully complied with and, as a result thereof, all of the ADSs issued in respect of such Shares will not be on the sale thereof, Restricted Securities. Such representations and warranties shall survive the deposit and withdrawal of Shares and the issuance and cancellation of ADSs in respect thereof and the transfer of such ADSs. The Depositary may refuse to accept for such deposit any Shares identified by the Company in order to facilitate compliance with the requirements of securities laws, rules and regulations in the United States.</w:t>
      </w:r>
    </w:p>
    <w:p>
      <w:pPr>
        <w:spacing w:after="0" w:line="166" w:lineRule="exact"/>
        <w:rPr>
          <w:sz w:val="20"/>
          <w:szCs w:val="20"/>
          <w:color w:val="auto"/>
        </w:rPr>
      </w:pPr>
    </w:p>
    <w:p>
      <w:pPr>
        <w:ind w:left="-8" w:right="40" w:firstLine="464"/>
        <w:spacing w:after="0" w:line="291" w:lineRule="auto"/>
        <w:tabs>
          <w:tab w:leader="none" w:pos="703"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Withdrawal of Deposited Securities</w:t>
      </w:r>
      <w:r>
        <w:rPr>
          <w:rFonts w:ascii="Arial" w:cs="Arial" w:eastAsia="Arial" w:hAnsi="Arial"/>
          <w:sz w:val="16"/>
          <w:szCs w:val="16"/>
          <w:color w:val="auto"/>
        </w:rPr>
        <w:t>. Subject to paragraphs (4) (</w:t>
      </w:r>
      <w:r>
        <w:rPr>
          <w:rFonts w:ascii="Arial" w:cs="Arial" w:eastAsia="Arial" w:hAnsi="Arial"/>
          <w:sz w:val="16"/>
          <w:szCs w:val="16"/>
          <w:i w:val="1"/>
          <w:iCs w:val="1"/>
          <w:color w:val="auto"/>
        </w:rPr>
        <w:t>Certain Limitations to Registration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Transfer etc.</w:t>
      </w:r>
      <w:r>
        <w:rPr>
          <w:rFonts w:ascii="Arial" w:cs="Arial" w:eastAsia="Arial" w:hAnsi="Arial"/>
          <w:sz w:val="16"/>
          <w:szCs w:val="16"/>
          <w:color w:val="auto"/>
        </w:rPr>
        <w:t>) and (5) (</w:t>
      </w:r>
      <w:r>
        <w:rPr>
          <w:rFonts w:ascii="Arial" w:cs="Arial" w:eastAsia="Arial" w:hAnsi="Arial"/>
          <w:sz w:val="16"/>
          <w:szCs w:val="16"/>
          <w:i w:val="1"/>
          <w:iCs w:val="1"/>
          <w:color w:val="auto"/>
        </w:rPr>
        <w:t>Liability of Holder for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w:t>
      </w:r>
      <w:r>
        <w:rPr>
          <w:rFonts w:ascii="Arial" w:cs="Arial" w:eastAsia="Arial" w:hAnsi="Arial"/>
          <w:sz w:val="16"/>
          <w:szCs w:val="16"/>
          <w:i w:val="1"/>
          <w:iCs w:val="1"/>
          <w:color w:val="auto"/>
        </w:rPr>
        <w:t xml:space="preserve"> Duties and Other Charges</w:t>
      </w:r>
      <w:r>
        <w:rPr>
          <w:rFonts w:ascii="Arial" w:cs="Arial" w:eastAsia="Arial" w:hAnsi="Arial"/>
          <w:sz w:val="16"/>
          <w:szCs w:val="16"/>
          <w:color w:val="auto"/>
        </w:rPr>
        <w:t>), upon surrender of (a) a certificated ADR in a form satisfactory to the Depositary at the Transfer Office or (b) proper</w:t>
      </w:r>
      <w:r>
        <w:rPr>
          <w:rFonts w:ascii="Arial" w:cs="Arial" w:eastAsia="Arial" w:hAnsi="Arial"/>
          <w:sz w:val="16"/>
          <w:szCs w:val="16"/>
          <w:i w:val="1"/>
          <w:iCs w:val="1"/>
          <w:color w:val="auto"/>
        </w:rPr>
        <w:t xml:space="preserve"> </w:t>
      </w:r>
      <w:r>
        <w:rPr>
          <w:rFonts w:ascii="Arial" w:cs="Arial" w:eastAsia="Arial" w:hAnsi="Arial"/>
          <w:sz w:val="16"/>
          <w:szCs w:val="16"/>
          <w:color w:val="auto"/>
        </w:rPr>
        <w:t>instructions and documentation in the case of a Direct Registration ADR, the Holder hereof is entitled to delivery at, or to the extent in dematerialized form from, the Custodian’s office of the Deposited Securities at the time represented by the ADSs evidenced by this ADR. As long as each ADS represents a fraction of one Share, ADSs may only be cancelled in multiples of such number of ADSs as will permit whole Shares to be delivered. At the request, risk and expense of the Holder hereof, the Depositary may deliver such Deposited Securities at such other place as may have been requested by the Holder. Notwithstanding any other provision of the Deposit Agreement or this ADR, the withdrawal of Deposited Securities may be restricted only for the reasons set forth in General Instruction I.A.(1) of Form F-6 (as such instructions may be amended from time to time) under the Securities Act of 1933.</w:t>
      </w:r>
    </w:p>
    <w:p>
      <w:pPr>
        <w:spacing w:after="0" w:line="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12"/>
          </w:cols>
          <w:pgMar w:left="248" w:top="823" w:right="239" w:bottom="1440" w:gutter="0" w:footer="0" w:header="0"/>
        </w:sectPr>
      </w:pPr>
    </w:p>
    <w:bookmarkStart w:id="28" w:name="page29"/>
    <w:bookmarkEnd w:id="28"/>
    <w:p>
      <w:pPr>
        <w:ind w:left="-8" w:firstLine="464"/>
        <w:spacing w:after="0" w:line="285" w:lineRule="auto"/>
        <w:tabs>
          <w:tab w:leader="none" w:pos="703" w:val="left"/>
        </w:tabs>
        <w:numPr>
          <w:ilvl w:val="1"/>
          <w:numId w:val="4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Transfers, Split-Ups and Combinations of ADRs</w:t>
      </w:r>
      <w:r>
        <w:rPr>
          <w:rFonts w:ascii="Arial" w:cs="Arial" w:eastAsia="Arial" w:hAnsi="Arial"/>
          <w:sz w:val="16"/>
          <w:szCs w:val="16"/>
          <w:color w:val="auto"/>
        </w:rPr>
        <w:t>. The Depositary or its agent will keep, at a designated transfer office (the “Transfer Office”),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register (the “ADR Register”) for the registration, registration of transfer, combination and split-up of ADRs, and, in the case of Direct Registration ADRs, shall include the Direct Registration System, which at all reasonable times will be open for inspection by Holders and the Company for the purpose of communicating with Holders in the interest of the business of the Company or a matter relating to the Deposit Agreement and (b) facilities for the delivery and receipt of ADRs. The term ADR Register includes the Direct Registration System. Title to this ADR (and to the Deposited Securities represented by the ADSs evidenced hereby), when properly endorsed (in the case of ADRs in certificated form) or upon delivery to the Depositary of proper instruments of transfer, is transferable by delivery with the same effect as in the case of negotiable instruments under the laws of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Depositary, notwithstanding any notice to the contrary, may treat the person in whose name this ADR is registered on the ADR Register as the absolute owner hereof for all purposes and neither the Depositary nor the Company will have any obligation or be subject to any liability under the Deposit Agreement to any holder of an ADR, unless such holder is the Holder thereof. Subject to paragraphs (4) and (5), this ADR is transferable on the ADR Register and may be split into other ADRs or combined with other ADRs into one ADR, evidencing the aggregate number of ADSs surrendered for split-up or combination, by the Holder hereof or by duly authorized attorney upon surrender of this ADR at the Transfer Office properly endorsed (in the case of ADRs in certificated form) or upon delivery to the Depositary of proper instruments of transfer and duly stamped as may be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Depositary may close the ADR Register at any time or from time to time when deemed expedient by it or, in the case of the issuance book portion of the ADR Register, when reasonably requested by the Company solely in order to enable the Company to comply with applicable law. At the request of a Holder, the Depositary shall, for the purpose of substituting a certificated ADR with a Direct Registration ADR, or vice versa, execute and deliver a certificated ADR or a Direct Registration ADR, as the case may be, for any authorized number of ADSs requested, evidencing the same aggregate number of ADSs as those evidenced by the certificated ADR or Direct Registration ADR, as the case may be, substituted.</w:t>
      </w:r>
    </w:p>
    <w:p>
      <w:pPr>
        <w:spacing w:after="0" w:line="172" w:lineRule="exact"/>
        <w:rPr>
          <w:rFonts w:ascii="Arial" w:cs="Arial" w:eastAsia="Arial" w:hAnsi="Arial"/>
          <w:sz w:val="16"/>
          <w:szCs w:val="16"/>
          <w:color w:val="auto"/>
        </w:rPr>
      </w:pPr>
    </w:p>
    <w:p>
      <w:pPr>
        <w:ind w:left="-8" w:right="20" w:firstLine="464"/>
        <w:spacing w:after="0" w:line="289" w:lineRule="auto"/>
        <w:tabs>
          <w:tab w:leader="none" w:pos="703" w:val="left"/>
        </w:tabs>
        <w:numPr>
          <w:ilvl w:val="1"/>
          <w:numId w:val="41"/>
        </w:numPr>
        <w:rPr>
          <w:rFonts w:ascii="Arial" w:cs="Arial" w:eastAsia="Arial" w:hAnsi="Arial"/>
          <w:sz w:val="16"/>
          <w:szCs w:val="16"/>
          <w:color w:val="auto"/>
        </w:rPr>
      </w:pPr>
      <w:r>
        <w:rPr>
          <w:rFonts w:ascii="Arial" w:cs="Arial" w:eastAsia="Arial" w:hAnsi="Arial"/>
          <w:sz w:val="16"/>
          <w:szCs w:val="16"/>
          <w:b w:val="1"/>
          <w:bCs w:val="1"/>
          <w:color w:val="auto"/>
        </w:rPr>
        <w:t>Certain Limitations to Registration, Transfer etc</w:t>
      </w:r>
      <w:r>
        <w:rPr>
          <w:rFonts w:ascii="Arial" w:cs="Arial" w:eastAsia="Arial" w:hAnsi="Arial"/>
          <w:sz w:val="16"/>
          <w:szCs w:val="16"/>
          <w:color w:val="auto"/>
        </w:rPr>
        <w:t>. Prior to the issue, registration, registration of transfer, split-up or combination of any ADR, the</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of any distribution in respect thereof, or, subject to the last sentence of paragraph (2) (</w:t>
      </w:r>
      <w:r>
        <w:rPr>
          <w:rFonts w:ascii="Arial" w:cs="Arial" w:eastAsia="Arial" w:hAnsi="Arial"/>
          <w:sz w:val="16"/>
          <w:szCs w:val="16"/>
          <w:i w:val="1"/>
          <w:iCs w:val="1"/>
          <w:color w:val="auto"/>
        </w:rPr>
        <w:t>Withdrawal of Deposited Securities</w:t>
      </w:r>
      <w:r>
        <w:rPr>
          <w:rFonts w:ascii="Arial" w:cs="Arial" w:eastAsia="Arial" w:hAnsi="Arial"/>
          <w:sz w:val="16"/>
          <w:szCs w:val="16"/>
          <w:color w:val="auto"/>
        </w:rPr>
        <w:t>), the withdrawal of any Deposited Securities, and from time to time in the case of clause (b)(ii) of this paragraph (4), the Company, the Depositary or the Custodian may require:</w:t>
      </w:r>
    </w:p>
    <w:p>
      <w:pPr>
        <w:spacing w:after="0" w:line="1" w:lineRule="exact"/>
        <w:rPr>
          <w:rFonts w:ascii="Arial" w:cs="Arial" w:eastAsia="Arial" w:hAnsi="Arial"/>
          <w:sz w:val="16"/>
          <w:szCs w:val="16"/>
          <w:color w:val="auto"/>
        </w:rPr>
      </w:pPr>
    </w:p>
    <w:p>
      <w:pPr>
        <w:ind w:left="-8" w:right="100" w:firstLine="8"/>
        <w:spacing w:after="0" w:line="281" w:lineRule="auto"/>
        <w:tabs>
          <w:tab w:leader="none" w:pos="237" w:val="left"/>
        </w:tabs>
        <w:numPr>
          <w:ilvl w:val="0"/>
          <w:numId w:val="42"/>
        </w:numPr>
        <w:rPr>
          <w:rFonts w:ascii="Arial" w:cs="Arial" w:eastAsia="Arial" w:hAnsi="Arial"/>
          <w:sz w:val="16"/>
          <w:szCs w:val="16"/>
          <w:color w:val="auto"/>
        </w:rPr>
      </w:pPr>
      <w:r>
        <w:rPr>
          <w:rFonts w:ascii="Arial" w:cs="Arial" w:eastAsia="Arial" w:hAnsi="Arial"/>
          <w:sz w:val="16"/>
          <w:szCs w:val="16"/>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charges as provided in paragraph (7) (</w:t>
      </w:r>
      <w:r>
        <w:rPr>
          <w:rFonts w:ascii="Arial" w:cs="Arial" w:eastAsia="Arial" w:hAnsi="Arial"/>
          <w:sz w:val="16"/>
          <w:szCs w:val="16"/>
          <w:i w:val="1"/>
          <w:iCs w:val="1"/>
          <w:color w:val="auto"/>
        </w:rPr>
        <w:t>Charges of Depositary</w:t>
      </w:r>
      <w:r>
        <w:rPr>
          <w:rFonts w:ascii="Arial" w:cs="Arial" w:eastAsia="Arial" w:hAnsi="Arial"/>
          <w:sz w:val="16"/>
          <w:szCs w:val="16"/>
          <w:color w:val="auto"/>
        </w:rPr>
        <w:t>) of this ADR; (b) the production of proof satisfactory to it of (i) the identity of any signatory and genuineness of any signature and</w:t>
      </w:r>
    </w:p>
    <w:p>
      <w:pPr>
        <w:spacing w:after="0" w:line="2" w:lineRule="exact"/>
        <w:rPr>
          <w:rFonts w:ascii="Arial" w:cs="Arial" w:eastAsia="Arial" w:hAnsi="Arial"/>
          <w:sz w:val="16"/>
          <w:szCs w:val="16"/>
          <w:color w:val="auto"/>
        </w:rPr>
      </w:pPr>
    </w:p>
    <w:p>
      <w:pPr>
        <w:ind w:left="-8" w:right="20" w:firstLine="8"/>
        <w:spacing w:after="0" w:line="254" w:lineRule="auto"/>
        <w:tabs>
          <w:tab w:leader="none" w:pos="257"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this ADR, as it may deem necessary or proper; and (c) compliance with such regulations as the Depositary may establish consistent with the Deposit Agreement.</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92"/>
          </w:cols>
          <w:pgMar w:left="248" w:top="823" w:right="259" w:bottom="1440" w:gutter="0" w:footer="0" w:header="0"/>
        </w:sectPr>
      </w:pPr>
    </w:p>
    <w:bookmarkStart w:id="29" w:name="page30"/>
    <w:bookmarkEnd w:id="29"/>
    <w:p>
      <w:pPr>
        <w:ind w:right="6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The issuance of ADRs, the acceptance of deposits of Shares, the registration, registration of transfer, split-up or combination of ADRs or, subject to the last sentence of paragraph (2) (</w:t>
      </w:r>
      <w:r>
        <w:rPr>
          <w:rFonts w:ascii="Arial" w:cs="Arial" w:eastAsia="Arial" w:hAnsi="Arial"/>
          <w:sz w:val="16"/>
          <w:szCs w:val="16"/>
          <w:i w:val="1"/>
          <w:iCs w:val="1"/>
          <w:color w:val="auto"/>
        </w:rPr>
        <w:t>Withdrawal of Deposited Securities</w:t>
      </w:r>
      <w:r>
        <w:rPr>
          <w:rFonts w:ascii="Arial" w:cs="Arial" w:eastAsia="Arial" w:hAnsi="Arial"/>
          <w:sz w:val="16"/>
          <w:szCs w:val="16"/>
          <w:color w:val="auto"/>
        </w:rPr>
        <w:t>), the withdrawal of Deposited Securities may be suspended, generally or in particular instances, when the ADR Register or any register for Deposited Securities is closed or when any such action is deemed advisable by the Depositary.</w:t>
      </w:r>
    </w:p>
    <w:p>
      <w:pPr>
        <w:spacing w:after="0" w:line="143" w:lineRule="exact"/>
        <w:rPr>
          <w:sz w:val="20"/>
          <w:szCs w:val="20"/>
          <w:color w:val="auto"/>
        </w:rPr>
      </w:pPr>
    </w:p>
    <w:p>
      <w:pPr>
        <w:ind w:firstLine="464"/>
        <w:spacing w:after="0" w:line="285" w:lineRule="auto"/>
        <w:tabs>
          <w:tab w:leader="none" w:pos="711"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Liability of Holder for Taxes, Duties and Other Charges</w:t>
      </w:r>
      <w:r>
        <w:rPr>
          <w:rFonts w:ascii="Arial" w:cs="Arial" w:eastAsia="Arial" w:hAnsi="Arial"/>
          <w:sz w:val="16"/>
          <w:szCs w:val="16"/>
          <w:color w:val="auto"/>
        </w:rPr>
        <w:t>. If any tax or other governmental charges (including any penalties and/or interest)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become payable by or on behalf of the Custodian or the Depositary with respect to this ADR, any Deposited Securities represented by the ADSs evidenced hereby or any distribution thereon, including, without limitation, any Chinese enterprise income tax owed if the Circular Guoshuifa [2009] No. 82 issued by the Chinese State Administration of Taxation (SAT) or any other circular, edict, order or ruling, as issued and as from time to time amended, is applied or otherwise, such tax or other governmental charge shall be paid by the Holder hereof to the Depositary and by holding or having held an ADR the Holder and all prior Holders hereof, jointly and severally, agree to indemnify, defend and save harmless each of the Depositary and its agents in respect thereof. The Depositary may refuse to effect any registration, registration of transfer, split-up or combination hereof or, subject to the last sentence of paragraph (2) (</w:t>
      </w:r>
      <w:r>
        <w:rPr>
          <w:rFonts w:ascii="Arial" w:cs="Arial" w:eastAsia="Arial" w:hAnsi="Arial"/>
          <w:sz w:val="16"/>
          <w:szCs w:val="16"/>
          <w:i w:val="1"/>
          <w:iCs w:val="1"/>
          <w:color w:val="auto"/>
        </w:rPr>
        <w:t>Withdrawal of Deposited Securities</w:t>
      </w:r>
      <w:r>
        <w:rPr>
          <w:rFonts w:ascii="Arial" w:cs="Arial" w:eastAsia="Arial" w:hAnsi="Arial"/>
          <w:sz w:val="16"/>
          <w:szCs w:val="16"/>
          <w:color w:val="auto"/>
        </w:rPr>
        <w:t>), any withdrawal of such Deposited Securities until such payment is made. The Depositary may also deduct from any distributions on or in respect of Deposited Securities, or may sell by public or private sale for the account of the Holder hereof any part or all of such Deposited Securities (after attempting by reasonable means to notify the Holder hereof prior to such sale), and may apply such deduction or the proceeds of any such sale in payment of such tax or other governmental charge, the Holder hereof remaining liable for any deficiency, and shall reduce the number of ADSs evidenced hereby to reflect any such sales of Shares. In connection with any distribution to Holders, the Company will remit to the appropriate governmental authority or agency all amounts (if any) required to be withheld and owing to such authority or agency by the Company; and the Depositary and the Custodian will remit to the appropriate governmental authority or agency all amounts (if any) required to be withheld and owing to such authority or agency by the Depositary or the Custodian. If the Depositary determines that any distribution in property other than cash (including Shares or rights) on Deposited Securities is subject to any tax that the Depositary or the Custodian is obligated to withhold, the Depositary may dispose of all or a portion of such property in such amounts and in such manner as the Depositary deems necessary and practicable to pay such taxes, by public or private sale, and the Depositary shall distribute the net proceeds of any such sale or the balance of any such property after deduction of such taxes to the Holders entitled thereto. Each Holder of an ADR or an interest therein agrees to indemnify the Depositary, the Company, the Custodian and any of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827" w:right="239" w:bottom="1440" w:gutter="0" w:footer="0" w:header="0"/>
        </w:sectPr>
      </w:pPr>
    </w:p>
    <w:bookmarkStart w:id="30" w:name="page31"/>
    <w:bookmarkEnd w:id="30"/>
    <w:p>
      <w:pPr>
        <w:ind w:right="100" w:firstLine="464"/>
        <w:spacing w:after="0" w:line="291" w:lineRule="auto"/>
        <w:tabs>
          <w:tab w:leader="none" w:pos="711"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Disclosure of Interests</w:t>
      </w:r>
      <w:r>
        <w:rPr>
          <w:rFonts w:ascii="Arial" w:cs="Arial" w:eastAsia="Arial" w:hAnsi="Arial"/>
          <w:sz w:val="16"/>
          <w:szCs w:val="16"/>
          <w:color w:val="auto"/>
        </w:rPr>
        <w:t>. To the extent that the provisions of or governing any Deposited Securities may require disclosure of or impose limits on</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or other ownership of, or interest in, Deposited Securities, other Shares and other securities and may provide for blocking transfer, voting or other rights to enforce such disclosure or limits, Holders and all persons holding ADRs agree to comply with all such disclosure requirements and ownership limitations and to comply with any reasonable Company instructions in respect thereof. The Company reserves the right to instruct Holders to deliver their ADSs for cancellation and withdrawal of the Deposited Securities so as to permit the Company to deal directly with the Holder thereof as a holder of Shares and Holders agree to comply with such instructions. The Depositary agrees to cooperate with the Company in its efforts to inform Holders of the Company’s exercise of its rights under this paragraph, and to consult with, and provide reasonable assistance to, in each case without risk, liability or expense on the part of the Depositary, the Company on the manner or manners in which it may enforce such rights with respect to any Holder.</w:t>
      </w:r>
    </w:p>
    <w:p>
      <w:pPr>
        <w:spacing w:after="0" w:line="160" w:lineRule="exact"/>
        <w:rPr>
          <w:rFonts w:ascii="Arial" w:cs="Arial" w:eastAsia="Arial" w:hAnsi="Arial"/>
          <w:sz w:val="16"/>
          <w:szCs w:val="16"/>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Charges of Depositary</w:t>
      </w:r>
      <w:r>
        <w:rPr>
          <w:rFonts w:ascii="Arial" w:cs="Arial" w:eastAsia="Arial" w:hAnsi="Arial"/>
          <w:sz w:val="18"/>
          <w:szCs w:val="18"/>
          <w:color w:val="auto"/>
        </w:rPr>
        <w:t>.</w:t>
      </w:r>
    </w:p>
    <w:p>
      <w:pPr>
        <w:spacing w:after="0" w:line="229" w:lineRule="exact"/>
        <w:rPr>
          <w:sz w:val="20"/>
          <w:szCs w:val="20"/>
          <w:color w:val="auto"/>
        </w:rPr>
      </w:pPr>
    </w:p>
    <w:p>
      <w:pPr>
        <w:ind w:right="160" w:firstLine="464"/>
        <w:spacing w:after="0" w:line="291" w:lineRule="auto"/>
        <w:tabs>
          <w:tab w:leader="none" w:pos="701"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Rights of the Depositary. </w:t>
      </w:r>
      <w:r>
        <w:rPr>
          <w:rFonts w:ascii="Arial" w:cs="Arial" w:eastAsia="Arial" w:hAnsi="Arial"/>
          <w:sz w:val="16"/>
          <w:szCs w:val="16"/>
          <w:color w:val="auto"/>
        </w:rPr>
        <w:t>The Depositary may charge, and collect from, (i) each person to whom ADSs are issued, including, without limitation,</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issuances against deposits of Shares, issuances in respect of Share Distributions, Rights and Other Distributions (as such terms are defined in paragraph (10) (</w:t>
      </w:r>
      <w:r>
        <w:rPr>
          <w:rFonts w:ascii="Arial" w:cs="Arial" w:eastAsia="Arial" w:hAnsi="Arial"/>
          <w:sz w:val="16"/>
          <w:szCs w:val="16"/>
          <w:i w:val="1"/>
          <w:iCs w:val="1"/>
          <w:color w:val="auto"/>
        </w:rPr>
        <w:t>Distributions on Deposited Securities</w:t>
      </w:r>
      <w:r>
        <w:rPr>
          <w:rFonts w:ascii="Arial" w:cs="Arial" w:eastAsia="Arial" w:hAnsi="Arial"/>
          <w:sz w:val="16"/>
          <w:szCs w:val="16"/>
          <w:color w:val="auto"/>
        </w:rPr>
        <w:t>)), issuances pursuant to a stock dividend or stock split declared by the Company, or issuances pursuant to a merger, exchange of securities or any other transaction or event affecting the ADSs or the Deposited Securities, and (ii) each person surrendering ADSs for withdrawal of Deposited Securities or whose ADSs are cancelled or reduced for any other reason, U.S.$5.00 for each 100 ADSs (or portion thereof) issued, delivered, reduced, cancelled or surrendered (as the case may be). The Depositary may sell (by public or private sale) sufficient securities and property received in respect of Share Distributions, Rights and Other Distributions prior to such deposit to pay such charge.</w:t>
      </w:r>
    </w:p>
    <w:p>
      <w:pPr>
        <w:spacing w:after="0" w:line="167" w:lineRule="exact"/>
        <w:rPr>
          <w:rFonts w:ascii="Arial" w:cs="Arial" w:eastAsia="Arial" w:hAnsi="Arial"/>
          <w:sz w:val="16"/>
          <w:szCs w:val="16"/>
          <w:color w:val="auto"/>
        </w:rPr>
      </w:pPr>
    </w:p>
    <w:p>
      <w:pPr>
        <w:ind w:firstLine="464"/>
        <w:spacing w:after="0" w:line="285" w:lineRule="auto"/>
        <w:tabs>
          <w:tab w:leader="none" w:pos="711"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Additional charges by the Depositary. </w:t>
      </w:r>
      <w:r>
        <w:rPr>
          <w:rFonts w:ascii="Arial" w:cs="Arial" w:eastAsia="Arial" w:hAnsi="Arial"/>
          <w:sz w:val="16"/>
          <w:szCs w:val="16"/>
          <w:color w:val="auto"/>
        </w:rPr>
        <w:t>The following additional charges shall be incurred by the Holders, by any party depositing or withdrawing</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by any party surrendering ADSs and/or to whom ADSs are issued (including, without limitation, issuances pursuant to a stock dividend or stock split declared by the Company or an exchange of stock regarding the ADSs or the Deposited Securities or a distribution of ADSs pursuant to paragraph (10) (</w:t>
      </w:r>
      <w:r>
        <w:rPr>
          <w:rFonts w:ascii="Arial" w:cs="Arial" w:eastAsia="Arial" w:hAnsi="Arial"/>
          <w:sz w:val="16"/>
          <w:szCs w:val="16"/>
          <w:i w:val="1"/>
          <w:iCs w:val="1"/>
          <w:color w:val="auto"/>
        </w:rPr>
        <w:t>Distributions on Deposited Securities</w:t>
      </w:r>
      <w:r>
        <w:rPr>
          <w:rFonts w:ascii="Arial" w:cs="Arial" w:eastAsia="Arial" w:hAnsi="Arial"/>
          <w:sz w:val="16"/>
          <w:szCs w:val="16"/>
          <w:color w:val="auto"/>
        </w:rPr>
        <w:t>), whichever is applicable: (i) a fee of U.S.$0.05 or less per ADS for any Cash distribution made pursuant to the Deposit Agreement, (ii) a fee of U.S.$1.50 per ADR or ADRs for transfers made pursuant to paragraph (3) hereof, (iii) a fee for the distribution or sale of securities pursuant to paragraph (10) hereof, such fee being in an amount equal to the fee for the execution and delivery of ADSs referred to above which would have been charged as a result of the deposit of such securities (for purposes of this paragraph (7) treating all such securities as if they were Shares) but which securities or the net cash proceeds from the sale thereof are instead distributed by the Depositary to Holders entitled thereto, (iv) an aggregate fee of U.S.$0.05 per ADS per calendar year (or portion thereof) for services performed by the Depositary in administering the ADRs (which fee may be charged on a periodic basis during each calendar year and shall be assessed against Holders as of the record date or record dates set by the Depositary during each calendar year and shall be payable at the sole discretion of the Depositary by billing such Holders or by deducting such charge from one or more cash dividends or other cash distributions), and (v) 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823" w:right="239" w:bottom="1440" w:gutter="0" w:footer="0" w:header="0"/>
        </w:sectPr>
      </w:pPr>
    </w:p>
    <w:bookmarkStart w:id="31" w:name="page32"/>
    <w:bookmarkEnd w:id="31"/>
    <w:p>
      <w:pPr>
        <w:ind w:right="120" w:firstLine="464"/>
        <w:spacing w:after="0" w:line="286" w:lineRule="auto"/>
        <w:tabs>
          <w:tab w:leader="none" w:pos="701"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 xml:space="preserve">Obligations of the Company. </w:t>
      </w:r>
      <w:r>
        <w:rPr>
          <w:rFonts w:ascii="Arial" w:cs="Arial" w:eastAsia="Arial" w:hAnsi="Arial"/>
          <w:sz w:val="16"/>
          <w:szCs w:val="16"/>
          <w:color w:val="auto"/>
        </w:rPr>
        <w:t>The Company will pay all other charges and expenses of the Depositary and any agent of the Depositary (except the</w:t>
      </w:r>
      <w:r>
        <w:rPr>
          <w:rFonts w:ascii="Arial" w:cs="Arial" w:eastAsia="Arial" w:hAnsi="Arial"/>
          <w:sz w:val="16"/>
          <w:szCs w:val="16"/>
          <w:i w:val="1"/>
          <w:iCs w:val="1"/>
          <w:color w:val="auto"/>
        </w:rPr>
        <w:t xml:space="preserve"> </w:t>
      </w:r>
      <w:r>
        <w:rPr>
          <w:rFonts w:ascii="Arial" w:cs="Arial" w:eastAsia="Arial" w:hAnsi="Arial"/>
          <w:sz w:val="16"/>
          <w:szCs w:val="16"/>
          <w:color w:val="auto"/>
        </w:rPr>
        <w:t>Custodian) pursuant to agreements from time to time between the Company and the Depositary, except: (i) stock transfer or other taxes and other governmental charges (which are payable by Holders or persons depositing Shares); (ii) SWIFT, cable, telex and facsimile transmission and delivery charges incurred at the request of persons depositing, or Holders delivering Shares, ADRs or Deposited Securities (which are payable by such persons or Holders);</w:t>
      </w:r>
    </w:p>
    <w:p>
      <w:pPr>
        <w:spacing w:after="0" w:line="1" w:lineRule="exact"/>
        <w:rPr>
          <w:rFonts w:ascii="Arial" w:cs="Arial" w:eastAsia="Arial" w:hAnsi="Arial"/>
          <w:sz w:val="16"/>
          <w:szCs w:val="16"/>
          <w:color w:val="auto"/>
        </w:rPr>
      </w:pPr>
    </w:p>
    <w:p>
      <w:pPr>
        <w:ind w:firstLine="8"/>
        <w:spacing w:after="0" w:line="270" w:lineRule="auto"/>
        <w:tabs>
          <w:tab w:leader="none" w:pos="3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transfer or registration fees for the registration or transfer of Deposited Securities on any applicable register in connection with the deposit or withdrawal of Deposited Securities (which are payable by persons depositing Shares or Holders withdrawing Deposited Securities; and (iv) in connection with the conversion of foreign currency into U.S. dollars, JPMorgan Chase Bank, N.A. (“</w:t>
      </w:r>
      <w:r>
        <w:rPr>
          <w:rFonts w:ascii="Arial" w:cs="Arial" w:eastAsia="Arial" w:hAnsi="Arial"/>
          <w:sz w:val="17"/>
          <w:szCs w:val="17"/>
          <w:b w:val="1"/>
          <w:bCs w:val="1"/>
          <w:color w:val="auto"/>
        </w:rPr>
        <w:t>JPMorgan</w:t>
      </w:r>
      <w:r>
        <w:rPr>
          <w:rFonts w:ascii="Arial" w:cs="Arial" w:eastAsia="Arial" w:hAnsi="Arial"/>
          <w:sz w:val="17"/>
          <w:szCs w:val="17"/>
          <w:color w:val="auto"/>
        </w:rPr>
        <w:t>”) shall deduct out of such foreign currency the fees, expenses and other charges charged by it and/or its agent (which may be a division, branch or affiliate) so appointed in connection with such conversion. JPMorgan and/or its agent may act as principal for such conversion of foreign currency. Such charges may at any time and from time to time be changed by agreement between the Company and the Depositary. For further details see https://www.adr.com.</w:t>
      </w:r>
    </w:p>
    <w:p>
      <w:pPr>
        <w:spacing w:after="0" w:line="178" w:lineRule="exact"/>
        <w:rPr>
          <w:rFonts w:ascii="Arial" w:cs="Arial" w:eastAsia="Arial" w:hAnsi="Arial"/>
          <w:sz w:val="17"/>
          <w:szCs w:val="17"/>
          <w:color w:val="auto"/>
        </w:rPr>
      </w:pPr>
    </w:p>
    <w:p>
      <w:pPr>
        <w:ind w:right="220" w:firstLine="464"/>
        <w:spacing w:after="0" w:line="264" w:lineRule="auto"/>
        <w:tabs>
          <w:tab w:leader="none" w:pos="711"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right of the Depositary to receive payment of fees, charges and expenses as provided above shall survive the termination of the Deposit Agreement. As to any Depositary, upon the resignation or removal of such Depositary, such right shall extend for those fees, charges and expenses incurred prior to the effectiveness of such resignation or removal.</w:t>
      </w:r>
    </w:p>
    <w:p>
      <w:pPr>
        <w:spacing w:after="0" w:line="181" w:lineRule="exact"/>
        <w:rPr>
          <w:rFonts w:ascii="Arial" w:cs="Arial" w:eastAsia="Arial" w:hAnsi="Arial"/>
          <w:sz w:val="18"/>
          <w:szCs w:val="18"/>
          <w:color w:val="auto"/>
        </w:rPr>
      </w:pPr>
    </w:p>
    <w:p>
      <w:pPr>
        <w:ind w:right="160" w:firstLine="464"/>
        <w:spacing w:after="0" w:line="279" w:lineRule="auto"/>
        <w:tabs>
          <w:tab w:leader="none" w:pos="701"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Reimbursement by the Depositary. </w:t>
      </w:r>
      <w:r>
        <w:rPr>
          <w:rFonts w:ascii="Arial" w:cs="Arial" w:eastAsia="Arial" w:hAnsi="Arial"/>
          <w:sz w:val="17"/>
          <w:szCs w:val="17"/>
          <w:color w:val="auto"/>
        </w:rPr>
        <w:t>The Depositary anticipates reimbursing the Company for certain expenses incurred by the Company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establishment and maintenance of the ADR program upon such terms and conditions as the Company and the Depositary may agree from time to time. The Depositary may make available to the Company a set amount or a portion of the Depositary fees charged in respect of the ADR program or otherwise upon such terms and conditions as the Company and the Depositary may agree from time to time.</w:t>
      </w:r>
    </w:p>
    <w:p>
      <w:pPr>
        <w:spacing w:after="0" w:line="167" w:lineRule="exact"/>
        <w:rPr>
          <w:sz w:val="20"/>
          <w:szCs w:val="20"/>
          <w:color w:val="auto"/>
        </w:rPr>
      </w:pPr>
    </w:p>
    <w:p>
      <w:pPr>
        <w:ind w:right="40" w:firstLine="464"/>
        <w:spacing w:after="0" w:line="272" w:lineRule="auto"/>
        <w:tabs>
          <w:tab w:leader="none" w:pos="711"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Available Information</w:t>
      </w:r>
      <w:r>
        <w:rPr>
          <w:rFonts w:ascii="Arial" w:cs="Arial" w:eastAsia="Arial" w:hAnsi="Arial"/>
          <w:sz w:val="17"/>
          <w:szCs w:val="17"/>
          <w:color w:val="auto"/>
        </w:rPr>
        <w:t>. The Deposit Agreement, the provisions of or governing Deposited Securities and any written communications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which are both received by the Custodian or its nominee as a holder of Deposited Securities and made generally available to the holders of Deposited Securities, are available for inspection by Holders at the offices of the Depositary and the Custodian and at the Transfer Office, on the website of the United States Securities and Exchange Commission (the “Commission”), or upon request from the Depositary (which request may be refused by the Depositary at its discretion). The Depositary will distribute copies of such communications (or English translations or summaries thereof) to Holders when furnished by the Company. The Company is subject to the periodic reporting requirements of the Securities Exchange Act of 1934 and accordingly files certain reports with the Commission. Such reports and other information may be inspected and copied through the Commission’s EDGAR system or at public reference facilities maintained by the Commission located at the date hereof at 100 F Street, NE, Washington, DC 20549.</w:t>
      </w:r>
    </w:p>
    <w:p>
      <w:pPr>
        <w:spacing w:after="0" w:line="172" w:lineRule="exact"/>
        <w:rPr>
          <w:rFonts w:ascii="Arial" w:cs="Arial" w:eastAsia="Arial" w:hAnsi="Arial"/>
          <w:sz w:val="17"/>
          <w:szCs w:val="17"/>
          <w:color w:val="auto"/>
        </w:rPr>
      </w:pPr>
    </w:p>
    <w:p>
      <w:pPr>
        <w:ind w:right="780" w:firstLine="464"/>
        <w:spacing w:after="0" w:line="282" w:lineRule="auto"/>
        <w:tabs>
          <w:tab w:leader="none" w:pos="711"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Execution</w:t>
      </w:r>
      <w:r>
        <w:rPr>
          <w:rFonts w:ascii="Arial" w:cs="Arial" w:eastAsia="Arial" w:hAnsi="Arial"/>
          <w:sz w:val="18"/>
          <w:szCs w:val="18"/>
          <w:color w:val="auto"/>
        </w:rPr>
        <w:t>. This ADR shall not be valid for any purpose unless executed by the Depositary by the manual or facsimile signature of a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 of the Depositary.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JPMORGAN CHASE BANK, N.A., as Depositary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5715</wp:posOffset>
            </wp:positionV>
            <wp:extent cx="26587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Depositary’s office is located at 4 New York Plaza, Floor 12, New York, New York, 10004.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827" w:right="239" w:bottom="1440" w:gutter="0" w:footer="0" w:header="0"/>
        </w:sectPr>
      </w:pPr>
    </w:p>
    <w:bookmarkStart w:id="32" w:name="page33"/>
    <w:bookmarkEnd w:id="32"/>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[FORM OF REVERSE OF ADR]</w:t>
      </w:r>
    </w:p>
    <w:p>
      <w:pPr>
        <w:spacing w:after="0" w:line="221" w:lineRule="exact"/>
        <w:rPr>
          <w:sz w:val="20"/>
          <w:szCs w:val="20"/>
          <w:color w:val="auto"/>
        </w:rPr>
      </w:pPr>
    </w:p>
    <w:p>
      <w:pPr>
        <w:ind w:left="-8" w:right="120" w:firstLine="464"/>
        <w:spacing w:after="0" w:line="281" w:lineRule="auto"/>
        <w:tabs>
          <w:tab w:leader="none" w:pos="793"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Distributions on Deposited Securities</w:t>
      </w:r>
      <w:r>
        <w:rPr>
          <w:rFonts w:ascii="Arial" w:cs="Arial" w:eastAsia="Arial" w:hAnsi="Arial"/>
          <w:sz w:val="17"/>
          <w:szCs w:val="17"/>
          <w:color w:val="auto"/>
        </w:rPr>
        <w:t>. Subject to paragraphs (4) (</w:t>
      </w:r>
      <w:r>
        <w:rPr>
          <w:rFonts w:ascii="Arial" w:cs="Arial" w:eastAsia="Arial" w:hAnsi="Arial"/>
          <w:sz w:val="17"/>
          <w:szCs w:val="17"/>
          <w:i w:val="1"/>
          <w:iCs w:val="1"/>
          <w:color w:val="auto"/>
        </w:rPr>
        <w:t>Certain Limitations to Registration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Transfer etc.</w:t>
      </w:r>
      <w:r>
        <w:rPr>
          <w:rFonts w:ascii="Arial" w:cs="Arial" w:eastAsia="Arial" w:hAnsi="Arial"/>
          <w:sz w:val="17"/>
          <w:szCs w:val="17"/>
          <w:color w:val="auto"/>
        </w:rPr>
        <w:t>) and (5) (</w:t>
      </w:r>
      <w:r>
        <w:rPr>
          <w:rFonts w:ascii="Arial" w:cs="Arial" w:eastAsia="Arial" w:hAnsi="Arial"/>
          <w:sz w:val="17"/>
          <w:szCs w:val="17"/>
          <w:i w:val="1"/>
          <w:iCs w:val="1"/>
          <w:color w:val="auto"/>
        </w:rPr>
        <w:t>Liability of Holder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for Taxes</w:t>
      </w:r>
      <w:r>
        <w:rPr>
          <w:rFonts w:ascii="Arial" w:cs="Arial" w:eastAsia="Arial" w:hAnsi="Arial"/>
          <w:sz w:val="17"/>
          <w:szCs w:val="17"/>
          <w:color w:val="auto"/>
        </w:rPr>
        <w:t>,</w:t>
      </w:r>
      <w:r>
        <w:rPr>
          <w:rFonts w:ascii="Arial" w:cs="Arial" w:eastAsia="Arial" w:hAnsi="Arial"/>
          <w:sz w:val="17"/>
          <w:szCs w:val="17"/>
          <w:i w:val="1"/>
          <w:iCs w:val="1"/>
          <w:color w:val="auto"/>
        </w:rPr>
        <w:t xml:space="preserve"> Duties and other Charges</w:t>
      </w:r>
      <w:r>
        <w:rPr>
          <w:rFonts w:ascii="Arial" w:cs="Arial" w:eastAsia="Arial" w:hAnsi="Arial"/>
          <w:sz w:val="17"/>
          <w:szCs w:val="17"/>
          <w:color w:val="auto"/>
        </w:rPr>
        <w:t>), to the extent practicable, the Depositary will distribute to each Holder entitled thereto on the record date set by the</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therefor at such Holder’s address shown on the ADR Register, in proportion to the number of Deposited Securities (on which the following distributions on Deposited Securities are received by the Custodian) represented by ADSs evidenced by such Holder’s ADRs:</w:t>
      </w:r>
    </w:p>
    <w:p>
      <w:pPr>
        <w:spacing w:after="0" w:line="169" w:lineRule="exact"/>
        <w:rPr>
          <w:sz w:val="20"/>
          <w:szCs w:val="20"/>
          <w:color w:val="auto"/>
        </w:rPr>
      </w:pPr>
    </w:p>
    <w:p>
      <w:pPr>
        <w:ind w:left="-8" w:firstLine="464"/>
        <w:spacing w:after="0" w:line="284" w:lineRule="auto"/>
        <w:tabs>
          <w:tab w:leader="none" w:pos="693"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Cash. </w:t>
      </w:r>
      <w:r>
        <w:rPr>
          <w:rFonts w:ascii="Arial" w:cs="Arial" w:eastAsia="Arial" w:hAnsi="Arial"/>
          <w:sz w:val="16"/>
          <w:szCs w:val="16"/>
          <w:color w:val="auto"/>
        </w:rPr>
        <w:t>Any U.S. dollars available to the Depositary resulting from a cash dividend or other cash distribution or the net proceeds of sales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or portion thereof authorized in this paragraph (10) (“</w:t>
      </w:r>
      <w:r>
        <w:rPr>
          <w:rFonts w:ascii="Arial" w:cs="Arial" w:eastAsia="Arial" w:hAnsi="Arial"/>
          <w:sz w:val="16"/>
          <w:szCs w:val="16"/>
          <w:b w:val="1"/>
          <w:bCs w:val="1"/>
          <w:color w:val="auto"/>
        </w:rPr>
        <w:t>Cash</w:t>
      </w:r>
      <w:r>
        <w:rPr>
          <w:rFonts w:ascii="Arial" w:cs="Arial" w:eastAsia="Arial" w:hAnsi="Arial"/>
          <w:sz w:val="16"/>
          <w:szCs w:val="16"/>
          <w:color w:val="auto"/>
        </w:rPr>
        <w:t>”), on an averaged or other practicable basis, subject to (i) appropriate adjustments for taxes withheld, (ii) such distribution being impermissible or impracticable with respect to certain Holders, and (iii) 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w:t>
      </w:r>
    </w:p>
    <w:p>
      <w:pPr>
        <w:spacing w:after="0" w:line="2" w:lineRule="exact"/>
        <w:rPr>
          <w:rFonts w:ascii="Arial" w:cs="Arial" w:eastAsia="Arial" w:hAnsi="Arial"/>
          <w:sz w:val="16"/>
          <w:szCs w:val="16"/>
          <w:color w:val="auto"/>
        </w:rPr>
      </w:pPr>
    </w:p>
    <w:p>
      <w:pPr>
        <w:ind w:left="252" w:hanging="252"/>
        <w:spacing w:after="0"/>
        <w:tabs>
          <w:tab w:leader="none" w:pos="2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making any sale by public or private means in any commercially reasonable manner.</w:t>
      </w:r>
    </w:p>
    <w:p>
      <w:pPr>
        <w:spacing w:after="0" w:line="210" w:lineRule="exact"/>
        <w:rPr>
          <w:rFonts w:ascii="Arial" w:cs="Arial" w:eastAsia="Arial" w:hAnsi="Arial"/>
          <w:sz w:val="18"/>
          <w:szCs w:val="18"/>
          <w:color w:val="auto"/>
        </w:rPr>
      </w:pPr>
    </w:p>
    <w:p>
      <w:pPr>
        <w:ind w:left="-8" w:right="60" w:firstLine="464"/>
        <w:spacing w:after="0" w:line="312" w:lineRule="auto"/>
        <w:tabs>
          <w:tab w:leader="none" w:pos="703" w:val="left"/>
        </w:tabs>
        <w:numPr>
          <w:ilvl w:val="1"/>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Shares. </w:t>
      </w:r>
      <w:r>
        <w:rPr>
          <w:rFonts w:ascii="Arial" w:cs="Arial" w:eastAsia="Arial" w:hAnsi="Arial"/>
          <w:sz w:val="16"/>
          <w:szCs w:val="16"/>
          <w:color w:val="auto"/>
        </w:rPr>
        <w:t>(i) Additional ADRs evidencing whole ADSs representing any Shares available to the Depositary resulting from a dividend or free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on Deposited Securities consisting of Shares (a “</w:t>
      </w:r>
      <w:r>
        <w:rPr>
          <w:rFonts w:ascii="Arial" w:cs="Arial" w:eastAsia="Arial" w:hAnsi="Arial"/>
          <w:sz w:val="16"/>
          <w:szCs w:val="16"/>
          <w:b w:val="1"/>
          <w:bCs w:val="1"/>
          <w:color w:val="auto"/>
        </w:rPr>
        <w:t>Share Distribution</w:t>
      </w:r>
      <w:r>
        <w:rPr>
          <w:rFonts w:ascii="Arial" w:cs="Arial" w:eastAsia="Arial" w:hAnsi="Arial"/>
          <w:sz w:val="16"/>
          <w:szCs w:val="16"/>
          <w:color w:val="auto"/>
        </w:rPr>
        <w:t>”) and (ii) U.S. dollars available to it resulting from the net proceeds of sales of Shares received in a Share Distribution, which Shares would give rise to fractional ADSs if additional ADRs were issued therefor, as in the case of Cash.</w:t>
      </w:r>
    </w:p>
    <w:p>
      <w:pPr>
        <w:spacing w:after="0" w:line="146" w:lineRule="exact"/>
        <w:rPr>
          <w:rFonts w:ascii="Arial" w:cs="Arial" w:eastAsia="Arial" w:hAnsi="Arial"/>
          <w:sz w:val="16"/>
          <w:szCs w:val="16"/>
          <w:color w:val="auto"/>
        </w:rPr>
      </w:pPr>
    </w:p>
    <w:p>
      <w:pPr>
        <w:ind w:left="-8" w:firstLine="464"/>
        <w:spacing w:after="0" w:line="272" w:lineRule="auto"/>
        <w:tabs>
          <w:tab w:leader="none" w:pos="693" w:val="left"/>
        </w:tabs>
        <w:numPr>
          <w:ilvl w:val="1"/>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Rights. </w:t>
      </w:r>
      <w:r>
        <w:rPr>
          <w:rFonts w:ascii="Arial" w:cs="Arial" w:eastAsia="Arial" w:hAnsi="Arial"/>
          <w:sz w:val="17"/>
          <w:szCs w:val="17"/>
          <w:color w:val="auto"/>
        </w:rPr>
        <w:t>(i) Warrants or other instruments in the discretion of the Depositary representing rights to acquire additional ADRs in respect of any rights to</w:t>
      </w:r>
      <w:r>
        <w:rPr>
          <w:rFonts w:ascii="Arial" w:cs="Arial" w:eastAsia="Arial" w:hAnsi="Arial"/>
          <w:sz w:val="17"/>
          <w:szCs w:val="17"/>
          <w:i w:val="1"/>
          <w:iCs w:val="1"/>
          <w:color w:val="auto"/>
        </w:rPr>
        <w:t xml:space="preserve"> </w:t>
      </w:r>
      <w:r>
        <w:rPr>
          <w:rFonts w:ascii="Arial" w:cs="Arial" w:eastAsia="Arial" w:hAnsi="Arial"/>
          <w:sz w:val="17"/>
          <w:szCs w:val="17"/>
          <w:color w:val="auto"/>
        </w:rPr>
        <w:t>subscribe for additional Shares or rights of any nature available to the Depositary as a result of a distribution on Deposited Securities (“</w:t>
      </w:r>
      <w:r>
        <w:rPr>
          <w:rFonts w:ascii="Arial" w:cs="Arial" w:eastAsia="Arial" w:hAnsi="Arial"/>
          <w:sz w:val="17"/>
          <w:szCs w:val="17"/>
          <w:b w:val="1"/>
          <w:bCs w:val="1"/>
          <w:color w:val="auto"/>
        </w:rPr>
        <w:t>Rights</w:t>
      </w:r>
      <w:r>
        <w:rPr>
          <w:rFonts w:ascii="Arial" w:cs="Arial" w:eastAsia="Arial" w:hAnsi="Arial"/>
          <w:sz w:val="17"/>
          <w:szCs w:val="17"/>
          <w:color w:val="auto"/>
        </w:rPr>
        <w:t>”), to the extent that the Company timely furnishes to the Depositary evidence satisfactory to the Depositary that the Depositary may lawfully distribute the same (the Company has no obligation to so furnish such evidence), or (ii) to the extent the Company does not so furnish such evidence and sales of Rights are practicable, any U.S. dollars available to the Depositary from the net proceeds of sales of Rights as in the case of Cash, or (iii) to the extent the Company does not so furnish such evidence and such sales cannot practicably be accomplished by reason of the nontransferability of the Rights, limited markets therefor, their short duration or otherwise, nothing (and any Rights may lapse).</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92"/>
          </w:cols>
          <w:pgMar w:left="248" w:top="827" w:right="259" w:bottom="1440" w:gutter="0" w:footer="0" w:header="0"/>
        </w:sectPr>
      </w:pPr>
    </w:p>
    <w:bookmarkStart w:id="33" w:name="page34"/>
    <w:bookmarkEnd w:id="33"/>
    <w:p>
      <w:pPr>
        <w:ind w:left="-20" w:firstLine="464"/>
        <w:spacing w:after="0" w:line="288" w:lineRule="auto"/>
        <w:tabs>
          <w:tab w:leader="none" w:pos="691"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 xml:space="preserve">Other Distributions. </w:t>
      </w:r>
      <w:r>
        <w:rPr>
          <w:rFonts w:ascii="Arial" w:cs="Arial" w:eastAsia="Arial" w:hAnsi="Arial"/>
          <w:sz w:val="16"/>
          <w:szCs w:val="16"/>
          <w:color w:val="auto"/>
        </w:rPr>
        <w:t>(i) Securities or property available to the Depositary resulting from any distribution on Deposited Securities other than Cash,</w:t>
      </w:r>
      <w:r>
        <w:rPr>
          <w:rFonts w:ascii="Arial" w:cs="Arial" w:eastAsia="Arial" w:hAnsi="Arial"/>
          <w:sz w:val="16"/>
          <w:szCs w:val="16"/>
          <w:i w:val="1"/>
          <w:iCs w:val="1"/>
          <w:color w:val="auto"/>
        </w:rPr>
        <w:t xml:space="preserve"> </w:t>
      </w:r>
      <w:r>
        <w:rPr>
          <w:rFonts w:ascii="Arial" w:cs="Arial" w:eastAsia="Arial" w:hAnsi="Arial"/>
          <w:sz w:val="16"/>
          <w:szCs w:val="16"/>
          <w:color w:val="auto"/>
        </w:rPr>
        <w:t>Share Distributions and Rights (“</w:t>
      </w:r>
      <w:r>
        <w:rPr>
          <w:rFonts w:ascii="Arial" w:cs="Arial" w:eastAsia="Arial" w:hAnsi="Arial"/>
          <w:sz w:val="16"/>
          <w:szCs w:val="16"/>
          <w:b w:val="1"/>
          <w:bCs w:val="1"/>
          <w:color w:val="auto"/>
        </w:rPr>
        <w:t>Other Distributions</w:t>
      </w:r>
      <w:r>
        <w:rPr>
          <w:rFonts w:ascii="Arial" w:cs="Arial" w:eastAsia="Arial" w:hAnsi="Arial"/>
          <w:sz w:val="16"/>
          <w:szCs w:val="16"/>
          <w:color w:val="auto"/>
        </w:rPr>
        <w:t>”), by any means that the Depositary may deem equitable and practicable, or (ii) to the extent the Depositary deems distribution of such securities or property not to be equitable and practicable, any U.S. dollars available to the Depositary from the net proceeds of sales of Other Distributions as in the case of Cash. The Depositary reserves the right to utilize a division, branch or affiliate of JPMorgan Chase Bank, N.A. to direct, manage and/or execute any public and/or private sale of securities hereunder. Such division, branch and/or affiliate may charge the Depositary a fee in connection with such sales, which fee is considered an expense of the Depositary contemplated above and/or under paragraph (7) (</w:t>
      </w:r>
      <w:r>
        <w:rPr>
          <w:rFonts w:ascii="Arial" w:cs="Arial" w:eastAsia="Arial" w:hAnsi="Arial"/>
          <w:sz w:val="16"/>
          <w:szCs w:val="16"/>
          <w:i w:val="1"/>
          <w:iCs w:val="1"/>
          <w:color w:val="auto"/>
        </w:rPr>
        <w:t>Charges of Depositary</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Any U.S. dollars available will be distributed by checks drawn on a bank in the United States for whole dollars and cents. Fractional cents will be withheld without liability and dealt with by the Depositary in accordance with its then current practices. All purchases and sales of securities will be handled by the Depositary in accordance with its then current policies, which are currently set forth in the “Depositary Receipt Sale and Purchase of Security” section of https://www.adr.com/Investors/ FindOutAboutDRs, the location and contents of which the Depositary shall be solely responsible for.</w:t>
      </w:r>
    </w:p>
    <w:p>
      <w:pPr>
        <w:spacing w:after="0" w:line="165" w:lineRule="exact"/>
        <w:rPr>
          <w:sz w:val="20"/>
          <w:szCs w:val="20"/>
          <w:color w:val="auto"/>
        </w:rPr>
      </w:pPr>
    </w:p>
    <w:p>
      <w:pPr>
        <w:ind w:left="-20" w:right="20" w:firstLine="464"/>
        <w:spacing w:after="0" w:line="277" w:lineRule="auto"/>
        <w:tabs>
          <w:tab w:leader="none" w:pos="775"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Record Dates</w:t>
      </w:r>
      <w:r>
        <w:rPr>
          <w:rFonts w:ascii="Arial" w:cs="Arial" w:eastAsia="Arial" w:hAnsi="Arial"/>
          <w:sz w:val="17"/>
          <w:szCs w:val="17"/>
          <w:color w:val="auto"/>
        </w:rPr>
        <w:t>. The Depositary may, after consultation with the Company if practicable, fix a record date (which, to the extent applicable,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as near as practicable to any corresponding record date set by the Company) for the determination of the Holders who shall be responsible for the fee assessed by the Depositary for administration of the ADR program and for any expenses provided for in paragraph (7) hereof as well as for the determination of the Holders who shall be entitled to receive any distribution on or in respect of Deposited Securities, to give instructions for the exercise of any voting rights, to receive any notice or to act in respect of other matters and only such Holders shall be so entitled or obligated.</w:t>
      </w:r>
    </w:p>
    <w:p>
      <w:pPr>
        <w:spacing w:after="0" w:line="168" w:lineRule="exact"/>
        <w:rPr>
          <w:rFonts w:ascii="Arial" w:cs="Arial" w:eastAsia="Arial" w:hAnsi="Arial"/>
          <w:sz w:val="17"/>
          <w:szCs w:val="17"/>
          <w:color w:val="auto"/>
        </w:rPr>
      </w:pPr>
    </w:p>
    <w:p>
      <w:pPr>
        <w:ind w:left="780" w:hanging="33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Voting of Deposited Securities</w:t>
      </w:r>
      <w:r>
        <w:rPr>
          <w:rFonts w:ascii="Arial" w:cs="Arial" w:eastAsia="Arial" w:hAnsi="Arial"/>
          <w:sz w:val="18"/>
          <w:szCs w:val="18"/>
          <w:color w:val="auto"/>
        </w:rPr>
        <w:t>.</w:t>
      </w:r>
    </w:p>
    <w:p>
      <w:pPr>
        <w:spacing w:after="0" w:line="229" w:lineRule="exact"/>
        <w:rPr>
          <w:sz w:val="20"/>
          <w:szCs w:val="20"/>
          <w:color w:val="auto"/>
        </w:rPr>
      </w:pPr>
    </w:p>
    <w:p>
      <w:pPr>
        <w:ind w:left="-20" w:right="60" w:firstLine="464"/>
        <w:spacing w:after="0" w:line="269" w:lineRule="auto"/>
        <w:tabs>
          <w:tab w:leader="none" w:pos="681"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Notice of any Meeting or Solicitation. </w:t>
      </w:r>
      <w:r>
        <w:rPr>
          <w:rFonts w:ascii="Arial" w:cs="Arial" w:eastAsia="Arial" w:hAnsi="Arial"/>
          <w:sz w:val="17"/>
          <w:szCs w:val="17"/>
          <w:color w:val="auto"/>
        </w:rPr>
        <w:t>Subject to the next sentence, as soon as practicable after receipt of notice of any meeting at which the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are entitled to vote, or of solicitation of consents or proxies from holders of Shares or other Deposited Securities, the Depositary shall fix the ADS record date in accordance with paragraph (11) above in respect of such meeting or solicitation of consent or proxy. The Depositary shall, if requested by the Company in writing in a timely manner (the Depositary having no obligation to take any further action if the request shall not have been received by the Depositary at least 30 days prior to the date of such vote or meeting) and at the Company’s expense and provided no legal prohibitions exist, distribute to Holders a notice stating (i) such information as is contained in such notice and any solicitation materials, (ii) that each Holder on the record date set by the Depositary therefor will, subject to any applicable provisions of Cayman Islands law, be entitled to instruct the Depositary as to the exercise of the voting rights, if any, pertaining to the Deposited Securities represented by the ADSs evidenced by such Holder’s ADRs and (iii) the manner in which such instructions may be given, including instructions to give a discretionary proxy to a person designated by the Company. There is no guarantee that Holders generally or any Holder in particular will receive the notice described above with sufficient time to enable such Holder to return any voting instructions to the Depositary in a timely manner.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60" w:top="827" w:right="239" w:bottom="1440" w:gutter="0" w:footer="0" w:header="0"/>
        </w:sectPr>
      </w:pPr>
    </w:p>
    <w:bookmarkStart w:id="34" w:name="page35"/>
    <w:bookmarkEnd w:id="34"/>
    <w:p>
      <w:pPr>
        <w:ind w:firstLine="464"/>
        <w:spacing w:after="0" w:line="287" w:lineRule="auto"/>
        <w:tabs>
          <w:tab w:leader="none" w:pos="711"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 xml:space="preserve">Voting of Deposited Securities. </w:t>
      </w:r>
      <w:r>
        <w:rPr>
          <w:rFonts w:ascii="Arial" w:cs="Arial" w:eastAsia="Arial" w:hAnsi="Arial"/>
          <w:sz w:val="16"/>
          <w:szCs w:val="16"/>
          <w:color w:val="auto"/>
        </w:rPr>
        <w:t>Voting instructions may only be given in respect of a number of ADSs representing an integral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Upon actual receipt by the ADR department of the Depositary of instructions of a Holder on such record date in the manner and on or before the time established by the Depositary for such purpose, the Depositary shall endeavor insofar as practicable and permitted under the provisions of or governing Deposited Securities to vote or cause to be voted the Deposited Securities represented by the ADSs evidenced by such Holder’s ADRs in accordance with such instructions. The Depositary will not itself exercise any voting discretion in respect of any Deposited Securities.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6"/>
          <w:szCs w:val="16"/>
          <w:i w:val="1"/>
          <w:iCs w:val="1"/>
          <w:color w:val="auto"/>
        </w:rPr>
        <w:t>i.e.</w:t>
      </w:r>
      <w:r>
        <w:rPr>
          <w:rFonts w:ascii="Arial" w:cs="Arial" w:eastAsia="Arial" w:hAnsi="Arial"/>
          <w:sz w:val="16"/>
          <w:szCs w:val="16"/>
          <w:color w:val="auto"/>
        </w:rPr>
        <w:t>, by reference to a website containing the materials for retrieval or a contact for requesting copies of the materials). Holders are strongly encouraged to forward their voting instructions as soon as possible. Voting instructions will not be deemed received until such time as the ADR department responsible for proxies and voting has received such instructions notwithstanding that such instructions may have been physically received by JPMorgan Chase Bank, N.A., as Depositary, prior to such time.</w:t>
      </w:r>
    </w:p>
    <w:p>
      <w:pPr>
        <w:spacing w:after="0" w:line="16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To the extent the Depositary has been provided with at least 40 days’ notice of the proposed meeting, if such instructions are not so timely received by the Depositary from any Holder, such Holder shall be deemed, and the Depositary is instructed to deem such Holder, to have instructed the Depositary to give a discretionary proxy to a person designated by the Company to vote the Deposited Securities represented by the American Depositary Shares evidenced by such Holder’s Receipts as to which such instructions are so given, provided that no such instruction shall be deemed given and no discretionary proxy shall be given (a) if the Company informs the Depositary in writing (and the Company agrees to provide the Depositary with such information promptly in writing) that (i) it does not wish such proxy to be given, (ii) substantial opposition exists with respect to any agenda item for which the proxy would be given or</w:t>
      </w:r>
    </w:p>
    <w:p>
      <w:pPr>
        <w:spacing w:after="0" w:line="5" w:lineRule="exact"/>
        <w:rPr>
          <w:sz w:val="20"/>
          <w:szCs w:val="20"/>
          <w:color w:val="auto"/>
        </w:rPr>
      </w:pPr>
    </w:p>
    <w:p>
      <w:pPr>
        <w:ind w:right="20" w:firstLine="8"/>
        <w:spacing w:after="0" w:line="290" w:lineRule="auto"/>
        <w:tabs>
          <w:tab w:leader="none" w:pos="31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agenda item in question, if approved, would materially or adversely affect the rights of holders of Shares and (b) unless, with respect to such meeting, the Depositary has been provided with an opinion of counsel to the Company, in form and substance satisfactory to the Depositary, to the effect that (a) the granting of such discretionary proxy does not subject the Depositary to any reporting obligations in the Cayman Islands, (b) the granting of such proxy will not result in a violation of Cayman Islands law, rule, regulation or permit and (c) the voting arrangement and deemed instruction as contemplated herein will be given effect under Cayman Islands law. There is no guarantee that Holders generally or any Holder in particular will receive the notice described above with sufficient time to enable such Holder to return any voting instructions to the Depositary in a timely manner.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827" w:right="259" w:bottom="1440" w:gutter="0" w:footer="0" w:header="0"/>
        </w:sectPr>
      </w:pPr>
    </w:p>
    <w:bookmarkStart w:id="35" w:name="page36"/>
    <w:bookmarkEnd w:id="35"/>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The Depositary has been advised by the Company that under the Cayman Islands law and the Memorandum and Articles of Association of the Company, each as in effect as of the date of the Deposit Agreement, voting at any general meeting of shareholders of the Company is by a poll save that the chairman of the meeting may in good faith, allow a resolution which relates purely to a procedural or administrative matter to be voted on by a show of hands in accordance with relevant provisions in the Memorandum and Articles of Association of the Company. In the event that voting on any resolution or matter is conducted on a show of hands basis in accordance with the Memorandum and Articles of Association, the Depositary will refrain from voting and the voting instructions received by the Depositary from Holders shall lapse. The Depositary will not demand a poll or join in demanding a poll, whether or not requested to do so by Holders of ADSs.</w:t>
      </w:r>
    </w:p>
    <w:p>
      <w:pPr>
        <w:spacing w:after="0" w:line="185" w:lineRule="exact"/>
        <w:rPr>
          <w:sz w:val="20"/>
          <w:szCs w:val="20"/>
          <w:color w:val="auto"/>
        </w:rPr>
      </w:pPr>
    </w:p>
    <w:p>
      <w:pPr>
        <w:ind w:left="800" w:hanging="336"/>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Changes Affecting Deposited Securities</w:t>
      </w:r>
      <w:r>
        <w:rPr>
          <w:rFonts w:ascii="Arial" w:cs="Arial" w:eastAsia="Arial" w:hAnsi="Arial"/>
          <w:sz w:val="18"/>
          <w:szCs w:val="18"/>
          <w:color w:val="auto"/>
        </w:rPr>
        <w:t>.</w:t>
      </w:r>
    </w:p>
    <w:p>
      <w:pPr>
        <w:spacing w:after="0" w:line="229" w:lineRule="exact"/>
        <w:rPr>
          <w:sz w:val="20"/>
          <w:szCs w:val="20"/>
          <w:color w:val="auto"/>
        </w:rPr>
      </w:pPr>
    </w:p>
    <w:p>
      <w:pPr>
        <w:ind w:firstLine="464"/>
        <w:spacing w:after="0" w:line="271" w:lineRule="auto"/>
        <w:tabs>
          <w:tab w:leader="none" w:pos="701"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Subject to paragraphs (4) (</w:t>
      </w:r>
      <w:r>
        <w:rPr>
          <w:rFonts w:ascii="Arial" w:cs="Arial" w:eastAsia="Arial" w:hAnsi="Arial"/>
          <w:sz w:val="17"/>
          <w:szCs w:val="17"/>
          <w:i w:val="1"/>
          <w:iCs w:val="1"/>
          <w:color w:val="auto"/>
        </w:rPr>
        <w:t>Certain Limitations to Registration</w:t>
      </w:r>
      <w:r>
        <w:rPr>
          <w:rFonts w:ascii="Arial" w:cs="Arial" w:eastAsia="Arial" w:hAnsi="Arial"/>
          <w:sz w:val="17"/>
          <w:szCs w:val="17"/>
          <w:color w:val="auto"/>
        </w:rPr>
        <w:t xml:space="preserve">, </w:t>
      </w:r>
      <w:r>
        <w:rPr>
          <w:rFonts w:ascii="Arial" w:cs="Arial" w:eastAsia="Arial" w:hAnsi="Arial"/>
          <w:sz w:val="17"/>
          <w:szCs w:val="17"/>
          <w:i w:val="1"/>
          <w:iCs w:val="1"/>
          <w:color w:val="auto"/>
        </w:rPr>
        <w:t>Transfer etc.</w:t>
      </w:r>
      <w:r>
        <w:rPr>
          <w:rFonts w:ascii="Arial" w:cs="Arial" w:eastAsia="Arial" w:hAnsi="Arial"/>
          <w:sz w:val="17"/>
          <w:szCs w:val="17"/>
          <w:color w:val="auto"/>
        </w:rPr>
        <w:t>) and (5) (</w:t>
      </w:r>
      <w:r>
        <w:rPr>
          <w:rFonts w:ascii="Arial" w:cs="Arial" w:eastAsia="Arial" w:hAnsi="Arial"/>
          <w:sz w:val="17"/>
          <w:szCs w:val="17"/>
          <w:i w:val="1"/>
          <w:iCs w:val="1"/>
          <w:color w:val="auto"/>
        </w:rPr>
        <w:t>Liability of Holder to Taxes</w:t>
      </w:r>
      <w:r>
        <w:rPr>
          <w:rFonts w:ascii="Arial" w:cs="Arial" w:eastAsia="Arial" w:hAnsi="Arial"/>
          <w:sz w:val="17"/>
          <w:szCs w:val="17"/>
          <w:color w:val="auto"/>
        </w:rPr>
        <w:t xml:space="preserve">, </w:t>
      </w:r>
      <w:r>
        <w:rPr>
          <w:rFonts w:ascii="Arial" w:cs="Arial" w:eastAsia="Arial" w:hAnsi="Arial"/>
          <w:sz w:val="17"/>
          <w:szCs w:val="17"/>
          <w:i w:val="1"/>
          <w:iCs w:val="1"/>
          <w:color w:val="auto"/>
        </w:rPr>
        <w:t>Duties and Other Charges</w:t>
      </w:r>
      <w:r>
        <w:rPr>
          <w:rFonts w:ascii="Arial" w:cs="Arial" w:eastAsia="Arial" w:hAnsi="Arial"/>
          <w:sz w:val="17"/>
          <w:szCs w:val="17"/>
          <w:color w:val="auto"/>
        </w:rPr>
        <w:t>), the Depositary may, in its discretion, and shall if reasonably requested by the Company, amend this ADR or distribute additional or amended ADRs (with or without calling this ADR for exchange) or cash, securities or property on the record date set by the Depositary therefor to reflect any change in par value, split-up, consolidation, cancellation or other reclassification of Deposited Securities, any Share Distribution or Other Distribution not distributed to Holders or any cash, securities or property available to the Depositary in respect of Deposited Securities from (and the Depositary is hereby authorized to surrender any Deposited Securities to any person and, irrespective of whether such Deposited Securities are surrendered or otherwise cancelled by operation of law, rule, regulation or otherwise, to sell by public or private sale any property received in connection with) any recapitalization, reorganization, merger, consolidation, liquidation, receivership, bankruptcy or sale of all or substantially all the assets of the Company.</w:t>
      </w:r>
    </w:p>
    <w:p>
      <w:pPr>
        <w:spacing w:after="0" w:line="178" w:lineRule="exact"/>
        <w:rPr>
          <w:rFonts w:ascii="Arial" w:cs="Arial" w:eastAsia="Arial" w:hAnsi="Arial"/>
          <w:sz w:val="17"/>
          <w:szCs w:val="17"/>
          <w:color w:val="auto"/>
        </w:rPr>
      </w:pPr>
    </w:p>
    <w:p>
      <w:pPr>
        <w:ind w:right="280" w:firstLine="464"/>
        <w:spacing w:after="0" w:line="264" w:lineRule="auto"/>
        <w:tabs>
          <w:tab w:leader="none" w:pos="7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the extent the Depositary does not so amend this ADR or make a distribution to Holders to reflect any of the foregoing, or the net proceeds thereof, whatever cash, securities or property results from any of the foregoing shall constitute Deposited Securities and each ADS evidenced by this ADR shall automatically represent its pro rata interest in the Deposited Securities as then constituted.</w:t>
      </w:r>
    </w:p>
    <w:p>
      <w:pPr>
        <w:spacing w:after="0" w:line="181" w:lineRule="exact"/>
        <w:rPr>
          <w:rFonts w:ascii="Arial" w:cs="Arial" w:eastAsia="Arial" w:hAnsi="Arial"/>
          <w:sz w:val="18"/>
          <w:szCs w:val="18"/>
          <w:color w:val="auto"/>
        </w:rPr>
      </w:pPr>
    </w:p>
    <w:p>
      <w:pPr>
        <w:ind w:right="60" w:firstLine="464"/>
        <w:spacing w:after="0" w:line="259" w:lineRule="auto"/>
        <w:tabs>
          <w:tab w:leader="none" w:pos="7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Promptly upon the occurrence of any of the aforementioned changes affecting Deposited Securities, the Company shall notify the Depositary in writing of such occurrence and as soon as practicable after receipt of such notice from the Company, may instruct the Depositary to give notice thereof, at the Company’s expense, to Holders in accordance with the provisions hereof. Upon receipt of such instruction, the Depositary shall give notice to the Holders in accordance with the terms thereof, as soon as reasonably practicable.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827" w:right="239" w:bottom="1440" w:gutter="0" w:footer="0" w:header="0"/>
        </w:sectPr>
      </w:pPr>
    </w:p>
    <w:bookmarkStart w:id="36" w:name="page37"/>
    <w:bookmarkEnd w:id="36"/>
    <w:p>
      <w:pPr>
        <w:ind w:firstLine="350"/>
        <w:spacing w:after="0" w:line="282" w:lineRule="auto"/>
        <w:tabs>
          <w:tab w:leader="none" w:pos="653" w:val="left"/>
        </w:tabs>
        <w:numPr>
          <w:ilvl w:val="0"/>
          <w:numId w:val="60"/>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Exoneration</w:t>
      </w:r>
      <w:r>
        <w:rPr>
          <w:rFonts w:ascii="Arial" w:cs="Arial" w:eastAsia="Arial" w:hAnsi="Arial"/>
          <w:sz w:val="15"/>
          <w:szCs w:val="15"/>
          <w:color w:val="auto"/>
        </w:rPr>
        <w:t>. The Depositary, the Company, and each of their respective directors, officers, employees, agents and affiliates, and each of them, shall: (a) incur no</w:t>
      </w:r>
      <w:r>
        <w:rPr>
          <w:rFonts w:ascii="Arial" w:cs="Arial" w:eastAsia="Arial" w:hAnsi="Arial"/>
          <w:sz w:val="15"/>
          <w:szCs w:val="15"/>
          <w:b w:val="1"/>
          <w:bCs w:val="1"/>
          <w:color w:val="auto"/>
        </w:rPr>
        <w:t xml:space="preserve"> </w:t>
      </w:r>
      <w:r>
        <w:rPr>
          <w:rFonts w:ascii="Arial" w:cs="Arial" w:eastAsia="Arial" w:hAnsi="Arial"/>
          <w:sz w:val="15"/>
          <w:szCs w:val="15"/>
          <w:color w:val="auto"/>
        </w:rPr>
        <w:t>liability (i) if 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any securities exchange or market or automated quotation system, the provisions of or governing any Deposited Securities, any present or future provision of the Company’s charter, any act of God, war, terrorism, nationalization, expropriation, currency restrictions, work stoppage, strike, civil unrest, revolutions, rebellions, explosions, computer failure or circumstance beyond its direct and immediate control shall prevent or delay, or shall cause any of them to be subject to any civil or criminal penalty in connection with, any act which the Deposit Agreement or this ADR provides shall be done or performed by it or them (including, without limitation, voting pursuant to paragraph (12) hereof), or (ii) by reason of any exercise or failure to exercise any discretion given it in the Deposit Agreement or this ADR (including, without limitation, any failure to determine that any distribution or action may be lawful or reasonably practicable); (b) assume no liability except to perform its obligations to the extent they are specifically set forth in this ADR and the Deposit Agreement without gross negligence or willful misconduct; (c) in the case of the Depositary and its agents, be under no obligation to appear in, prosecute or defend any action, suit or other proceeding in respect of any Deposited Securities, the ADSs or this ADR; (d) in the case of the Company and its agents hereunder be under no obligation to appear in, prosecute or defend any action, suit or other proceeding in respect of any Deposited Securities, the ADSs or this ADR, which in its opinion may involve it in expense or liability, unless indemnity satisfactory to it against all expense (including fees and disbursements of counsel) and liability be furnished as often as may be required; or (e) not be liable for any action or inaction by it in reliance upon the advice of or information from legal counsel, accountants, any person presenting Shares for deposit, any Holder, or any other person believed by it to be competent to give such advice or information. The Depositary shall not be liable for the acts or omissions made by, or the insolvency of, any securities depository, clearing agency or settlement system. The Depositary shall not be responsible for, and shall incur no liability in connection with or arising from, the insolvency of any Custodian that is not a branch or affiliate of JPMorgan Chase Bank, N.A.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 Notwithstanding anything to the contrary contained in the Deposit Agreement (including the ADRs), subject to the penultimate sentence of this paragraph (14),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its agents and the Company may rely and shall be protected in acting upon any written notice, request, direction, instruction or document believed by them to be genuine and to have been signed, presented or given by the proper party or parties. The Depositary shall be under no obligation to inform Holders or beneficial owners of, or any other holders of an interest in, any ADSs or ADRs about the requirements of the laws, rules or regulations or any changes therein or thereto of the United States of America, the Cayman Islands, the People’s Republic of China (including the Hong Kong Special Administrative Region, the People’s Republic of China) or any other country or jurisdiction, or of any governmental or regulatory authority or any securities exchange or market or automated quotation system. The Depositary and its agents will not when acting in good faith be responsible for any failure to carry out any instructions to vote any of the Deposited Securities, for the manner in which any such vote is cast or for the effect of any such vote. The Depositary may rely upon instructions from the Company or its counsel in respect of any approval or license required for any currency conversion, transfer or distribution. The Depositary and its agents may own and deal in any class of securities of the Company and its affiliates and in ADRs. Notwithstanding anything to the contrary set forth in the Deposit Agreement or an ADR, the Depositary and its agents may fully respond to any and all demands or requests for information maintained by or on its behalf in connection with the Deposit Agreement, any Holder or Holders, any ADR or ADRs or otherwise related hereto or thereto to the extent such information is requested or required by or pursuant to any lawful authority, including without limitation laws, rules, regulations, administrative or judicial process, banking, securities or other regulators. None of the Depositary, the Custodian or the Company shall be liable for the failure by any Holder or beneficial owner of, or any other holder of an interest in, ADSs or ADRs to obtain the benefits of credits on the basis of non-U.S. tax paid against such Holder’s or beneficial owner’s or other holder’s income tax liability. The Depositary and the Company shall not incur any liability for any tax consequences that may be incurred by Holders and beneficial owners of, or other holders of interests in, ADSs or ADRs on account of their ownership of the ADSs or ADRs. The Depositary shall not incur any liability for the content of any information submitted to it by or on behalf of the Company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the Company. The Depositary shall not be liable for any acts or omissions made by a successor depositary whether in connection with a previous act or omission of the Depositary or in connection with any matter arising wholly after the removal or resignation of the Depositary. The Company has agreed to indemnify the Depositary and its agents under certain circumstances and the Depositary has agreed to indemnify the Company under certain circumstances. Neither the Depositary nor the Company, nor any of their agents shall be liable to the other for any indirect, special, punitive or consequential damages or lost profits (including, without limitation, legal fees and expenses), in each case of any form (collectively, “Special Damages”) incurred by any of them, or liable to any other person or entity (including, without limitation, Holders and beneficial owners of, or holders of interests in, ADSs and ADRs) for any Special Damages (including, without limitation, for the avoidance of doubt, legal fees and expenses), whether or not foreseeable and regardless of the type of action in which such a claim may be brought. No disclaimer of liability under the Securities Act of 1933 is intended by any provision hereof.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828" w:right="239" w:bottom="1440" w:gutter="0" w:footer="0" w:header="0"/>
        </w:sectPr>
      </w:pPr>
    </w:p>
    <w:bookmarkStart w:id="37" w:name="page38"/>
    <w:bookmarkEnd w:id="37"/>
    <w:p>
      <w:pPr>
        <w:ind w:left="780" w:hanging="33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Resignation and Removal of Depositary; the Custodian</w:t>
      </w:r>
      <w:r>
        <w:rPr>
          <w:rFonts w:ascii="Arial" w:cs="Arial" w:eastAsia="Arial" w:hAnsi="Arial"/>
          <w:sz w:val="18"/>
          <w:szCs w:val="18"/>
          <w:color w:val="auto"/>
        </w:rPr>
        <w:t>.</w:t>
      </w:r>
    </w:p>
    <w:p>
      <w:pPr>
        <w:spacing w:after="0" w:line="229" w:lineRule="exact"/>
        <w:rPr>
          <w:sz w:val="20"/>
          <w:szCs w:val="20"/>
          <w:color w:val="auto"/>
        </w:rPr>
      </w:pPr>
    </w:p>
    <w:p>
      <w:pPr>
        <w:ind w:left="-20" w:right="320" w:firstLine="464"/>
        <w:spacing w:after="0" w:line="342" w:lineRule="auto"/>
        <w:tabs>
          <w:tab w:leader="none" w:pos="681"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Resignation. </w:t>
      </w:r>
      <w:r>
        <w:rPr>
          <w:rFonts w:ascii="Arial" w:cs="Arial" w:eastAsia="Arial" w:hAnsi="Arial"/>
          <w:sz w:val="16"/>
          <w:szCs w:val="16"/>
          <w:color w:val="auto"/>
        </w:rPr>
        <w:t>The Depositary may resign as Depositary by written notice of its election so to do so delivered to the Company, such resignation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take effect upon the appointment of a successor depositary and its acceptance of such appointment as provided in the Deposit Agreement.</w:t>
      </w:r>
    </w:p>
    <w:p>
      <w:pPr>
        <w:spacing w:after="0" w:line="123" w:lineRule="exact"/>
        <w:rPr>
          <w:rFonts w:ascii="Arial" w:cs="Arial" w:eastAsia="Arial" w:hAnsi="Arial"/>
          <w:sz w:val="16"/>
          <w:szCs w:val="16"/>
          <w:color w:val="auto"/>
        </w:rPr>
      </w:pPr>
    </w:p>
    <w:p>
      <w:pPr>
        <w:ind w:left="-20" w:right="180" w:firstLine="464"/>
        <w:spacing w:after="0" w:line="264" w:lineRule="auto"/>
        <w:tabs>
          <w:tab w:leader="none" w:pos="691"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Removal. </w:t>
      </w:r>
      <w:r>
        <w:rPr>
          <w:rFonts w:ascii="Arial" w:cs="Arial" w:eastAsia="Arial" w:hAnsi="Arial"/>
          <w:sz w:val="18"/>
          <w:szCs w:val="18"/>
          <w:color w:val="auto"/>
        </w:rPr>
        <w:t>The Depositary may at any time be removed by the Company by no less than 60 days prior written notice of such removal, to become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upon the later of (i) the 60th day after delivery of the notice to the Depositary and (ii) the appointment of a successor depositary and its acceptance of such appointment as provided in the Deposit Agreement.</w:t>
      </w:r>
    </w:p>
    <w:p>
      <w:pPr>
        <w:spacing w:after="0" w:line="177" w:lineRule="exact"/>
        <w:rPr>
          <w:rFonts w:ascii="Arial" w:cs="Arial" w:eastAsia="Arial" w:hAnsi="Arial"/>
          <w:sz w:val="18"/>
          <w:szCs w:val="18"/>
          <w:color w:val="auto"/>
        </w:rPr>
      </w:pPr>
    </w:p>
    <w:p>
      <w:pPr>
        <w:ind w:left="-20" w:right="820" w:firstLine="464"/>
        <w:spacing w:after="0" w:line="282" w:lineRule="auto"/>
        <w:tabs>
          <w:tab w:leader="none" w:pos="681"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The Custodian. </w:t>
      </w:r>
      <w:r>
        <w:rPr>
          <w:rFonts w:ascii="Arial" w:cs="Arial" w:eastAsia="Arial" w:hAnsi="Arial"/>
          <w:sz w:val="18"/>
          <w:szCs w:val="18"/>
          <w:color w:val="auto"/>
        </w:rPr>
        <w:t>The Depositary may appoint substitute or additional Custodians and the term “</w:t>
      </w:r>
      <w:r>
        <w:rPr>
          <w:rFonts w:ascii="Arial" w:cs="Arial" w:eastAsia="Arial" w:hAnsi="Arial"/>
          <w:sz w:val="18"/>
          <w:szCs w:val="18"/>
          <w:b w:val="1"/>
          <w:bCs w:val="1"/>
          <w:color w:val="auto"/>
        </w:rPr>
        <w:t>Custodian</w:t>
      </w:r>
      <w:r>
        <w:rPr>
          <w:rFonts w:ascii="Arial" w:cs="Arial" w:eastAsia="Arial" w:hAnsi="Arial"/>
          <w:sz w:val="18"/>
          <w:szCs w:val="18"/>
          <w:color w:val="auto"/>
        </w:rPr>
        <w:t>” refers to each Custodian or all</w:t>
      </w:r>
      <w:r>
        <w:rPr>
          <w:rFonts w:ascii="Arial" w:cs="Arial" w:eastAsia="Arial" w:hAnsi="Arial"/>
          <w:sz w:val="18"/>
          <w:szCs w:val="18"/>
          <w:i w:val="1"/>
          <w:iCs w:val="1"/>
          <w:color w:val="auto"/>
        </w:rPr>
        <w:t xml:space="preserve"> </w:t>
      </w:r>
      <w:r>
        <w:rPr>
          <w:rFonts w:ascii="Arial" w:cs="Arial" w:eastAsia="Arial" w:hAnsi="Arial"/>
          <w:sz w:val="18"/>
          <w:szCs w:val="18"/>
          <w:color w:val="auto"/>
        </w:rPr>
        <w:t>Custodians as the context requires.</w:t>
      </w:r>
    </w:p>
    <w:p>
      <w:pPr>
        <w:spacing w:after="0" w:line="162" w:lineRule="exact"/>
        <w:rPr>
          <w:sz w:val="20"/>
          <w:szCs w:val="20"/>
          <w:color w:val="auto"/>
        </w:rPr>
      </w:pPr>
    </w:p>
    <w:p>
      <w:pPr>
        <w:ind w:left="-20" w:firstLine="464"/>
        <w:spacing w:after="0" w:line="285" w:lineRule="auto"/>
        <w:tabs>
          <w:tab w:leader="none" w:pos="781"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Subject to the last sentence of paragraph (2) (</w:t>
      </w:r>
      <w:r>
        <w:rPr>
          <w:rFonts w:ascii="Arial" w:cs="Arial" w:eastAsia="Arial" w:hAnsi="Arial"/>
          <w:sz w:val="16"/>
          <w:szCs w:val="16"/>
          <w:i w:val="1"/>
          <w:iCs w:val="1"/>
          <w:color w:val="auto"/>
        </w:rPr>
        <w:t>Withdrawal of Deposited Securities</w:t>
      </w:r>
      <w:r>
        <w:rPr>
          <w:rFonts w:ascii="Arial" w:cs="Arial" w:eastAsia="Arial" w:hAnsi="Arial"/>
          <w:sz w:val="16"/>
          <w:szCs w:val="16"/>
          <w:color w:val="auto"/>
        </w:rPr>
        <w:t>), the ADRs and the Deposit Agreement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amended by the Company and the Depositary,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amendment that imposes or increases any fees or charges (other than stock transfer or other taxes and other governmental charges, transfer or registration fees, SWIFT, cable, telex or facsimile transmission costs, delivery costs or other such expenses), or that shall otherwise prejudice any substantial existing right of Holders, shall become effective 30 days after notice of such amendment shall have been given to the Holders. Every Holder of an ADR at the time any amendment to the Deposit Agreement so becomes effective shall be deemed, by continuing to hold such ADR, to consent and agree to such amendment and to be bound by the Deposit Agreement as amended thereby. In no event shall any amendment impair the right of the Holder of any ADR to surrender such ADR and receive the Deposited Securities represented thereby, except in order to comply with mandatory provisions of applicable law. Any amendments or supplements which (i) are reasonably necessary (as agreed by the Company and the Depositary) in order for (a) the ADSs to be registered on Form F-6 under the Securities Act of 1933 or (b) the ADSs or Shares to be traded solely in electronic book-entry form and (ii) do not in either such case impose or increase any fees or charges to be borne by Holders, shall be deemed not to prejudice any substantial rights of Holders. Notwithstanding the foregoing, if any governmental body or regulatory body should adopt new laws, rules or regulations which would require amendment or supplement of the Deposit Agreement or the form of ADR to ensure compliance therewith, the Company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to retrieve or receive the text of such amendment (i.e., upon retrieval from the Commission’s, the Depositary’s or the Company’s website or upon request from the Depositary).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60" w:top="823" w:right="239" w:bottom="1440" w:gutter="0" w:footer="0" w:header="0"/>
        </w:sectPr>
      </w:pPr>
    </w:p>
    <w:bookmarkStart w:id="38" w:name="page39"/>
    <w:bookmarkEnd w:id="38"/>
    <w:p>
      <w:pPr>
        <w:ind w:right="20" w:firstLine="464"/>
        <w:spacing w:after="0" w:line="270" w:lineRule="auto"/>
        <w:tabs>
          <w:tab w:leader="none" w:pos="801"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Termination</w:t>
      </w:r>
      <w:r>
        <w:rPr>
          <w:rFonts w:ascii="Arial" w:cs="Arial" w:eastAsia="Arial" w:hAnsi="Arial"/>
          <w:sz w:val="17"/>
          <w:szCs w:val="17"/>
          <w:color w:val="auto"/>
        </w:rPr>
        <w:t>. The Depositary may, and shall at the written direction of the Company, terminate the Deposit Agreement and this ADR by mailing</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such termination to the Company and the Holders at least 30 days prior to the date fixed in such notice for such termination; provided, however, if the Depositary shall have (i) resigned as Depositary hereunder, notice of such termination by the Depositary shall not be provided to Holders unless a successor depositary shall not be operating hereunder within 60 days of the date of such resignation, or (ii) been removed as Depositary hereunder, notice of such termination by the Depositary shall not be provided to Holders unless a successor depositary shall not be operating hereunder on the 90</w:t>
      </w:r>
      <w:r>
        <w:rPr>
          <w:rFonts w:ascii="Arial" w:cs="Arial" w:eastAsia="Arial" w:hAnsi="Arial"/>
          <w:sz w:val="14"/>
          <w:szCs w:val="14"/>
          <w:color w:val="auto"/>
        </w:rPr>
        <w:t>th</w:t>
      </w:r>
      <w:r>
        <w:rPr>
          <w:rFonts w:ascii="Arial" w:cs="Arial" w:eastAsia="Arial" w:hAnsi="Arial"/>
          <w:sz w:val="17"/>
          <w:szCs w:val="17"/>
          <w:color w:val="auto"/>
        </w:rPr>
        <w:t xml:space="preserve"> day after the Company’s notice of removal was first provided to the Depositary. Notwithstanding anything to the contrary herein, the Depositary may terminate the Deposit Agreement upon 30 days’ notice to the Company and the Holders under the following circumstances: (i) in the event of the Company’s bankruptcy or insolvency, (ii) if the Company’s shares are de-listed,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all or substantially all assets or other transaction as a result of which securities or other property are delivered in exchange for or in lieu of Deposited Securities.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After the date so fixed for termination, (a) all Direct Registration ADRs shall cease to be eligible for the Direct Registration System and shall be considered ADRs issued on the ADR Register and (b) the Depositary shall use its reasonable efforts to ensure that the ADSs cease to be DTC eligible so that neither DTC nor any of its nominees shall thereafter be a Holder. At such time as the ADSs cease to be DTC eligible and/or neither DTC nor any of its nominees is a Holder, the Depositary shall (a) instruct its Custodian to deliver all Deposited Securities to the Company along with a general stock power that refers to the names set forth on the ADR Register and (b) provide the Company with a copy of the ADR Register (which copy may be sent by email or by any means permitted under the notice provisions of the Deposit Agreement). Upon receipt of such Deposited Securities and the ADR Register, the Company shall, upon the request of a Holder and at the expense of such Holder, use its best efforts to issue to each such Holder a Share certificate representing the Shares represented by the ADSs reflected on the ADR Register in such Holder’s name and to deliver such Share certificate to the Holder at the address set forth on the ADR Register. After providing such instruction to the Custodian and delivering a copy of the ADR Register to the Company, the Depositary and its agents will perform no further acts under the Deposit Agreement and this ADR and shall cease to have any obligations under the Deposit Agreement and/or the ADRs. After the Company receives the copy of the ADR Register and the Deposited Securities, the Company shall be discharged from all obligations under the Deposit Agreement except (i) to distribute the Shares to the Holders entitled thereto and (ii) for its obligations to the Depositary and its agents.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823" w:right="239" w:bottom="1440" w:gutter="0" w:footer="0" w:header="0"/>
        </w:sectPr>
      </w:pPr>
    </w:p>
    <w:bookmarkStart w:id="39" w:name="page40"/>
    <w:bookmarkEnd w:id="39"/>
    <w:p>
      <w:pPr>
        <w:ind w:right="40" w:firstLine="464"/>
        <w:spacing w:after="0" w:line="295" w:lineRule="auto"/>
        <w:tabs>
          <w:tab w:leader="none" w:pos="801"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183515</wp:posOffset>
            </wp:positionV>
            <wp:extent cx="1235075" cy="2571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Appointment</w:t>
      </w:r>
      <w:r>
        <w:rPr>
          <w:rFonts w:ascii="Arial" w:cs="Arial" w:eastAsia="Arial" w:hAnsi="Arial"/>
          <w:sz w:val="16"/>
          <w:szCs w:val="16"/>
          <w:color w:val="auto"/>
        </w:rPr>
        <w:t>. Each Holder and each owner and person holding an interest in ADSs or ADRs, upon acceptance of any ADSs or ADRs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55" w:lineRule="exact"/>
        <w:rPr>
          <w:rFonts w:ascii="Arial" w:cs="Arial" w:eastAsia="Arial" w:hAnsi="Arial"/>
          <w:sz w:val="16"/>
          <w:szCs w:val="16"/>
          <w:color w:val="auto"/>
        </w:rPr>
      </w:pPr>
    </w:p>
    <w:p>
      <w:pPr>
        <w:ind w:right="20" w:firstLine="464"/>
        <w:spacing w:after="0" w:line="255" w:lineRule="auto"/>
        <w:tabs>
          <w:tab w:leader="none" w:pos="801"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EACH PARTY TO THE DEPOSIT AGREEMENT (INCLUDING, FOR AVOIDANCE OF DOUBT, EACH HOLDER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spacing w:after="0" w:line="189" w:lineRule="exact"/>
        <w:rPr>
          <w:rFonts w:ascii="Arial" w:cs="Arial" w:eastAsia="Arial" w:hAnsi="Arial"/>
          <w:sz w:val="18"/>
          <w:szCs w:val="18"/>
          <w:color w:val="auto"/>
        </w:rPr>
      </w:pPr>
    </w:p>
    <w:p>
      <w:pPr>
        <w:ind w:firstLine="464"/>
        <w:spacing w:after="0" w:line="284" w:lineRule="auto"/>
        <w:tabs>
          <w:tab w:leader="none" w:pos="801"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Jurisdiction</w:t>
      </w:r>
      <w:r>
        <w:rPr>
          <w:rFonts w:ascii="Arial" w:cs="Arial" w:eastAsia="Arial" w:hAnsi="Arial"/>
          <w:sz w:val="16"/>
          <w:szCs w:val="16"/>
          <w:color w:val="auto"/>
        </w:rPr>
        <w:t>. By holding an ADS or an interest therein, Holders and owners of interests in ADSs each irrevocably agree that any legal suit, action</w:t>
      </w:r>
      <w:r>
        <w:rPr>
          <w:rFonts w:ascii="Arial" w:cs="Arial" w:eastAsia="Arial" w:hAnsi="Arial"/>
          <w:sz w:val="16"/>
          <w:szCs w:val="16"/>
          <w:b w:val="1"/>
          <w:bCs w:val="1"/>
          <w:color w:val="auto"/>
        </w:rPr>
        <w:t xml:space="preserve"> </w:t>
      </w:r>
      <w:r>
        <w:rPr>
          <w:rFonts w:ascii="Arial" w:cs="Arial" w:eastAsia="Arial" w:hAnsi="Arial"/>
          <w:sz w:val="16"/>
          <w:szCs w:val="16"/>
          <w:color w:val="auto"/>
        </w:rPr>
        <w:t>or proceeding against Holders or owners of interests in ADSs brought by the Company or the Depositary, arising out of or based upon the Deposit Agreement, the ADSs or the ADRs or the transactions contemplated thereby or hereby, may be instituted in a state or federal court in New York, New York, and by holding an ADS or an interest therein each irrevocably waives any objection which it may now or hereafter have to the laying of venue of any such proceeding, and irrevocably submits to the non-exclusive jurisdiction of such courts in any such suit, action or proceeding. By holding an ADS or an interest therein, Holders and owners of interests in ADSs each also irrevocably agree that any legal suit, action or proceeding against or involving the Company or the Depositary brought by Holders or owners of interests in ADSs, arising out of or based upon the Deposit Agreement, the ADSs or the ADRs or the transactions contemplated thereby or hereby, may only be instituted in a state or federal court in New York, New York. Notwithstanding the above or anything in the Deposit Agreement to the contrary, in the Deposit Agreement each of the parties thereto (i.e. the Company, the Depositary and all Holders from time to time of ADRs issued thereunder (and any persons owning or holding interests in ADSs)) have agreed that: (i) the Depositary may, in its sole discretion, elect to institute any dispute, suit, action, controversy, claim or proceeding directly or indirectly based on, arising out of or relating to the Deposit Agreement, the ADSs or the ADRs or the transactions contemplated thereby or hereby, including without limitation any question regarding its or their existence, validity, interpretation, performance or termination (a “Dispute”) against any other party or parties (including, without limitation, Disputes, suits, actions or proceedings brought against Holders and owners of interests in ADSs), by having the Dispute referred to and finally resolved by an arbitration conducted under the terms set out below, and (ii) the Depositary may in its sole discretion require, by written notice to the relevant party or parties, that any Dispute, suit, action, controversy, claim or proceeding brought by any party or parties (including, without limitation, Disputes, suits, actions or proceedings brought by Holders and owners of interests in ADSs) against the Depositary shall be referred to and finally settled by an arbitration conducted under the terms set out in the Deposit Agreement: provided however, notwithstanding the Depositary’s written notice under this (ii), to the extent there are specific federal securities law violation aspects to any claims against the Company and/or the Depositary brought by any Holder, the federal securities law violation aspects of such claims brought by a Holder against the Company and/or the Depositary may, at the option of such Holder, remain in state or federal court in New York, New York and all other aspects, claims, Disputes, legal suits, actions and/or proceedings brought by such Holder against the Company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in each case as provided in the Deposit Agreement.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823"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172085</wp:posOffset>
            </wp:positionV>
            <wp:extent cx="1286510" cy="797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128651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Office:</w:t>
      </w:r>
      <w:r>
        <w:rPr>
          <w:sz w:val="20"/>
          <w:szCs w:val="20"/>
          <w:color w:val="auto"/>
        </w:rPr>
        <w:tab/>
      </w:r>
      <w:r>
        <w:rPr>
          <w:rFonts w:ascii="Arial" w:cs="Arial" w:eastAsia="Arial" w:hAnsi="Arial"/>
          <w:sz w:val="18"/>
          <w:szCs w:val="18"/>
          <w:color w:val="auto"/>
        </w:rPr>
        <w:t>+852 2801 6066</w:t>
      </w:r>
    </w:p>
    <w:p>
      <w:pPr>
        <w:spacing w:after="0" w:line="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Mobile:</w:t>
      </w:r>
      <w:r>
        <w:rPr>
          <w:sz w:val="20"/>
          <w:szCs w:val="20"/>
          <w:color w:val="auto"/>
        </w:rPr>
        <w:tab/>
      </w:r>
      <w:r>
        <w:rPr>
          <w:rFonts w:ascii="Arial" w:cs="Arial" w:eastAsia="Arial" w:hAnsi="Arial"/>
          <w:sz w:val="18"/>
          <w:szCs w:val="18"/>
          <w:color w:val="auto"/>
        </w:rPr>
        <w:t>+852 9718 8740</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Email:</w:t>
      </w:r>
      <w:r>
        <w:rPr>
          <w:sz w:val="20"/>
          <w:szCs w:val="20"/>
          <w:color w:val="auto"/>
        </w:rPr>
        <w:tab/>
      </w:r>
      <w:r>
        <w:rPr>
          <w:rFonts w:ascii="Arial" w:cs="Arial" w:eastAsia="Arial" w:hAnsi="Arial"/>
          <w:sz w:val="18"/>
          <w:szCs w:val="18"/>
          <w:color w:val="auto"/>
        </w:rPr>
        <w:t>rthorp@tta.lawyer</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iClick Interactive Asia Group Limited</w:t>
      </w:r>
    </w:p>
    <w:p>
      <w:pPr>
        <w:spacing w:after="0" w:line="225" w:lineRule="exact"/>
        <w:rPr>
          <w:sz w:val="20"/>
          <w:szCs w:val="20"/>
          <w:color w:val="auto"/>
        </w:rPr>
      </w:pPr>
    </w:p>
    <w:p>
      <w:pPr>
        <w:ind w:left="10460"/>
        <w:spacing w:after="0"/>
        <w:rPr>
          <w:sz w:val="20"/>
          <w:szCs w:val="20"/>
          <w:color w:val="auto"/>
        </w:rPr>
      </w:pPr>
      <w:r>
        <w:rPr>
          <w:rFonts w:ascii="Arial" w:cs="Arial" w:eastAsia="Arial" w:hAnsi="Arial"/>
          <w:sz w:val="15"/>
          <w:szCs w:val="15"/>
          <w:color w:val="auto"/>
        </w:rPr>
        <w:t>12 June 2018</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examined the Registration Statement on Form S-8 to be filed by iClick Interactive Asia Group Limited, a Cayman Islands exempted company incorporated with limited liability (the “</w:t>
      </w:r>
      <w:r>
        <w:rPr>
          <w:rFonts w:ascii="Arial" w:cs="Arial" w:eastAsia="Arial" w:hAnsi="Arial"/>
          <w:sz w:val="18"/>
          <w:szCs w:val="18"/>
          <w:b w:val="1"/>
          <w:bCs w:val="1"/>
          <w:color w:val="auto"/>
        </w:rPr>
        <w:t>Registrant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relating to the registration under the Securities Act of 1933, as amended, of an amount of Class A ordinary shares of the Registrant (the “</w:t>
      </w:r>
      <w:r>
        <w:rPr>
          <w:rFonts w:ascii="Arial" w:cs="Arial" w:eastAsia="Arial" w:hAnsi="Arial"/>
          <w:sz w:val="18"/>
          <w:szCs w:val="18"/>
          <w:b w:val="1"/>
          <w:bCs w:val="1"/>
          <w:color w:val="auto"/>
        </w:rPr>
        <w:t>Shares</w:t>
      </w:r>
      <w:r>
        <w:rPr>
          <w:rFonts w:ascii="Arial" w:cs="Arial" w:eastAsia="Arial" w:hAnsi="Arial"/>
          <w:sz w:val="18"/>
          <w:szCs w:val="18"/>
          <w:color w:val="auto"/>
        </w:rPr>
        <w:t>”) for issuance pursuant to the following plans (the “</w:t>
      </w:r>
      <w:r>
        <w:rPr>
          <w:rFonts w:ascii="Arial" w:cs="Arial" w:eastAsia="Arial" w:hAnsi="Arial"/>
          <w:sz w:val="18"/>
          <w:szCs w:val="18"/>
          <w:b w:val="1"/>
          <w:bCs w:val="1"/>
          <w:color w:val="auto"/>
        </w:rPr>
        <w:t>Plans</w:t>
      </w:r>
      <w:r>
        <w:rPr>
          <w:rFonts w:ascii="Arial" w:cs="Arial" w:eastAsia="Arial" w:hAnsi="Arial"/>
          <w:sz w:val="18"/>
          <w:szCs w:val="18"/>
          <w:color w:val="auto"/>
        </w:rPr>
        <w:t>”):</w:t>
      </w:r>
    </w:p>
    <w:p>
      <w:pPr>
        <w:spacing w:after="0" w:line="92"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Post-IPO Share Incentive Plan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2018 Share Incentive Plan</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 Cayman Islands counsel to the Registrant, we have examined the corporate authorisations of the Registrant in connection with the Plans and the issue of the Shares by the Registrant and have assumed that the Shares will be issued in accordance with the Plans and the resolutions authorizing the issue.</w:t>
      </w:r>
    </w:p>
    <w:p>
      <w:pPr>
        <w:spacing w:after="0" w:line="12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It is our opinion that the Shares to be issued by the Registrant have been duly and validly authorised, and when issued, sold and paid for in the manner described in the Plans and in accordance with the relevant resolutions adopted by the Board of Directors of the Registrant (or any committee to whom the Board of Directors have delegated their powers with respect to administration of the Plans) and when appropriate entries have been made in the Register of Members of the Registrant, will be legally issued, fully paid and nonassessable.</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all references to us in the Registration Statement and any amendments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TRAVERS THORP ALBERGA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172085</wp:posOffset>
            </wp:positionV>
            <wp:extent cx="1800860" cy="7029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1800860" cy="7029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POST-IPO SHARE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purpose of this Post-IPO Share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is to promote the success and enhance the value of iClick Interactive Asia Group Limited, an exempted company formed under the laws of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by linking the personal interests of the Directors, Employees, and Consultants to those of the Company’s shareholders and by providing such individuals with an incentive for outstanding performance to generate superior returns to the Company’s shareholders. The Plan is further intended to provide flexibility to the Company in its ability to motivate, attract, and retain the services of the Directors, Employees, and Consultants upon whose judgment, interest, and special effort the successful conduct of the Company’s operation is largely dependent.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62" w:lineRule="exact"/>
        <w:rPr>
          <w:sz w:val="20"/>
          <w:szCs w:val="20"/>
          <w:color w:val="auto"/>
        </w:rPr>
      </w:pPr>
    </w:p>
    <w:p>
      <w:pPr>
        <w:ind w:left="240" w:right="160" w:firstLine="671"/>
        <w:spacing w:after="0" w:line="264"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Plan and the Awards under applicable provisions of the corporate, securities, tax and other laws, rules, regulations and government orders, and the rules of any applicable stock exchange or national market system, of any jurisdiction applicable to Awards granted to residents therein.</w:t>
      </w:r>
    </w:p>
    <w:p>
      <w:pPr>
        <w:spacing w:after="0" w:line="73" w:lineRule="exact"/>
        <w:rPr>
          <w:sz w:val="20"/>
          <w:szCs w:val="20"/>
          <w:color w:val="auto"/>
        </w:rPr>
      </w:pPr>
    </w:p>
    <w:p>
      <w:pPr>
        <w:ind w:left="900"/>
        <w:spacing w:after="0"/>
        <w:tabs>
          <w:tab w:leader="none" w:pos="13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an Option, Restricted Share or Restricted Share Unit award granted to a Participant pursuant to the Plan.</w:t>
      </w:r>
    </w:p>
    <w:p>
      <w:pPr>
        <w:spacing w:after="0" w:line="117" w:lineRule="exact"/>
        <w:rPr>
          <w:sz w:val="20"/>
          <w:szCs w:val="20"/>
          <w:color w:val="auto"/>
        </w:rPr>
      </w:pPr>
    </w:p>
    <w:p>
      <w:pPr>
        <w:ind w:left="240" w:right="440" w:firstLine="671"/>
        <w:spacing w:after="0" w:line="277"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any written agreement, contract, or other instrument or document evidencing an Award, including through electronic medium.</w:t>
      </w:r>
    </w:p>
    <w:p>
      <w:pPr>
        <w:spacing w:after="0" w:line="62" w:lineRule="exact"/>
        <w:rPr>
          <w:sz w:val="20"/>
          <w:szCs w:val="20"/>
          <w:color w:val="auto"/>
        </w:rPr>
      </w:pPr>
    </w:p>
    <w:p>
      <w:pPr>
        <w:ind w:left="900"/>
        <w:spacing w:after="0"/>
        <w:tabs>
          <w:tab w:leader="none" w:pos="13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ectPr>
          <w:pgSz w:w="11900" w:h="16838" w:orient="portrait"/>
          <w:cols w:equalWidth="0" w:num="1">
            <w:col w:w="11420"/>
          </w:cols>
          <w:pgMar w:left="240" w:top="121" w:right="239" w:bottom="1440" w:gutter="0" w:footer="0" w:header="0"/>
        </w:sectPr>
      </w:pPr>
    </w:p>
    <w:bookmarkStart w:id="42" w:name="page43"/>
    <w:bookmarkEnd w:id="42"/>
    <w:p>
      <w:pPr>
        <w:ind w:left="240" w:right="20" w:firstLine="67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 “</w:t>
      </w:r>
      <w:r>
        <w:rPr>
          <w:rFonts w:ascii="Arial" w:cs="Arial" w:eastAsia="Arial" w:hAnsi="Arial"/>
          <w:sz w:val="18"/>
          <w:szCs w:val="18"/>
          <w:u w:val="single" w:color="auto"/>
          <w:color w:val="auto"/>
        </w:rPr>
        <w:t>Cause</w:t>
      </w:r>
      <w:r>
        <w:rPr>
          <w:rFonts w:ascii="Arial" w:cs="Arial" w:eastAsia="Arial" w:hAnsi="Arial"/>
          <w:sz w:val="18"/>
          <w:szCs w:val="18"/>
          <w:color w:val="auto"/>
        </w:rPr>
        <w:t>” with respect to a Participant means (unless otherwise expressly provided in the applicable Award Agreement, or another applicable contract with the Participant that defines such term for purposes of determining the effect that a “for cause” termination has on the Participant’s Awards) a termination of employment or service based upon a finding by the Service Recipient, acting in good faith and based on its reasonable belief at the time, that the Participant:</w:t>
      </w:r>
    </w:p>
    <w:p>
      <w:pPr>
        <w:spacing w:after="0" w:line="187" w:lineRule="exact"/>
        <w:rPr>
          <w:sz w:val="20"/>
          <w:szCs w:val="20"/>
          <w:color w:val="auto"/>
        </w:rPr>
      </w:pPr>
    </w:p>
    <w:p>
      <w:pPr>
        <w:ind w:right="540" w:firstLine="921"/>
        <w:spacing w:after="0" w:line="277" w:lineRule="auto"/>
        <w:tabs>
          <w:tab w:leader="none" w:pos="12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has been negligent in the discharge of his or her duties to the Service Recipient, has refused to perform stated or assigned duties or is incompetent in or (other than by reason of a disability or analogous condition) incapable of performing those duties;</w:t>
      </w:r>
    </w:p>
    <w:p>
      <w:pPr>
        <w:spacing w:after="0" w:line="170" w:lineRule="exact"/>
        <w:rPr>
          <w:rFonts w:ascii="Arial" w:cs="Arial" w:eastAsia="Arial" w:hAnsi="Arial"/>
          <w:sz w:val="18"/>
          <w:szCs w:val="18"/>
          <w:color w:val="auto"/>
        </w:rPr>
      </w:pPr>
    </w:p>
    <w:p>
      <w:pPr>
        <w:ind w:right="700" w:firstLine="921"/>
        <w:spacing w:after="0" w:line="277" w:lineRule="auto"/>
        <w:tabs>
          <w:tab w:leader="none" w:pos="1303" w:val="left"/>
        </w:tabs>
        <w:numPr>
          <w:ilvl w:val="0"/>
          <w:numId w:val="67"/>
        </w:numPr>
        <w:rPr>
          <w:rFonts w:ascii="Arial" w:cs="Arial" w:eastAsia="Arial" w:hAnsi="Arial"/>
          <w:sz w:val="18"/>
          <w:szCs w:val="18"/>
          <w:color w:val="auto"/>
        </w:rPr>
      </w:pPr>
      <w:r>
        <w:rPr>
          <w:rFonts w:ascii="Arial" w:cs="Arial" w:eastAsia="Arial" w:hAnsi="Arial"/>
          <w:sz w:val="18"/>
          <w:szCs w:val="18"/>
          <w:color w:val="auto"/>
        </w:rPr>
        <w:t>has been dishonest or committed or engaged in an act of theft, embezzlement or fraud, a breach of confidentiality, an unauthorized disclosure or use of inside information, customer lists, trade secrets or other confidential information;</w:t>
      </w:r>
    </w:p>
    <w:p>
      <w:pPr>
        <w:spacing w:after="0" w:line="170" w:lineRule="exact"/>
        <w:rPr>
          <w:rFonts w:ascii="Arial" w:cs="Arial" w:eastAsia="Arial" w:hAnsi="Arial"/>
          <w:sz w:val="18"/>
          <w:szCs w:val="18"/>
          <w:color w:val="auto"/>
        </w:rPr>
      </w:pPr>
    </w:p>
    <w:p>
      <w:pPr>
        <w:ind w:right="60" w:firstLine="921"/>
        <w:spacing w:after="0" w:line="342" w:lineRule="auto"/>
        <w:tabs>
          <w:tab w:leader="none" w:pos="1293" w:val="left"/>
        </w:tabs>
        <w:numPr>
          <w:ilvl w:val="0"/>
          <w:numId w:val="67"/>
        </w:numPr>
        <w:rPr>
          <w:rFonts w:ascii="Arial" w:cs="Arial" w:eastAsia="Arial" w:hAnsi="Arial"/>
          <w:sz w:val="16"/>
          <w:szCs w:val="16"/>
          <w:color w:val="auto"/>
        </w:rPr>
      </w:pPr>
      <w:r>
        <w:rPr>
          <w:rFonts w:ascii="Arial" w:cs="Arial" w:eastAsia="Arial" w:hAnsi="Arial"/>
          <w:sz w:val="16"/>
          <w:szCs w:val="16"/>
          <w:color w:val="auto"/>
        </w:rPr>
        <w:t>has breached a fiduciary duty, or willfully and materially violated any other duty, law, rule, regulation or policy of the Service Recipient; or has been convicted of, or plead guilty or nolo contendere to, a felony or misdemeanor (other than minor traffic violations or similar offenses);</w:t>
      </w:r>
    </w:p>
    <w:p>
      <w:pPr>
        <w:spacing w:after="0" w:line="123" w:lineRule="exact"/>
        <w:rPr>
          <w:rFonts w:ascii="Arial" w:cs="Arial" w:eastAsia="Arial" w:hAnsi="Arial"/>
          <w:sz w:val="16"/>
          <w:szCs w:val="16"/>
          <w:color w:val="auto"/>
        </w:rPr>
      </w:pPr>
    </w:p>
    <w:p>
      <w:pPr>
        <w:ind w:left="1320" w:hanging="399"/>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has materially breached any of the provisions of any agreement with the Service Recipient;</w:t>
      </w:r>
    </w:p>
    <w:p>
      <w:pPr>
        <w:spacing w:after="0" w:line="225" w:lineRule="exact"/>
        <w:rPr>
          <w:rFonts w:ascii="Arial" w:cs="Arial" w:eastAsia="Arial" w:hAnsi="Arial"/>
          <w:sz w:val="18"/>
          <w:szCs w:val="18"/>
          <w:color w:val="auto"/>
        </w:rPr>
      </w:pPr>
    </w:p>
    <w:p>
      <w:pPr>
        <w:ind w:right="260" w:firstLine="921"/>
        <w:spacing w:after="0" w:line="277" w:lineRule="auto"/>
        <w:tabs>
          <w:tab w:leader="none" w:pos="12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has engaged in unfair competition with, or otherwise acted intentionally in a manner injurious to the reputation, business or assets of, the Service Recipient; or</w:t>
      </w:r>
    </w:p>
    <w:p>
      <w:pPr>
        <w:spacing w:after="0" w:line="170" w:lineRule="exact"/>
        <w:rPr>
          <w:rFonts w:ascii="Arial" w:cs="Arial" w:eastAsia="Arial" w:hAnsi="Arial"/>
          <w:sz w:val="18"/>
          <w:szCs w:val="18"/>
          <w:color w:val="auto"/>
        </w:rPr>
      </w:pPr>
    </w:p>
    <w:p>
      <w:pPr>
        <w:ind w:right="60" w:firstLine="921"/>
        <w:spacing w:after="0" w:line="277" w:lineRule="auto"/>
        <w:tabs>
          <w:tab w:leader="none" w:pos="1273" w:val="left"/>
        </w:tabs>
        <w:numPr>
          <w:ilvl w:val="0"/>
          <w:numId w:val="67"/>
        </w:numPr>
        <w:rPr>
          <w:rFonts w:ascii="Arial" w:cs="Arial" w:eastAsia="Arial" w:hAnsi="Arial"/>
          <w:sz w:val="18"/>
          <w:szCs w:val="18"/>
          <w:color w:val="auto"/>
        </w:rPr>
      </w:pPr>
      <w:r>
        <w:rPr>
          <w:rFonts w:ascii="Arial" w:cs="Arial" w:eastAsia="Arial" w:hAnsi="Arial"/>
          <w:sz w:val="18"/>
          <w:szCs w:val="18"/>
          <w:color w:val="auto"/>
        </w:rPr>
        <w:t>has improperly induced a vendor or customer to break or terminate any contract with the Service Recipient or induced a principal for whom the Service Recipient acts as agent to terminate such agency relationship.</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termination for Cause shall be deemed to occur (subject to reinstatement upon a contrary final determination by the Committee) on the date on which the Service Recipient first delivers written notice to the Participant of a finding of termination for Cause.</w:t>
      </w:r>
    </w:p>
    <w:p>
      <w:pPr>
        <w:spacing w:after="0" w:line="62" w:lineRule="exact"/>
        <w:rPr>
          <w:sz w:val="20"/>
          <w:szCs w:val="20"/>
          <w:color w:val="auto"/>
        </w:rPr>
      </w:pPr>
    </w:p>
    <w:p>
      <w:pPr>
        <w:ind w:left="900"/>
        <w:spacing w:after="0"/>
        <w:tabs>
          <w:tab w:leader="none" w:pos="13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of the United States, as amended.</w:t>
      </w:r>
    </w:p>
    <w:p>
      <w:pPr>
        <w:spacing w:after="0" w:line="117" w:lineRule="exact"/>
        <w:rPr>
          <w:sz w:val="20"/>
          <w:szCs w:val="20"/>
          <w:color w:val="auto"/>
        </w:rPr>
      </w:pPr>
    </w:p>
    <w:p>
      <w:pPr>
        <w:ind w:left="900"/>
        <w:spacing w:after="0"/>
        <w:tabs>
          <w:tab w:leader="none" w:pos="13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a committee of the Board described in Article 10.</w:t>
      </w:r>
    </w:p>
    <w:p>
      <w:pPr>
        <w:spacing w:after="0" w:line="117" w:lineRule="exact"/>
        <w:rPr>
          <w:sz w:val="20"/>
          <w:szCs w:val="20"/>
          <w:color w:val="auto"/>
        </w:rPr>
      </w:pPr>
    </w:p>
    <w:p>
      <w:pPr>
        <w:ind w:left="240" w:right="20" w:firstLine="671"/>
        <w:spacing w:after="0" w:line="259"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consultant or adviser if: (a) the consultant or adviser renders bona fide services to a Service Recipient; (b)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who has contracted directly with the Service Recipient to render such services.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3" w:name="page44"/>
    <w:bookmarkEnd w:id="43"/>
    <w:p>
      <w:pPr>
        <w:ind w:firstLine="67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2.9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unless otherwise defined in an Award Agreement, means any of the following transactions, provided, however, that the Committee shall determine under (d) and (e) whether multiple transactions are related, and its determination shall be final, binding and conclusive:</w:t>
      </w:r>
    </w:p>
    <w:p>
      <w:pPr>
        <w:spacing w:after="0" w:line="124" w:lineRule="exact"/>
        <w:rPr>
          <w:sz w:val="20"/>
          <w:szCs w:val="20"/>
          <w:color w:val="auto"/>
        </w:rPr>
      </w:pPr>
    </w:p>
    <w:p>
      <w:pPr>
        <w:jc w:val="both"/>
        <w:ind w:left="-240" w:right="20" w:firstLine="921"/>
        <w:spacing w:after="0" w:line="312" w:lineRule="auto"/>
        <w:tabs>
          <w:tab w:leader="none" w:pos="1053"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 amalgamation, arrangement or consolidation or scheme of arrangement (i) in which the Company is not the surviving entity, except for a transaction the principal purpose of which is to change the jurisdiction in which the Company is incorporated or (ii) following which the holders of the voting securities of the Company do not continue to hold more than 50% of the combined voting power of the voting securities of the surviving entity;</w:t>
      </w:r>
    </w:p>
    <w:p>
      <w:pPr>
        <w:spacing w:after="0" w:line="146" w:lineRule="exact"/>
        <w:rPr>
          <w:rFonts w:ascii="Arial" w:cs="Arial" w:eastAsia="Arial" w:hAnsi="Arial"/>
          <w:sz w:val="16"/>
          <w:szCs w:val="16"/>
          <w:color w:val="auto"/>
        </w:rPr>
      </w:pPr>
    </w:p>
    <w:p>
      <w:pPr>
        <w:ind w:left="1080" w:hanging="399"/>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assets of the Company;</w:t>
      </w:r>
    </w:p>
    <w:p>
      <w:pPr>
        <w:spacing w:after="0" w:line="225" w:lineRule="exact"/>
        <w:rPr>
          <w:rFonts w:ascii="Arial" w:cs="Arial" w:eastAsia="Arial" w:hAnsi="Arial"/>
          <w:sz w:val="18"/>
          <w:szCs w:val="18"/>
          <w:color w:val="auto"/>
        </w:rPr>
      </w:pPr>
    </w:p>
    <w:p>
      <w:pPr>
        <w:ind w:left="1060" w:hanging="379"/>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complete liquidation or dissolution of the Company;</w:t>
      </w:r>
    </w:p>
    <w:p>
      <w:pPr>
        <w:spacing w:after="0" w:line="225" w:lineRule="exact"/>
        <w:rPr>
          <w:rFonts w:ascii="Arial" w:cs="Arial" w:eastAsia="Arial" w:hAnsi="Arial"/>
          <w:sz w:val="18"/>
          <w:szCs w:val="18"/>
          <w:color w:val="auto"/>
        </w:rPr>
      </w:pPr>
    </w:p>
    <w:p>
      <w:pPr>
        <w:ind w:left="-240" w:right="20" w:firstLine="921"/>
        <w:spacing w:after="0" w:line="273" w:lineRule="auto"/>
        <w:tabs>
          <w:tab w:leader="none" w:pos="1063"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reverse takeover or series of related transactions culminating in a reverse takeover (including, but not limited to, a 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Committee determines shall not be a Corporate Transaction; or</w:t>
      </w:r>
    </w:p>
    <w:p>
      <w:pPr>
        <w:spacing w:after="0" w:line="178" w:lineRule="exact"/>
        <w:rPr>
          <w:rFonts w:ascii="Arial" w:cs="Arial" w:eastAsia="Arial" w:hAnsi="Arial"/>
          <w:sz w:val="17"/>
          <w:szCs w:val="17"/>
          <w:color w:val="auto"/>
        </w:rPr>
      </w:pPr>
    </w:p>
    <w:p>
      <w:pPr>
        <w:ind w:left="-240" w:right="20" w:firstLine="921"/>
        <w:spacing w:after="0" w:line="259" w:lineRule="auto"/>
        <w:tabs>
          <w:tab w:leader="none" w:pos="10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spacing w:after="0" w:line="7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Director”, means a member of the Board or a member of the board of directors of any Subsidiary of the Company.</w:t>
      </w:r>
    </w:p>
    <w:p>
      <w:pPr>
        <w:spacing w:after="0" w:line="117" w:lineRule="exact"/>
        <w:rPr>
          <w:sz w:val="20"/>
          <w:szCs w:val="20"/>
          <w:color w:val="auto"/>
        </w:rPr>
      </w:pPr>
    </w:p>
    <w:p>
      <w:pPr>
        <w:ind w:right="20" w:firstLine="671"/>
        <w:spacing w:after="0" w:line="255"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Disability</w:t>
      </w:r>
      <w:r>
        <w:rPr>
          <w:rFonts w:ascii="Arial" w:cs="Arial" w:eastAsia="Arial" w:hAnsi="Arial"/>
          <w:sz w:val="18"/>
          <w:szCs w:val="18"/>
          <w:color w:val="auto"/>
        </w:rPr>
        <w:t>”, unless otherwise defined in an Award Agreement, means that the Participant qualifies to receive long-term disability payments under the Service Recipient’s long-term disability insurance program, as it may be amended from time to time, to which the Participant provides services regardless of whether the Participant is covered by such policy. If the Service Recipient to which the Participant provides service does not have a long-term disability plan in place, “Disability” means that a Participant is unable to carry out the responsibilities and functions of the position held by the Participant by reason of any medically determinable physical or mental impairment for a period of not less than ninety (90) consecutive days. A Participant will not be considered to have incurred a Disability unless he or she furnishes proof of such impairment sufficient to satisfy the Committee in its discretion.</w:t>
      </w:r>
    </w:p>
    <w:p>
      <w:pPr>
        <w:spacing w:after="0" w:line="8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have the meaning set forth in Section 11.1.</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480" w:top="274" w:right="259" w:bottom="1440" w:gutter="0" w:footer="0" w:header="0"/>
        </w:sectPr>
      </w:pPr>
    </w:p>
    <w:bookmarkStart w:id="44" w:name="page45"/>
    <w:bookmarkEnd w:id="44"/>
    <w:p>
      <w:pPr>
        <w:jc w:val="both"/>
        <w:ind w:left="220" w:right="80" w:firstLine="67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2.13 “</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an officer or a Director, who is in the employment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spacing w:after="0" w:line="73"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of the United States, as amended.</w:t>
      </w:r>
    </w:p>
    <w:p>
      <w:pPr>
        <w:spacing w:after="0" w:line="117"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as of any date, the value of Shares determined as follows:</w:t>
      </w:r>
    </w:p>
    <w:p>
      <w:pPr>
        <w:spacing w:after="0" w:line="225" w:lineRule="exact"/>
        <w:rPr>
          <w:sz w:val="20"/>
          <w:szCs w:val="20"/>
          <w:color w:val="auto"/>
        </w:rPr>
      </w:pPr>
    </w:p>
    <w:p>
      <w:pPr>
        <w:ind w:left="-20" w:right="120" w:firstLine="921"/>
        <w:spacing w:after="0" w:line="297" w:lineRule="auto"/>
        <w:tabs>
          <w:tab w:leader="none" w:pos="1273"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the Shares are listed on one or more established stock exchanges or national market systems, including without limitation, the New York Stock Exchange or the NASDAQ Stock Market, its Fair Market Value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on the website maintained by such exchange or market system or such other source as the Committee deems reliable;</w:t>
      </w:r>
    </w:p>
    <w:p>
      <w:pPr>
        <w:spacing w:after="0" w:line="158" w:lineRule="exact"/>
        <w:rPr>
          <w:rFonts w:ascii="Arial" w:cs="Arial" w:eastAsia="Arial" w:hAnsi="Arial"/>
          <w:sz w:val="16"/>
          <w:szCs w:val="16"/>
          <w:color w:val="auto"/>
        </w:rPr>
      </w:pPr>
    </w:p>
    <w:p>
      <w:pPr>
        <w:ind w:left="-20" w:right="40" w:firstLine="921"/>
        <w:spacing w:after="0" w:line="257" w:lineRule="auto"/>
        <w:tabs>
          <w:tab w:leader="none" w:pos="1283"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Shares are regularly quoted on an automated quotation system (including the OTC Bulletin Board) or by a 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spacing w:after="0" w:line="188" w:lineRule="exact"/>
        <w:rPr>
          <w:rFonts w:ascii="Arial" w:cs="Arial" w:eastAsia="Arial" w:hAnsi="Arial"/>
          <w:sz w:val="18"/>
          <w:szCs w:val="18"/>
          <w:color w:val="auto"/>
        </w:rPr>
      </w:pPr>
    </w:p>
    <w:p>
      <w:pPr>
        <w:ind w:left="-20" w:right="60" w:firstLine="921"/>
        <w:spacing w:after="0" w:line="255" w:lineRule="auto"/>
        <w:tabs>
          <w:tab w:leader="none" w:pos="12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absence of an established market for the Shares of the type described in (a) and (b), above, the Fair Market Value thereof shall be determined by the Committee in good faith and in its discretion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transaction, (iii) an independent valuation of the Shares, or (iv) such other methodologies or information as the Committee determines to be indicative of Fair Market Value.</w:t>
      </w:r>
    </w:p>
    <w:p>
      <w:pPr>
        <w:spacing w:after="0" w:line="85"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Group Entity” means any of the Company and Subsidiaries of the Company.</w:t>
      </w:r>
    </w:p>
    <w:p>
      <w:pPr>
        <w:spacing w:after="0" w:line="117"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Incentive Share Option</w:t>
      </w:r>
      <w:r>
        <w:rPr>
          <w:rFonts w:ascii="Arial" w:cs="Arial" w:eastAsia="Arial" w:hAnsi="Arial"/>
          <w:sz w:val="16"/>
          <w:szCs w:val="16"/>
          <w:color w:val="auto"/>
        </w:rPr>
        <w:t>” means an Option that is intended to meet the requirements of Section 422 of the Code or any successor provision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thereto.</w:t>
      </w:r>
    </w:p>
    <w:p>
      <w:pPr>
        <w:spacing w:after="0" w:line="103" w:lineRule="exact"/>
        <w:rPr>
          <w:sz w:val="20"/>
          <w:szCs w:val="20"/>
          <w:color w:val="auto"/>
        </w:rPr>
      </w:pPr>
    </w:p>
    <w:p>
      <w:pPr>
        <w:ind w:left="220" w:firstLine="671"/>
        <w:spacing w:after="0" w:line="312" w:lineRule="auto"/>
        <w:rPr>
          <w:sz w:val="20"/>
          <w:szCs w:val="20"/>
          <w:color w:val="auto"/>
        </w:rPr>
      </w:pPr>
      <w:r>
        <w:rPr>
          <w:rFonts w:ascii="Arial" w:cs="Arial" w:eastAsia="Arial" w:hAnsi="Arial"/>
          <w:sz w:val="16"/>
          <w:szCs w:val="16"/>
          <w:color w:val="auto"/>
        </w:rPr>
        <w:t>2.18 “</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means (i) if the Shares or other securities representing the Shares are not listed on a stock exchange, a Director of the Company who is a Non-Employee Director; and (ii) if the Shares or other securities representing the Shares are listed on one or more stock exchange, a Director of the Company who meets the independence standards under the applicable corporate governance rules of the stock exchange(s).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45" w:name="page46"/>
    <w:bookmarkEnd w:id="45"/>
    <w:p>
      <w:pPr>
        <w:ind w:right="160" w:firstLine="67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2.19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qualifies as a “Non-Employee Director” as defined in Rule 16b-3(b)(3) of the Exchange Act, or any successor definition adopted by the Board.</w:t>
      </w:r>
    </w:p>
    <w:p>
      <w:pPr>
        <w:spacing w:after="0" w:line="6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Non-Qualified Share Option</w:t>
      </w:r>
      <w:r>
        <w:rPr>
          <w:rFonts w:ascii="Arial" w:cs="Arial" w:eastAsia="Arial" w:hAnsi="Arial"/>
          <w:sz w:val="16"/>
          <w:szCs w:val="16"/>
          <w:color w:val="auto"/>
        </w:rPr>
        <w:t>” means an Option that is not intended to be an Incentive Share Option.</w:t>
      </w:r>
    </w:p>
    <w:p>
      <w:pPr>
        <w:spacing w:after="0" w:line="117" w:lineRule="exact"/>
        <w:rPr>
          <w:sz w:val="20"/>
          <w:szCs w:val="20"/>
          <w:color w:val="auto"/>
        </w:rPr>
      </w:pPr>
    </w:p>
    <w:p>
      <w:pPr>
        <w:ind w:right="260" w:firstLine="671"/>
        <w:spacing w:after="0" w:line="27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Option</w:t>
      </w:r>
      <w:r>
        <w:rPr>
          <w:rFonts w:ascii="Arial" w:cs="Arial" w:eastAsia="Arial" w:hAnsi="Arial"/>
          <w:sz w:val="18"/>
          <w:szCs w:val="18"/>
          <w:color w:val="auto"/>
        </w:rPr>
        <w:t>” means a right granted to a Participant pursuant to Article 5 of the Plan to purchase a specified number of Shares at a specified price during specified time periods. An Option may be either an Incentive Share Option or a Non-Qualified Share Option.</w:t>
      </w:r>
    </w:p>
    <w:p>
      <w:pPr>
        <w:spacing w:after="0" w:line="6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 person who, as a Director, Consultant or Employee, has been granted an Award pursuant to the Plan.</w:t>
      </w:r>
    </w:p>
    <w:p>
      <w:pPr>
        <w:spacing w:after="0" w:line="11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means a parent corporation under Section 424(e) of the Code.</w:t>
      </w:r>
    </w:p>
    <w:p>
      <w:pPr>
        <w:spacing w:after="0" w:line="11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Post-IPO Share Incentive Plan of iClick Interactive Asia Group Limited, as amended and/or restated from time to time.</w:t>
      </w:r>
    </w:p>
    <w:p>
      <w:pPr>
        <w:spacing w:after="0" w:line="117" w:lineRule="exact"/>
        <w:rPr>
          <w:sz w:val="20"/>
          <w:szCs w:val="20"/>
          <w:color w:val="auto"/>
        </w:rPr>
      </w:pPr>
    </w:p>
    <w:p>
      <w:pPr>
        <w:ind w:firstLine="671"/>
        <w:spacing w:after="0" w:line="259"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Related Entity</w:t>
      </w:r>
      <w:r>
        <w:rPr>
          <w:rFonts w:ascii="Arial" w:cs="Arial" w:eastAsia="Arial" w:hAnsi="Arial"/>
          <w:sz w:val="18"/>
          <w:szCs w:val="18"/>
          <w:color w:val="auto"/>
        </w:rPr>
        <w:t>” means any business, corporation, partnership, limited liability company or other entity in which the Company, a Parent or Subsidiary of the Company holds a substantial ownership interest, directly or indirectly, or controls through contractual arrangements and consolidates the financial results according to applicable accounting standards, but which is not a Subsidiary and which the Board designates as a Related Entity for purposes of the Plan.</w:t>
      </w:r>
    </w:p>
    <w:p>
      <w:pPr>
        <w:spacing w:after="0" w:line="79" w:lineRule="exact"/>
        <w:rPr>
          <w:sz w:val="20"/>
          <w:szCs w:val="20"/>
          <w:color w:val="auto"/>
        </w:rPr>
      </w:pPr>
    </w:p>
    <w:p>
      <w:pPr>
        <w:ind w:right="40" w:firstLine="671"/>
        <w:spacing w:after="0" w:line="277"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Restricted Share</w:t>
      </w:r>
      <w:r>
        <w:rPr>
          <w:rFonts w:ascii="Arial" w:cs="Arial" w:eastAsia="Arial" w:hAnsi="Arial"/>
          <w:sz w:val="18"/>
          <w:szCs w:val="18"/>
          <w:color w:val="auto"/>
        </w:rPr>
        <w:t>” means a Share awarded to a Participant pursuant to Article 6 that is subject to certain restrictions and may be subject to risk of forfeiture.</w:t>
      </w:r>
    </w:p>
    <w:p>
      <w:pPr>
        <w:spacing w:after="0" w:line="6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Share Unit</w:t>
      </w:r>
      <w:r>
        <w:rPr>
          <w:rFonts w:ascii="Arial" w:cs="Arial" w:eastAsia="Arial" w:hAnsi="Arial"/>
          <w:sz w:val="16"/>
          <w:szCs w:val="16"/>
          <w:color w:val="auto"/>
        </w:rPr>
        <w:t>” means an Award granted pursuant to Article 7.</w:t>
      </w:r>
    </w:p>
    <w:p>
      <w:pPr>
        <w:spacing w:after="0" w:line="11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of the United States, as amended.</w:t>
      </w:r>
    </w:p>
    <w:p>
      <w:pPr>
        <w:spacing w:after="0" w:line="117" w:lineRule="exact"/>
        <w:rPr>
          <w:sz w:val="20"/>
          <w:szCs w:val="20"/>
          <w:color w:val="auto"/>
        </w:rPr>
      </w:pPr>
    </w:p>
    <w:p>
      <w:pPr>
        <w:ind w:right="580" w:firstLine="671"/>
        <w:spacing w:after="0" w:line="277"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Service Recipient</w:t>
      </w:r>
      <w:r>
        <w:rPr>
          <w:rFonts w:ascii="Arial" w:cs="Arial" w:eastAsia="Arial" w:hAnsi="Arial"/>
          <w:sz w:val="18"/>
          <w:szCs w:val="18"/>
          <w:color w:val="auto"/>
        </w:rPr>
        <w:t>” means the Company or Subsidiary of the Company to which a Participant provides services as an Employee, a Consultant or a Director.</w:t>
      </w:r>
    </w:p>
    <w:p>
      <w:pPr>
        <w:spacing w:after="0" w:line="62" w:lineRule="exact"/>
        <w:rPr>
          <w:sz w:val="20"/>
          <w:szCs w:val="20"/>
          <w:color w:val="auto"/>
        </w:rPr>
      </w:pPr>
    </w:p>
    <w:p>
      <w:pPr>
        <w:ind w:right="100" w:firstLine="671"/>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Share</w:t>
      </w:r>
      <w:r>
        <w:rPr>
          <w:rFonts w:ascii="Arial" w:cs="Arial" w:eastAsia="Arial" w:hAnsi="Arial"/>
          <w:sz w:val="18"/>
          <w:szCs w:val="18"/>
          <w:color w:val="auto"/>
        </w:rPr>
        <w:t>” means the Class A ordinary shares of the Company, par value US$0.001 per share, and such other securities of the Company that may be substituted for Shares pursuant to Article 9.</w:t>
      </w:r>
    </w:p>
    <w:p>
      <w:pPr>
        <w:spacing w:after="0" w:line="62" w:lineRule="exact"/>
        <w:rPr>
          <w:sz w:val="20"/>
          <w:szCs w:val="20"/>
          <w:color w:val="auto"/>
        </w:rPr>
      </w:pPr>
    </w:p>
    <w:p>
      <w:pPr>
        <w:ind w:right="260" w:firstLine="671"/>
        <w:spacing w:after="0" w:line="277"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or other entity of which a majority of the outstanding voting shares or voting power is beneficially owned directly or indirectly by the Company.</w:t>
      </w:r>
    </w:p>
    <w:p>
      <w:pPr>
        <w:spacing w:after="0" w:line="62" w:lineRule="exact"/>
        <w:rPr>
          <w:sz w:val="20"/>
          <w:szCs w:val="20"/>
          <w:color w:val="auto"/>
        </w:rPr>
      </w:pPr>
    </w:p>
    <w:p>
      <w:pPr>
        <w:ind w:right="320" w:firstLine="671"/>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Trading Date</w:t>
      </w:r>
      <w:r>
        <w:rPr>
          <w:rFonts w:ascii="Arial" w:cs="Arial" w:eastAsia="Arial" w:hAnsi="Arial"/>
          <w:sz w:val="18"/>
          <w:szCs w:val="18"/>
          <w:color w:val="auto"/>
        </w:rPr>
        <w:t>” means the closing of the first sale to the general public of the Shares pursuant to a registration statement filed with and declared effective by the U.S. Securities and Exchange Commission under the Securities Act.</w:t>
      </w:r>
    </w:p>
    <w:p>
      <w:pPr>
        <w:spacing w:after="0" w:line="10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480" w:top="274" w:right="25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SUBJECT TO THE PLAN</w:t>
      </w:r>
    </w:p>
    <w:p>
      <w:pPr>
        <w:spacing w:after="0" w:line="22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Number of Shares</w:t>
      </w:r>
      <w:r>
        <w:rPr>
          <w:rFonts w:ascii="Arial" w:cs="Arial" w:eastAsia="Arial" w:hAnsi="Arial"/>
          <w:sz w:val="16"/>
          <w:szCs w:val="16"/>
          <w:color w:val="auto"/>
        </w:rPr>
        <w:t>.</w:t>
      </w:r>
    </w:p>
    <w:p>
      <w:pPr>
        <w:spacing w:after="0" w:line="225" w:lineRule="exact"/>
        <w:rPr>
          <w:sz w:val="20"/>
          <w:szCs w:val="20"/>
          <w:color w:val="auto"/>
        </w:rPr>
      </w:pPr>
    </w:p>
    <w:p>
      <w:pPr>
        <w:ind w:firstLine="921"/>
        <w:spacing w:after="0" w:line="273" w:lineRule="auto"/>
        <w:tabs>
          <w:tab w:leader="none" w:pos="1293" w:val="left"/>
        </w:tabs>
        <w:numPr>
          <w:ilvl w:val="0"/>
          <w:numId w:val="70"/>
        </w:numPr>
        <w:rPr>
          <w:rFonts w:ascii="Arial" w:cs="Arial" w:eastAsia="Arial" w:hAnsi="Arial"/>
          <w:sz w:val="17"/>
          <w:szCs w:val="17"/>
          <w:color w:val="auto"/>
        </w:rPr>
      </w:pPr>
      <w:r>
        <w:rPr>
          <w:rFonts w:ascii="Arial" w:cs="Arial" w:eastAsia="Arial" w:hAnsi="Arial"/>
          <w:sz w:val="17"/>
          <w:szCs w:val="17"/>
          <w:color w:val="auto"/>
        </w:rPr>
        <w:t>Subject to the provisions of Article 9 and Section 3.1(b), the maximum aggregate number of Shares which may be issued pursuant to all Awards (including Incentive Share Options) (the “Award Pool”) shall initially be 1,000,000 Shares, plus an annual increase on the first day of each fiscal year of the Company during the term of this Plan commencing with the fiscal year beginning January 1, 2018, by an amount equal to the least of (i) 0.5% of the total number of Shares issued and outstanding on the last day of the immediately preceding fiscal year; (ii) 150,000 Shares or (iii) such number of Shares as may be determined by the Board, the size of the Award Pool to be equitably adjusted in the event of any share dividend, subdivision, reclassification, recapitalization, split, reverse split, combination, consolidation or similar transactions.</w:t>
      </w:r>
    </w:p>
    <w:p>
      <w:pPr>
        <w:spacing w:after="0" w:line="178" w:lineRule="exact"/>
        <w:rPr>
          <w:rFonts w:ascii="Arial" w:cs="Arial" w:eastAsia="Arial" w:hAnsi="Arial"/>
          <w:sz w:val="17"/>
          <w:szCs w:val="17"/>
          <w:color w:val="auto"/>
        </w:rPr>
      </w:pPr>
    </w:p>
    <w:p>
      <w:pPr>
        <w:jc w:val="both"/>
        <w:ind w:right="220" w:firstLine="921"/>
        <w:spacing w:after="0" w:line="288" w:lineRule="auto"/>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the extent that an Award terminates, expires, or lapses for any reason, any Shares subject to the Award shall again be available for the grant of an Award pursuant to the Plan. To the extent permitted by Applicable Laws, Shares issued in assumption of, or in substitution for, any outstanding awards of any entity acquired in any form or combination by a Group Entity shall not be counted against Shares available for grant pursuant to the Plan.</w:t>
      </w:r>
    </w:p>
    <w:p>
      <w:pPr>
        <w:ind w:right="160"/>
        <w:spacing w:after="0" w:line="292" w:lineRule="auto"/>
        <w:rPr>
          <w:rFonts w:ascii="Arial" w:cs="Arial" w:eastAsia="Arial" w:hAnsi="Arial"/>
          <w:sz w:val="16"/>
          <w:szCs w:val="16"/>
          <w:color w:val="auto"/>
        </w:rPr>
      </w:pPr>
      <w:r>
        <w:rPr>
          <w:rFonts w:ascii="Arial" w:cs="Arial" w:eastAsia="Arial" w:hAnsi="Arial"/>
          <w:sz w:val="16"/>
          <w:szCs w:val="16"/>
          <w:color w:val="auto"/>
        </w:rPr>
        <w:t>Shares delivered by the Participant or withheld by the Company upon the exercise of any Award under the Plan, in payment of the exercise price thereof or tax withholding thereon, may again be optioned, granted or awarded hereunder, subject to the limitations of Section 3.1(a). If any Restricted Shares are forfeited by the Participant or repurchased by the Company, such Shares may again be optioned, granted or awarded hereunder, subject to the limitations of Section 3.1(a). Notwithstanding the provisions of this Section 3.1(b), no Shares may again be optioned, granted or awarded if such action would cause an Incentive Share Option to fail to qualify as an incentive share option under Section 422 of the Code.</w:t>
      </w:r>
    </w:p>
    <w:p>
      <w:pPr>
        <w:spacing w:after="0" w:line="163"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Shares Distributed</w:t>
      </w:r>
      <w:r>
        <w:rPr>
          <w:rFonts w:ascii="Arial" w:cs="Arial" w:eastAsia="Arial" w:hAnsi="Arial"/>
          <w:sz w:val="16"/>
          <w:szCs w:val="16"/>
          <w:color w:val="auto"/>
        </w:rPr>
        <w:t>. Any Shares distributed pursuant to an Award may consist, in whole or in part, of authorized and unissued Shares, treasury Shares (subject to Applicable Laws) or Shares purchased on the open market. Additionally, at the discretion of the Committee, any Shares distributed pursuant to an Award may be represented by American Depository Shares. If the number of Shares represented by an American Depository Share is other than on a one-to-one basis, the limitations of Section 3.1 shall be adjusted to reflect the distribution of American Depository Shares in lieu of Shares.</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ELIGIBILITY AND PARTICIPATION</w:t>
      </w:r>
    </w:p>
    <w:p>
      <w:pPr>
        <w:spacing w:after="0" w:line="229" w:lineRule="exact"/>
        <w:rPr>
          <w:sz w:val="20"/>
          <w:szCs w:val="20"/>
          <w:color w:val="auto"/>
        </w:rPr>
      </w:pPr>
    </w:p>
    <w:p>
      <w:pPr>
        <w:jc w:val="center"/>
        <w:ind w:right="280"/>
        <w:spacing w:after="0"/>
        <w:tabs>
          <w:tab w:leader="none" w:pos="2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Eligibility</w:t>
      </w:r>
      <w:r>
        <w:rPr>
          <w:rFonts w:ascii="Arial" w:cs="Arial" w:eastAsia="Arial" w:hAnsi="Arial"/>
          <w:sz w:val="16"/>
          <w:szCs w:val="16"/>
          <w:color w:val="auto"/>
        </w:rPr>
        <w:t>. Persons eligible to participate in this Plan include Employees, Consultants, and Directors, as determined by the Committee.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0" w:right="299" w:bottom="1440" w:gutter="0" w:footer="0" w:header="0"/>
        </w:sectPr>
      </w:pPr>
    </w:p>
    <w:bookmarkStart w:id="47" w:name="page48"/>
    <w:bookmarkEnd w:id="47"/>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Arial" w:cs="Arial" w:eastAsia="Arial" w:hAnsi="Arial"/>
          <w:sz w:val="18"/>
          <w:szCs w:val="18"/>
          <w:u w:val="single" w:color="auto"/>
          <w:color w:val="auto"/>
        </w:rPr>
        <w:t>Participation</w:t>
      </w:r>
      <w:r>
        <w:rPr>
          <w:rFonts w:ascii="Arial" w:cs="Arial" w:eastAsia="Arial" w:hAnsi="Arial"/>
          <w:sz w:val="18"/>
          <w:szCs w:val="18"/>
          <w:color w:val="auto"/>
        </w:rPr>
        <w:t>. Subject to the provisions of the Plan, the Committee may, from time to time, select from among all eligible individuals, those to whom Awards shall be granted and shall determine the nature and amount of each Award. No individual shall have any right to be granted an Award pursuant to this Plan.</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Jurisdictions</w:t>
      </w:r>
      <w:r>
        <w:rPr>
          <w:rFonts w:ascii="Arial" w:cs="Arial" w:eastAsia="Arial" w:hAnsi="Arial"/>
          <w:sz w:val="18"/>
          <w:szCs w:val="18"/>
          <w:color w:val="auto"/>
        </w:rPr>
        <w:t xml:space="preserve">. In order to assure the viability of Awards granted to Participants employed in various jurisdictions, the Committee may provide for such special terms as it may consider necessary or appropriate to accommodate differences in local law, tax policy, or custom applicable in the jurisdiction in which the Participant resides, is employed, operates or is incorporated. Moreover, the Committee may approve such supplements to, or amendments, restatements, or alternative versions of, the Plan as it may consider necessary or appropriate for such purposes without thereby affecting the terms of the Plan as in effect for any other purpose;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supplements, amendments, restatements, or alternative versions shall increase the share limitations contained in Section 3.1 of the Plan. Notwithstanding the foregoing, the Committee may not take any actions hereunder, and no Awards shall be granted, that would violate any Applicable Laws.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ind w:left="900"/>
        <w:spacing w:after="0"/>
        <w:tabs>
          <w:tab w:leader="none" w:pos="13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The Committee is authorized to grant Options to Participants on the following terms and conditions:</w:t>
      </w:r>
    </w:p>
    <w:p>
      <w:pPr>
        <w:spacing w:after="0" w:line="225" w:lineRule="exact"/>
        <w:rPr>
          <w:sz w:val="20"/>
          <w:szCs w:val="20"/>
          <w:color w:val="auto"/>
        </w:rPr>
      </w:pPr>
    </w:p>
    <w:p>
      <w:pPr>
        <w:ind w:firstLine="921"/>
        <w:spacing w:after="0" w:line="276" w:lineRule="auto"/>
        <w:tabs>
          <w:tab w:leader="none" w:pos="1293"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per Share subject to an Option shall be determined by the Committee and set forth in the Award Agreement which may be a fixed price or a variable price related to the Fair Market Value of the Shares. The exercise price per Share subject to an Option may be amended or adjusted in the absolute discretion of the Committee, the determination of which shall be final, binding and conclusive. For the avoidance of doubt, to the extent not prohibited by Applicable Laws or any exchange rule, a downward adjustment of the exercise prices of Options mentioned in the preceding sentence shall be effective without the approval of the Company’s shareholders or the approval of the affected Participants.</w:t>
      </w:r>
    </w:p>
    <w:p>
      <w:pPr>
        <w:spacing w:after="0" w:line="172" w:lineRule="exact"/>
        <w:rPr>
          <w:rFonts w:ascii="Arial" w:cs="Arial" w:eastAsia="Arial" w:hAnsi="Arial"/>
          <w:sz w:val="17"/>
          <w:szCs w:val="17"/>
          <w:color w:val="auto"/>
        </w:rPr>
      </w:pPr>
    </w:p>
    <w:p>
      <w:pPr>
        <w:ind w:right="300" w:firstLine="921"/>
        <w:spacing w:after="0" w:line="312" w:lineRule="auto"/>
        <w:tabs>
          <w:tab w:leader="none" w:pos="1303"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Time and Conditions of Exercise</w:t>
      </w:r>
      <w:r>
        <w:rPr>
          <w:rFonts w:ascii="Arial" w:cs="Arial" w:eastAsia="Arial" w:hAnsi="Arial"/>
          <w:sz w:val="16"/>
          <w:szCs w:val="16"/>
          <w:color w:val="auto"/>
        </w:rPr>
        <w:t xml:space="preserve">. The Committee shall determine the time or times at which an Option may be exercised in whole or in part, including exercise prior to vesting;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of any Option granted under the Plan shall not exceed ten years, except as provided in Section 12.1. The Committee shall also determine any conditions, if any, that must be satisfied before all or part of an Option may be exercised.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48" w:name="page49"/>
    <w:bookmarkEnd w:id="48"/>
    <w:p>
      <w:pPr>
        <w:ind w:right="20" w:firstLine="921"/>
        <w:spacing w:after="0" w:line="269" w:lineRule="auto"/>
        <w:tabs>
          <w:tab w:leader="none" w:pos="1293"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w:t>
      </w:r>
      <w:r>
        <w:rPr>
          <w:rFonts w:ascii="Arial" w:cs="Arial" w:eastAsia="Arial" w:hAnsi="Arial"/>
          <w:sz w:val="17"/>
          <w:szCs w:val="17"/>
          <w:color w:val="auto"/>
        </w:rPr>
        <w:t xml:space="preserve">. The Committee shall determine the methods by which the exercise price of an Option may be paid, the form of payment, including, without limitation (i) cash or check denominated in U.S. Dollars, (ii) to the extent permissible under the Applicable Laws, cash or check in Chinese Renminbi, (iii) cash or check denominated in any other local currency as approved by the Committee, (iv) Shares held for such period of time as may be required by the Committee in order to avoid adverse financial accounting consequences and having a Fair Market Value on the date of delivery equal to the aggregate exercise price of the Option or exercised portion thereof, (v) after the Trading Date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of such proceeds is then made to the Company upon settlement of such sale, (vi) other property acceptable to the Committee with a Fair Market Value equal to the exercise price, or (vii) any combination of the foregoing. Notwithstanding any other provision of the Plan to the contrary, no Participant who is a member of the Board or an “executive officer” of the Company within the meaning of Section 13(k) of the Exchange Act shall be permitted to pay the exercise price of an Option in any method which would violate Section 13(k) of the Exchange Act.</w:t>
      </w:r>
    </w:p>
    <w:p>
      <w:pPr>
        <w:spacing w:after="0" w:line="182" w:lineRule="exact"/>
        <w:rPr>
          <w:rFonts w:ascii="Arial" w:cs="Arial" w:eastAsia="Arial" w:hAnsi="Arial"/>
          <w:sz w:val="17"/>
          <w:szCs w:val="17"/>
          <w:color w:val="auto"/>
        </w:rPr>
      </w:pPr>
    </w:p>
    <w:p>
      <w:pPr>
        <w:ind w:right="740" w:firstLine="921"/>
        <w:spacing w:after="0" w:line="277" w:lineRule="auto"/>
        <w:tabs>
          <w:tab w:leader="none" w:pos="130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Evidence of Grant</w:t>
      </w:r>
      <w:r>
        <w:rPr>
          <w:rFonts w:ascii="Arial" w:cs="Arial" w:eastAsia="Arial" w:hAnsi="Arial"/>
          <w:sz w:val="18"/>
          <w:szCs w:val="18"/>
          <w:color w:val="auto"/>
        </w:rPr>
        <w:t>. All Options shall be evidenced by an Award Agreement between the Company and the Participant. The Award Agreement shall include such additional provisions as may be specified by the Committee.</w:t>
      </w:r>
    </w:p>
    <w:p>
      <w:pPr>
        <w:spacing w:after="0" w:line="170" w:lineRule="exact"/>
        <w:rPr>
          <w:rFonts w:ascii="Arial" w:cs="Arial" w:eastAsia="Arial" w:hAnsi="Arial"/>
          <w:sz w:val="18"/>
          <w:szCs w:val="18"/>
          <w:color w:val="auto"/>
        </w:rPr>
      </w:pPr>
    </w:p>
    <w:p>
      <w:pPr>
        <w:ind w:right="320" w:firstLine="921"/>
        <w:spacing w:after="0" w:line="277" w:lineRule="auto"/>
        <w:tabs>
          <w:tab w:leader="none" w:pos="129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Effects of Termination of Employment or Service on Options</w:t>
      </w:r>
      <w:r>
        <w:rPr>
          <w:rFonts w:ascii="Arial" w:cs="Arial" w:eastAsia="Arial" w:hAnsi="Arial"/>
          <w:sz w:val="18"/>
          <w:szCs w:val="18"/>
          <w:color w:val="auto"/>
        </w:rPr>
        <w:t>. Termination of employment or service shall have the following effects on Options granted to the Participants:</w:t>
      </w:r>
    </w:p>
    <w:p>
      <w:pPr>
        <w:spacing w:after="0" w:line="170" w:lineRule="exact"/>
        <w:rPr>
          <w:rFonts w:ascii="Arial" w:cs="Arial" w:eastAsia="Arial" w:hAnsi="Arial"/>
          <w:sz w:val="18"/>
          <w:szCs w:val="18"/>
          <w:color w:val="auto"/>
        </w:rPr>
      </w:pPr>
    </w:p>
    <w:p>
      <w:pPr>
        <w:ind w:right="80" w:firstLine="1492"/>
        <w:spacing w:after="0" w:line="264" w:lineRule="auto"/>
        <w:tabs>
          <w:tab w:leader="none" w:pos="1833"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Dismissal for Cause</w:t>
      </w:r>
      <w:r>
        <w:rPr>
          <w:rFonts w:ascii="Arial" w:cs="Arial" w:eastAsia="Arial" w:hAnsi="Arial"/>
          <w:sz w:val="18"/>
          <w:szCs w:val="18"/>
          <w:color w:val="auto"/>
        </w:rPr>
        <w:t>. Unless otherwise provided in the Award Agreement, if a Participant’s employment by or service to the Service Recipient is terminated by the Service Recipient for Cause, the Participant’s Options will terminate upon such termination, whether or not the Option is then vested and/or exercisable;</w:t>
      </w:r>
    </w:p>
    <w:p>
      <w:pPr>
        <w:spacing w:after="0" w:line="181" w:lineRule="exact"/>
        <w:rPr>
          <w:rFonts w:ascii="Arial" w:cs="Arial" w:eastAsia="Arial" w:hAnsi="Arial"/>
          <w:sz w:val="18"/>
          <w:szCs w:val="18"/>
          <w:color w:val="auto"/>
        </w:rPr>
      </w:pPr>
    </w:p>
    <w:p>
      <w:pPr>
        <w:ind w:right="120" w:firstLine="1492"/>
        <w:spacing w:after="0" w:line="277" w:lineRule="auto"/>
        <w:tabs>
          <w:tab w:leader="none" w:pos="1883"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Unless otherwise provided in the Award Agreement, if a Participant’s employment by or service to the Service Recipient terminates as a result of the Participant’s death or Disability:</w:t>
      </w:r>
    </w:p>
    <w:p>
      <w:pPr>
        <w:spacing w:after="0" w:line="75" w:lineRule="exact"/>
        <w:rPr>
          <w:rFonts w:ascii="Arial" w:cs="Arial" w:eastAsia="Arial" w:hAnsi="Arial"/>
          <w:sz w:val="18"/>
          <w:szCs w:val="18"/>
          <w:color w:val="auto"/>
        </w:rPr>
      </w:pPr>
    </w:p>
    <w:p>
      <w:pPr>
        <w:ind w:left="1920" w:right="40" w:hanging="440"/>
        <w:spacing w:after="0" w:line="259" w:lineRule="auto"/>
        <w:tabs>
          <w:tab w:leader="none" w:pos="19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Participant (or his or her legal representative or beneficiary, in the case of the Participant’s Disability or death, respectively), will have until the date that is 12 months after the Participant’s termination of Employment to exercise the Participant’s Options (or portion thereof) to the extent that such Options were vested and exercisable on the date of the Participant’s termination of Employment on account of death or Disability;</w:t>
      </w:r>
    </w:p>
    <w:p>
      <w:pPr>
        <w:spacing w:after="0" w:line="92" w:lineRule="exact"/>
        <w:rPr>
          <w:rFonts w:ascii="Arial" w:cs="Arial" w:eastAsia="Arial" w:hAnsi="Arial"/>
          <w:sz w:val="18"/>
          <w:szCs w:val="18"/>
          <w:color w:val="auto"/>
        </w:rPr>
      </w:pPr>
    </w:p>
    <w:p>
      <w:pPr>
        <w:ind w:left="1920" w:right="280" w:hanging="440"/>
        <w:spacing w:after="0" w:line="308" w:lineRule="auto"/>
        <w:tabs>
          <w:tab w:leader="none" w:pos="1920"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Options, to the extent not vested and exercisable on the date of the Participant’s termination of Employment or service, shall terminate upon the Participant’s termination of Employment or service on account of death or Disability; and</w:t>
      </w:r>
    </w:p>
    <w:p>
      <w:pPr>
        <w:spacing w:after="0" w:line="51" w:lineRule="exact"/>
        <w:rPr>
          <w:rFonts w:ascii="Arial" w:cs="Arial" w:eastAsia="Arial" w:hAnsi="Arial"/>
          <w:sz w:val="17"/>
          <w:szCs w:val="17"/>
          <w:color w:val="auto"/>
        </w:rPr>
      </w:pPr>
    </w:p>
    <w:p>
      <w:pPr>
        <w:ind w:left="1920" w:hanging="440"/>
        <w:spacing w:after="0" w:line="308" w:lineRule="auto"/>
        <w:tabs>
          <w:tab w:leader="none" w:pos="1920"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Options, to the extent exercisable for the 12-month period following the Participant’s termination of Employment or service and not exercised during such period, shall terminate at the close of business on the last day of the 12-month period.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9" w:name="page50"/>
    <w:bookmarkEnd w:id="49"/>
    <w:p>
      <w:pPr>
        <w:ind w:left="-20" w:right="80" w:firstLine="1492"/>
        <w:spacing w:after="0" w:line="264" w:lineRule="auto"/>
        <w:tabs>
          <w:tab w:leader="none" w:pos="1913"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Terminations of Employment or Service</w:t>
      </w:r>
      <w:r>
        <w:rPr>
          <w:rFonts w:ascii="Arial" w:cs="Arial" w:eastAsia="Arial" w:hAnsi="Arial"/>
          <w:sz w:val="18"/>
          <w:szCs w:val="18"/>
          <w:color w:val="auto"/>
        </w:rPr>
        <w:t>. Unless otherwise provided in the Award Agreement, if a Participant’s employment by or service to the Service Recipient terminates for any reason other than a termination by the Service Recipient for Cause or because of the Participant’s death or Disability:</w:t>
      </w:r>
    </w:p>
    <w:p>
      <w:pPr>
        <w:spacing w:after="0" w:line="86" w:lineRule="exact"/>
        <w:rPr>
          <w:rFonts w:ascii="Arial" w:cs="Arial" w:eastAsia="Arial" w:hAnsi="Arial"/>
          <w:sz w:val="18"/>
          <w:szCs w:val="18"/>
          <w:color w:val="auto"/>
        </w:rPr>
      </w:pPr>
    </w:p>
    <w:p>
      <w:pPr>
        <w:ind w:left="1900" w:hanging="440"/>
        <w:spacing w:after="0" w:line="264" w:lineRule="auto"/>
        <w:tabs>
          <w:tab w:leader="none" w:pos="1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Participant will have until the date that is 90 days after the Participant’s termination of Employment or service to exercise his or her Options (or portion thereof) to the extent that such Options were vested and exercisable on the date of the Participant’s termination of Employment or service;</w:t>
      </w:r>
    </w:p>
    <w:p>
      <w:pPr>
        <w:spacing w:after="0" w:line="86" w:lineRule="exact"/>
        <w:rPr>
          <w:rFonts w:ascii="Arial" w:cs="Arial" w:eastAsia="Arial" w:hAnsi="Arial"/>
          <w:sz w:val="18"/>
          <w:szCs w:val="18"/>
          <w:color w:val="auto"/>
        </w:rPr>
      </w:pPr>
    </w:p>
    <w:p>
      <w:pPr>
        <w:ind w:left="1900" w:right="260" w:hanging="440"/>
        <w:spacing w:after="0" w:line="277" w:lineRule="auto"/>
        <w:tabs>
          <w:tab w:leader="none" w:pos="1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Options, to the extent not vested and exercisable on the date of the Participant’s termination of Employment or service, shall terminate upon the Participant’s termination of Employment or service; and</w:t>
      </w:r>
    </w:p>
    <w:p>
      <w:pPr>
        <w:spacing w:after="0" w:line="75" w:lineRule="exact"/>
        <w:rPr>
          <w:rFonts w:ascii="Arial" w:cs="Arial" w:eastAsia="Arial" w:hAnsi="Arial"/>
          <w:sz w:val="18"/>
          <w:szCs w:val="18"/>
          <w:color w:val="auto"/>
        </w:rPr>
      </w:pPr>
    </w:p>
    <w:p>
      <w:pPr>
        <w:ind w:left="1900" w:right="180" w:hanging="440"/>
        <w:spacing w:after="0" w:line="308" w:lineRule="auto"/>
        <w:tabs>
          <w:tab w:leader="none" w:pos="1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Options, to the extent exercisable for the 90-day period following the Participant’s termination of Employment or service and not exercised during such period, shall terminate at the close of business on the last day of the 90-day period.</w:t>
      </w:r>
    </w:p>
    <w:p>
      <w:pPr>
        <w:spacing w:after="0" w:line="38" w:lineRule="exact"/>
        <w:rPr>
          <w:sz w:val="20"/>
          <w:szCs w:val="20"/>
          <w:color w:val="auto"/>
        </w:rPr>
      </w:pPr>
    </w:p>
    <w:p>
      <w:pPr>
        <w:ind w:left="680" w:firstLine="429"/>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Incentive Share Options</w:t>
      </w:r>
      <w:r>
        <w:rPr>
          <w:rFonts w:ascii="Arial" w:cs="Arial" w:eastAsia="Arial" w:hAnsi="Arial"/>
          <w:sz w:val="18"/>
          <w:szCs w:val="18"/>
          <w:color w:val="auto"/>
        </w:rPr>
        <w:t>. Incentive Share Options may be granted to Employees of the Company or a Subsidiary of the Company. Incentive Share Options may not be granted to employees of a Related Entity or to Independent Directors or Consultants. The terms of any Incentive Share Options granted pursuant to the Plan, in addition to the requirements of Section 5.1, must comply with the following additional provisions of this Section 5.2:</w:t>
      </w:r>
    </w:p>
    <w:p>
      <w:pPr>
        <w:spacing w:after="0" w:line="187" w:lineRule="exact"/>
        <w:rPr>
          <w:sz w:val="20"/>
          <w:szCs w:val="20"/>
          <w:color w:val="auto"/>
        </w:rPr>
      </w:pPr>
    </w:p>
    <w:p>
      <w:pPr>
        <w:jc w:val="both"/>
        <w:ind w:left="-20" w:right="160" w:firstLine="921"/>
        <w:spacing w:after="0" w:line="259" w:lineRule="auto"/>
        <w:tabs>
          <w:tab w:leader="none" w:pos="127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Individual Dollar Limitation</w:t>
      </w:r>
      <w:r>
        <w:rPr>
          <w:rFonts w:ascii="Arial" w:cs="Arial" w:eastAsia="Arial" w:hAnsi="Arial"/>
          <w:sz w:val="18"/>
          <w:szCs w:val="18"/>
          <w:color w:val="auto"/>
        </w:rPr>
        <w:t>. The aggregate Fair Market Value (determined as of the time the Option is granted) of all Shares with respect to which Incentive Share Options are first exercisable by a Participant in any calendar year may not exceed $100,000 or such other limitation as imposed by Section 422(d) of the Code, or any successor provision. To the extent that Incentive Share Options are first exercisable by a Participant in excess of such limitation, the excess shall be considered Non-Qualified Share Options.</w:t>
      </w:r>
    </w:p>
    <w:p>
      <w:pPr>
        <w:spacing w:after="0" w:line="186" w:lineRule="exact"/>
        <w:rPr>
          <w:rFonts w:ascii="Arial" w:cs="Arial" w:eastAsia="Arial" w:hAnsi="Arial"/>
          <w:sz w:val="18"/>
          <w:szCs w:val="18"/>
          <w:color w:val="auto"/>
        </w:rPr>
      </w:pPr>
    </w:p>
    <w:p>
      <w:pPr>
        <w:ind w:left="-20" w:right="80" w:firstLine="921"/>
        <w:spacing w:after="0" w:line="279" w:lineRule="auto"/>
        <w:tabs>
          <w:tab w:leader="none" w:pos="1283"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an Incentive Share Option shall be equal to the Fair Market Value on the date of grant. However, the exercise price of any Incentive Share Option granted to any individual who, at the date of grant, owns Shares possessing more than ten percent of the total combined voting power of all classes of shares of the Company or any Parent or Subsidiary of the Company may not be less than 110% of Fair Market Value on the date of grant and such Option may not be exercisable for more than five years from the date of grant.</w:t>
      </w:r>
    </w:p>
    <w:p>
      <w:pPr>
        <w:spacing w:after="0" w:line="171" w:lineRule="exact"/>
        <w:rPr>
          <w:rFonts w:ascii="Arial" w:cs="Arial" w:eastAsia="Arial" w:hAnsi="Arial"/>
          <w:sz w:val="17"/>
          <w:szCs w:val="17"/>
          <w:color w:val="auto"/>
        </w:rPr>
      </w:pPr>
    </w:p>
    <w:p>
      <w:pPr>
        <w:ind w:left="-20" w:right="460" w:firstLine="921"/>
        <w:spacing w:after="0" w:line="264" w:lineRule="auto"/>
        <w:tabs>
          <w:tab w:leader="none" w:pos="127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Transfer Restriction</w:t>
      </w:r>
      <w:r>
        <w:rPr>
          <w:rFonts w:ascii="Arial" w:cs="Arial" w:eastAsia="Arial" w:hAnsi="Arial"/>
          <w:sz w:val="18"/>
          <w:szCs w:val="18"/>
          <w:color w:val="auto"/>
        </w:rPr>
        <w:t>. The Participant shall give the Company prompt notice of any disposition of Shares acquired by exercise of an Incentive Share Option within (i) two years from the date of grant of such Incentive Share Option or (ii) one year after the transfer of such Shares to the Participant.</w:t>
      </w:r>
    </w:p>
    <w:p>
      <w:pPr>
        <w:spacing w:after="0" w:line="181" w:lineRule="exact"/>
        <w:rPr>
          <w:rFonts w:ascii="Arial" w:cs="Arial" w:eastAsia="Arial" w:hAnsi="Arial"/>
          <w:sz w:val="18"/>
          <w:szCs w:val="18"/>
          <w:color w:val="auto"/>
        </w:rPr>
      </w:pPr>
    </w:p>
    <w:p>
      <w:pPr>
        <w:ind w:left="-20" w:right="820" w:firstLine="921"/>
        <w:spacing w:after="0" w:line="277" w:lineRule="auto"/>
        <w:tabs>
          <w:tab w:leader="none" w:pos="128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Expiration of Incentive Share Options</w:t>
      </w:r>
      <w:r>
        <w:rPr>
          <w:rFonts w:ascii="Arial" w:cs="Arial" w:eastAsia="Arial" w:hAnsi="Arial"/>
          <w:sz w:val="18"/>
          <w:szCs w:val="18"/>
          <w:color w:val="auto"/>
        </w:rPr>
        <w:t>. No Award of an Incentive Share Option may be made pursuant to this Plan after the tenth anniversary of the Effective Date.</w:t>
      </w:r>
    </w:p>
    <w:p>
      <w:pPr>
        <w:spacing w:after="0" w:line="170" w:lineRule="exact"/>
        <w:rPr>
          <w:rFonts w:ascii="Arial" w:cs="Arial" w:eastAsia="Arial" w:hAnsi="Arial"/>
          <w:sz w:val="18"/>
          <w:szCs w:val="18"/>
          <w:color w:val="auto"/>
        </w:rPr>
      </w:pPr>
    </w:p>
    <w:p>
      <w:pPr>
        <w:ind w:left="1280" w:hanging="379"/>
        <w:spacing w:after="0"/>
        <w:tabs>
          <w:tab w:leader="none" w:pos="12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During a Participant’s lifetime, an Incentive Share Option may be exercised only by the Participant.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4" w:right="2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SHARES</w:t>
      </w:r>
    </w:p>
    <w:p>
      <w:pPr>
        <w:spacing w:after="0" w:line="229"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Grant of Restricted Shares</w:t>
      </w:r>
      <w:r>
        <w:rPr>
          <w:rFonts w:ascii="Arial" w:cs="Arial" w:eastAsia="Arial" w:hAnsi="Arial"/>
          <w:sz w:val="16"/>
          <w:szCs w:val="16"/>
          <w:color w:val="auto"/>
        </w:rPr>
        <w:t>. The Committee, at any time and from time to time, may grant Restricted Shares to Participants as the Committee, in its sole discretion, shall determine. The Committee, in its sole discretion, shall determine the number of Restricted Shares to be granted to each Participant.</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Restricted Shares Award Agreement</w:t>
      </w:r>
      <w:r>
        <w:rPr>
          <w:rFonts w:ascii="Arial" w:cs="Arial" w:eastAsia="Arial" w:hAnsi="Arial"/>
          <w:sz w:val="18"/>
          <w:szCs w:val="18"/>
          <w:color w:val="auto"/>
        </w:rPr>
        <w:t>. Each Award of Restricted Shares shall be evidenced by an Award Agreement that shall specify the period of restriction, the number of Restricted Shares granted, and such other terms and conditions as the Committee, in its sole discretion, shall determine. Unless the Committee determines otherwise, Restricted Shares shall be held by the Company as escrow agent until the restrictions on such Restricted Shares have lapsed.</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Issuance and Restrictions</w:t>
      </w:r>
      <w:r>
        <w:rPr>
          <w:rFonts w:ascii="Arial" w:cs="Arial" w:eastAsia="Arial" w:hAnsi="Arial"/>
          <w:sz w:val="18"/>
          <w:szCs w:val="18"/>
          <w:color w:val="auto"/>
        </w:rPr>
        <w:t>. Restricted Shares shall be subject to such restrictions on transferability and other restrictions as the Committee may impose (including, without limitation, limitations on the right to vote Restricted Shares or the right to receive dividends on the Restricted Shares). These restrictions may lapse separately or in combination at such times, pursuant to such circumstances, in such installments, or otherwise, as the Committee determines at the time of the grant of the Award or thereafter.</w:t>
      </w:r>
    </w:p>
    <w:p>
      <w:pPr>
        <w:spacing w:after="0" w:line="18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Forfeiture/Repurchase</w:t>
      </w:r>
      <w:r>
        <w:rPr>
          <w:rFonts w:ascii="Arial" w:cs="Arial" w:eastAsia="Arial" w:hAnsi="Arial"/>
          <w:sz w:val="16"/>
          <w:szCs w:val="16"/>
          <w:color w:val="auto"/>
        </w:rPr>
        <w:t xml:space="preserve">. Except as otherwise determined by the Committee at the time of the grant of the Award or thereafter, upon termination of employment or service during the applicable restriction period, Restricted Shares that are at that time subject to restrictions shall be forfeited or repurchased in accordance with the Award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the Committee may (a) provide in any Restricted Share Award Agreement that restrictions or forfeiture and repurchase conditions relating to Restricted Shares will be waived in whole or in part in the event of terminations resulting from specified causes, and (b) in other cases waive in whole or in part restrictions or forfeiture and repurchase conditions relating to Restricted Shares.</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Certificates for Restricted Shares</w:t>
      </w:r>
      <w:r>
        <w:rPr>
          <w:rFonts w:ascii="Arial" w:cs="Arial" w:eastAsia="Arial" w:hAnsi="Arial"/>
          <w:sz w:val="18"/>
          <w:szCs w:val="18"/>
          <w:color w:val="auto"/>
        </w:rPr>
        <w:t>. Restricted Shares granted pursuant to the Plan may be evidenced in such manner as the Committee 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Article 6, Restricted Shares granted under the Plan shall be released from escrow as soon as practicable after the last day of the period of restriction. The Committee, in its discretion, may accelerate the time at which any restrictions shall lapse or be removed. After the restrictions have lapsed, the Participant shall be entitled to have any legend or legends under Section 6.5 removed from his or her Share certificate, and the Shares shall be freely transferable by the Participant, subject to applicable legal restrictions. The Committee (in its discretion) may establish procedures regarding the release of Shares from escrow and the removal of legends, as necessary or appropriate to minimize administrative burdens on the Company.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Grant of Restricted Share Units</w:t>
      </w:r>
      <w:r>
        <w:rPr>
          <w:rFonts w:ascii="Arial" w:cs="Arial" w:eastAsia="Arial" w:hAnsi="Arial"/>
          <w:sz w:val="18"/>
          <w:szCs w:val="18"/>
          <w:color w:val="auto"/>
        </w:rPr>
        <w:t>. The Committee, at any time and from time to time, may grant Restricted Share Units to Participants as the Committee, in its sole discretion, shall determine. The Committee, in its sole discretion, shall determine the number of Restricted Share Units to be granted to each Participant.</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Restricted Share Units Award Agreement</w:t>
      </w:r>
      <w:r>
        <w:rPr>
          <w:rFonts w:ascii="Arial" w:cs="Arial" w:eastAsia="Arial" w:hAnsi="Arial"/>
          <w:sz w:val="18"/>
          <w:szCs w:val="18"/>
          <w:color w:val="auto"/>
        </w:rPr>
        <w:t>. Each Award of Restricted Share Units shall be evidenced by an Award Agreement that shall specify any vesting conditions, the number of Restricted Share Units granted, and such other terms and conditions as the Committee, in its sole discretion, shall determine.</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Form and Timing of Payment of Restricted Share Units</w:t>
      </w:r>
      <w:r>
        <w:rPr>
          <w:rFonts w:ascii="Arial" w:cs="Arial" w:eastAsia="Arial" w:hAnsi="Arial"/>
          <w:sz w:val="18"/>
          <w:szCs w:val="18"/>
          <w:color w:val="auto"/>
        </w:rPr>
        <w:t>. At the time of grant, the Committee shall specify the date or dates on which the Restricted Share Units shall become fully vested and nonforfeitable. Upon vesting, the Committee, in its sole discretion, may pay Restricted Share Units in the form of cash, Shares or a combination thereof.</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Forfeiture/Repurchase</w:t>
      </w:r>
      <w:r>
        <w:rPr>
          <w:rFonts w:ascii="Arial" w:cs="Arial" w:eastAsia="Arial" w:hAnsi="Arial"/>
          <w:sz w:val="16"/>
          <w:szCs w:val="16"/>
          <w:color w:val="auto"/>
        </w:rPr>
        <w:t xml:space="preserve">. Except as otherwise determined by the Committee at the time of the grant of the Award or thereafter, upon termination of employment or service during the applicable restriction period, Restricted Share Units that are at that time unvested shall be forfeited or repurchased in accordance with the Award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the Committee may (a) provide in any Restricted Share Unit Award Agreement that restrictions or forfeiture and repurchase conditions relating to Restricted Share Units will be waived in whole or in part in the event of terminations resulting from specified causes, and (b) in other cases waive in whole or in part restrictions or forfeiture and repurchase conditions relating to Restricted Share Units.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AWARDS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Award Agreement</w:t>
      </w:r>
      <w:r>
        <w:rPr>
          <w:rFonts w:ascii="Arial" w:cs="Arial" w:eastAsia="Arial" w:hAnsi="Arial"/>
          <w:sz w:val="18"/>
          <w:szCs w:val="18"/>
          <w:color w:val="auto"/>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73"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No Transferability; Limited Exception to Transfer Restrictions.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52" w:name="page53"/>
    <w:bookmarkEnd w:id="52"/>
    <w:p>
      <w:pPr>
        <w:ind w:right="6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8.2.1 Limits on Transfer. Unless otherwise expressly provided in (or pursuant to) this Section 8.2, by applicable law and by the Award Agreement, as the same may be amended:</w:t>
      </w:r>
    </w:p>
    <w:p>
      <w:pPr>
        <w:spacing w:after="0" w:line="76" w:lineRule="exact"/>
        <w:rPr>
          <w:sz w:val="20"/>
          <w:szCs w:val="20"/>
          <w:color w:val="auto"/>
        </w:rPr>
      </w:pPr>
    </w:p>
    <w:p>
      <w:pPr>
        <w:ind w:left="1920" w:hanging="440"/>
        <w:spacing w:after="0" w:line="277" w:lineRule="auto"/>
        <w:tabs>
          <w:tab w:leader="none" w:pos="19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Awards are non-transferable and will not be subject in any manner to sale, transfer, anticipation, alienation, assignment, pledge, encumbrance or charge;</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Awards will be exercised only by the Participant; and</w:t>
      </w:r>
    </w:p>
    <w:p>
      <w:pPr>
        <w:spacing w:after="0" w:line="130" w:lineRule="exact"/>
        <w:rPr>
          <w:rFonts w:ascii="Arial" w:cs="Arial" w:eastAsia="Arial" w:hAnsi="Arial"/>
          <w:sz w:val="18"/>
          <w:szCs w:val="18"/>
          <w:color w:val="auto"/>
        </w:rPr>
      </w:pPr>
    </w:p>
    <w:p>
      <w:pPr>
        <w:ind w:left="1920" w:right="440" w:hanging="440"/>
        <w:spacing w:after="0" w:line="277" w:lineRule="auto"/>
        <w:tabs>
          <w:tab w:leader="none" w:pos="19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payable or shares issuable pursuant to an Award will be delivered only to (or for the account of), and, in the case of Shares, registered in the name of, the Participant.</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 addition, the shares shall be subject to the restrictions set forth in the applicable Award Agreement.</w:t>
      </w:r>
    </w:p>
    <w:p>
      <w:pPr>
        <w:spacing w:after="0" w:line="225"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6"/>
          <w:szCs w:val="16"/>
          <w:u w:val="single" w:color="auto"/>
          <w:color w:val="auto"/>
        </w:rPr>
        <w:t>Further Exceptions to Limits on Transfer</w:t>
      </w:r>
      <w:r>
        <w:rPr>
          <w:rFonts w:ascii="Arial" w:cs="Arial" w:eastAsia="Arial" w:hAnsi="Arial"/>
          <w:sz w:val="16"/>
          <w:szCs w:val="16"/>
          <w:color w:val="auto"/>
        </w:rPr>
        <w:t>. The exercise and transfer restrictions in Section 8.2.1 will not apply to:</w:t>
      </w:r>
    </w:p>
    <w:p>
      <w:pPr>
        <w:spacing w:after="0" w:line="131" w:lineRule="exact"/>
        <w:rPr>
          <w:sz w:val="20"/>
          <w:szCs w:val="20"/>
          <w:color w:val="auto"/>
        </w:rPr>
      </w:pPr>
    </w:p>
    <w:p>
      <w:pPr>
        <w:ind w:left="1920" w:hanging="440"/>
        <w:spacing w:after="0"/>
        <w:tabs>
          <w:tab w:leader="none" w:pos="1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transfers to the Company or a Subsidiary;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transfers by gift to “immediate family” as that term is defined in SEC Rule 16a-1(e) promulgated under the Exchange Act;</w:t>
      </w:r>
    </w:p>
    <w:p>
      <w:pPr>
        <w:spacing w:after="0" w:line="142" w:lineRule="exact"/>
        <w:rPr>
          <w:rFonts w:ascii="Arial" w:cs="Arial" w:eastAsia="Arial" w:hAnsi="Arial"/>
          <w:sz w:val="17"/>
          <w:szCs w:val="17"/>
          <w:color w:val="auto"/>
        </w:rPr>
      </w:pPr>
    </w:p>
    <w:p>
      <w:pPr>
        <w:ind w:left="1920" w:right="40" w:hanging="440"/>
        <w:spacing w:after="0" w:line="264" w:lineRule="auto"/>
        <w:tabs>
          <w:tab w:leader="none" w:pos="1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designation of a beneficiary to receive benefits if the Participant dies or, if the Participant has died, transfers to or exercises by the Participant’s beneficiary, or, in the absence of a validly designated beneficiary, transfers by will or the laws of descent and distribution; or</w:t>
      </w:r>
    </w:p>
    <w:p>
      <w:pPr>
        <w:spacing w:after="0" w:line="86" w:lineRule="exact"/>
        <w:rPr>
          <w:rFonts w:ascii="Arial" w:cs="Arial" w:eastAsia="Arial" w:hAnsi="Arial"/>
          <w:sz w:val="18"/>
          <w:szCs w:val="18"/>
          <w:color w:val="auto"/>
        </w:rPr>
      </w:pPr>
    </w:p>
    <w:p>
      <w:pPr>
        <w:ind w:left="1920" w:right="300" w:hanging="440"/>
        <w:spacing w:after="0" w:line="277" w:lineRule="auto"/>
        <w:tabs>
          <w:tab w:leader="none" w:pos="1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Participant has suffered a disability, permitted transfers or exercises on behalf of the Participant by the Participant’s duly authorized legal representative; or</w:t>
      </w:r>
    </w:p>
    <w:p>
      <w:pPr>
        <w:spacing w:after="0" w:line="75" w:lineRule="exact"/>
        <w:rPr>
          <w:rFonts w:ascii="Arial" w:cs="Arial" w:eastAsia="Arial" w:hAnsi="Arial"/>
          <w:sz w:val="18"/>
          <w:szCs w:val="18"/>
          <w:color w:val="auto"/>
        </w:rPr>
      </w:pPr>
    </w:p>
    <w:p>
      <w:pPr>
        <w:ind w:left="1920" w:right="40" w:hanging="440"/>
        <w:spacing w:after="0" w:line="291" w:lineRule="auto"/>
        <w:tabs>
          <w:tab w:leader="none" w:pos="19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subject to the prior approval of the Committee or an executive officer or director of the Company authorized by the Committee, transfer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Committee, pursuant to such conditions and procedures as the Committee or may establish. Any permitted transfer shall be subject to the condition that the Committee receives evidence satisfactory to it that the transfer is being made for estate and/or tax planning purposes and on a basis consistent with the Company’s lawful issue of securities.</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274" w:right="339" w:bottom="1440" w:gutter="0" w:footer="0" w:header="0"/>
        </w:sectPr>
      </w:pPr>
    </w:p>
    <w:bookmarkStart w:id="53" w:name="page54"/>
    <w:bookmarkEnd w:id="53"/>
    <w:p>
      <w:pPr>
        <w:ind w:left="15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else in this Section 8.2.2 to the contrary, but subject to compliance with all Applicable Laws, Incentive Share Options, Restricted Shares and Restricted Share Units will be subject to any and all transfer restrictions under the Code applicable to such Awards or necessary to maintain the intended tax consequences of such Awards. Notwithstanding clause (b) above but subject to compliance with all Applicable Laws, any contemplated transfer by gift to “immediate family” as referenced in clause (b) above is subject to the condition precedent that the transfer be approved by the Administrator in order for it to be effective.</w:t>
      </w:r>
    </w:p>
    <w:p>
      <w:pPr>
        <w:spacing w:after="0" w:line="50" w:lineRule="exact"/>
        <w:rPr>
          <w:sz w:val="20"/>
          <w:szCs w:val="20"/>
          <w:color w:val="auto"/>
        </w:rPr>
      </w:pPr>
    </w:p>
    <w:p>
      <w:pPr>
        <w:ind w:left="240" w:right="40" w:firstLine="671"/>
        <w:spacing w:after="0" w:line="289"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Beneficiaries</w:t>
      </w:r>
      <w:r>
        <w:rPr>
          <w:rFonts w:ascii="Arial" w:cs="Arial" w:eastAsia="Arial" w:hAnsi="Arial"/>
          <w:sz w:val="16"/>
          <w:szCs w:val="16"/>
          <w:color w:val="auto"/>
        </w:rPr>
        <w:t>. Notwithstanding Section 8.2,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59" w:lineRule="exact"/>
        <w:rPr>
          <w:sz w:val="20"/>
          <w:szCs w:val="20"/>
          <w:color w:val="auto"/>
        </w:rPr>
      </w:pPr>
    </w:p>
    <w:p>
      <w:pPr>
        <w:ind w:left="240" w:right="520" w:firstLine="671"/>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Performance Objectives and Other Terms</w:t>
      </w:r>
      <w:r>
        <w:rPr>
          <w:rFonts w:ascii="Arial" w:cs="Arial" w:eastAsia="Arial" w:hAnsi="Arial"/>
          <w:sz w:val="18"/>
          <w:szCs w:val="18"/>
          <w:color w:val="auto"/>
        </w:rPr>
        <w:t>. The Committee, in its discretion, shall set performance objectives or other vesting criteria which, depending on the extent to which they are met, will determine the number or value of the Awards that will be granted or paid out to the Participants.</w:t>
      </w:r>
    </w:p>
    <w:p>
      <w:pPr>
        <w:spacing w:after="0" w:line="289" w:lineRule="exact"/>
        <w:rPr>
          <w:sz w:val="20"/>
          <w:szCs w:val="20"/>
          <w:color w:val="auto"/>
        </w:rPr>
      </w:pPr>
    </w:p>
    <w:p>
      <w:pPr>
        <w:ind w:left="900"/>
        <w:spacing w:after="0"/>
        <w:tabs>
          <w:tab w:leader="none" w:pos="13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Share Certificates</w:t>
      </w:r>
      <w:r>
        <w:rPr>
          <w:rFonts w:ascii="Arial" w:cs="Arial" w:eastAsia="Arial" w:hAnsi="Arial"/>
          <w:sz w:val="16"/>
          <w:szCs w:val="16"/>
          <w:color w:val="auto"/>
        </w:rPr>
        <w:t>.</w:t>
      </w:r>
    </w:p>
    <w:p>
      <w:pPr>
        <w:spacing w:after="0" w:line="117" w:lineRule="exact"/>
        <w:rPr>
          <w:sz w:val="20"/>
          <w:szCs w:val="20"/>
          <w:color w:val="auto"/>
        </w:rPr>
      </w:pPr>
    </w:p>
    <w:p>
      <w:pPr>
        <w:ind w:right="80" w:firstLine="921"/>
        <w:spacing w:after="0" w:line="288" w:lineRule="auto"/>
        <w:tabs>
          <w:tab w:leader="none" w:pos="1293"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shall not be required to issue or deliver any certificates evidencing the Shares pursuant to the exercise of any Award, unless and until the Committee has determined, with advice of counsel, that the issuance and delivery of such certificates is in compliance with all Applicable Laws, regulations of governmental authorities and, if applicable, the requirements of any exchange on which the Shares are listed or traded. All Share certificates delivered pursuant to the Plan are subject to any stop-transfer orders and other restrictions as the Committee deems necessary or advisable to comply with all Applicable Laws, and the rules of any national securities exchange or automated quotation system on which the Shares are listed, quoted, or traded. The Committee may place legends on any Share certificate to reference restrictions applicable to the Shares. In addition to the terms and conditions provided herein, the Committee may require that a Participant make such reasonable covenants, agreements, and representations as the Committee,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54" w:name="page55"/>
    <w:bookmarkEnd w:id="54"/>
    <w:p>
      <w:pPr>
        <w:ind w:left="-40" w:firstLine="921"/>
        <w:spacing w:after="0" w:line="264" w:lineRule="auto"/>
        <w:tabs>
          <w:tab w:leader="none" w:pos="1263"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herein to the contrary, unless otherwise determined by the Committee or required by Applicable Laws, the Company shall not deliver to any Participant certificates evidencing Shares issued in connection with any Award and instead such Shares shall be recorded on the books of the Company or, as applicable, its transfer agent or share plan administrator.</w:t>
      </w:r>
    </w:p>
    <w:p>
      <w:pPr>
        <w:spacing w:after="0" w:line="73" w:lineRule="exact"/>
        <w:rPr>
          <w:sz w:val="20"/>
          <w:szCs w:val="20"/>
          <w:color w:val="auto"/>
        </w:rPr>
      </w:pPr>
    </w:p>
    <w:p>
      <w:pPr>
        <w:ind w:left="200" w:firstLine="671"/>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Paperless Administration</w:t>
      </w:r>
      <w:r>
        <w:rPr>
          <w:rFonts w:ascii="Arial" w:cs="Arial" w:eastAsia="Arial" w:hAnsi="Arial"/>
          <w:sz w:val="18"/>
          <w:szCs w:val="18"/>
          <w:color w:val="auto"/>
        </w:rPr>
        <w:t>. Subject to Applicable Laws, the Committee may make Awards and provide applicable disclosure and procedures for exercise of Awards by an internet website or interactive voice response system for the paperless administration of Awards.</w:t>
      </w:r>
    </w:p>
    <w:p>
      <w:pPr>
        <w:spacing w:after="0" w:line="62" w:lineRule="exact"/>
        <w:rPr>
          <w:sz w:val="20"/>
          <w:szCs w:val="20"/>
          <w:color w:val="auto"/>
        </w:rPr>
      </w:pPr>
    </w:p>
    <w:p>
      <w:pPr>
        <w:ind w:left="200" w:right="60" w:firstLine="671"/>
        <w:spacing w:after="0" w:line="297"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Foreign Currency</w:t>
      </w:r>
      <w:r>
        <w:rPr>
          <w:rFonts w:ascii="Arial" w:cs="Arial" w:eastAsia="Arial" w:hAnsi="Arial"/>
          <w:sz w:val="16"/>
          <w:szCs w:val="16"/>
          <w:color w:val="auto"/>
        </w:rPr>
        <w:t>. A Participant may be required to provide evidence that any currency used to pay the exercise price of any Award was acquired and taken out of the jurisdiction in which the Participant resides in accordance with Applicable Laws, including foreign exchange control laws and regulations. In the event the exercise price for an Award is paid in Chinese Renminbi or other foreign currency, as permitted by the Committee, the amount payable will be determined by conversion from U.S. dollars at the official rate promulgated by the People’s Bank of China for Chinese Renminbi, or for jurisdictions other than the People’s Republic of China, the exchange rate as selected by the Committee on the date of exercise.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CAPITAL STRUCTURE</w:t>
      </w:r>
    </w:p>
    <w:p>
      <w:pPr>
        <w:spacing w:after="0" w:line="229" w:lineRule="exact"/>
        <w:rPr>
          <w:sz w:val="20"/>
          <w:szCs w:val="20"/>
          <w:color w:val="auto"/>
        </w:rPr>
      </w:pPr>
    </w:p>
    <w:p>
      <w:pPr>
        <w:ind w:left="200" w:right="120" w:firstLine="671"/>
        <w:spacing w:after="0" w:line="293"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of any dividend, share split, combination or exchange of Shares, amalgamation, arrangement or consolidation, spin-off, recapitalization or other distribution (other than normal cash dividends) of Company assets to its shareholders, or any other change affecting the shares of Shares or the share price of a Share, the Committee shall make such proportionate adjustments, if any, as the Committee in its discretion may deem appropriate to reflect such change with respect to (a) the aggregate number and type of shares that may be issued under the Plan (including, but not limited to, adjustments of the limitations in Section 3.1); (b) the terms and conditions of any outstanding Awards (including, without limitation, any applicable performance targets or criteria with respect thereto); and (c) the grant or exercise price per share for any outstanding Awards under the Plan.</w:t>
      </w:r>
    </w:p>
    <w:p>
      <w:pPr>
        <w:spacing w:after="0" w:line="57" w:lineRule="exact"/>
        <w:rPr>
          <w:sz w:val="20"/>
          <w:szCs w:val="20"/>
          <w:color w:val="auto"/>
        </w:rPr>
      </w:pPr>
    </w:p>
    <w:p>
      <w:pPr>
        <w:ind w:left="200" w:right="20" w:firstLine="671"/>
        <w:spacing w:after="0" w:line="287"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Corporate Transactions</w:t>
      </w:r>
      <w:r>
        <w:rPr>
          <w:rFonts w:ascii="Arial" w:cs="Arial" w:eastAsia="Arial" w:hAnsi="Arial"/>
          <w:sz w:val="16"/>
          <w:szCs w:val="16"/>
          <w:color w:val="auto"/>
        </w:rPr>
        <w:t>. Except as may otherwise be provided in any Award Agreement or any other written agreement entered into by and between the Company and a Participant, if the Committee anticipates the occurrence, or upon the occurrence, of a Corporate Transaction, the Committee may, in its sole discretion, provide for (i) any and all Awards outstanding hereunder to terminate at a specific time in the future and shall give each Participant the right to exercise the vested portion of such Awards during a period of time as the Committee shall determine, or (ii) the purchase of any Award for an amount of cash equal to the amount that could have been attained upon the exercise of such Award (and, for the avoidance of doubt, if as of such date the Committee determines in good faith that no amount would have been attained upon the exercise of such Award, then such Award may be terminated by the Company without payment), or (iii) the replacement of such Award with other rights or property selected by the Committee in its sole discretion or the assumption of or substitution of such Award by the successor or surviving corporation, or a Parent or Subsidiary thereof, with appropriate adjustments as to the number and kind of Shares and prices, or (iv) payment of such Award in cash based on the value of Shares on the date of the Corporate Transaction plus reasonable interest on the Award through the date as determined by the Committee when such Award would otherwise be vested or have been paid in accordance with its original terms, if necessary to comply with Section 409A of the Code.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80" w:top="274" w:right="279" w:bottom="1440" w:gutter="0" w:footer="0" w:header="0"/>
        </w:sectPr>
      </w:pPr>
    </w:p>
    <w:bookmarkStart w:id="55" w:name="page56"/>
    <w:bookmarkEnd w:id="55"/>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9.3 </w:t>
      </w:r>
      <w:r>
        <w:rPr>
          <w:rFonts w:ascii="Arial" w:cs="Arial" w:eastAsia="Arial" w:hAnsi="Arial"/>
          <w:sz w:val="18"/>
          <w:szCs w:val="18"/>
          <w:u w:val="single" w:color="auto"/>
          <w:color w:val="auto"/>
        </w:rPr>
        <w:t>Outstanding Awards – Other Changes</w:t>
      </w:r>
      <w:r>
        <w:rPr>
          <w:rFonts w:ascii="Arial" w:cs="Arial" w:eastAsia="Arial" w:hAnsi="Arial"/>
          <w:sz w:val="18"/>
          <w:szCs w:val="18"/>
          <w:color w:val="auto"/>
        </w:rPr>
        <w:t>. In the event of any other change in the capitalization of the Company or corporate change other than those specifically referred to in this Article 9, the Committee may, in its absolute discretion, make such adjustments in the number and class of shares subject to Awards outstanding on the date on which such change occurs and in the per share grant or exercise price of each Award as the Committee may consider appropriate to prevent dilution or enlargement of rights.</w:t>
      </w:r>
    </w:p>
    <w:p>
      <w:pPr>
        <w:spacing w:after="0" w:line="7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No Other Rights</w:t>
      </w:r>
      <w:r>
        <w:rPr>
          <w:rFonts w:ascii="Arial" w:cs="Arial" w:eastAsia="Arial" w:hAnsi="Arial"/>
          <w:sz w:val="17"/>
          <w:szCs w:val="17"/>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and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Board or a committee of one or more members of the Board (the “</w:t>
      </w:r>
      <w:r>
        <w:rPr>
          <w:rFonts w:ascii="Arial" w:cs="Arial" w:eastAsia="Arial" w:hAnsi="Arial"/>
          <w:sz w:val="18"/>
          <w:szCs w:val="18"/>
          <w:u w:val="single" w:color="auto"/>
          <w:color w:val="auto"/>
        </w:rPr>
        <w:t>Committee</w:t>
      </w:r>
      <w:r>
        <w:rPr>
          <w:rFonts w:ascii="Arial" w:cs="Arial" w:eastAsia="Arial" w:hAnsi="Arial"/>
          <w:sz w:val="18"/>
          <w:szCs w:val="18"/>
          <w:color w:val="auto"/>
        </w:rPr>
        <w:t>”) to whom the Board shall delegate the authority to grant or amend Awards to Participants other than any of the Committee members, Independent Directors and executive officers of the Company. Reference to the Committee shall refer to the Board in absence of the Committee. Notwithstanding the foregoing, the full Board, acting by majority of its members in office, shall conduct the general administration of the Plan if required by Applicable Laws, and with respect to Awards granted to the Committee members, Independent Directors and executive officers of the Company and for purposes of such Awards, the term “Committee” as used in the Plan shall be deemed to refer to the Board.</w:t>
      </w:r>
    </w:p>
    <w:p>
      <w:pPr>
        <w:spacing w:after="0" w:line="8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Action by the Committee</w:t>
      </w:r>
      <w:r>
        <w:rPr>
          <w:rFonts w:ascii="Arial" w:cs="Arial" w:eastAsia="Arial" w:hAnsi="Arial"/>
          <w:sz w:val="17"/>
          <w:szCs w:val="17"/>
          <w:color w:val="auto"/>
        </w:rPr>
        <w:t>. A majority of the Committee shall constitute a quorum. The acts of a majority of the members present at any meeting at which a quorum is present, and acts approved unanimously in writing by all members of the Committee in lieu of a meeting, shall be deemed the acts of the Committee. Each member of the Committee is entitled to, in good faith, rely or act upon any report or other information furnished to that member by any officer or other employee of a Group Entity, the Company’s independent certified public accountants, or any executive compensation consultant or other professional retained by the Company to assist in the administration of the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56" w:name="page57"/>
    <w:bookmarkEnd w:id="56"/>
    <w:p>
      <w:pPr>
        <w:ind w:left="460"/>
        <w:spacing w:after="0"/>
        <w:tabs>
          <w:tab w:leader="none" w:pos="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10.3</w:t>
      </w:r>
      <w:r>
        <w:rPr>
          <w:sz w:val="20"/>
          <w:szCs w:val="20"/>
          <w:color w:val="auto"/>
        </w:rPr>
        <w:tab/>
      </w:r>
      <w:r>
        <w:rPr>
          <w:rFonts w:ascii="Arial" w:cs="Arial" w:eastAsia="Arial" w:hAnsi="Arial"/>
          <w:sz w:val="16"/>
          <w:szCs w:val="16"/>
          <w:u w:val="single" w:color="auto"/>
          <w:color w:val="auto"/>
        </w:rPr>
        <w:t>Authority of the Committee</w:t>
      </w:r>
      <w:r>
        <w:rPr>
          <w:rFonts w:ascii="Arial" w:cs="Arial" w:eastAsia="Arial" w:hAnsi="Arial"/>
          <w:sz w:val="16"/>
          <w:szCs w:val="16"/>
          <w:color w:val="auto"/>
        </w:rPr>
        <w:t>. Subject to any specific designation in the Plan, the Committee has the exclusive power, authority and discretion to:</w:t>
      </w:r>
    </w:p>
    <w:p>
      <w:pPr>
        <w:spacing w:after="0" w:line="225" w:lineRule="exact"/>
        <w:rPr>
          <w:sz w:val="20"/>
          <w:szCs w:val="20"/>
          <w:color w:val="auto"/>
        </w:rPr>
      </w:pPr>
    </w:p>
    <w:p>
      <w:pPr>
        <w:ind w:left="1300" w:hanging="379"/>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designate Participants to receive Awards;</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300" w:hanging="379"/>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225" w:lineRule="exact"/>
        <w:rPr>
          <w:rFonts w:ascii="Arial" w:cs="Arial" w:eastAsia="Arial" w:hAnsi="Arial"/>
          <w:sz w:val="18"/>
          <w:szCs w:val="18"/>
          <w:color w:val="auto"/>
        </w:rPr>
      </w:pPr>
    </w:p>
    <w:p>
      <w:pPr>
        <w:ind w:right="100" w:firstLine="921"/>
        <w:spacing w:after="0" w:line="259" w:lineRule="auto"/>
        <w:tabs>
          <w:tab w:leader="none" w:pos="1303"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and any provisions related to non-competition and recapture of gain on an Award, based in each case on such considerations as the Committee in its sole discretion determines;</w:t>
      </w:r>
    </w:p>
    <w:p>
      <w:pPr>
        <w:spacing w:after="0" w:line="186" w:lineRule="exact"/>
        <w:rPr>
          <w:rFonts w:ascii="Arial" w:cs="Arial" w:eastAsia="Arial" w:hAnsi="Arial"/>
          <w:sz w:val="18"/>
          <w:szCs w:val="18"/>
          <w:color w:val="auto"/>
        </w:rPr>
      </w:pPr>
    </w:p>
    <w:p>
      <w:pPr>
        <w:ind w:right="140" w:firstLine="921"/>
        <w:spacing w:after="0" w:line="277" w:lineRule="auto"/>
        <w:tabs>
          <w:tab w:leader="none" w:pos="1293"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70" w:lineRule="exact"/>
        <w:rPr>
          <w:rFonts w:ascii="Arial" w:cs="Arial" w:eastAsia="Arial" w:hAnsi="Arial"/>
          <w:sz w:val="18"/>
          <w:szCs w:val="18"/>
          <w:color w:val="auto"/>
        </w:rPr>
      </w:pPr>
    </w:p>
    <w:p>
      <w:pPr>
        <w:ind w:left="1280" w:hanging="359"/>
        <w:spacing w:after="0"/>
        <w:tabs>
          <w:tab w:leader="none" w:pos="1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Participant;</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as it may deem necessary or advisable to administer the Plan;</w:t>
      </w:r>
    </w:p>
    <w:p>
      <w:pPr>
        <w:spacing w:after="0" w:line="225" w:lineRule="exact"/>
        <w:rPr>
          <w:rFonts w:ascii="Arial" w:cs="Arial" w:eastAsia="Arial" w:hAnsi="Arial"/>
          <w:sz w:val="18"/>
          <w:szCs w:val="18"/>
          <w:color w:val="auto"/>
        </w:rPr>
      </w:pPr>
    </w:p>
    <w:p>
      <w:pPr>
        <w:ind w:left="1280" w:hanging="359"/>
        <w:spacing w:after="0"/>
        <w:tabs>
          <w:tab w:leader="none" w:pos="1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or any Award Agreement;</w:t>
      </w:r>
    </w:p>
    <w:p>
      <w:pPr>
        <w:spacing w:after="0" w:line="225" w:lineRule="exact"/>
        <w:rPr>
          <w:rFonts w:ascii="Arial" w:cs="Arial" w:eastAsia="Arial" w:hAnsi="Arial"/>
          <w:sz w:val="18"/>
          <w:szCs w:val="18"/>
          <w:color w:val="auto"/>
        </w:rPr>
      </w:pPr>
    </w:p>
    <w:p>
      <w:pPr>
        <w:ind w:left="1280" w:hanging="359"/>
        <w:spacing w:after="0"/>
        <w:tabs>
          <w:tab w:leader="none" w:pos="1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amend terms and conditions of Award Agreements; and</w:t>
      </w:r>
    </w:p>
    <w:p>
      <w:pPr>
        <w:spacing w:after="0" w:line="225" w:lineRule="exact"/>
        <w:rPr>
          <w:rFonts w:ascii="Arial" w:cs="Arial" w:eastAsia="Arial" w:hAnsi="Arial"/>
          <w:sz w:val="18"/>
          <w:szCs w:val="18"/>
          <w:color w:val="auto"/>
        </w:rPr>
      </w:pPr>
    </w:p>
    <w:p>
      <w:pPr>
        <w:ind w:right="40" w:firstLine="921"/>
        <w:spacing w:after="0" w:line="308" w:lineRule="auto"/>
        <w:tabs>
          <w:tab w:leader="none" w:pos="1303" w:val="left"/>
        </w:tabs>
        <w:numPr>
          <w:ilvl w:val="0"/>
          <w:numId w:val="80"/>
        </w:numPr>
        <w:rPr>
          <w:rFonts w:ascii="Arial" w:cs="Arial" w:eastAsia="Arial" w:hAnsi="Arial"/>
          <w:sz w:val="17"/>
          <w:szCs w:val="17"/>
          <w:color w:val="auto"/>
        </w:rPr>
      </w:pPr>
      <w:r>
        <w:rPr>
          <w:rFonts w:ascii="Arial" w:cs="Arial" w:eastAsia="Arial" w:hAnsi="Arial"/>
          <w:sz w:val="17"/>
          <w:szCs w:val="17"/>
          <w:color w:val="auto"/>
        </w:rPr>
        <w:t>make all other decisions and determinations that may be required pursuant to the Plan or as the Committee deems necessary or advisable to administer the Plan, including design and adopt from time to time new types of Awards that are in compliance with Applicable Laws.</w:t>
      </w:r>
    </w:p>
    <w:p>
      <w:pPr>
        <w:spacing w:after="0" w:line="14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Decisions Binding</w:t>
      </w:r>
      <w:r>
        <w:rPr>
          <w:rFonts w:ascii="Arial" w:cs="Arial" w:eastAsia="Arial" w:hAnsi="Arial"/>
          <w:sz w:val="18"/>
          <w:szCs w:val="18"/>
          <w:color w:val="auto"/>
        </w:rPr>
        <w:t>. The Committee’s interpretation of the Plan, any Awards granted pursuant to the Plan, any Award Agreement and all decisions and determinations by the Committee with respect to the Plan are final, binding, and conclusive on all parties.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57" w:name="page58"/>
    <w:bookmarkEnd w:id="5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EFFECTIVE AND EXPIRATION DATE</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become effective as of the date on which the Board adopts the Plan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 ratified by the shareholders of the Company by written resolutions or at a meeting duly held in accordance with the applicable provisions of the Company’s Memorandum of Association and Articles of Association within 12 months of the Effective Date.</w:t>
      </w:r>
    </w:p>
    <w:p>
      <w:pPr>
        <w:spacing w:after="0" w:line="7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Expiration Date</w:t>
      </w:r>
      <w:r>
        <w:rPr>
          <w:rFonts w:ascii="Arial" w:cs="Arial" w:eastAsia="Arial" w:hAnsi="Arial"/>
          <w:sz w:val="18"/>
          <w:szCs w:val="18"/>
          <w:color w:val="auto"/>
        </w:rPr>
        <w:t>. The Plan will expire on, and no Award may be granted pursuant to the Plan after, the tenth anniversary of the Effective Date. Any Awards that are outstanding on the tenth anniversary of the Effective Date shall remain in force according to the terms of the Plan and the applicable Award Agreement.</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Amendment, Modification, and Termination</w:t>
      </w:r>
      <w:r>
        <w:rPr>
          <w:rFonts w:ascii="Arial" w:cs="Arial" w:eastAsia="Arial" w:hAnsi="Arial"/>
          <w:sz w:val="16"/>
          <w:szCs w:val="16"/>
          <w:color w:val="auto"/>
        </w:rPr>
        <w:t xml:space="preserve">. At any time and from time to time, the Board may terminate, amend or modify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to the extent necessary and desirable to comply with Applicable Laws or stock exchange rules, the Company shall obtain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any Plan amendment in such a manner and to such a degree as required, unless the Company decides to follow home country practice, and</w:t>
      </w:r>
    </w:p>
    <w:p>
      <w:pPr>
        <w:ind w:right="80" w:firstLine="8"/>
        <w:spacing w:after="0" w:line="255" w:lineRule="auto"/>
        <w:tabs>
          <w:tab w:leader="none" w:pos="2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unless the Company decides to follow home country practice, shareholder approval is required for any amendment to the Plan that (i) increases the number of Shares available under the Plan (other than any adjustment as provided by Article 9), or (ii) permits the Committee to extend the term of the Plan or the exercise period for an Option beyond ten years from the date of grant.</w:t>
      </w:r>
    </w:p>
    <w:p>
      <w:pPr>
        <w:spacing w:after="0" w:line="19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Awards Previously Granted</w:t>
      </w:r>
      <w:r>
        <w:rPr>
          <w:rFonts w:ascii="Arial" w:cs="Arial" w:eastAsia="Arial" w:hAnsi="Arial"/>
          <w:sz w:val="16"/>
          <w:szCs w:val="16"/>
          <w:color w:val="auto"/>
        </w:rPr>
        <w:t>. Except with respect to amendments made pursuant to Section 12.1, no termination, amendment, or modification of the Plan shall adversely affect in any material way any Award previously granted pursuant to the Plan without the prior written consent of the Participant.</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Participant, employee, or other person shall have any claim to be granted any Award pursuant to the Plan, and neither the Company nor the Committee is obligated to treat Participants, employees, and other persons uniformly.</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No Shareholders Rights</w:t>
      </w:r>
      <w:r>
        <w:rPr>
          <w:rFonts w:ascii="Arial" w:cs="Arial" w:eastAsia="Arial" w:hAnsi="Arial"/>
          <w:sz w:val="18"/>
          <w:szCs w:val="18"/>
          <w:color w:val="auto"/>
        </w:rPr>
        <w:t>. No Award gives the Participant any of the rights of a shareholder of the Company unless and until Shares are in fact issued to such person in connection with such Award.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270" w:right="339" w:bottom="1440" w:gutter="0" w:footer="0" w:header="0"/>
        </w:sectPr>
      </w:pPr>
    </w:p>
    <w:bookmarkStart w:id="58" w:name="page59"/>
    <w:bookmarkEnd w:id="58"/>
    <w:p>
      <w:pPr>
        <w:ind w:right="40"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13.3 </w:t>
      </w:r>
      <w:r>
        <w:rPr>
          <w:rFonts w:ascii="Arial" w:cs="Arial" w:eastAsia="Arial" w:hAnsi="Arial"/>
          <w:sz w:val="17"/>
          <w:szCs w:val="17"/>
          <w:u w:val="single" w:color="auto"/>
          <w:color w:val="auto"/>
        </w:rPr>
        <w:t>Taxes</w:t>
      </w:r>
      <w:r>
        <w:rPr>
          <w:rFonts w:ascii="Arial" w:cs="Arial" w:eastAsia="Arial" w:hAnsi="Arial"/>
          <w:sz w:val="17"/>
          <w:szCs w:val="17"/>
          <w:color w:val="auto"/>
        </w:rPr>
        <w:t>. No Shares shall be delivered under the Plan to any Participant until such Participant has made arrangements acceptable to the 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Applicable Laws to be withheld with respect to any taxable event concerning a Participant arising as a result of this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any income and payroll tax liabilities applicable to the Participant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the applicable income and payroll tax purposes that are applicable to such supplemental taxable income.</w:t>
      </w:r>
    </w:p>
    <w:p>
      <w:pPr>
        <w:spacing w:after="0" w:line="18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No Right to Employment or Services</w:t>
      </w:r>
      <w:r>
        <w:rPr>
          <w:rFonts w:ascii="Arial" w:cs="Arial" w:eastAsia="Arial" w:hAnsi="Arial"/>
          <w:sz w:val="18"/>
          <w:szCs w:val="18"/>
          <w:color w:val="auto"/>
        </w:rPr>
        <w:t>. Nothing in the Plan or any Award Agreement shall interfere with or limit in any way the right of the Service Recipient to terminate any Participant’s employment or services at any time, nor confer upon any Participant any right to continue in the employment or services of any Service Recipient.</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relevant Group Entity.</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extent allowable pursuant to Applicable Laws,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59" w:name="page60"/>
    <w:bookmarkEnd w:id="59"/>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13.7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pursuant to any pension, retirement, savings, profit sharing, group insurance, welfare or other benefit plan of the any Group Entity except to the extent otherwise expressly provided in writing in such other plan or an agreement thereunder.</w:t>
      </w:r>
    </w:p>
    <w:p>
      <w:pPr>
        <w:spacing w:after="0" w:line="181"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expenses of administering the Plan shall be borne by the Group Entities.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and the Committee shall determine, in its discretion, whether cash shall be given in lieu of fractional Shares or whether such fractional Shares shall be eliminated by rounding up or down as appropriate.</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anything herein to the contrary,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the Applicable Laws, the Plan and Awards granted or awarded hereunder shall be deemed amended to the extent necessary to conform to such applicable exemptive rule.</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u w:val="single" w:color="auto"/>
          <w:color w:val="auto"/>
        </w:rPr>
        <w:t>Government and Other Regulations</w:t>
      </w:r>
      <w:r>
        <w:rPr>
          <w:rFonts w:ascii="Arial" w:cs="Arial" w:eastAsia="Arial" w:hAnsi="Arial"/>
          <w:sz w:val="17"/>
          <w:szCs w:val="17"/>
          <w:color w:val="auto"/>
        </w:rPr>
        <w:t>. The obligation of the Company to make payment of awards in Shares or otherwise shall be subject 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spacing w:after="0" w:line="173" w:lineRule="exact"/>
        <w:rPr>
          <w:sz w:val="20"/>
          <w:szCs w:val="20"/>
          <w:color w:val="auto"/>
        </w:rPr>
      </w:pPr>
    </w:p>
    <w:p>
      <w:pPr>
        <w:jc w:val="center"/>
        <w:ind w:left="260"/>
        <w:spacing w:after="0"/>
        <w:tabs>
          <w:tab w:leader="none" w:pos="16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and all Award Agreements shall be construed in accordance with and governed by the laws of the Cayman Islands.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60" w:name="page61"/>
    <w:bookmarkEnd w:id="60"/>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13.14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Committee determines that any Award granted under the Plan is or may become subject to Section 409A of the Code, the Award Agreement evidencing such Award shall incorporate the terms and conditions required by Section 409A of the Code. To the extent applicable, the Plan and the Award Agreements shall be interpreted in accordance with Section 409A of the Code and the U.S. Department of Treasury regulations and other interpretative guidance issued thereunder, including without limitation any such regulation or other guidance that may be issued after the Effective Date. Notwithstanding any provision of the Plan to the contrary, in the event that following the Effective Date the Committee determines that any Award may be subject to Section 409A of the Code and related Department of Treasury guidance (including such Department of Treasury guidance as may be issued after the Effective Date), the Committee may adopt such amendments to the Plan and the applicable Award agreement or adopt other policies and procedures (including amendments, policies and procedures with retroactive effect), or take any other actions, that the Committee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w:t>
      </w:r>
    </w:p>
    <w:p>
      <w:pPr>
        <w:spacing w:after="0" w:line="16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Appendices</w:t>
      </w:r>
      <w:r>
        <w:rPr>
          <w:rFonts w:ascii="Arial" w:cs="Arial" w:eastAsia="Arial" w:hAnsi="Arial"/>
          <w:sz w:val="18"/>
          <w:szCs w:val="18"/>
          <w:color w:val="auto"/>
        </w:rPr>
        <w:t>. Subject to Section 12.1, the Committee may approve such supplements, amendments or appendices to the Plan as it may consider necessary or appropriate for purposes of compliance with Applicable Laws or otherwise and such supplements, amendments or appendices shall be considered a part of the Plan; provided, however, that no such supplements shall increase the share limitation contained in Section 3.1 of the Plan without the approval of the Board.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Share Incentive Plan</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Under the 2018 Share Incentive Plan of iClick Interactive Asia Group Limited (“iClick”), the maximum aggregate number of Shares which may be issued is 2,398,137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1.</w:t>
            </w:r>
          </w:p>
        </w:tc>
        <w:tc>
          <w:tcPr>
            <w:tcW w:w="2060" w:type="dxa"/>
            <w:vAlign w:val="bottom"/>
          </w:tcPr>
          <w:p>
            <w:pPr>
              <w:ind w:left="200"/>
              <w:spacing w:after="0"/>
              <w:rPr>
                <w:sz w:val="20"/>
                <w:szCs w:val="20"/>
                <w:color w:val="auto"/>
              </w:rPr>
            </w:pPr>
            <w:r>
              <w:rPr>
                <w:rFonts w:ascii="Arial" w:cs="Arial" w:eastAsia="Arial" w:hAnsi="Arial"/>
                <w:sz w:val="18"/>
                <w:szCs w:val="18"/>
                <w:b w:val="1"/>
                <w:bCs w:val="1"/>
                <w:color w:val="auto"/>
              </w:rPr>
              <w:t>Interpretation</w:t>
            </w:r>
          </w:p>
        </w:tc>
        <w:tc>
          <w:tcPr>
            <w:tcW w:w="890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Arial" w:cs="Arial" w:eastAsia="Arial" w:hAnsi="Arial"/>
                <w:sz w:val="18"/>
                <w:szCs w:val="18"/>
                <w:color w:val="auto"/>
              </w:rPr>
              <w:t>Board</w:t>
            </w:r>
          </w:p>
        </w:tc>
        <w:tc>
          <w:tcPr>
            <w:tcW w:w="8900" w:type="dxa"/>
            <w:vAlign w:val="bottom"/>
          </w:tcPr>
          <w:p>
            <w:pPr>
              <w:ind w:left="340"/>
              <w:spacing w:after="0"/>
              <w:rPr>
                <w:sz w:val="20"/>
                <w:szCs w:val="20"/>
                <w:color w:val="auto"/>
              </w:rPr>
            </w:pPr>
            <w:r>
              <w:rPr>
                <w:rFonts w:ascii="Arial" w:cs="Arial" w:eastAsia="Arial" w:hAnsi="Arial"/>
                <w:sz w:val="18"/>
                <w:szCs w:val="18"/>
                <w:color w:val="auto"/>
              </w:rPr>
              <w:t>means the board of directors of the Grantor;</w:t>
            </w:r>
          </w:p>
        </w:tc>
      </w:tr>
      <w:tr>
        <w:trPr>
          <w:trHeight w:val="324"/>
        </w:trPr>
        <w:tc>
          <w:tcPr>
            <w:tcW w:w="34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Arial" w:cs="Arial" w:eastAsia="Arial" w:hAnsi="Arial"/>
                <w:sz w:val="18"/>
                <w:szCs w:val="18"/>
                <w:color w:val="auto"/>
              </w:rPr>
              <w:t>Invitation</w:t>
            </w:r>
          </w:p>
        </w:tc>
        <w:tc>
          <w:tcPr>
            <w:tcW w:w="8900" w:type="dxa"/>
            <w:vAlign w:val="bottom"/>
          </w:tcPr>
          <w:p>
            <w:pPr>
              <w:ind w:left="340"/>
              <w:spacing w:after="0"/>
              <w:rPr>
                <w:sz w:val="20"/>
                <w:szCs w:val="20"/>
                <w:color w:val="auto"/>
              </w:rPr>
            </w:pPr>
            <w:r>
              <w:rPr>
                <w:rFonts w:ascii="Arial" w:cs="Arial" w:eastAsia="Arial" w:hAnsi="Arial"/>
                <w:sz w:val="18"/>
                <w:szCs w:val="18"/>
                <w:color w:val="auto"/>
              </w:rPr>
              <w:t>means the invitation letter by the Board to the Grantee to subscribe for the Option;</w:t>
            </w:r>
          </w:p>
        </w:tc>
      </w:tr>
      <w:tr>
        <w:trPr>
          <w:trHeight w:val="324"/>
        </w:trPr>
        <w:tc>
          <w:tcPr>
            <w:tcW w:w="34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Arial" w:cs="Arial" w:eastAsia="Arial" w:hAnsi="Arial"/>
                <w:sz w:val="18"/>
                <w:szCs w:val="18"/>
                <w:color w:val="auto"/>
              </w:rPr>
              <w:t>Employer</w:t>
            </w:r>
          </w:p>
        </w:tc>
        <w:tc>
          <w:tcPr>
            <w:tcW w:w="8900" w:type="dxa"/>
            <w:vAlign w:val="bottom"/>
          </w:tcPr>
          <w:p>
            <w:pPr>
              <w:ind w:left="340"/>
              <w:spacing w:after="0"/>
              <w:rPr>
                <w:sz w:val="20"/>
                <w:szCs w:val="20"/>
                <w:color w:val="auto"/>
              </w:rPr>
            </w:pPr>
            <w:r>
              <w:rPr>
                <w:rFonts w:ascii="Arial" w:cs="Arial" w:eastAsia="Arial" w:hAnsi="Arial"/>
                <w:sz w:val="18"/>
                <w:szCs w:val="18"/>
                <w:color w:val="auto"/>
              </w:rPr>
              <w:t>means the subsidiary of the Grantor with whom the Grantee is employed by;</w:t>
            </w:r>
          </w:p>
        </w:tc>
      </w:tr>
      <w:tr>
        <w:trPr>
          <w:trHeight w:val="324"/>
        </w:trPr>
        <w:tc>
          <w:tcPr>
            <w:tcW w:w="34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Arial" w:cs="Arial" w:eastAsia="Arial" w:hAnsi="Arial"/>
                <w:sz w:val="18"/>
                <w:szCs w:val="18"/>
                <w:color w:val="auto"/>
              </w:rPr>
              <w:t>Entitlement Date</w:t>
            </w:r>
          </w:p>
        </w:tc>
        <w:tc>
          <w:tcPr>
            <w:tcW w:w="8900" w:type="dxa"/>
            <w:vAlign w:val="bottom"/>
          </w:tcPr>
          <w:p>
            <w:pPr>
              <w:ind w:left="340"/>
              <w:spacing w:after="0"/>
              <w:rPr>
                <w:sz w:val="20"/>
                <w:szCs w:val="20"/>
                <w:color w:val="auto"/>
              </w:rPr>
            </w:pPr>
            <w:r>
              <w:rPr>
                <w:rFonts w:ascii="Arial" w:cs="Arial" w:eastAsia="Arial" w:hAnsi="Arial"/>
                <w:sz w:val="18"/>
                <w:szCs w:val="18"/>
                <w:color w:val="auto"/>
              </w:rPr>
              <w:t>means the Entitlement Date set out in Appendix I of the Invitation;</w:t>
            </w:r>
          </w:p>
        </w:tc>
      </w:tr>
      <w:tr>
        <w:trPr>
          <w:trHeight w:val="310"/>
        </w:trPr>
        <w:tc>
          <w:tcPr>
            <w:tcW w:w="34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Arial" w:cs="Arial" w:eastAsia="Arial" w:hAnsi="Arial"/>
                <w:sz w:val="18"/>
                <w:szCs w:val="18"/>
                <w:color w:val="auto"/>
              </w:rPr>
              <w:t>Exercise Price</w:t>
            </w:r>
          </w:p>
        </w:tc>
        <w:tc>
          <w:tcPr>
            <w:tcW w:w="8900" w:type="dxa"/>
            <w:vAlign w:val="bottom"/>
          </w:tcPr>
          <w:p>
            <w:pPr>
              <w:ind w:left="340"/>
              <w:spacing w:after="0"/>
              <w:rPr>
                <w:sz w:val="20"/>
                <w:szCs w:val="20"/>
                <w:color w:val="auto"/>
              </w:rPr>
            </w:pPr>
            <w:r>
              <w:rPr>
                <w:rFonts w:ascii="Arial" w:cs="Arial" w:eastAsia="Arial" w:hAnsi="Arial"/>
                <w:sz w:val="18"/>
                <w:szCs w:val="18"/>
                <w:color w:val="auto"/>
                <w:w w:val="88"/>
              </w:rPr>
              <w:t>means the price per share payable by the Grantee on exercise of the Option to purchase the Shares set out in paragraph</w:t>
            </w:r>
          </w:p>
        </w:tc>
      </w:tr>
      <w:tr>
        <w:trPr>
          <w:trHeight w:val="230"/>
        </w:trPr>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6;</w:t>
            </w:r>
          </w:p>
        </w:tc>
      </w:tr>
      <w:tr>
        <w:trPr>
          <w:trHeight w:val="310"/>
        </w:trPr>
        <w:tc>
          <w:tcPr>
            <w:tcW w:w="34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Arial" w:cs="Arial" w:eastAsia="Arial" w:hAnsi="Arial"/>
                <w:sz w:val="18"/>
                <w:szCs w:val="18"/>
                <w:color w:val="auto"/>
              </w:rPr>
              <w:t>Grantor</w:t>
            </w:r>
          </w:p>
        </w:tc>
        <w:tc>
          <w:tcPr>
            <w:tcW w:w="8900" w:type="dxa"/>
            <w:vAlign w:val="bottom"/>
          </w:tcPr>
          <w:p>
            <w:pPr>
              <w:ind w:left="340"/>
              <w:spacing w:after="0"/>
              <w:rPr>
                <w:sz w:val="20"/>
                <w:szCs w:val="20"/>
                <w:color w:val="auto"/>
              </w:rPr>
            </w:pPr>
            <w:r>
              <w:rPr>
                <w:rFonts w:ascii="Arial" w:cs="Arial" w:eastAsia="Arial" w:hAnsi="Arial"/>
                <w:sz w:val="18"/>
                <w:szCs w:val="18"/>
                <w:color w:val="auto"/>
                <w:w w:val="91"/>
              </w:rPr>
              <w:t>means iClick Interactive Asia Group Limited, a company incorporated in the Cayman Islands and having its registered</w:t>
            </w:r>
          </w:p>
        </w:tc>
      </w:tr>
      <w:tr>
        <w:trPr>
          <w:trHeight w:val="216"/>
        </w:trPr>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w w:val="94"/>
              </w:rPr>
              <w:t>office at Offshore Incorporations (Cayman) Limited, P.O. Box 31119 Grand Pavilion, Hibiscus Way, 802 West Bay</w:t>
            </w:r>
          </w:p>
        </w:tc>
      </w:tr>
      <w:tr>
        <w:trPr>
          <w:trHeight w:val="216"/>
        </w:trPr>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w w:val="92"/>
              </w:rPr>
              <w:t>Road, Grand Cayman, KY1-1205 Cayman Islands and its correspondence address in Hong Kong at 15/F, Prosperity</w:t>
            </w:r>
          </w:p>
        </w:tc>
      </w:tr>
      <w:tr>
        <w:trPr>
          <w:trHeight w:val="230"/>
        </w:trPr>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Millennia Plaza, 663 King’s Road, Quarry Bay, Hong Kong S.A.R.;</w:t>
            </w:r>
          </w:p>
        </w:tc>
      </w:tr>
      <w:tr>
        <w:trPr>
          <w:trHeight w:val="310"/>
        </w:trPr>
        <w:tc>
          <w:tcPr>
            <w:tcW w:w="34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Arial" w:cs="Arial" w:eastAsia="Arial" w:hAnsi="Arial"/>
                <w:sz w:val="18"/>
                <w:szCs w:val="18"/>
                <w:color w:val="auto"/>
              </w:rPr>
              <w:t>Grantee</w:t>
            </w:r>
          </w:p>
        </w:tc>
        <w:tc>
          <w:tcPr>
            <w:tcW w:w="8900" w:type="dxa"/>
            <w:vAlign w:val="bottom"/>
          </w:tcPr>
          <w:p>
            <w:pPr>
              <w:ind w:left="340"/>
              <w:spacing w:after="0"/>
              <w:rPr>
                <w:sz w:val="20"/>
                <w:szCs w:val="20"/>
                <w:color w:val="auto"/>
              </w:rPr>
            </w:pPr>
            <w:r>
              <w:rPr>
                <w:rFonts w:ascii="Arial" w:cs="Arial" w:eastAsia="Arial" w:hAnsi="Arial"/>
                <w:sz w:val="18"/>
                <w:szCs w:val="18"/>
                <w:color w:val="auto"/>
                <w:w w:val="96"/>
              </w:rPr>
              <w:t>the person named in the Invitation letter sent by the Board to subscribe for an Option, including employees and</w:t>
            </w:r>
          </w:p>
        </w:tc>
      </w:tr>
      <w:tr>
        <w:trPr>
          <w:trHeight w:val="230"/>
        </w:trPr>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directors of iClick, and other individuals, as determined by the Board;</w:t>
            </w:r>
          </w:p>
        </w:tc>
      </w:tr>
      <w:tr>
        <w:trPr>
          <w:trHeight w:val="310"/>
        </w:trPr>
        <w:tc>
          <w:tcPr>
            <w:tcW w:w="34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Arial" w:cs="Arial" w:eastAsia="Arial" w:hAnsi="Arial"/>
                <w:sz w:val="18"/>
                <w:szCs w:val="18"/>
                <w:color w:val="auto"/>
              </w:rPr>
              <w:t>Option</w:t>
            </w:r>
          </w:p>
        </w:tc>
        <w:tc>
          <w:tcPr>
            <w:tcW w:w="8900" w:type="dxa"/>
            <w:vAlign w:val="bottom"/>
          </w:tcPr>
          <w:p>
            <w:pPr>
              <w:ind w:left="340"/>
              <w:spacing w:after="0"/>
              <w:rPr>
                <w:sz w:val="20"/>
                <w:szCs w:val="20"/>
                <w:color w:val="auto"/>
              </w:rPr>
            </w:pPr>
            <w:r>
              <w:rPr>
                <w:rFonts w:ascii="Arial" w:cs="Arial" w:eastAsia="Arial" w:hAnsi="Arial"/>
                <w:sz w:val="18"/>
                <w:szCs w:val="18"/>
                <w:color w:val="auto"/>
                <w:w w:val="90"/>
              </w:rPr>
              <w:t>means the option to purchase Shares upon the price and upon the terms and conditions contained in the Invitation and</w:t>
            </w:r>
          </w:p>
        </w:tc>
      </w:tr>
      <w:tr>
        <w:trPr>
          <w:trHeight w:val="230"/>
        </w:trPr>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the terms and conditions contained herein;</w:t>
            </w:r>
          </w:p>
        </w:tc>
      </w:tr>
      <w:tr>
        <w:trPr>
          <w:trHeight w:val="324"/>
        </w:trPr>
        <w:tc>
          <w:tcPr>
            <w:tcW w:w="34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Arial" w:cs="Arial" w:eastAsia="Arial" w:hAnsi="Arial"/>
                <w:sz w:val="18"/>
                <w:szCs w:val="18"/>
                <w:color w:val="auto"/>
              </w:rPr>
              <w:t>iClick</w:t>
            </w:r>
          </w:p>
        </w:tc>
        <w:tc>
          <w:tcPr>
            <w:tcW w:w="8900" w:type="dxa"/>
            <w:vAlign w:val="bottom"/>
          </w:tcPr>
          <w:p>
            <w:pPr>
              <w:ind w:left="340"/>
              <w:spacing w:after="0"/>
              <w:rPr>
                <w:sz w:val="20"/>
                <w:szCs w:val="20"/>
                <w:color w:val="auto"/>
              </w:rPr>
            </w:pPr>
            <w:r>
              <w:rPr>
                <w:rFonts w:ascii="Arial" w:cs="Arial" w:eastAsia="Arial" w:hAnsi="Arial"/>
                <w:sz w:val="18"/>
                <w:szCs w:val="18"/>
                <w:color w:val="auto"/>
              </w:rPr>
              <w:t>means the Grantor;</w:t>
            </w:r>
          </w:p>
        </w:tc>
      </w:tr>
      <w:tr>
        <w:trPr>
          <w:trHeight w:val="324"/>
        </w:trPr>
        <w:tc>
          <w:tcPr>
            <w:tcW w:w="34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Arial" w:cs="Arial" w:eastAsia="Arial" w:hAnsi="Arial"/>
                <w:sz w:val="18"/>
                <w:szCs w:val="18"/>
                <w:color w:val="auto"/>
              </w:rPr>
              <w:t>Group</w:t>
            </w:r>
          </w:p>
        </w:tc>
        <w:tc>
          <w:tcPr>
            <w:tcW w:w="8900" w:type="dxa"/>
            <w:vAlign w:val="bottom"/>
          </w:tcPr>
          <w:p>
            <w:pPr>
              <w:ind w:left="340"/>
              <w:spacing w:after="0"/>
              <w:rPr>
                <w:sz w:val="20"/>
                <w:szCs w:val="20"/>
                <w:color w:val="auto"/>
              </w:rPr>
            </w:pPr>
            <w:r>
              <w:rPr>
                <w:rFonts w:ascii="Arial" w:cs="Arial" w:eastAsia="Arial" w:hAnsi="Arial"/>
                <w:sz w:val="18"/>
                <w:szCs w:val="18"/>
                <w:color w:val="auto"/>
              </w:rPr>
              <w:t>means the Grantor and its subsidiaries;</w:t>
            </w:r>
          </w:p>
        </w:tc>
      </w:tr>
    </w:tbl>
    <w:p>
      <w:pPr>
        <w:sectPr>
          <w:pgSz w:w="11900" w:h="16838" w:orient="portrait"/>
          <w:cols w:equalWidth="0" w:num="1">
            <w:col w:w="11420"/>
          </w:cols>
          <w:pgMar w:left="240" w:top="121" w:right="239" w:bottom="144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060" w:type="dxa"/>
            <w:vAlign w:val="bottom"/>
          </w:tcPr>
          <w:p>
            <w:pPr>
              <w:ind w:left="700"/>
              <w:spacing w:after="0"/>
              <w:rPr>
                <w:sz w:val="20"/>
                <w:szCs w:val="20"/>
                <w:color w:val="auto"/>
              </w:rPr>
            </w:pPr>
            <w:r>
              <w:rPr>
                <w:rFonts w:ascii="Arial" w:cs="Arial" w:eastAsia="Arial" w:hAnsi="Arial"/>
                <w:sz w:val="18"/>
                <w:szCs w:val="18"/>
                <w:color w:val="auto"/>
              </w:rPr>
              <w:t>Option Exercise</w:t>
            </w:r>
          </w:p>
        </w:tc>
        <w:tc>
          <w:tcPr>
            <w:tcW w:w="6720" w:type="dxa"/>
            <w:vAlign w:val="bottom"/>
          </w:tcPr>
          <w:p>
            <w:pPr>
              <w:ind w:left="200"/>
              <w:spacing w:after="0"/>
              <w:rPr>
                <w:sz w:val="20"/>
                <w:szCs w:val="20"/>
                <w:color w:val="auto"/>
              </w:rPr>
            </w:pPr>
            <w:r>
              <w:rPr>
                <w:rFonts w:ascii="Arial" w:cs="Arial" w:eastAsia="Arial" w:hAnsi="Arial"/>
                <w:sz w:val="18"/>
                <w:szCs w:val="18"/>
                <w:color w:val="auto"/>
              </w:rPr>
              <w:t>means the proforma option exercise notice set out in Schedule I;</w:t>
            </w:r>
          </w:p>
        </w:tc>
      </w:tr>
      <w:tr>
        <w:trPr>
          <w:trHeight w:val="230"/>
        </w:trPr>
        <w:tc>
          <w:tcPr>
            <w:tcW w:w="480" w:type="dxa"/>
            <w:vAlign w:val="bottom"/>
          </w:tcPr>
          <w:p>
            <w:pPr>
              <w:spacing w:after="0"/>
              <w:rPr>
                <w:sz w:val="20"/>
                <w:szCs w:val="20"/>
                <w:color w:val="auto"/>
              </w:rPr>
            </w:pPr>
          </w:p>
        </w:tc>
        <w:tc>
          <w:tcPr>
            <w:tcW w:w="2060" w:type="dxa"/>
            <w:vAlign w:val="bottom"/>
          </w:tcPr>
          <w:p>
            <w:pPr>
              <w:ind w:left="700"/>
              <w:spacing w:after="0"/>
              <w:rPr>
                <w:sz w:val="20"/>
                <w:szCs w:val="20"/>
                <w:color w:val="auto"/>
              </w:rPr>
            </w:pPr>
            <w:r>
              <w:rPr>
                <w:rFonts w:ascii="Arial" w:cs="Arial" w:eastAsia="Arial" w:hAnsi="Arial"/>
                <w:sz w:val="18"/>
                <w:szCs w:val="18"/>
                <w:color w:val="auto"/>
              </w:rPr>
              <w:t>Notice</w:t>
            </w:r>
          </w:p>
        </w:tc>
        <w:tc>
          <w:tcPr>
            <w:tcW w:w="6720" w:type="dxa"/>
            <w:vAlign w:val="bottom"/>
          </w:tcPr>
          <w:p>
            <w:pPr>
              <w:spacing w:after="0"/>
              <w:rPr>
                <w:sz w:val="20"/>
                <w:szCs w:val="20"/>
                <w:color w:val="auto"/>
              </w:rPr>
            </w:pPr>
          </w:p>
        </w:tc>
      </w:tr>
      <w:tr>
        <w:trPr>
          <w:trHeight w:val="324"/>
        </w:trPr>
        <w:tc>
          <w:tcPr>
            <w:tcW w:w="480" w:type="dxa"/>
            <w:vAlign w:val="bottom"/>
          </w:tcPr>
          <w:p>
            <w:pPr>
              <w:spacing w:after="0"/>
              <w:rPr>
                <w:sz w:val="24"/>
                <w:szCs w:val="24"/>
                <w:color w:val="auto"/>
              </w:rPr>
            </w:pPr>
          </w:p>
        </w:tc>
        <w:tc>
          <w:tcPr>
            <w:tcW w:w="2060" w:type="dxa"/>
            <w:vAlign w:val="bottom"/>
          </w:tcPr>
          <w:p>
            <w:pPr>
              <w:ind w:left="700"/>
              <w:spacing w:after="0"/>
              <w:rPr>
                <w:sz w:val="20"/>
                <w:szCs w:val="20"/>
                <w:color w:val="auto"/>
              </w:rPr>
            </w:pPr>
            <w:r>
              <w:rPr>
                <w:rFonts w:ascii="Arial" w:cs="Arial" w:eastAsia="Arial" w:hAnsi="Arial"/>
                <w:sz w:val="18"/>
                <w:szCs w:val="18"/>
                <w:color w:val="auto"/>
              </w:rPr>
              <w:t>Shares</w:t>
            </w:r>
          </w:p>
        </w:tc>
        <w:tc>
          <w:tcPr>
            <w:tcW w:w="6720" w:type="dxa"/>
            <w:vAlign w:val="bottom"/>
          </w:tcPr>
          <w:p>
            <w:pPr>
              <w:ind w:left="200"/>
              <w:spacing w:after="0"/>
              <w:rPr>
                <w:sz w:val="20"/>
                <w:szCs w:val="20"/>
                <w:color w:val="auto"/>
              </w:rPr>
            </w:pPr>
            <w:r>
              <w:rPr>
                <w:rFonts w:ascii="Arial" w:cs="Arial" w:eastAsia="Arial" w:hAnsi="Arial"/>
                <w:sz w:val="18"/>
                <w:szCs w:val="18"/>
                <w:color w:val="auto"/>
                <w:w w:val="96"/>
              </w:rPr>
              <w:t>means Class A ordinary shares of US$0.001 each in the share capital of the Grantor.</w:t>
            </w:r>
          </w:p>
        </w:tc>
      </w:tr>
      <w:tr>
        <w:trPr>
          <w:trHeight w:val="324"/>
        </w:trPr>
        <w:tc>
          <w:tcPr>
            <w:tcW w:w="48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2.</w:t>
            </w:r>
          </w:p>
        </w:tc>
        <w:tc>
          <w:tcPr>
            <w:tcW w:w="2060" w:type="dxa"/>
            <w:vAlign w:val="bottom"/>
          </w:tcPr>
          <w:p>
            <w:pPr>
              <w:ind w:left="340"/>
              <w:spacing w:after="0"/>
              <w:rPr>
                <w:sz w:val="20"/>
                <w:szCs w:val="20"/>
                <w:color w:val="auto"/>
              </w:rPr>
            </w:pPr>
            <w:r>
              <w:rPr>
                <w:rFonts w:ascii="Arial" w:cs="Arial" w:eastAsia="Arial" w:hAnsi="Arial"/>
                <w:sz w:val="18"/>
                <w:szCs w:val="18"/>
                <w:b w:val="1"/>
                <w:bCs w:val="1"/>
                <w:color w:val="auto"/>
              </w:rPr>
              <w:t>Grant of Option</w:t>
            </w:r>
          </w:p>
        </w:tc>
        <w:tc>
          <w:tcPr>
            <w:tcW w:w="6720" w:type="dxa"/>
            <w:vAlign w:val="bottom"/>
          </w:tcPr>
          <w:p>
            <w:pPr>
              <w:ind w:left="200"/>
              <w:spacing w:after="0"/>
              <w:rPr>
                <w:sz w:val="20"/>
                <w:szCs w:val="20"/>
                <w:color w:val="auto"/>
              </w:rPr>
            </w:pPr>
            <w:r>
              <w:rPr>
                <w:rFonts w:ascii="Arial" w:cs="Arial" w:eastAsia="Arial" w:hAnsi="Arial"/>
                <w:sz w:val="18"/>
                <w:szCs w:val="18"/>
                <w:color w:val="auto"/>
                <w:w w:val="89"/>
              </w:rPr>
              <w:t>Upon acceptance of the Invitation by the Grantee, the Grantee shall be granted the Option.</w:t>
            </w:r>
          </w:p>
        </w:tc>
      </w:tr>
      <w:tr>
        <w:trPr>
          <w:trHeight w:val="324"/>
        </w:trPr>
        <w:tc>
          <w:tcPr>
            <w:tcW w:w="48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3.</w:t>
            </w:r>
          </w:p>
        </w:tc>
        <w:tc>
          <w:tcPr>
            <w:tcW w:w="2060" w:type="dxa"/>
            <w:vAlign w:val="bottom"/>
          </w:tcPr>
          <w:p>
            <w:pPr>
              <w:ind w:left="340"/>
              <w:spacing w:after="0"/>
              <w:rPr>
                <w:sz w:val="20"/>
                <w:szCs w:val="20"/>
                <w:color w:val="auto"/>
              </w:rPr>
            </w:pPr>
            <w:r>
              <w:rPr>
                <w:rFonts w:ascii="Arial" w:cs="Arial" w:eastAsia="Arial" w:hAnsi="Arial"/>
                <w:sz w:val="18"/>
                <w:szCs w:val="18"/>
                <w:b w:val="1"/>
                <w:bCs w:val="1"/>
                <w:color w:val="auto"/>
              </w:rPr>
              <w:t>Exercise Period</w:t>
            </w:r>
          </w:p>
        </w:tc>
        <w:tc>
          <w:tcPr>
            <w:tcW w:w="6720" w:type="dxa"/>
            <w:vAlign w:val="bottom"/>
          </w:tcPr>
          <w:p>
            <w:pPr>
              <w:ind w:left="200"/>
              <w:spacing w:after="0"/>
              <w:rPr>
                <w:sz w:val="20"/>
                <w:szCs w:val="20"/>
                <w:color w:val="auto"/>
              </w:rPr>
            </w:pPr>
            <w:r>
              <w:rPr>
                <w:rFonts w:ascii="Arial" w:cs="Arial" w:eastAsia="Arial" w:hAnsi="Arial"/>
                <w:sz w:val="18"/>
                <w:szCs w:val="18"/>
                <w:color w:val="auto"/>
                <w:w w:val="95"/>
              </w:rPr>
              <w:t>The Option may be exercised during the Period set out in Appendix I of the Invitation.</w:t>
            </w:r>
          </w:p>
        </w:tc>
      </w:tr>
    </w:tbl>
    <w:p>
      <w:pPr>
        <w:spacing w:after="0" w:line="90" w:lineRule="exact"/>
        <w:rPr>
          <w:sz w:val="20"/>
          <w:szCs w:val="20"/>
          <w:color w:val="auto"/>
        </w:rPr>
      </w:pPr>
    </w:p>
    <w:p>
      <w:pPr>
        <w:ind w:left="2740" w:right="340" w:hanging="2732"/>
        <w:spacing w:after="0" w:line="277" w:lineRule="auto"/>
        <w:tabs>
          <w:tab w:leader="none" w:pos="809"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w:t>
      </w:r>
      <w:r>
        <w:rPr>
          <w:rFonts w:ascii="Arial" w:cs="Arial" w:eastAsia="Arial" w:hAnsi="Arial"/>
          <w:sz w:val="18"/>
          <w:szCs w:val="18"/>
          <w:color w:val="auto"/>
        </w:rPr>
        <w:t>The Grantee may exercise the Option either in full or in part during the Exercise Period upon delivery of the Option Exercise Notice and payment of the Exercise Price.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5.</w:t>
            </w:r>
          </w:p>
        </w:tc>
        <w:tc>
          <w:tcPr>
            <w:tcW w:w="2080" w:type="dxa"/>
            <w:vAlign w:val="bottom"/>
          </w:tcPr>
          <w:p>
            <w:pPr>
              <w:ind w:left="340"/>
              <w:spacing w:after="0"/>
              <w:rPr>
                <w:sz w:val="20"/>
                <w:szCs w:val="20"/>
                <w:color w:val="auto"/>
              </w:rPr>
            </w:pPr>
            <w:r>
              <w:rPr>
                <w:rFonts w:ascii="Arial" w:cs="Arial" w:eastAsia="Arial" w:hAnsi="Arial"/>
                <w:sz w:val="18"/>
                <w:szCs w:val="18"/>
                <w:b w:val="1"/>
                <w:bCs w:val="1"/>
                <w:color w:val="auto"/>
                <w:w w:val="98"/>
              </w:rPr>
              <w:t>Allocation of Shares</w:t>
            </w:r>
          </w:p>
        </w:tc>
        <w:tc>
          <w:tcPr>
            <w:tcW w:w="8860" w:type="dxa"/>
            <w:vAlign w:val="bottom"/>
          </w:tcPr>
          <w:p>
            <w:pPr>
              <w:ind w:left="180"/>
              <w:spacing w:after="0"/>
              <w:rPr>
                <w:sz w:val="20"/>
                <w:szCs w:val="20"/>
                <w:color w:val="auto"/>
              </w:rPr>
            </w:pPr>
            <w:r>
              <w:rPr>
                <w:rFonts w:ascii="Arial" w:cs="Arial" w:eastAsia="Arial" w:hAnsi="Arial"/>
                <w:sz w:val="18"/>
                <w:szCs w:val="18"/>
                <w:color w:val="auto"/>
              </w:rPr>
              <w:t>a)   the Grantee shall be granted the number of Share set out in Appendix I of the Invitation to him/her.</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2080" w:type="dxa"/>
            <w:vAlign w:val="bottom"/>
          </w:tcPr>
          <w:p>
            <w:pPr>
              <w:ind w:left="340"/>
              <w:spacing w:after="0"/>
              <w:rPr>
                <w:sz w:val="20"/>
                <w:szCs w:val="20"/>
                <w:color w:val="auto"/>
              </w:rPr>
            </w:pPr>
            <w:r>
              <w:rPr>
                <w:rFonts w:ascii="Arial" w:cs="Arial" w:eastAsia="Arial" w:hAnsi="Arial"/>
                <w:sz w:val="18"/>
                <w:szCs w:val="18"/>
                <w:b w:val="1"/>
                <w:bCs w:val="1"/>
                <w:color w:val="auto"/>
              </w:rPr>
              <w:t>in the Grantor</w:t>
            </w:r>
          </w:p>
        </w:tc>
        <w:tc>
          <w:tcPr>
            <w:tcW w:w="8860" w:type="dxa"/>
            <w:vAlign w:val="bottom"/>
            <w:vMerge w:val="restart"/>
          </w:tcPr>
          <w:p>
            <w:pPr>
              <w:ind w:left="180"/>
              <w:spacing w:after="0"/>
              <w:rPr>
                <w:sz w:val="20"/>
                <w:szCs w:val="20"/>
                <w:color w:val="auto"/>
              </w:rPr>
            </w:pPr>
            <w:r>
              <w:rPr>
                <w:rFonts w:ascii="Arial" w:cs="Arial" w:eastAsia="Arial" w:hAnsi="Arial"/>
                <w:sz w:val="18"/>
                <w:szCs w:val="18"/>
                <w:color w:val="auto"/>
                <w:w w:val="92"/>
              </w:rPr>
              <w:t>b)  the total of shares under the Option which may be offered to a Grantee shall be at the sole and absolute discretion</w:t>
            </w:r>
          </w:p>
        </w:tc>
        <w:tc>
          <w:tcPr>
            <w:tcW w:w="0" w:type="dxa"/>
            <w:vAlign w:val="bottom"/>
          </w:tcPr>
          <w:p>
            <w:pPr>
              <w:spacing w:after="0"/>
              <w:rPr>
                <w:sz w:val="1"/>
                <w:szCs w:val="1"/>
                <w:color w:val="auto"/>
              </w:rPr>
            </w:pPr>
          </w:p>
        </w:tc>
      </w:tr>
      <w:tr>
        <w:trPr>
          <w:trHeight w:val="107"/>
        </w:trPr>
        <w:tc>
          <w:tcPr>
            <w:tcW w:w="4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860" w:type="dxa"/>
            <w:vAlign w:val="bottom"/>
          </w:tcPr>
          <w:p>
            <w:pPr>
              <w:ind w:left="540"/>
              <w:spacing w:after="0"/>
              <w:rPr>
                <w:sz w:val="20"/>
                <w:szCs w:val="20"/>
                <w:color w:val="auto"/>
              </w:rPr>
            </w:pPr>
            <w:r>
              <w:rPr>
                <w:rFonts w:ascii="Arial" w:cs="Arial" w:eastAsia="Arial" w:hAnsi="Arial"/>
                <w:sz w:val="18"/>
                <w:szCs w:val="18"/>
                <w:color w:val="auto"/>
              </w:rPr>
              <w:t>of the Board.</w:t>
            </w:r>
          </w:p>
        </w:tc>
        <w:tc>
          <w:tcPr>
            <w:tcW w:w="0" w:type="dxa"/>
            <w:vAlign w:val="bottom"/>
          </w:tcPr>
          <w:p>
            <w:pPr>
              <w:spacing w:after="0"/>
              <w:rPr>
                <w:sz w:val="1"/>
                <w:szCs w:val="1"/>
                <w:color w:val="auto"/>
              </w:rPr>
            </w:pPr>
          </w:p>
        </w:tc>
      </w:tr>
      <w:tr>
        <w:trPr>
          <w:trHeight w:val="323"/>
        </w:trPr>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860" w:type="dxa"/>
            <w:vAlign w:val="bottom"/>
          </w:tcPr>
          <w:p>
            <w:pPr>
              <w:ind w:left="180"/>
              <w:spacing w:after="0"/>
              <w:rPr>
                <w:sz w:val="20"/>
                <w:szCs w:val="20"/>
                <w:color w:val="auto"/>
              </w:rPr>
            </w:pPr>
            <w:r>
              <w:rPr>
                <w:rFonts w:ascii="Arial" w:cs="Arial" w:eastAsia="Arial" w:hAnsi="Arial"/>
                <w:sz w:val="18"/>
                <w:szCs w:val="18"/>
                <w:color w:val="auto"/>
                <w:w w:val="92"/>
              </w:rPr>
              <w:t>c)   subject to discretion of the Grantor, the Option shall automatically lapse and be null and void in the event of death</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60" w:type="dxa"/>
            <w:vAlign w:val="bottom"/>
          </w:tcPr>
          <w:p>
            <w:pPr>
              <w:ind w:left="540"/>
              <w:spacing w:after="0"/>
              <w:rPr>
                <w:sz w:val="20"/>
                <w:szCs w:val="20"/>
                <w:color w:val="auto"/>
              </w:rPr>
            </w:pPr>
            <w:r>
              <w:rPr>
                <w:rFonts w:ascii="Arial" w:cs="Arial" w:eastAsia="Arial" w:hAnsi="Arial"/>
                <w:sz w:val="18"/>
                <w:szCs w:val="18"/>
                <w:color w:val="auto"/>
                <w:w w:val="89"/>
              </w:rPr>
              <w:t>of the Grantee prior to the Grantee having exercised the Option, or in the event the Grantee ceasing to be employed</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860" w:type="dxa"/>
            <w:vAlign w:val="bottom"/>
          </w:tcPr>
          <w:p>
            <w:pPr>
              <w:ind w:left="540"/>
              <w:spacing w:after="0"/>
              <w:rPr>
                <w:sz w:val="20"/>
                <w:szCs w:val="20"/>
                <w:color w:val="auto"/>
              </w:rPr>
            </w:pPr>
            <w:r>
              <w:rPr>
                <w:rFonts w:ascii="Arial" w:cs="Arial" w:eastAsia="Arial" w:hAnsi="Arial"/>
                <w:sz w:val="18"/>
                <w:szCs w:val="18"/>
                <w:color w:val="auto"/>
              </w:rPr>
              <w:t>by the Employer for any reason whatsoever prior to the Grantee having exercised the Option.</w:t>
            </w:r>
          </w:p>
        </w:tc>
        <w:tc>
          <w:tcPr>
            <w:tcW w:w="0" w:type="dxa"/>
            <w:vAlign w:val="bottom"/>
          </w:tcPr>
          <w:p>
            <w:pPr>
              <w:spacing w:after="0"/>
              <w:rPr>
                <w:sz w:val="1"/>
                <w:szCs w:val="1"/>
                <w:color w:val="auto"/>
              </w:rPr>
            </w:pPr>
          </w:p>
        </w:tc>
      </w:tr>
      <w:tr>
        <w:trPr>
          <w:trHeight w:val="319"/>
        </w:trPr>
        <w:tc>
          <w:tcPr>
            <w:tcW w:w="48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6.</w:t>
            </w:r>
          </w:p>
        </w:tc>
        <w:tc>
          <w:tcPr>
            <w:tcW w:w="2080" w:type="dxa"/>
            <w:vAlign w:val="bottom"/>
          </w:tcPr>
          <w:p>
            <w:pPr>
              <w:ind w:left="340"/>
              <w:spacing w:after="0"/>
              <w:rPr>
                <w:sz w:val="20"/>
                <w:szCs w:val="20"/>
                <w:color w:val="auto"/>
              </w:rPr>
            </w:pPr>
            <w:r>
              <w:rPr>
                <w:rFonts w:ascii="Arial" w:cs="Arial" w:eastAsia="Arial" w:hAnsi="Arial"/>
                <w:sz w:val="18"/>
                <w:szCs w:val="18"/>
                <w:b w:val="1"/>
                <w:bCs w:val="1"/>
                <w:color w:val="auto"/>
              </w:rPr>
              <w:t>Eligibility and</w:t>
            </w:r>
          </w:p>
        </w:tc>
        <w:tc>
          <w:tcPr>
            <w:tcW w:w="8860" w:type="dxa"/>
            <w:vAlign w:val="bottom"/>
          </w:tcPr>
          <w:p>
            <w:pPr>
              <w:ind w:left="180"/>
              <w:spacing w:after="0"/>
              <w:rPr>
                <w:sz w:val="20"/>
                <w:szCs w:val="20"/>
                <w:color w:val="auto"/>
              </w:rPr>
            </w:pPr>
            <w:r>
              <w:rPr>
                <w:rFonts w:ascii="Arial" w:cs="Arial" w:eastAsia="Arial" w:hAnsi="Arial"/>
                <w:sz w:val="18"/>
                <w:szCs w:val="18"/>
                <w:color w:val="auto"/>
                <w:w w:val="91"/>
              </w:rPr>
              <w:t>This Option is granted to the Grantee in consideration of the Grantee’s devotion to his/her Employer and exercise of the</w:t>
            </w: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2080" w:type="dxa"/>
            <w:vAlign w:val="bottom"/>
          </w:tcPr>
          <w:p>
            <w:pPr>
              <w:ind w:left="340"/>
              <w:spacing w:after="0"/>
              <w:rPr>
                <w:sz w:val="20"/>
                <w:szCs w:val="20"/>
                <w:color w:val="auto"/>
              </w:rPr>
            </w:pPr>
            <w:r>
              <w:rPr>
                <w:rFonts w:ascii="Arial" w:cs="Arial" w:eastAsia="Arial" w:hAnsi="Arial"/>
                <w:sz w:val="18"/>
                <w:szCs w:val="18"/>
                <w:b w:val="1"/>
                <w:bCs w:val="1"/>
                <w:color w:val="auto"/>
              </w:rPr>
              <w:t>Exercise Price</w:t>
            </w:r>
          </w:p>
        </w:tc>
        <w:tc>
          <w:tcPr>
            <w:tcW w:w="8860" w:type="dxa"/>
            <w:vAlign w:val="bottom"/>
          </w:tcPr>
          <w:p>
            <w:pPr>
              <w:ind w:left="180"/>
              <w:spacing w:after="0"/>
              <w:rPr>
                <w:sz w:val="20"/>
                <w:szCs w:val="20"/>
                <w:color w:val="auto"/>
              </w:rPr>
            </w:pPr>
            <w:r>
              <w:rPr>
                <w:rFonts w:ascii="Arial" w:cs="Arial" w:eastAsia="Arial" w:hAnsi="Arial"/>
                <w:sz w:val="18"/>
                <w:szCs w:val="18"/>
                <w:color w:val="auto"/>
                <w:w w:val="93"/>
              </w:rPr>
              <w:t>Option is subject to the Grantee continuing to be employed by the Employer and providing their services in a devoted</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860" w:type="dxa"/>
            <w:vAlign w:val="bottom"/>
          </w:tcPr>
          <w:p>
            <w:pPr>
              <w:ind w:left="180"/>
              <w:spacing w:after="0"/>
              <w:rPr>
                <w:sz w:val="20"/>
                <w:szCs w:val="20"/>
                <w:color w:val="auto"/>
              </w:rPr>
            </w:pPr>
            <w:r>
              <w:rPr>
                <w:rFonts w:ascii="Arial" w:cs="Arial" w:eastAsia="Arial" w:hAnsi="Arial"/>
                <w:sz w:val="18"/>
                <w:szCs w:val="18"/>
                <w:color w:val="auto"/>
              </w:rPr>
              <w:t>manner.</w:t>
            </w:r>
          </w:p>
        </w:tc>
        <w:tc>
          <w:tcPr>
            <w:tcW w:w="0" w:type="dxa"/>
            <w:vAlign w:val="bottom"/>
          </w:tcPr>
          <w:p>
            <w:pPr>
              <w:spacing w:after="0"/>
              <w:rPr>
                <w:sz w:val="1"/>
                <w:szCs w:val="1"/>
                <w:color w:val="auto"/>
              </w:rPr>
            </w:pPr>
          </w:p>
        </w:tc>
      </w:tr>
      <w:tr>
        <w:trPr>
          <w:trHeight w:val="338"/>
        </w:trPr>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860" w:type="dxa"/>
            <w:vAlign w:val="bottom"/>
          </w:tcPr>
          <w:p>
            <w:pPr>
              <w:ind w:left="180"/>
              <w:spacing w:after="0"/>
              <w:rPr>
                <w:sz w:val="20"/>
                <w:szCs w:val="20"/>
                <w:color w:val="auto"/>
              </w:rPr>
            </w:pPr>
            <w:r>
              <w:rPr>
                <w:rFonts w:ascii="Arial" w:cs="Arial" w:eastAsia="Arial" w:hAnsi="Arial"/>
                <w:sz w:val="18"/>
                <w:szCs w:val="18"/>
                <w:color w:val="auto"/>
              </w:rPr>
              <w:t>The Exercise Price shall be the price set out in Appendix I of the Invitation.</w:t>
            </w:r>
          </w:p>
        </w:tc>
        <w:tc>
          <w:tcPr>
            <w:tcW w:w="0" w:type="dxa"/>
            <w:vAlign w:val="bottom"/>
          </w:tcPr>
          <w:p>
            <w:pPr>
              <w:spacing w:after="0"/>
              <w:rPr>
                <w:sz w:val="1"/>
                <w:szCs w:val="1"/>
                <w:color w:val="auto"/>
              </w:rPr>
            </w:pPr>
          </w:p>
        </w:tc>
      </w:tr>
      <w:tr>
        <w:trPr>
          <w:trHeight w:val="319"/>
        </w:trPr>
        <w:tc>
          <w:tcPr>
            <w:tcW w:w="48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7.</w:t>
            </w:r>
          </w:p>
        </w:tc>
        <w:tc>
          <w:tcPr>
            <w:tcW w:w="2080" w:type="dxa"/>
            <w:vAlign w:val="bottom"/>
          </w:tcPr>
          <w:p>
            <w:pPr>
              <w:ind w:left="340"/>
              <w:spacing w:after="0"/>
              <w:rPr>
                <w:sz w:val="20"/>
                <w:szCs w:val="20"/>
                <w:color w:val="auto"/>
              </w:rPr>
            </w:pPr>
            <w:r>
              <w:rPr>
                <w:rFonts w:ascii="Arial" w:cs="Arial" w:eastAsia="Arial" w:hAnsi="Arial"/>
                <w:sz w:val="18"/>
                <w:szCs w:val="18"/>
                <w:b w:val="1"/>
                <w:bCs w:val="1"/>
                <w:color w:val="auto"/>
              </w:rPr>
              <w:t>Incorporation of</w:t>
            </w:r>
          </w:p>
        </w:tc>
        <w:tc>
          <w:tcPr>
            <w:tcW w:w="8860" w:type="dxa"/>
            <w:vAlign w:val="bottom"/>
          </w:tcPr>
          <w:p>
            <w:pPr>
              <w:ind w:left="180"/>
              <w:spacing w:after="0"/>
              <w:rPr>
                <w:sz w:val="20"/>
                <w:szCs w:val="20"/>
                <w:color w:val="auto"/>
              </w:rPr>
            </w:pPr>
            <w:r>
              <w:rPr>
                <w:rFonts w:ascii="Arial" w:cs="Arial" w:eastAsia="Arial" w:hAnsi="Arial"/>
                <w:sz w:val="18"/>
                <w:szCs w:val="18"/>
                <w:color w:val="auto"/>
                <w:w w:val="93"/>
              </w:rPr>
              <w:t>The terms and conditions contained in the Invitation together with the Appendices shall be incorporated into and form</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2080" w:type="dxa"/>
            <w:vAlign w:val="bottom"/>
          </w:tcPr>
          <w:p>
            <w:pPr>
              <w:ind w:left="340"/>
              <w:spacing w:after="0"/>
              <w:rPr>
                <w:sz w:val="20"/>
                <w:szCs w:val="20"/>
                <w:color w:val="auto"/>
              </w:rPr>
            </w:pPr>
            <w:r>
              <w:rPr>
                <w:rFonts w:ascii="Arial" w:cs="Arial" w:eastAsia="Arial" w:hAnsi="Arial"/>
                <w:sz w:val="18"/>
                <w:szCs w:val="18"/>
                <w:b w:val="1"/>
                <w:bCs w:val="1"/>
                <w:color w:val="auto"/>
              </w:rPr>
              <w:t>Invitation</w:t>
            </w:r>
          </w:p>
        </w:tc>
        <w:tc>
          <w:tcPr>
            <w:tcW w:w="8860" w:type="dxa"/>
            <w:vAlign w:val="bottom"/>
          </w:tcPr>
          <w:p>
            <w:pPr>
              <w:ind w:left="180"/>
              <w:spacing w:after="0"/>
              <w:rPr>
                <w:sz w:val="20"/>
                <w:szCs w:val="20"/>
                <w:color w:val="auto"/>
              </w:rPr>
            </w:pPr>
            <w:r>
              <w:rPr>
                <w:rFonts w:ascii="Arial" w:cs="Arial" w:eastAsia="Arial" w:hAnsi="Arial"/>
                <w:sz w:val="18"/>
                <w:szCs w:val="18"/>
                <w:color w:val="auto"/>
              </w:rPr>
              <w:t>part of the terms and conditions herein contained upon which the Option is granted to the Grantee.</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Invitation and these terms and conditions shall be viewed as one single document.</w:t>
      </w:r>
    </w:p>
    <w:p>
      <w:pPr>
        <w:sectPr>
          <w:pgSz w:w="11900" w:h="16838" w:orient="portrait"/>
          <w:cols w:equalWidth="0" w:num="1">
            <w:col w:w="11420"/>
          </w:cols>
          <w:pgMar w:left="240" w:top="274"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0"/>
        </w:trPr>
        <w:tc>
          <w:tcPr>
            <w:tcW w:w="48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8.</w:t>
            </w:r>
          </w:p>
        </w:tc>
        <w:tc>
          <w:tcPr>
            <w:tcW w:w="2080" w:type="dxa"/>
            <w:vAlign w:val="bottom"/>
          </w:tcPr>
          <w:p>
            <w:pPr>
              <w:ind w:left="340"/>
              <w:spacing w:after="0"/>
              <w:rPr>
                <w:sz w:val="20"/>
                <w:szCs w:val="20"/>
                <w:color w:val="auto"/>
              </w:rPr>
            </w:pPr>
            <w:r>
              <w:rPr>
                <w:rFonts w:ascii="Arial" w:cs="Arial" w:eastAsia="Arial" w:hAnsi="Arial"/>
                <w:sz w:val="18"/>
                <w:szCs w:val="18"/>
                <w:b w:val="1"/>
                <w:bCs w:val="1"/>
                <w:color w:val="auto"/>
              </w:rPr>
              <w:t>Non-Transferability</w:t>
            </w:r>
          </w:p>
        </w:tc>
        <w:tc>
          <w:tcPr>
            <w:tcW w:w="8700" w:type="dxa"/>
            <w:vAlign w:val="bottom"/>
          </w:tcPr>
          <w:p>
            <w:pPr>
              <w:ind w:left="180"/>
              <w:spacing w:after="0"/>
              <w:rPr>
                <w:sz w:val="20"/>
                <w:szCs w:val="20"/>
                <w:color w:val="auto"/>
              </w:rPr>
            </w:pPr>
            <w:r>
              <w:rPr>
                <w:rFonts w:ascii="Arial" w:cs="Arial" w:eastAsia="Arial" w:hAnsi="Arial"/>
                <w:sz w:val="18"/>
                <w:szCs w:val="18"/>
                <w:color w:val="auto"/>
                <w:w w:val="93"/>
              </w:rPr>
              <w:t>a)   This Option is personal to the Grantee and is exercisable only by the Grantee personally during his/her lifetime</w:t>
            </w:r>
          </w:p>
        </w:tc>
      </w:tr>
      <w:tr>
        <w:trPr>
          <w:trHeight w:val="230"/>
        </w:trPr>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700" w:type="dxa"/>
            <w:vAlign w:val="bottom"/>
          </w:tcPr>
          <w:p>
            <w:pPr>
              <w:ind w:left="540"/>
              <w:spacing w:after="0"/>
              <w:rPr>
                <w:sz w:val="20"/>
                <w:szCs w:val="20"/>
                <w:color w:val="auto"/>
              </w:rPr>
            </w:pPr>
            <w:r>
              <w:rPr>
                <w:rFonts w:ascii="Arial" w:cs="Arial" w:eastAsia="Arial" w:hAnsi="Arial"/>
                <w:sz w:val="18"/>
                <w:szCs w:val="18"/>
                <w:color w:val="auto"/>
              </w:rPr>
              <w:t>whilst he/she is in the employment of his/her Employer.</w:t>
            </w:r>
          </w:p>
        </w:tc>
      </w:tr>
      <w:tr>
        <w:trPr>
          <w:trHeight w:val="323"/>
        </w:trPr>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700" w:type="dxa"/>
            <w:vAlign w:val="bottom"/>
          </w:tcPr>
          <w:p>
            <w:pPr>
              <w:ind w:left="180"/>
              <w:spacing w:after="0"/>
              <w:rPr>
                <w:sz w:val="20"/>
                <w:szCs w:val="20"/>
                <w:color w:val="auto"/>
              </w:rPr>
            </w:pPr>
            <w:r>
              <w:rPr>
                <w:rFonts w:ascii="Arial" w:cs="Arial" w:eastAsia="Arial" w:hAnsi="Arial"/>
                <w:sz w:val="18"/>
                <w:szCs w:val="18"/>
                <w:color w:val="auto"/>
                <w:w w:val="90"/>
              </w:rPr>
              <w:t>b)  This Option is non-transferable, non assignable and non-disposable and the Grantee may not at any time create or</w:t>
            </w:r>
          </w:p>
        </w:tc>
      </w:tr>
      <w:tr>
        <w:trPr>
          <w:trHeight w:val="230"/>
        </w:trPr>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700" w:type="dxa"/>
            <w:vAlign w:val="bottom"/>
          </w:tcPr>
          <w:p>
            <w:pPr>
              <w:ind w:left="540"/>
              <w:spacing w:after="0"/>
              <w:rPr>
                <w:sz w:val="20"/>
                <w:szCs w:val="20"/>
                <w:color w:val="auto"/>
              </w:rPr>
            </w:pPr>
            <w:r>
              <w:rPr>
                <w:rFonts w:ascii="Arial" w:cs="Arial" w:eastAsia="Arial" w:hAnsi="Arial"/>
                <w:sz w:val="18"/>
                <w:szCs w:val="18"/>
                <w:color w:val="auto"/>
              </w:rPr>
              <w:t>purport to create any encumbrances over the Option.</w:t>
            </w:r>
          </w:p>
        </w:tc>
      </w:tr>
      <w:tr>
        <w:trPr>
          <w:trHeight w:val="323"/>
        </w:trPr>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700" w:type="dxa"/>
            <w:vAlign w:val="bottom"/>
          </w:tcPr>
          <w:p>
            <w:pPr>
              <w:ind w:left="180"/>
              <w:spacing w:after="0"/>
              <w:rPr>
                <w:sz w:val="20"/>
                <w:szCs w:val="20"/>
                <w:color w:val="auto"/>
              </w:rPr>
            </w:pPr>
            <w:r>
              <w:rPr>
                <w:rFonts w:ascii="Arial" w:cs="Arial" w:eastAsia="Arial" w:hAnsi="Arial"/>
                <w:sz w:val="18"/>
                <w:szCs w:val="18"/>
                <w:color w:val="auto"/>
                <w:w w:val="92"/>
              </w:rPr>
              <w:t>c)  Any such transfer, assignment, disposal or encumbrance or purported encumbrance shall result in the automatic</w:t>
            </w:r>
          </w:p>
        </w:tc>
      </w:tr>
      <w:tr>
        <w:trPr>
          <w:trHeight w:val="230"/>
        </w:trPr>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700" w:type="dxa"/>
            <w:vAlign w:val="bottom"/>
          </w:tcPr>
          <w:p>
            <w:pPr>
              <w:ind w:left="540"/>
              <w:spacing w:after="0"/>
              <w:rPr>
                <w:sz w:val="20"/>
                <w:szCs w:val="20"/>
                <w:color w:val="auto"/>
              </w:rPr>
            </w:pPr>
            <w:r>
              <w:rPr>
                <w:rFonts w:ascii="Arial" w:cs="Arial" w:eastAsia="Arial" w:hAnsi="Arial"/>
                <w:sz w:val="18"/>
                <w:szCs w:val="18"/>
                <w:color w:val="auto"/>
              </w:rPr>
              <w:t>cancellation of the Option rendering the Option void.</w:t>
            </w:r>
          </w:p>
        </w:tc>
      </w:tr>
      <w:tr>
        <w:trPr>
          <w:trHeight w:val="319"/>
        </w:trPr>
        <w:tc>
          <w:tcPr>
            <w:tcW w:w="48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9.</w:t>
            </w:r>
          </w:p>
        </w:tc>
        <w:tc>
          <w:tcPr>
            <w:tcW w:w="2080" w:type="dxa"/>
            <w:vAlign w:val="bottom"/>
          </w:tcPr>
          <w:p>
            <w:pPr>
              <w:ind w:left="340"/>
              <w:spacing w:after="0"/>
              <w:rPr>
                <w:sz w:val="20"/>
                <w:szCs w:val="20"/>
                <w:color w:val="auto"/>
              </w:rPr>
            </w:pPr>
            <w:r>
              <w:rPr>
                <w:rFonts w:ascii="Arial" w:cs="Arial" w:eastAsia="Arial" w:hAnsi="Arial"/>
                <w:sz w:val="18"/>
                <w:szCs w:val="18"/>
                <w:b w:val="1"/>
                <w:bCs w:val="1"/>
                <w:color w:val="auto"/>
              </w:rPr>
              <w:t>Exercise of the</w:t>
            </w:r>
          </w:p>
        </w:tc>
        <w:tc>
          <w:tcPr>
            <w:tcW w:w="8700" w:type="dxa"/>
            <w:vAlign w:val="bottom"/>
          </w:tcPr>
          <w:p>
            <w:pPr>
              <w:ind w:left="180"/>
              <w:spacing w:after="0"/>
              <w:rPr>
                <w:sz w:val="20"/>
                <w:szCs w:val="20"/>
                <w:color w:val="auto"/>
              </w:rPr>
            </w:pPr>
            <w:r>
              <w:rPr>
                <w:rFonts w:ascii="Arial" w:cs="Arial" w:eastAsia="Arial" w:hAnsi="Arial"/>
                <w:sz w:val="18"/>
                <w:szCs w:val="18"/>
                <w:color w:val="auto"/>
                <w:w w:val="93"/>
              </w:rPr>
              <w:t>a)  A Grantee shall be allowed to exercise the Options granted to him/her either in full or in part during the Exercise</w:t>
            </w:r>
          </w:p>
        </w:tc>
      </w:tr>
      <w:tr>
        <w:trPr>
          <w:trHeight w:val="234"/>
        </w:trPr>
        <w:tc>
          <w:tcPr>
            <w:tcW w:w="480" w:type="dxa"/>
            <w:vAlign w:val="bottom"/>
          </w:tcPr>
          <w:p>
            <w:pPr>
              <w:spacing w:after="0"/>
              <w:rPr>
                <w:sz w:val="20"/>
                <w:szCs w:val="20"/>
                <w:color w:val="auto"/>
              </w:rPr>
            </w:pPr>
          </w:p>
        </w:tc>
        <w:tc>
          <w:tcPr>
            <w:tcW w:w="2080" w:type="dxa"/>
            <w:vAlign w:val="bottom"/>
          </w:tcPr>
          <w:p>
            <w:pPr>
              <w:ind w:left="340"/>
              <w:spacing w:after="0"/>
              <w:rPr>
                <w:sz w:val="20"/>
                <w:szCs w:val="20"/>
                <w:color w:val="auto"/>
              </w:rPr>
            </w:pPr>
            <w:r>
              <w:rPr>
                <w:rFonts w:ascii="Arial" w:cs="Arial" w:eastAsia="Arial" w:hAnsi="Arial"/>
                <w:sz w:val="18"/>
                <w:szCs w:val="18"/>
                <w:b w:val="1"/>
                <w:bCs w:val="1"/>
                <w:color w:val="auto"/>
              </w:rPr>
              <w:t>Option</w:t>
            </w:r>
          </w:p>
        </w:tc>
        <w:tc>
          <w:tcPr>
            <w:tcW w:w="8700" w:type="dxa"/>
            <w:vAlign w:val="bottom"/>
          </w:tcPr>
          <w:p>
            <w:pPr>
              <w:ind w:left="540"/>
              <w:spacing w:after="0"/>
              <w:rPr>
                <w:sz w:val="20"/>
                <w:szCs w:val="20"/>
                <w:color w:val="auto"/>
              </w:rPr>
            </w:pPr>
            <w:r>
              <w:rPr>
                <w:rFonts w:ascii="Arial" w:cs="Arial" w:eastAsia="Arial" w:hAnsi="Arial"/>
                <w:sz w:val="18"/>
                <w:szCs w:val="18"/>
                <w:color w:val="auto"/>
              </w:rPr>
              <w:t>Period in such manner and subject to such conditions as stipulated here and in the Invitation (if any).</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3100" w:right="220" w:hanging="350"/>
        <w:spacing w:after="0" w:line="257" w:lineRule="auto"/>
        <w:tabs>
          <w:tab w:leader="none" w:pos="307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Grantee shall notify the Grantor in writing of his/her intention to exercise the Option by using the Option Exercise Notice, or such other form of notice as may be prescribed by the Grantor from time to time during the Option Period in respect of all or any part of the Shares comprised in the Option. Any partial exercise of the Option shall not preclude the Grantee from exercising the Option as to the balance thereof, if any, at any time in the future but within the Exercise Period.</w:t>
      </w:r>
    </w:p>
    <w:p>
      <w:pPr>
        <w:spacing w:after="0" w:line="93" w:lineRule="exact"/>
        <w:rPr>
          <w:rFonts w:ascii="Arial" w:cs="Arial" w:eastAsia="Arial" w:hAnsi="Arial"/>
          <w:sz w:val="18"/>
          <w:szCs w:val="18"/>
          <w:color w:val="auto"/>
        </w:rPr>
      </w:pPr>
    </w:p>
    <w:p>
      <w:pPr>
        <w:ind w:left="3100" w:hanging="350"/>
        <w:spacing w:after="0"/>
        <w:tabs>
          <w:tab w:leader="none" w:pos="31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Option shall automatically lapse and become null and void upon the expiry of the Exercise Period.</w:t>
      </w:r>
    </w:p>
    <w:p>
      <w:pPr>
        <w:spacing w:after="0" w:line="130" w:lineRule="exact"/>
        <w:rPr>
          <w:rFonts w:ascii="Arial" w:cs="Arial" w:eastAsia="Arial" w:hAnsi="Arial"/>
          <w:sz w:val="18"/>
          <w:szCs w:val="18"/>
          <w:color w:val="auto"/>
        </w:rPr>
      </w:pPr>
    </w:p>
    <w:p>
      <w:pPr>
        <w:ind w:left="3100" w:hanging="350"/>
        <w:spacing w:after="0" w:line="290" w:lineRule="auto"/>
        <w:tabs>
          <w:tab w:leader="none" w:pos="3081"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Notwithstanding anything to the contrary, the Grantor shall have the right to suspend, at its discretion, the right of any Grantee who is being subjected to disciplinary proceedings to exercise his/her Options pending the outcome of such disciplinary proceedings, by serving on him/her of a notice to that effect. The right of suspension herein, may be exercisable by the Grantor upon such terms and conditions as the Grantor shall deemed appropriate having regard to the nature of the charges made or brought against such Grantee provided always that in the event such Grantee is subsequently acquitted of the charges which gave rise to such disciplinary proceedings, the Grantor shall reinstate the rights of such Grantee to exercise his/her Option. Provided that the Grantor shall not be liable to the Grantee for any loss as a result of any delay in exercising the Option.</w:t>
      </w:r>
    </w:p>
    <w:p>
      <w:pPr>
        <w:sectPr>
          <w:pgSz w:w="11900" w:h="16838" w:orient="portrait"/>
          <w:cols w:equalWidth="0" w:num="1">
            <w:col w:w="11380"/>
          </w:cols>
          <w:pgMar w:left="240" w:top="378" w:right="27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10.</w:t>
            </w:r>
          </w:p>
        </w:tc>
        <w:tc>
          <w:tcPr>
            <w:tcW w:w="2000" w:type="dxa"/>
            <w:vAlign w:val="bottom"/>
          </w:tcPr>
          <w:p>
            <w:pPr>
              <w:ind w:left="300"/>
              <w:spacing w:after="0"/>
              <w:rPr>
                <w:sz w:val="20"/>
                <w:szCs w:val="20"/>
                <w:color w:val="auto"/>
              </w:rPr>
            </w:pPr>
            <w:r>
              <w:rPr>
                <w:rFonts w:ascii="Arial" w:cs="Arial" w:eastAsia="Arial" w:hAnsi="Arial"/>
                <w:sz w:val="18"/>
                <w:szCs w:val="18"/>
                <w:b w:val="1"/>
                <w:bCs w:val="1"/>
                <w:color w:val="auto"/>
              </w:rPr>
              <w:t>Rights attaching to</w:t>
            </w:r>
          </w:p>
        </w:tc>
        <w:tc>
          <w:tcPr>
            <w:tcW w:w="8860" w:type="dxa"/>
            <w:vAlign w:val="bottom"/>
          </w:tcPr>
          <w:p>
            <w:pPr>
              <w:ind w:left="220"/>
              <w:spacing w:after="0"/>
              <w:rPr>
                <w:sz w:val="20"/>
                <w:szCs w:val="20"/>
                <w:color w:val="auto"/>
              </w:rPr>
            </w:pPr>
            <w:r>
              <w:rPr>
                <w:rFonts w:ascii="Arial" w:cs="Arial" w:eastAsia="Arial" w:hAnsi="Arial"/>
                <w:sz w:val="18"/>
                <w:szCs w:val="18"/>
                <w:color w:val="auto"/>
                <w:w w:val="92"/>
              </w:rPr>
              <w:t>a)   The Shares to be allotted upon the exercise of the Option will, rank pari passu in all respect with the then existing</w:t>
            </w:r>
          </w:p>
        </w:tc>
      </w:tr>
      <w:tr>
        <w:trPr>
          <w:trHeight w:val="220"/>
        </w:trPr>
        <w:tc>
          <w:tcPr>
            <w:tcW w:w="520" w:type="dxa"/>
            <w:vAlign w:val="bottom"/>
          </w:tcPr>
          <w:p>
            <w:pPr>
              <w:spacing w:after="0"/>
              <w:rPr>
                <w:sz w:val="19"/>
                <w:szCs w:val="19"/>
                <w:color w:val="auto"/>
              </w:rPr>
            </w:pPr>
          </w:p>
        </w:tc>
        <w:tc>
          <w:tcPr>
            <w:tcW w:w="2000" w:type="dxa"/>
            <w:vAlign w:val="bottom"/>
          </w:tcPr>
          <w:p>
            <w:pPr>
              <w:ind w:left="300"/>
              <w:spacing w:after="0"/>
              <w:rPr>
                <w:sz w:val="20"/>
                <w:szCs w:val="20"/>
                <w:color w:val="auto"/>
              </w:rPr>
            </w:pPr>
            <w:r>
              <w:rPr>
                <w:rFonts w:ascii="Arial" w:cs="Arial" w:eastAsia="Arial" w:hAnsi="Arial"/>
                <w:sz w:val="18"/>
                <w:szCs w:val="18"/>
                <w:b w:val="1"/>
                <w:bCs w:val="1"/>
                <w:color w:val="auto"/>
              </w:rPr>
              <w:t>the Shares</w:t>
            </w:r>
          </w:p>
        </w:tc>
        <w:tc>
          <w:tcPr>
            <w:tcW w:w="8860" w:type="dxa"/>
            <w:vAlign w:val="bottom"/>
          </w:tcPr>
          <w:p>
            <w:pPr>
              <w:ind w:left="580"/>
              <w:spacing w:after="0"/>
              <w:rPr>
                <w:sz w:val="20"/>
                <w:szCs w:val="20"/>
                <w:color w:val="auto"/>
              </w:rPr>
            </w:pPr>
            <w:r>
              <w:rPr>
                <w:rFonts w:ascii="Arial" w:cs="Arial" w:eastAsia="Arial" w:hAnsi="Arial"/>
                <w:sz w:val="18"/>
                <w:szCs w:val="18"/>
                <w:color w:val="auto"/>
                <w:w w:val="93"/>
              </w:rPr>
              <w:t>issued and paid-up ordinary Shares of the Grantor, except that Shares so allotted will not entitle their holders to</w:t>
            </w:r>
          </w:p>
        </w:tc>
      </w:tr>
      <w:tr>
        <w:trPr>
          <w:trHeight w:val="216"/>
        </w:trPr>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60" w:type="dxa"/>
            <w:vAlign w:val="bottom"/>
          </w:tcPr>
          <w:p>
            <w:pPr>
              <w:ind w:left="580"/>
              <w:spacing w:after="0"/>
              <w:rPr>
                <w:sz w:val="20"/>
                <w:szCs w:val="20"/>
                <w:color w:val="auto"/>
              </w:rPr>
            </w:pPr>
            <w:r>
              <w:rPr>
                <w:rFonts w:ascii="Arial" w:cs="Arial" w:eastAsia="Arial" w:hAnsi="Arial"/>
                <w:sz w:val="18"/>
                <w:szCs w:val="18"/>
                <w:color w:val="auto"/>
                <w:w w:val="97"/>
              </w:rPr>
              <w:t>any right, dividend, and/or any other distributions which may have been declared, made or paid prior to the</w:t>
            </w:r>
          </w:p>
        </w:tc>
      </w:tr>
      <w:tr>
        <w:trPr>
          <w:trHeight w:val="216"/>
        </w:trPr>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60" w:type="dxa"/>
            <w:vAlign w:val="bottom"/>
          </w:tcPr>
          <w:p>
            <w:pPr>
              <w:ind w:left="580"/>
              <w:spacing w:after="0"/>
              <w:rPr>
                <w:sz w:val="20"/>
                <w:szCs w:val="20"/>
                <w:color w:val="auto"/>
              </w:rPr>
            </w:pPr>
            <w:r>
              <w:rPr>
                <w:rFonts w:ascii="Arial" w:cs="Arial" w:eastAsia="Arial" w:hAnsi="Arial"/>
                <w:sz w:val="18"/>
                <w:szCs w:val="18"/>
                <w:color w:val="auto"/>
                <w:w w:val="90"/>
              </w:rPr>
              <w:t>Entitlement Date or prior to the date of exercise of the Option by the Grantee. Shares issued, transferred or allotted</w:t>
            </w:r>
          </w:p>
        </w:tc>
      </w:tr>
      <w:tr>
        <w:trPr>
          <w:trHeight w:val="230"/>
        </w:trPr>
        <w:tc>
          <w:tcPr>
            <w:tcW w:w="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860" w:type="dxa"/>
            <w:vAlign w:val="bottom"/>
          </w:tcPr>
          <w:p>
            <w:pPr>
              <w:ind w:left="580"/>
              <w:spacing w:after="0"/>
              <w:rPr>
                <w:sz w:val="20"/>
                <w:szCs w:val="20"/>
                <w:color w:val="auto"/>
              </w:rPr>
            </w:pPr>
            <w:r>
              <w:rPr>
                <w:rFonts w:ascii="Arial" w:cs="Arial" w:eastAsia="Arial" w:hAnsi="Arial"/>
                <w:sz w:val="18"/>
                <w:szCs w:val="18"/>
                <w:color w:val="auto"/>
              </w:rPr>
              <w:t>to the Grantee will be subjected to all the provisions of the Articles of Association of the Company.</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3100" w:right="20" w:hanging="350"/>
        <w:spacing w:after="0" w:line="293" w:lineRule="auto"/>
        <w:tabs>
          <w:tab w:leader="none" w:pos="3078"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Shares issued, transferred or allotted to the Grantee will not be subject to any retention period but is subject to restriction on transfer. All transfer or sale of Shares, prior to the Grantor being listed on a stock exchange, shall be restricted firstly to another shareholder of the Grantor, failing which to the Grantor. If the Grantee and the Grantor cannot come to agreement on the sale price, the sale price shall be independently evaluated by a third party agreeable by both parties; or the offer price in the event of a take-over or divestment of the Company, whichever is higher. Costs and expenses related to the valuation shall be shared equally between the Grantor and the Grantee.</w:t>
      </w:r>
    </w:p>
    <w:p>
      <w:pPr>
        <w:spacing w:after="0" w:line="66" w:lineRule="exact"/>
        <w:rPr>
          <w:rFonts w:ascii="Arial" w:cs="Arial" w:eastAsia="Arial" w:hAnsi="Arial"/>
          <w:sz w:val="16"/>
          <w:szCs w:val="16"/>
          <w:color w:val="auto"/>
        </w:rPr>
      </w:pPr>
    </w:p>
    <w:p>
      <w:pPr>
        <w:ind w:left="2740" w:right="160" w:hanging="2732"/>
        <w:spacing w:after="0" w:line="282" w:lineRule="auto"/>
        <w:tabs>
          <w:tab w:leader="none" w:pos="809"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the Grantee </w:t>
      </w:r>
      <w:r>
        <w:rPr>
          <w:rFonts w:ascii="Arial" w:cs="Arial" w:eastAsia="Arial" w:hAnsi="Arial"/>
          <w:sz w:val="18"/>
          <w:szCs w:val="18"/>
          <w:color w:val="auto"/>
        </w:rPr>
        <w:t>The Option shall not carry any right to vote at any general meeting of the Company. A Grantee shall not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dividend, rights allotment or other entitlements on his unexercised Option.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12.</w:t>
            </w:r>
          </w:p>
        </w:tc>
        <w:tc>
          <w:tcPr>
            <w:tcW w:w="1840" w:type="dxa"/>
            <w:vAlign w:val="bottom"/>
          </w:tcPr>
          <w:p>
            <w:pPr>
              <w:ind w:left="300"/>
              <w:spacing w:after="0"/>
              <w:rPr>
                <w:sz w:val="20"/>
                <w:szCs w:val="20"/>
                <w:color w:val="auto"/>
              </w:rPr>
            </w:pPr>
            <w:r>
              <w:rPr>
                <w:rFonts w:ascii="Arial" w:cs="Arial" w:eastAsia="Arial" w:hAnsi="Arial"/>
                <w:sz w:val="18"/>
                <w:szCs w:val="18"/>
                <w:b w:val="1"/>
                <w:bCs w:val="1"/>
                <w:color w:val="auto"/>
              </w:rPr>
              <w:t>Termination of</w:t>
            </w:r>
          </w:p>
        </w:tc>
        <w:tc>
          <w:tcPr>
            <w:tcW w:w="9040" w:type="dxa"/>
            <w:vAlign w:val="bottom"/>
          </w:tcPr>
          <w:p>
            <w:pPr>
              <w:ind w:left="380"/>
              <w:spacing w:after="0"/>
              <w:rPr>
                <w:sz w:val="20"/>
                <w:szCs w:val="20"/>
                <w:color w:val="auto"/>
              </w:rPr>
            </w:pPr>
            <w:r>
              <w:rPr>
                <w:rFonts w:ascii="Arial" w:cs="Arial" w:eastAsia="Arial" w:hAnsi="Arial"/>
                <w:sz w:val="18"/>
                <w:szCs w:val="18"/>
                <w:color w:val="auto"/>
                <w:w w:val="89"/>
              </w:rPr>
              <w:t>Save as otherwise expressly provided, an Option which has not been exercised by a Grantee shall lapse and become null</w:t>
            </w:r>
          </w:p>
        </w:tc>
      </w:tr>
      <w:tr>
        <w:trPr>
          <w:trHeight w:val="234"/>
        </w:trPr>
        <w:tc>
          <w:tcPr>
            <w:tcW w:w="520" w:type="dxa"/>
            <w:vAlign w:val="bottom"/>
          </w:tcPr>
          <w:p>
            <w:pPr>
              <w:spacing w:after="0"/>
              <w:rPr>
                <w:sz w:val="20"/>
                <w:szCs w:val="20"/>
                <w:color w:val="auto"/>
              </w:rPr>
            </w:pPr>
          </w:p>
        </w:tc>
        <w:tc>
          <w:tcPr>
            <w:tcW w:w="1840" w:type="dxa"/>
            <w:vAlign w:val="bottom"/>
          </w:tcPr>
          <w:p>
            <w:pPr>
              <w:ind w:left="300"/>
              <w:spacing w:after="0"/>
              <w:rPr>
                <w:sz w:val="20"/>
                <w:szCs w:val="20"/>
                <w:color w:val="auto"/>
              </w:rPr>
            </w:pPr>
            <w:r>
              <w:rPr>
                <w:rFonts w:ascii="Arial" w:cs="Arial" w:eastAsia="Arial" w:hAnsi="Arial"/>
                <w:sz w:val="18"/>
                <w:szCs w:val="18"/>
                <w:b w:val="1"/>
                <w:bCs w:val="1"/>
                <w:color w:val="auto"/>
              </w:rPr>
              <w:t>Employment</w:t>
            </w:r>
          </w:p>
        </w:tc>
        <w:tc>
          <w:tcPr>
            <w:tcW w:w="9040" w:type="dxa"/>
            <w:vAlign w:val="bottom"/>
          </w:tcPr>
          <w:p>
            <w:pPr>
              <w:ind w:left="380"/>
              <w:spacing w:after="0"/>
              <w:rPr>
                <w:sz w:val="20"/>
                <w:szCs w:val="20"/>
                <w:color w:val="auto"/>
              </w:rPr>
            </w:pPr>
            <w:r>
              <w:rPr>
                <w:rFonts w:ascii="Arial" w:cs="Arial" w:eastAsia="Arial" w:hAnsi="Arial"/>
                <w:sz w:val="18"/>
                <w:szCs w:val="18"/>
                <w:color w:val="auto"/>
              </w:rPr>
              <w:t>and void and be of no further force and effect in any of the following circumstances:</w:t>
            </w:r>
          </w:p>
        </w:tc>
      </w:tr>
    </w:tbl>
    <w:p>
      <w:pPr>
        <w:spacing w:after="0" w:line="107" w:lineRule="exact"/>
        <w:rPr>
          <w:sz w:val="20"/>
          <w:szCs w:val="20"/>
          <w:color w:val="auto"/>
        </w:rPr>
      </w:pPr>
    </w:p>
    <w:p>
      <w:pPr>
        <w:ind w:left="3100" w:right="460" w:hanging="359"/>
        <w:spacing w:after="0" w:line="277" w:lineRule="auto"/>
        <w:tabs>
          <w:tab w:leader="none" w:pos="3080" w:val="left"/>
        </w:tabs>
        <w:rPr>
          <w:sz w:val="20"/>
          <w:szCs w:val="20"/>
          <w:color w:val="auto"/>
        </w:rPr>
      </w:pPr>
      <w:r>
        <w:rPr>
          <w:rFonts w:ascii="Arial" w:cs="Arial" w:eastAsia="Arial" w:hAnsi="Arial"/>
          <w:sz w:val="18"/>
          <w:szCs w:val="18"/>
          <w:color w:val="auto"/>
        </w:rPr>
        <w:t>a)</w:t>
        <w:tab/>
        <w:t>in the event the Grantee ceasing to be employed by the Employer for any reason whatsoever, either before or during the Exercise Period; or</w:t>
      </w:r>
    </w:p>
    <w:p>
      <w:pPr>
        <w:spacing w:after="0" w:line="76" w:lineRule="exact"/>
        <w:rPr>
          <w:sz w:val="20"/>
          <w:szCs w:val="20"/>
          <w:color w:val="auto"/>
        </w:rPr>
      </w:pPr>
    </w:p>
    <w:p>
      <w:pPr>
        <w:ind w:left="2740"/>
        <w:spacing w:after="0"/>
        <w:tabs>
          <w:tab w:leader="none" w:pos="3080" w:val="left"/>
        </w:tabs>
        <w:rPr>
          <w:sz w:val="20"/>
          <w:szCs w:val="20"/>
          <w:color w:val="auto"/>
        </w:rPr>
      </w:pPr>
      <w:r>
        <w:rPr>
          <w:rFonts w:ascii="Arial" w:cs="Arial" w:eastAsia="Arial" w:hAnsi="Arial"/>
          <w:sz w:val="18"/>
          <w:szCs w:val="18"/>
          <w:color w:val="auto"/>
        </w:rPr>
        <w:t>b)</w:t>
        <w:tab/>
        <w:t>on the winding-up or liquidation of the Grantor or the Employer.</w:t>
      </w:r>
    </w:p>
    <w:p>
      <w:pPr>
        <w:spacing w:after="0" w:line="131" w:lineRule="exact"/>
        <w:rPr>
          <w:sz w:val="20"/>
          <w:szCs w:val="20"/>
          <w:color w:val="auto"/>
        </w:rPr>
      </w:pPr>
    </w:p>
    <w:p>
      <w:pPr>
        <w:ind w:left="2740" w:right="120"/>
        <w:spacing w:after="0" w:line="276" w:lineRule="auto"/>
        <w:rPr>
          <w:sz w:val="20"/>
          <w:szCs w:val="20"/>
          <w:color w:val="auto"/>
        </w:rPr>
      </w:pPr>
      <w:r>
        <w:rPr>
          <w:rFonts w:ascii="Arial" w:cs="Arial" w:eastAsia="Arial" w:hAnsi="Arial"/>
          <w:sz w:val="17"/>
          <w:szCs w:val="17"/>
          <w:color w:val="auto"/>
        </w:rPr>
        <w:t>Upon the termination of the Option pursuant to the above, the Grantee shall have no right to compensation or damages or any claim against the Company for any loss of any right or benefit or prospective right or benefit under this Option which he/she might otherwise have enjoyed, whether for wrongful dismissal or breach of contract or loss of office or otherwise howsoever arising from his/her ceasing to hold office or employment or from the suspension of his/her right to exercise his/her Options or his/her Options ceasing to be valid.</w:t>
      </w:r>
    </w:p>
    <w:p>
      <w:pPr>
        <w:sectPr>
          <w:pgSz w:w="11900" w:h="16838" w:orient="portrait"/>
          <w:cols w:equalWidth="0" w:num="1">
            <w:col w:w="11400"/>
          </w:cols>
          <w:pgMar w:left="240" w:top="270" w:right="259" w:bottom="1440" w:gutter="0" w:footer="0" w:header="0"/>
        </w:sectPr>
      </w:pPr>
    </w:p>
    <w:bookmarkStart w:id="65" w:name="page66"/>
    <w:bookmarkEnd w:id="65"/>
    <w:p>
      <w:pPr>
        <w:ind w:left="2740"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above, the Grantor, may at its discretion, allow an Option to remain exercisable after the Exercise Period for such period of time and on such terms and conditions as the Board shall deem fit if the cessation of employment of the Grantee occurs as a result of the following:-</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80" w:type="dxa"/>
            <w:vAlign w:val="bottom"/>
          </w:tcPr>
          <w:p>
            <w:pPr>
              <w:ind w:left="480"/>
              <w:spacing w:after="0"/>
              <w:rPr>
                <w:sz w:val="20"/>
                <w:szCs w:val="20"/>
                <w:color w:val="auto"/>
              </w:rPr>
            </w:pPr>
            <w:r>
              <w:rPr>
                <w:rFonts w:ascii="Arial" w:cs="Arial" w:eastAsia="Arial" w:hAnsi="Arial"/>
                <w:sz w:val="18"/>
                <w:szCs w:val="18"/>
                <w:color w:val="auto"/>
              </w:rPr>
              <w:t>i)   retirement in accordance with the relevant scheme of service of the Company;</w:t>
            </w:r>
          </w:p>
        </w:tc>
      </w:tr>
      <w:tr>
        <w:trPr>
          <w:trHeight w:val="338"/>
        </w:trPr>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80" w:type="dxa"/>
            <w:vAlign w:val="bottom"/>
          </w:tcPr>
          <w:p>
            <w:pPr>
              <w:ind w:left="480"/>
              <w:spacing w:after="0"/>
              <w:rPr>
                <w:sz w:val="20"/>
                <w:szCs w:val="20"/>
                <w:color w:val="auto"/>
              </w:rPr>
            </w:pPr>
            <w:r>
              <w:rPr>
                <w:rFonts w:ascii="Arial" w:cs="Arial" w:eastAsia="Arial" w:hAnsi="Arial"/>
                <w:sz w:val="18"/>
                <w:szCs w:val="18"/>
                <w:color w:val="auto"/>
              </w:rPr>
              <w:t>ii)  ill-health, injury, physical or mental disability;</w:t>
            </w:r>
          </w:p>
        </w:tc>
      </w:tr>
      <w:tr>
        <w:trPr>
          <w:trHeight w:val="338"/>
        </w:trPr>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80" w:type="dxa"/>
            <w:vAlign w:val="bottom"/>
          </w:tcPr>
          <w:p>
            <w:pPr>
              <w:ind w:left="480"/>
              <w:spacing w:after="0"/>
              <w:rPr>
                <w:sz w:val="20"/>
                <w:szCs w:val="20"/>
                <w:color w:val="auto"/>
              </w:rPr>
            </w:pPr>
            <w:r>
              <w:rPr>
                <w:rFonts w:ascii="Arial" w:cs="Arial" w:eastAsia="Arial" w:hAnsi="Arial"/>
                <w:sz w:val="18"/>
                <w:szCs w:val="18"/>
                <w:color w:val="auto"/>
              </w:rPr>
              <w:t>iii)  retrenchment or redundancy;</w:t>
            </w:r>
          </w:p>
        </w:tc>
      </w:tr>
      <w:tr>
        <w:trPr>
          <w:trHeight w:val="338"/>
        </w:trPr>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80" w:type="dxa"/>
            <w:vAlign w:val="bottom"/>
          </w:tcPr>
          <w:p>
            <w:pPr>
              <w:ind w:left="480"/>
              <w:spacing w:after="0"/>
              <w:rPr>
                <w:sz w:val="20"/>
                <w:szCs w:val="20"/>
                <w:color w:val="auto"/>
              </w:rPr>
            </w:pPr>
            <w:r>
              <w:rPr>
                <w:rFonts w:ascii="Arial" w:cs="Arial" w:eastAsia="Arial" w:hAnsi="Arial"/>
                <w:sz w:val="18"/>
                <w:szCs w:val="18"/>
                <w:color w:val="auto"/>
              </w:rPr>
              <w:t>iv)  transfer to any company within the Group at the discretion of the Employer; or</w:t>
            </w:r>
          </w:p>
        </w:tc>
      </w:tr>
      <w:tr>
        <w:trPr>
          <w:trHeight w:val="338"/>
        </w:trPr>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80" w:type="dxa"/>
            <w:vAlign w:val="bottom"/>
          </w:tcPr>
          <w:p>
            <w:pPr>
              <w:ind w:left="480"/>
              <w:spacing w:after="0"/>
              <w:rPr>
                <w:sz w:val="20"/>
                <w:szCs w:val="20"/>
                <w:color w:val="auto"/>
              </w:rPr>
            </w:pPr>
            <w:r>
              <w:rPr>
                <w:rFonts w:ascii="Arial" w:cs="Arial" w:eastAsia="Arial" w:hAnsi="Arial"/>
                <w:sz w:val="18"/>
                <w:szCs w:val="18"/>
                <w:color w:val="auto"/>
              </w:rPr>
              <w:t>v)  any other circumstances acceptable to the Grantor.</w:t>
            </w:r>
          </w:p>
        </w:tc>
      </w:tr>
      <w:tr>
        <w:trPr>
          <w:trHeight w:val="323"/>
        </w:trPr>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13.</w:t>
            </w:r>
          </w:p>
        </w:tc>
        <w:tc>
          <w:tcPr>
            <w:tcW w:w="1740" w:type="dxa"/>
            <w:vAlign w:val="bottom"/>
          </w:tcPr>
          <w:p>
            <w:pPr>
              <w:ind w:left="300"/>
              <w:spacing w:after="0"/>
              <w:rPr>
                <w:sz w:val="20"/>
                <w:szCs w:val="20"/>
                <w:color w:val="auto"/>
              </w:rPr>
            </w:pPr>
            <w:r>
              <w:rPr>
                <w:rFonts w:ascii="Arial" w:cs="Arial" w:eastAsia="Arial" w:hAnsi="Arial"/>
                <w:sz w:val="18"/>
                <w:szCs w:val="18"/>
                <w:b w:val="1"/>
                <w:bCs w:val="1"/>
                <w:color w:val="auto"/>
              </w:rPr>
              <w:t>Take-Over</w:t>
            </w:r>
          </w:p>
        </w:tc>
        <w:tc>
          <w:tcPr>
            <w:tcW w:w="9080" w:type="dxa"/>
            <w:vAlign w:val="bottom"/>
          </w:tcPr>
          <w:p>
            <w:pPr>
              <w:ind w:left="480"/>
              <w:spacing w:after="0"/>
              <w:rPr>
                <w:sz w:val="20"/>
                <w:szCs w:val="20"/>
                <w:color w:val="auto"/>
              </w:rPr>
            </w:pPr>
            <w:r>
              <w:rPr>
                <w:rFonts w:ascii="Arial" w:cs="Arial" w:eastAsia="Arial" w:hAnsi="Arial"/>
                <w:sz w:val="18"/>
                <w:szCs w:val="18"/>
                <w:color w:val="auto"/>
                <w:w w:val="91"/>
              </w:rPr>
              <w:t>In the event of a take-over offer being made for the Shares of the Grantor, the Grantor shall use its best endeavours to</w:t>
            </w:r>
          </w:p>
        </w:tc>
      </w:tr>
      <w:tr>
        <w:trPr>
          <w:trHeight w:val="216"/>
        </w:trPr>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080" w:type="dxa"/>
            <w:vAlign w:val="bottom"/>
          </w:tcPr>
          <w:p>
            <w:pPr>
              <w:ind w:left="480"/>
              <w:spacing w:after="0"/>
              <w:rPr>
                <w:sz w:val="20"/>
                <w:szCs w:val="20"/>
                <w:color w:val="auto"/>
              </w:rPr>
            </w:pPr>
            <w:r>
              <w:rPr>
                <w:rFonts w:ascii="Arial" w:cs="Arial" w:eastAsia="Arial" w:hAnsi="Arial"/>
                <w:sz w:val="18"/>
                <w:szCs w:val="18"/>
                <w:color w:val="auto"/>
                <w:w w:val="89"/>
              </w:rPr>
              <w:t>procure that such take-over offer be extended to any Shares that may be allotted pursuant to the exercise of unexercised</w:t>
            </w:r>
          </w:p>
        </w:tc>
      </w:tr>
      <w:tr>
        <w:trPr>
          <w:trHeight w:val="230"/>
        </w:trPr>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80" w:type="dxa"/>
            <w:vAlign w:val="bottom"/>
          </w:tcPr>
          <w:p>
            <w:pPr>
              <w:ind w:left="480"/>
              <w:spacing w:after="0"/>
              <w:rPr>
                <w:sz w:val="20"/>
                <w:szCs w:val="20"/>
                <w:color w:val="auto"/>
              </w:rPr>
            </w:pPr>
            <w:r>
              <w:rPr>
                <w:rFonts w:ascii="Arial" w:cs="Arial" w:eastAsia="Arial" w:hAnsi="Arial"/>
                <w:sz w:val="18"/>
                <w:szCs w:val="18"/>
                <w:color w:val="auto"/>
              </w:rPr>
              <w:t>Options.</w:t>
            </w:r>
          </w:p>
        </w:tc>
      </w:tr>
      <w:tr>
        <w:trPr>
          <w:trHeight w:val="310"/>
        </w:trPr>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14.</w:t>
            </w:r>
          </w:p>
        </w:tc>
        <w:tc>
          <w:tcPr>
            <w:tcW w:w="1740" w:type="dxa"/>
            <w:vAlign w:val="bottom"/>
          </w:tcPr>
          <w:p>
            <w:pPr>
              <w:ind w:left="300"/>
              <w:spacing w:after="0"/>
              <w:rPr>
                <w:sz w:val="20"/>
                <w:szCs w:val="20"/>
                <w:color w:val="auto"/>
              </w:rPr>
            </w:pPr>
            <w:r>
              <w:rPr>
                <w:rFonts w:ascii="Arial" w:cs="Arial" w:eastAsia="Arial" w:hAnsi="Arial"/>
                <w:sz w:val="18"/>
                <w:szCs w:val="18"/>
                <w:b w:val="1"/>
                <w:bCs w:val="1"/>
                <w:color w:val="auto"/>
              </w:rPr>
              <w:t>Winding Up</w:t>
            </w:r>
          </w:p>
        </w:tc>
        <w:tc>
          <w:tcPr>
            <w:tcW w:w="9080" w:type="dxa"/>
            <w:vAlign w:val="bottom"/>
          </w:tcPr>
          <w:p>
            <w:pPr>
              <w:ind w:left="480"/>
              <w:spacing w:after="0"/>
              <w:rPr>
                <w:sz w:val="20"/>
                <w:szCs w:val="20"/>
                <w:color w:val="auto"/>
              </w:rPr>
            </w:pPr>
            <w:r>
              <w:rPr>
                <w:rFonts w:ascii="Arial" w:cs="Arial" w:eastAsia="Arial" w:hAnsi="Arial"/>
                <w:sz w:val="18"/>
                <w:szCs w:val="18"/>
                <w:color w:val="auto"/>
                <w:w w:val="92"/>
              </w:rPr>
              <w:t>All unexercised or partially exercised Options shall be automatically terminated and shall be null and void in the event</w:t>
            </w:r>
          </w:p>
        </w:tc>
      </w:tr>
      <w:tr>
        <w:trPr>
          <w:trHeight w:val="230"/>
        </w:trPr>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80" w:type="dxa"/>
            <w:vAlign w:val="bottom"/>
          </w:tcPr>
          <w:p>
            <w:pPr>
              <w:ind w:left="480"/>
              <w:spacing w:after="0"/>
              <w:rPr>
                <w:sz w:val="20"/>
                <w:szCs w:val="20"/>
                <w:color w:val="auto"/>
              </w:rPr>
            </w:pPr>
            <w:r>
              <w:rPr>
                <w:rFonts w:ascii="Arial" w:cs="Arial" w:eastAsia="Arial" w:hAnsi="Arial"/>
                <w:sz w:val="18"/>
                <w:szCs w:val="18"/>
                <w:color w:val="auto"/>
              </w:rPr>
              <w:t>that a resolution is passed or a court order is made for the winding-up of the Employer or the Grantor.</w:t>
            </w:r>
          </w:p>
        </w:tc>
      </w:tr>
    </w:tbl>
    <w:p>
      <w:pPr>
        <w:spacing w:after="0" w:line="90" w:lineRule="exact"/>
        <w:rPr>
          <w:sz w:val="20"/>
          <w:szCs w:val="20"/>
          <w:color w:val="auto"/>
        </w:rPr>
      </w:pPr>
    </w:p>
    <w:p>
      <w:pPr>
        <w:sectPr>
          <w:pgSz w:w="11900" w:h="16838" w:orient="portrait"/>
          <w:cols w:equalWidth="0" w:num="1">
            <w:col w:w="11380"/>
          </w:cols>
          <w:pgMar w:left="240" w:top="274" w:right="279" w:bottom="1440" w:gutter="0" w:footer="0" w:header="0"/>
        </w:sectPr>
      </w:pPr>
    </w:p>
    <w:p>
      <w:pPr>
        <w:ind w:left="820" w:hanging="812"/>
        <w:spacing w:after="0" w:line="289" w:lineRule="auto"/>
        <w:tabs>
          <w:tab w:leader="none" w:pos="82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Modification and/or amendment to the Scheme</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Grantor may at any time and from time to time amend or delete, in its discretion provided that the amendments and deletions made will not:-</w:t>
      </w:r>
    </w:p>
    <w:p>
      <w:pPr>
        <w:spacing w:after="0" w:line="76" w:lineRule="exact"/>
        <w:rPr>
          <w:sz w:val="20"/>
          <w:szCs w:val="20"/>
          <w:color w:val="auto"/>
        </w:rPr>
      </w:pPr>
    </w:p>
    <w:p>
      <w:pPr>
        <w:ind w:left="360" w:hanging="350"/>
        <w:spacing w:after="0"/>
        <w:tabs>
          <w:tab w:leader="none" w:pos="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prejudice any rights then accrued to any Grantee without the prior consent or sanction of the Grantee;</w:t>
      </w:r>
    </w:p>
    <w:p>
      <w:pPr>
        <w:spacing w:after="0" w:line="130" w:lineRule="exact"/>
        <w:rPr>
          <w:rFonts w:ascii="Arial" w:cs="Arial" w:eastAsia="Arial" w:hAnsi="Arial"/>
          <w:sz w:val="18"/>
          <w:szCs w:val="18"/>
          <w:color w:val="auto"/>
        </w:rPr>
      </w:pPr>
    </w:p>
    <w:p>
      <w:pPr>
        <w:ind w:left="360" w:hanging="350"/>
        <w:spacing w:after="0" w:line="277" w:lineRule="auto"/>
        <w:tabs>
          <w:tab w:leader="none" w:pos="341"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prejudice any rights of the shareholders of the Grantor without the prior approval of the Grantor’s shareholders in a general meeting; and</w:t>
      </w:r>
    </w:p>
    <w:p>
      <w:pPr>
        <w:sectPr>
          <w:pgSz w:w="11900" w:h="16838" w:orient="portrait"/>
          <w:cols w:equalWidth="0" w:num="2">
            <w:col w:w="2360" w:space="380"/>
            <w:col w:w="8640"/>
          </w:cols>
          <w:pgMar w:left="240" w:top="274" w:right="279" w:bottom="1440"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32" w:hanging="832"/>
        <w:spacing w:after="0"/>
        <w:tabs>
          <w:tab w:leader="none" w:pos="83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Buy Back</w:t>
      </w:r>
    </w:p>
    <w:p>
      <w:pPr>
        <w:spacing w:after="0" w:line="200" w:lineRule="exact"/>
        <w:rPr>
          <w:rFonts w:ascii="Arial" w:cs="Arial" w:eastAsia="Arial" w:hAnsi="Arial"/>
          <w:sz w:val="18"/>
          <w:szCs w:val="18"/>
          <w:b w:val="1"/>
          <w:bCs w:val="1"/>
          <w:color w:val="auto"/>
        </w:rPr>
      </w:pPr>
    </w:p>
    <w:p>
      <w:pPr>
        <w:spacing w:after="0" w:line="362" w:lineRule="exact"/>
        <w:rPr>
          <w:rFonts w:ascii="Arial" w:cs="Arial" w:eastAsia="Arial" w:hAnsi="Arial"/>
          <w:sz w:val="18"/>
          <w:szCs w:val="18"/>
          <w:b w:val="1"/>
          <w:bCs w:val="1"/>
          <w:color w:val="auto"/>
        </w:rPr>
      </w:pPr>
    </w:p>
    <w:p>
      <w:pPr>
        <w:ind w:left="832" w:hanging="832"/>
        <w:spacing w:after="0" w:line="347" w:lineRule="auto"/>
        <w:tabs>
          <w:tab w:leader="none" w:pos="832"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Option not a Term of Employment</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13" w:lineRule="exact"/>
        <w:rPr>
          <w:rFonts w:ascii="Arial" w:cs="Arial" w:eastAsia="Arial" w:hAnsi="Arial"/>
          <w:sz w:val="16"/>
          <w:szCs w:val="16"/>
          <w:b w:val="1"/>
          <w:bCs w:val="1"/>
          <w:color w:val="auto"/>
        </w:rPr>
      </w:pPr>
    </w:p>
    <w:p>
      <w:pPr>
        <w:ind w:left="832" w:right="60" w:hanging="832"/>
        <w:spacing w:after="0" w:line="386" w:lineRule="auto"/>
        <w:tabs>
          <w:tab w:leader="none" w:pos="832" w:val="left"/>
        </w:tabs>
        <w:numPr>
          <w:ilvl w:val="0"/>
          <w:numId w:val="88"/>
        </w:numPr>
        <w:rPr>
          <w:rFonts w:ascii="Arial" w:cs="Arial" w:eastAsia="Arial" w:hAnsi="Arial"/>
          <w:sz w:val="15"/>
          <w:szCs w:val="15"/>
          <w:b w:val="1"/>
          <w:bCs w:val="1"/>
          <w:color w:val="auto"/>
        </w:rPr>
      </w:pPr>
      <w:r>
        <w:rPr>
          <w:rFonts w:ascii="Arial" w:cs="Arial" w:eastAsia="Arial" w:hAnsi="Arial"/>
          <w:sz w:val="15"/>
          <w:szCs w:val="15"/>
          <w:b w:val="1"/>
          <w:bCs w:val="1"/>
          <w:color w:val="auto"/>
        </w:rPr>
        <w:t>No Compensation for Termination</w:t>
      </w:r>
    </w:p>
    <w:p>
      <w:pPr>
        <w:spacing w:after="0" w:line="20" w:lineRule="exact"/>
        <w:rPr>
          <w:sz w:val="20"/>
          <w:szCs w:val="20"/>
          <w:color w:val="auto"/>
        </w:rPr>
      </w:pPr>
      <w:r>
        <w:rPr>
          <w:sz w:val="20"/>
          <w:szCs w:val="20"/>
          <w:color w:val="auto"/>
        </w:rPr>
        <w:br w:type="column"/>
      </w:r>
    </w:p>
    <w:p>
      <w:pPr>
        <w:ind w:left="1" w:right="160" w:hanging="1"/>
        <w:spacing w:after="0" w:line="440" w:lineRule="auto"/>
        <w:tabs>
          <w:tab w:leader="none" w:pos="357" w:val="left"/>
        </w:tabs>
        <w:numPr>
          <w:ilvl w:val="0"/>
          <w:numId w:val="89"/>
        </w:numPr>
        <w:rPr>
          <w:rFonts w:ascii="Arial" w:cs="Arial" w:eastAsia="Arial" w:hAnsi="Arial"/>
          <w:sz w:val="16"/>
          <w:szCs w:val="16"/>
          <w:color w:val="auto"/>
        </w:rPr>
      </w:pPr>
      <w:r>
        <w:rPr>
          <w:rFonts w:ascii="Arial" w:cs="Arial" w:eastAsia="Arial" w:hAnsi="Arial"/>
          <w:sz w:val="16"/>
          <w:szCs w:val="16"/>
          <w:color w:val="auto"/>
        </w:rPr>
        <w:t>alter the benefit of the Grantee without the prior approval of the Grantor’s shareholders in a general meeting. On making such amendments, the Grantor shall as soon as practicable notify the Grantee of such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-1898650</wp:posOffset>
            </wp:positionH>
            <wp:positionV relativeFrom="paragraph">
              <wp:posOffset>-513080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 w:right="20"/>
        <w:spacing w:after="0" w:line="258" w:lineRule="auto"/>
        <w:rPr>
          <w:sz w:val="20"/>
          <w:szCs w:val="20"/>
          <w:color w:val="auto"/>
        </w:rPr>
      </w:pPr>
      <w:r>
        <w:rPr>
          <w:rFonts w:ascii="Arial" w:cs="Arial" w:eastAsia="Arial" w:hAnsi="Arial"/>
          <w:sz w:val="18"/>
          <w:szCs w:val="18"/>
          <w:color w:val="auto"/>
        </w:rPr>
        <w:t>The Grantor may at any time offer to buy back any Option granted to the Grantee, whether or not vested, upon such terms, conditions and price as the Grantor may determine (“Offer”).</w:t>
      </w:r>
    </w:p>
    <w:p>
      <w:pPr>
        <w:spacing w:after="0" w:line="1"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Grantee, may, if he desires, but is not obliged to, accept such Offer from the Grantor.</w:t>
      </w:r>
    </w:p>
    <w:p>
      <w:pPr>
        <w:spacing w:after="0" w:line="116" w:lineRule="exact"/>
        <w:rPr>
          <w:sz w:val="20"/>
          <w:szCs w:val="20"/>
          <w:color w:val="auto"/>
        </w:rPr>
      </w:pPr>
    </w:p>
    <w:p>
      <w:pPr>
        <w:ind w:left="361" w:right="320" w:hanging="361"/>
        <w:spacing w:after="0" w:line="342" w:lineRule="auto"/>
        <w:tabs>
          <w:tab w:leader="none" w:pos="353"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This Option shall not be confer or be construed to confer on a Grantee any special rights or privileges over his/her terms and conditions of employment with the Employer with whom the Grantee is employed.</w:t>
      </w:r>
    </w:p>
    <w:p>
      <w:pPr>
        <w:spacing w:after="0" w:line="29" w:lineRule="exact"/>
        <w:rPr>
          <w:rFonts w:ascii="Arial" w:cs="Arial" w:eastAsia="Arial" w:hAnsi="Arial"/>
          <w:sz w:val="16"/>
          <w:szCs w:val="16"/>
          <w:color w:val="auto"/>
        </w:rPr>
      </w:pPr>
    </w:p>
    <w:p>
      <w:pPr>
        <w:ind w:left="341" w:hanging="341"/>
        <w:spacing w:after="0"/>
        <w:tabs>
          <w:tab w:leader="none" w:pos="341"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Option shall not constitute an employment with the Grantor or any member of the Group.</w:t>
      </w:r>
    </w:p>
    <w:p>
      <w:pPr>
        <w:spacing w:after="0" w:line="130" w:lineRule="exact"/>
        <w:rPr>
          <w:rFonts w:ascii="Arial" w:cs="Arial" w:eastAsia="Arial" w:hAnsi="Arial"/>
          <w:sz w:val="18"/>
          <w:szCs w:val="18"/>
          <w:color w:val="auto"/>
        </w:rPr>
      </w:pPr>
    </w:p>
    <w:p>
      <w:pPr>
        <w:ind w:left="361" w:right="520" w:hanging="361"/>
        <w:spacing w:after="0" w:line="277" w:lineRule="auto"/>
        <w:tabs>
          <w:tab w:leader="none" w:pos="35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Option does not grant any rights additional to any compensation for damages that the Grantee may normally be entitled to, arising from the cessation of such employment.</w:t>
      </w:r>
    </w:p>
    <w:p>
      <w:pPr>
        <w:spacing w:after="0" w:line="76" w:lineRule="exact"/>
        <w:rPr>
          <w:sz w:val="20"/>
          <w:szCs w:val="20"/>
          <w:color w:val="auto"/>
        </w:rPr>
      </w:pPr>
    </w:p>
    <w:p>
      <w:pPr>
        <w:ind w:left="1" w:right="80"/>
        <w:spacing w:after="0" w:line="308" w:lineRule="auto"/>
        <w:rPr>
          <w:sz w:val="20"/>
          <w:szCs w:val="20"/>
          <w:color w:val="auto"/>
        </w:rPr>
      </w:pPr>
      <w:r>
        <w:rPr>
          <w:rFonts w:ascii="Arial" w:cs="Arial" w:eastAsia="Arial" w:hAnsi="Arial"/>
          <w:sz w:val="17"/>
          <w:szCs w:val="17"/>
          <w:color w:val="auto"/>
        </w:rPr>
        <w:t>No Grantee shall be entitled to any compensation for damages arising from the termination of any Option pursuant to the provisions of these conditions. Notwithstanding any provision of these conditions:-</w:t>
      </w:r>
    </w:p>
    <w:p>
      <w:pPr>
        <w:spacing w:after="0" w:line="52" w:lineRule="exact"/>
        <w:rPr>
          <w:sz w:val="20"/>
          <w:szCs w:val="20"/>
          <w:color w:val="auto"/>
        </w:rPr>
      </w:pPr>
    </w:p>
    <w:p>
      <w:pPr>
        <w:ind w:left="361" w:hanging="361"/>
        <w:spacing w:after="0" w:line="257" w:lineRule="auto"/>
        <w:tabs>
          <w:tab w:leader="none" w:pos="35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Option shall not form part of any contract of employment between the Grantor, the Employer or the Group and the Grantee. The rights of the Grantee under the terms of his/her office and/or employment with the Employer shall not be affected by his/her holding these Options, nor shall possession of the Option afford the Grantee any additional rights to compensation or damages in consequences of the termination of such office or employment for any reason;</w:t>
      </w:r>
    </w:p>
    <w:p>
      <w:pPr>
        <w:spacing w:after="0" w:line="93" w:lineRule="exact"/>
        <w:rPr>
          <w:rFonts w:ascii="Arial" w:cs="Arial" w:eastAsia="Arial" w:hAnsi="Arial"/>
          <w:sz w:val="18"/>
          <w:szCs w:val="18"/>
          <w:color w:val="auto"/>
        </w:rPr>
      </w:pPr>
    </w:p>
    <w:p>
      <w:pPr>
        <w:ind w:left="361" w:hanging="361"/>
        <w:spacing w:after="0" w:line="259" w:lineRule="auto"/>
        <w:tabs>
          <w:tab w:leader="none" w:pos="34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Option shall not confer on the Grantee any legal or equitable right or other rights under any other theory of law (other than those constituting the Options themselves) against the Employer or the Grantor, directly or indirectly, or give rise to any course of action in law or equity or under any other theory of law against the Employer, the Grantor or the Group;</w:t>
      </w:r>
    </w:p>
    <w:p>
      <w:pPr>
        <w:sectPr>
          <w:pgSz w:w="11900" w:h="16838" w:orient="portrait"/>
          <w:cols w:equalWidth="0" w:num="2">
            <w:col w:w="2252" w:space="719"/>
            <w:col w:w="8341"/>
          </w:cols>
          <w:pgMar w:left="248" w:top="274" w:right="339" w:bottom="1440" w:gutter="0" w:footer="0" w:header="0"/>
        </w:sectPr>
      </w:pPr>
    </w:p>
    <w:bookmarkStart w:id="67" w:name="page68"/>
    <w:bookmarkEnd w:id="67"/>
    <w:p>
      <w:pPr>
        <w:ind w:left="3340" w:hanging="359"/>
        <w:spacing w:after="0" w:line="259" w:lineRule="auto"/>
        <w:tabs>
          <w:tab w:leader="none" w:pos="3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tab/>
        <w:t>no Grantee or his/her representatives shall bring any claim, action or proceeding against the Grantor or any other party for compensation, loss or damages whatsoever and howsoever arising from the suspension of his/her rights to exercise his/her Options or his/her Options ceasing to be valid pursuant to the provisions of the terms and conditions herein; and</w:t>
      </w:r>
    </w:p>
    <w:p>
      <w:pPr>
        <w:spacing w:after="0" w:line="92" w:lineRule="exact"/>
        <w:rPr>
          <w:sz w:val="20"/>
          <w:szCs w:val="20"/>
          <w:color w:val="auto"/>
        </w:rPr>
      </w:pPr>
    </w:p>
    <w:p>
      <w:pPr>
        <w:ind w:left="2980"/>
        <w:spacing w:after="0"/>
        <w:tabs>
          <w:tab w:leader="none" w:pos="3300" w:val="left"/>
        </w:tabs>
        <w:rPr>
          <w:sz w:val="20"/>
          <w:szCs w:val="20"/>
          <w:color w:val="auto"/>
        </w:rPr>
      </w:pPr>
      <w:r>
        <w:rPr>
          <w:rFonts w:ascii="Arial" w:cs="Arial" w:eastAsia="Arial" w:hAnsi="Arial"/>
          <w:sz w:val="17"/>
          <w:szCs w:val="17"/>
          <w:color w:val="auto"/>
        </w:rPr>
        <w:t>d)</w:t>
        <w:tab/>
        <w:t>the Grantor, the Employer or any member of the Group or any other party shall in no event be liable to the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740" w:type="dxa"/>
            <w:vAlign w:val="bottom"/>
          </w:tcPr>
          <w:p>
            <w:pPr>
              <w:ind w:left="660"/>
              <w:spacing w:after="0"/>
              <w:rPr>
                <w:sz w:val="20"/>
                <w:szCs w:val="20"/>
                <w:color w:val="auto"/>
              </w:rPr>
            </w:pPr>
            <w:r>
              <w:rPr>
                <w:rFonts w:ascii="Arial" w:cs="Arial" w:eastAsia="Arial" w:hAnsi="Arial"/>
                <w:sz w:val="18"/>
                <w:szCs w:val="18"/>
                <w:color w:val="auto"/>
              </w:rPr>
              <w:t>Grantee or representative or any other person or entity for any third party claim, loss of profits, loss of</w:t>
            </w:r>
          </w:p>
        </w:tc>
      </w:tr>
      <w:tr>
        <w:trPr>
          <w:trHeight w:val="216"/>
        </w:trPr>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740" w:type="dxa"/>
            <w:vAlign w:val="bottom"/>
          </w:tcPr>
          <w:p>
            <w:pPr>
              <w:ind w:left="660"/>
              <w:spacing w:after="0"/>
              <w:rPr>
                <w:sz w:val="20"/>
                <w:szCs w:val="20"/>
                <w:color w:val="auto"/>
              </w:rPr>
            </w:pPr>
            <w:r>
              <w:rPr>
                <w:rFonts w:ascii="Arial" w:cs="Arial" w:eastAsia="Arial" w:hAnsi="Arial"/>
                <w:sz w:val="18"/>
                <w:szCs w:val="18"/>
                <w:color w:val="auto"/>
                <w:w w:val="94"/>
              </w:rPr>
              <w:t>opportunity, loss of savings or any punitive, incidental or consequential damage, including performances of</w:t>
            </w:r>
          </w:p>
        </w:tc>
      </w:tr>
      <w:tr>
        <w:trPr>
          <w:trHeight w:val="216"/>
        </w:trPr>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740" w:type="dxa"/>
            <w:vAlign w:val="bottom"/>
          </w:tcPr>
          <w:p>
            <w:pPr>
              <w:ind w:left="660"/>
              <w:spacing w:after="0"/>
              <w:rPr>
                <w:sz w:val="20"/>
                <w:szCs w:val="20"/>
                <w:color w:val="auto"/>
              </w:rPr>
            </w:pPr>
            <w:r>
              <w:rPr>
                <w:rFonts w:ascii="Arial" w:cs="Arial" w:eastAsia="Arial" w:hAnsi="Arial"/>
                <w:sz w:val="18"/>
                <w:szCs w:val="18"/>
                <w:color w:val="auto"/>
                <w:w w:val="97"/>
              </w:rPr>
              <w:t>these terms and conditions or from any other cause whatsoever whether known or unknown, contingent,</w:t>
            </w:r>
          </w:p>
        </w:tc>
      </w:tr>
      <w:tr>
        <w:trPr>
          <w:trHeight w:val="216"/>
        </w:trPr>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740" w:type="dxa"/>
            <w:vAlign w:val="bottom"/>
          </w:tcPr>
          <w:p>
            <w:pPr>
              <w:ind w:left="660"/>
              <w:spacing w:after="0"/>
              <w:rPr>
                <w:sz w:val="20"/>
                <w:szCs w:val="20"/>
                <w:color w:val="auto"/>
              </w:rPr>
            </w:pPr>
            <w:r>
              <w:rPr>
                <w:rFonts w:ascii="Arial" w:cs="Arial" w:eastAsia="Arial" w:hAnsi="Arial"/>
                <w:sz w:val="18"/>
                <w:szCs w:val="18"/>
                <w:color w:val="auto"/>
                <w:w w:val="96"/>
              </w:rPr>
              <w:t>absolute or otherwise, whether based in contract, tort, equity, indemnity, breach of warranty or otherwise,</w:t>
            </w:r>
          </w:p>
        </w:tc>
      </w:tr>
      <w:tr>
        <w:trPr>
          <w:trHeight w:val="216"/>
        </w:trPr>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740" w:type="dxa"/>
            <w:vAlign w:val="bottom"/>
          </w:tcPr>
          <w:p>
            <w:pPr>
              <w:ind w:left="660"/>
              <w:spacing w:after="0"/>
              <w:rPr>
                <w:sz w:val="20"/>
                <w:szCs w:val="20"/>
                <w:color w:val="auto"/>
              </w:rPr>
            </w:pPr>
            <w:r>
              <w:rPr>
                <w:rFonts w:ascii="Arial" w:cs="Arial" w:eastAsia="Arial" w:hAnsi="Arial"/>
                <w:sz w:val="18"/>
                <w:szCs w:val="18"/>
                <w:color w:val="auto"/>
                <w:w w:val="92"/>
              </w:rPr>
              <w:t>whether pursuant to common law, statute, equity or otherwise even if the Grantor or any other party has been</w:t>
            </w:r>
          </w:p>
        </w:tc>
      </w:tr>
      <w:tr>
        <w:trPr>
          <w:trHeight w:val="216"/>
        </w:trPr>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740" w:type="dxa"/>
            <w:vAlign w:val="bottom"/>
          </w:tcPr>
          <w:p>
            <w:pPr>
              <w:ind w:left="660"/>
              <w:spacing w:after="0"/>
              <w:rPr>
                <w:sz w:val="20"/>
                <w:szCs w:val="20"/>
                <w:color w:val="auto"/>
              </w:rPr>
            </w:pPr>
            <w:r>
              <w:rPr>
                <w:rFonts w:ascii="Arial" w:cs="Arial" w:eastAsia="Arial" w:hAnsi="Arial"/>
                <w:sz w:val="18"/>
                <w:szCs w:val="18"/>
                <w:color w:val="auto"/>
                <w:w w:val="99"/>
              </w:rPr>
              <w:t>advised of the possibility of such damage and even if the limited remedy provided for is found to fail of</w:t>
            </w:r>
          </w:p>
        </w:tc>
      </w:tr>
      <w:tr>
        <w:trPr>
          <w:trHeight w:val="230"/>
        </w:trPr>
        <w:tc>
          <w:tcPr>
            <w:tcW w:w="5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740" w:type="dxa"/>
            <w:vAlign w:val="bottom"/>
          </w:tcPr>
          <w:p>
            <w:pPr>
              <w:ind w:left="660"/>
              <w:spacing w:after="0"/>
              <w:rPr>
                <w:sz w:val="20"/>
                <w:szCs w:val="20"/>
                <w:color w:val="auto"/>
              </w:rPr>
            </w:pPr>
            <w:r>
              <w:rPr>
                <w:rFonts w:ascii="Arial" w:cs="Arial" w:eastAsia="Arial" w:hAnsi="Arial"/>
                <w:sz w:val="18"/>
                <w:szCs w:val="18"/>
                <w:color w:val="auto"/>
              </w:rPr>
              <w:t>essential purpose.</w:t>
            </w:r>
          </w:p>
        </w:tc>
      </w:tr>
      <w:tr>
        <w:trPr>
          <w:trHeight w:val="323"/>
        </w:trPr>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19.</w:t>
            </w:r>
          </w:p>
        </w:tc>
        <w:tc>
          <w:tcPr>
            <w:tcW w:w="2140" w:type="dxa"/>
            <w:vAlign w:val="bottom"/>
          </w:tcPr>
          <w:p>
            <w:pPr>
              <w:ind w:left="300"/>
              <w:spacing w:after="0"/>
              <w:rPr>
                <w:sz w:val="20"/>
                <w:szCs w:val="20"/>
                <w:color w:val="auto"/>
              </w:rPr>
            </w:pPr>
            <w:r>
              <w:rPr>
                <w:rFonts w:ascii="Arial" w:cs="Arial" w:eastAsia="Arial" w:hAnsi="Arial"/>
                <w:sz w:val="18"/>
                <w:szCs w:val="18"/>
                <w:b w:val="1"/>
                <w:bCs w:val="1"/>
                <w:color w:val="auto"/>
              </w:rPr>
              <w:t>Severability</w:t>
            </w:r>
          </w:p>
        </w:tc>
        <w:tc>
          <w:tcPr>
            <w:tcW w:w="8740" w:type="dxa"/>
            <w:vAlign w:val="bottom"/>
          </w:tcPr>
          <w:p>
            <w:pPr>
              <w:ind w:left="300"/>
              <w:spacing w:after="0"/>
              <w:rPr>
                <w:sz w:val="20"/>
                <w:szCs w:val="20"/>
                <w:color w:val="auto"/>
              </w:rPr>
            </w:pPr>
            <w:r>
              <w:rPr>
                <w:rFonts w:ascii="Arial" w:cs="Arial" w:eastAsia="Arial" w:hAnsi="Arial"/>
                <w:sz w:val="18"/>
                <w:szCs w:val="18"/>
                <w:color w:val="auto"/>
                <w:w w:val="94"/>
              </w:rPr>
              <w:t>Any term, condition, stipulation or provision in these conditions which is illegal, void, prohibited or unenforceable</w:t>
            </w:r>
          </w:p>
        </w:tc>
      </w:tr>
      <w:tr>
        <w:trPr>
          <w:trHeight w:val="216"/>
        </w:trPr>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740" w:type="dxa"/>
            <w:vAlign w:val="bottom"/>
          </w:tcPr>
          <w:p>
            <w:pPr>
              <w:ind w:left="300"/>
              <w:spacing w:after="0"/>
              <w:rPr>
                <w:sz w:val="20"/>
                <w:szCs w:val="20"/>
                <w:color w:val="auto"/>
              </w:rPr>
            </w:pPr>
            <w:r>
              <w:rPr>
                <w:rFonts w:ascii="Arial" w:cs="Arial" w:eastAsia="Arial" w:hAnsi="Arial"/>
                <w:sz w:val="18"/>
                <w:szCs w:val="18"/>
                <w:color w:val="auto"/>
                <w:w w:val="93"/>
              </w:rPr>
              <w:t>shall be ineffective to the extent of such illegality, voidness, prohibition or unenforceability without invalidating the</w:t>
            </w:r>
          </w:p>
        </w:tc>
      </w:tr>
      <w:tr>
        <w:trPr>
          <w:trHeight w:val="216"/>
        </w:trPr>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740" w:type="dxa"/>
            <w:vAlign w:val="bottom"/>
          </w:tcPr>
          <w:p>
            <w:pPr>
              <w:ind w:left="300"/>
              <w:spacing w:after="0"/>
              <w:rPr>
                <w:sz w:val="20"/>
                <w:szCs w:val="20"/>
                <w:color w:val="auto"/>
              </w:rPr>
            </w:pPr>
            <w:r>
              <w:rPr>
                <w:rFonts w:ascii="Arial" w:cs="Arial" w:eastAsia="Arial" w:hAnsi="Arial"/>
                <w:sz w:val="18"/>
                <w:szCs w:val="18"/>
                <w:color w:val="auto"/>
                <w:w w:val="92"/>
              </w:rPr>
              <w:t>remaining provisions hereof, and any such illegality, voidness, prohibition or unenforceability shall not invalidate or</w:t>
            </w:r>
          </w:p>
        </w:tc>
      </w:tr>
      <w:tr>
        <w:trPr>
          <w:trHeight w:val="230"/>
        </w:trPr>
        <w:tc>
          <w:tcPr>
            <w:tcW w:w="5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740" w:type="dxa"/>
            <w:vAlign w:val="bottom"/>
          </w:tcPr>
          <w:p>
            <w:pPr>
              <w:ind w:left="300"/>
              <w:spacing w:after="0"/>
              <w:rPr>
                <w:sz w:val="20"/>
                <w:szCs w:val="20"/>
                <w:color w:val="auto"/>
              </w:rPr>
            </w:pPr>
            <w:r>
              <w:rPr>
                <w:rFonts w:ascii="Arial" w:cs="Arial" w:eastAsia="Arial" w:hAnsi="Arial"/>
                <w:sz w:val="18"/>
                <w:szCs w:val="18"/>
                <w:color w:val="auto"/>
              </w:rPr>
              <w:t>render illegal, void or unenforceable any other term, condition, stipulation or provision herein contained.</w:t>
            </w:r>
          </w:p>
        </w:tc>
      </w:tr>
      <w:tr>
        <w:trPr>
          <w:trHeight w:val="306"/>
        </w:trPr>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20.</w:t>
            </w:r>
          </w:p>
        </w:tc>
        <w:tc>
          <w:tcPr>
            <w:tcW w:w="2140" w:type="dxa"/>
            <w:vAlign w:val="bottom"/>
          </w:tcPr>
          <w:p>
            <w:pPr>
              <w:ind w:left="300"/>
              <w:spacing w:after="0"/>
              <w:rPr>
                <w:sz w:val="20"/>
                <w:szCs w:val="20"/>
                <w:color w:val="auto"/>
              </w:rPr>
            </w:pPr>
            <w:r>
              <w:rPr>
                <w:rFonts w:ascii="Arial" w:cs="Arial" w:eastAsia="Arial" w:hAnsi="Arial"/>
                <w:sz w:val="18"/>
                <w:szCs w:val="18"/>
                <w:b w:val="1"/>
                <w:bCs w:val="1"/>
                <w:color w:val="auto"/>
              </w:rPr>
              <w:t>Governing Law and</w:t>
            </w:r>
          </w:p>
        </w:tc>
        <w:tc>
          <w:tcPr>
            <w:tcW w:w="8740" w:type="dxa"/>
            <w:vAlign w:val="bottom"/>
          </w:tcPr>
          <w:p>
            <w:pPr>
              <w:ind w:left="300"/>
              <w:spacing w:after="0"/>
              <w:rPr>
                <w:sz w:val="20"/>
                <w:szCs w:val="20"/>
                <w:color w:val="auto"/>
              </w:rPr>
            </w:pPr>
            <w:r>
              <w:rPr>
                <w:rFonts w:ascii="Arial" w:cs="Arial" w:eastAsia="Arial" w:hAnsi="Arial"/>
                <w:sz w:val="18"/>
                <w:szCs w:val="18"/>
                <w:color w:val="auto"/>
                <w:w w:val="89"/>
              </w:rPr>
              <w:t>These conditions shall be governed and construed in accordance with the laws of Hong Kong and the parties agree to</w:t>
            </w:r>
          </w:p>
        </w:tc>
      </w:tr>
      <w:tr>
        <w:trPr>
          <w:trHeight w:val="220"/>
        </w:trPr>
        <w:tc>
          <w:tcPr>
            <w:tcW w:w="540" w:type="dxa"/>
            <w:vAlign w:val="bottom"/>
          </w:tcPr>
          <w:p>
            <w:pPr>
              <w:spacing w:after="0"/>
              <w:rPr>
                <w:sz w:val="19"/>
                <w:szCs w:val="19"/>
                <w:color w:val="auto"/>
              </w:rPr>
            </w:pPr>
          </w:p>
        </w:tc>
        <w:tc>
          <w:tcPr>
            <w:tcW w:w="2140" w:type="dxa"/>
            <w:vAlign w:val="bottom"/>
          </w:tcPr>
          <w:p>
            <w:pPr>
              <w:ind w:left="300"/>
              <w:spacing w:after="0"/>
              <w:rPr>
                <w:sz w:val="20"/>
                <w:szCs w:val="20"/>
                <w:color w:val="auto"/>
              </w:rPr>
            </w:pPr>
            <w:r>
              <w:rPr>
                <w:rFonts w:ascii="Arial" w:cs="Arial" w:eastAsia="Arial" w:hAnsi="Arial"/>
                <w:sz w:val="18"/>
                <w:szCs w:val="18"/>
                <w:b w:val="1"/>
                <w:bCs w:val="1"/>
                <w:color w:val="auto"/>
              </w:rPr>
              <w:t>Jurisdiction</w:t>
            </w:r>
          </w:p>
        </w:tc>
        <w:tc>
          <w:tcPr>
            <w:tcW w:w="8740" w:type="dxa"/>
            <w:vAlign w:val="bottom"/>
          </w:tcPr>
          <w:p>
            <w:pPr>
              <w:ind w:left="300"/>
              <w:spacing w:after="0"/>
              <w:rPr>
                <w:sz w:val="20"/>
                <w:szCs w:val="20"/>
                <w:color w:val="auto"/>
              </w:rPr>
            </w:pPr>
            <w:r>
              <w:rPr>
                <w:rFonts w:ascii="Arial" w:cs="Arial" w:eastAsia="Arial" w:hAnsi="Arial"/>
                <w:sz w:val="18"/>
                <w:szCs w:val="18"/>
                <w:color w:val="auto"/>
                <w:w w:val="93"/>
              </w:rPr>
              <w:t>the exclusive jurisdiction of the Courts of Hong Kong in all matters connected with the obligations and liabilities of</w:t>
            </w:r>
          </w:p>
        </w:tc>
      </w:tr>
      <w:tr>
        <w:trPr>
          <w:trHeight w:val="230"/>
        </w:trPr>
        <w:tc>
          <w:tcPr>
            <w:tcW w:w="5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740" w:type="dxa"/>
            <w:vAlign w:val="bottom"/>
          </w:tcPr>
          <w:p>
            <w:pPr>
              <w:ind w:left="300"/>
              <w:spacing w:after="0"/>
              <w:rPr>
                <w:sz w:val="20"/>
                <w:szCs w:val="20"/>
                <w:color w:val="auto"/>
              </w:rPr>
            </w:pPr>
            <w:r>
              <w:rPr>
                <w:rFonts w:ascii="Arial" w:cs="Arial" w:eastAsia="Arial" w:hAnsi="Arial"/>
                <w:sz w:val="18"/>
                <w:szCs w:val="18"/>
                <w:color w:val="auto"/>
              </w:rPr>
              <w:t>the parties hereto under or arising out of this agreement.</w:t>
            </w:r>
          </w:p>
        </w:tc>
      </w:tr>
    </w:tbl>
    <w:p>
      <w:pPr>
        <w:sectPr>
          <w:pgSz w:w="11900" w:h="16838" w:orient="portrait"/>
          <w:cols w:equalWidth="0" w:num="1">
            <w:col w:w="11420"/>
          </w:cols>
          <w:pgMar w:left="240" w:top="27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iClick Interactive Asia Group Limited of our report dated April 20, 2018 relating to the consolidated financial statements, which appears in iClick Interactive Asia Group Limited’s Annual Report on Form 20-F for the year ended December 31,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lowerLetter"/>
      <w:start w:val="1"/>
    </w:lvl>
  </w:abstractNum>
  <w:abstractNum w:abstractNumId="3">
    <w:nsid w:val="38437FD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7644A45C"/>
    <w:multiLevelType w:val="hybridMultilevel"/>
    <w:lvl w:ilvl="0">
      <w:lvlJc w:val="left"/>
      <w:lvlText w:val="(%1)"/>
      <w:numFmt w:val="decimal"/>
      <w:start w:val="2"/>
    </w:lvl>
  </w:abstractNum>
  <w:abstractNum w:abstractNumId="5">
    <w:nsid w:val="32FFF902"/>
    <w:multiLevelType w:val="hybridMultilevel"/>
    <w:lvl w:ilvl="0">
      <w:lvlJc w:val="left"/>
      <w:lvlText w:val="%1"/>
      <w:numFmt w:val="lowerLetter"/>
      <w:start w:val="1"/>
    </w:lvl>
    <w:lvl w:ilvl="1">
      <w:lvlJc w:val="left"/>
      <w:lvlText w:val="(%2)"/>
      <w:numFmt w:val="decimal"/>
      <w:start w:val="3"/>
    </w:lvl>
  </w:abstractNum>
  <w:abstractNum w:abstractNumId="6">
    <w:nsid w:val="684A481A"/>
    <w:multiLevelType w:val="hybridMultilevel"/>
    <w:lvl w:ilvl="0">
      <w:lvlJc w:val="left"/>
      <w:lvlText w:val="(%1)"/>
      <w:numFmt w:val="lowerLetter"/>
      <w:start w:val="2"/>
    </w:lvl>
    <w:lvl w:ilvl="1">
      <w:lvlJc w:val="left"/>
      <w:lvlText w:val="%2"/>
      <w:numFmt w:val="decimal"/>
      <w:start w:val="1"/>
    </w:lvl>
  </w:abstractNum>
  <w:abstractNum w:abstractNumId="7">
    <w:nsid w:val="579478FE"/>
    <w:multiLevelType w:val="hybridMultilevel"/>
    <w:lvl w:ilvl="0">
      <w:lvlJc w:val="left"/>
      <w:lvlText w:val="%1."/>
      <w:numFmt w:val="decimal"/>
      <w:start w:val="1"/>
    </w:lvl>
  </w:abstractNum>
  <w:abstractNum w:abstractNumId="8">
    <w:nsid w:val="749ABB43"/>
    <w:multiLevelType w:val="hybridMultilevel"/>
    <w:lvl w:ilvl="0">
      <w:lvlJc w:val="left"/>
      <w:lvlText w:val="(%1)"/>
      <w:numFmt w:val="lowerLetter"/>
      <w:start w:val="1"/>
    </w:lvl>
  </w:abstractNum>
  <w:abstractNum w:abstractNumId="9">
    <w:nsid w:val="3DC240FB"/>
    <w:multiLevelType w:val="hybridMultilevel"/>
    <w:lvl w:ilvl="0">
      <w:lvlJc w:val="left"/>
      <w:lvlText w:val="(%1)"/>
      <w:numFmt w:val="lowerLetter"/>
      <w:start w:val="8"/>
    </w:lvl>
  </w:abstractNum>
  <w:abstractNum w:abstractNumId="10">
    <w:nsid w:val="1BA026FA"/>
    <w:multiLevelType w:val="hybridMultilevel"/>
    <w:lvl w:ilvl="0">
      <w:lvlJc w:val="left"/>
      <w:lvlText w:val="%1."/>
      <w:numFmt w:val="decimal"/>
      <w:start w:val="2"/>
    </w:lvl>
  </w:abstractNum>
  <w:abstractNum w:abstractNumId="11">
    <w:nsid w:val="79A1DEAA"/>
    <w:multiLevelType w:val="hybridMultilevel"/>
    <w:lvl w:ilvl="0">
      <w:lvlJc w:val="left"/>
      <w:lvlText w:val="(%1)"/>
      <w:numFmt w:val="lowerLetter"/>
      <w:start w:val="1"/>
    </w:lvl>
  </w:abstractNum>
  <w:abstractNum w:abstractNumId="12">
    <w:nsid w:val="75C6C33A"/>
    <w:multiLevelType w:val="hybridMultilevel"/>
    <w:lvl w:ilvl="0">
      <w:lvlJc w:val="left"/>
      <w:lvlText w:val="%1."/>
      <w:numFmt w:val="decimal"/>
      <w:start w:val="3"/>
    </w:lvl>
  </w:abstractNum>
  <w:abstractNum w:abstractNumId="13">
    <w:nsid w:val="12E685FB"/>
    <w:multiLevelType w:val="hybridMultilevel"/>
    <w:lvl w:ilvl="0">
      <w:lvlJc w:val="left"/>
      <w:lvlText w:val="(%1)"/>
      <w:numFmt w:val="lowerLetter"/>
      <w:start w:val="1"/>
    </w:lvl>
  </w:abstractNum>
  <w:abstractNum w:abstractNumId="14">
    <w:nsid w:val="70C6A529"/>
    <w:multiLevelType w:val="hybridMultilevel"/>
    <w:lvl w:ilvl="0">
      <w:lvlJc w:val="left"/>
      <w:lvlText w:val="%1"/>
      <w:numFmt w:val="decimal"/>
      <w:start w:val="1"/>
    </w:lvl>
    <w:lvl w:ilvl="1">
      <w:lvlJc w:val="left"/>
      <w:lvlText w:val="%2."/>
      <w:numFmt w:val="decimal"/>
      <w:start w:val="4"/>
    </w:lvl>
  </w:abstractNum>
  <w:abstractNum w:abstractNumId="15">
    <w:nsid w:val="520EEDD1"/>
    <w:multiLevelType w:val="hybridMultilevel"/>
    <w:lvl w:ilvl="0">
      <w:lvlJc w:val="left"/>
      <w:lvlText w:val="(%1)"/>
      <w:numFmt w:val="decimal"/>
      <w:start w:val="10"/>
    </w:lvl>
    <w:lvl w:ilvl="1">
      <w:lvlJc w:val="left"/>
      <w:lvlText w:val="%2"/>
      <w:numFmt w:val="decimal"/>
      <w:start w:val="1"/>
    </w:lvl>
  </w:abstractNum>
  <w:abstractNum w:abstractNumId="16">
    <w:nsid w:val="374A3FE6"/>
    <w:multiLevelType w:val="hybridMultilevel"/>
    <w:lvl w:ilvl="0">
      <w:lvlJc w:val="left"/>
      <w:lvlText w:val="%1."/>
      <w:numFmt w:val="decimal"/>
      <w:start w:val="6"/>
    </w:lvl>
  </w:abstractNum>
  <w:abstractNum w:abstractNumId="17">
    <w:nsid w:val="4F4EF005"/>
    <w:multiLevelType w:val="hybridMultilevel"/>
    <w:lvl w:ilvl="0">
      <w:lvlJc w:val="left"/>
      <w:lvlText w:val="(%1)"/>
      <w:numFmt w:val="lowerLetter"/>
      <w:start w:val="1"/>
    </w:lvl>
  </w:abstractNum>
  <w:abstractNum w:abstractNumId="18">
    <w:nsid w:val="23F9C13C"/>
    <w:multiLevelType w:val="hybridMultilevel"/>
    <w:lvl w:ilvl="0">
      <w:lvlJc w:val="left"/>
      <w:lvlText w:val="%1."/>
      <w:numFmt w:val="decimal"/>
      <w:start w:val="10"/>
    </w:lvl>
  </w:abstractNum>
  <w:abstractNum w:abstractNumId="19">
    <w:nsid w:val="649BB77C"/>
    <w:multiLevelType w:val="hybridMultilevel"/>
    <w:lvl w:ilvl="0">
      <w:lvlJc w:val="left"/>
      <w:lvlText w:val="(%1)"/>
      <w:numFmt w:val="lowerLetter"/>
      <w:start w:val="1"/>
    </w:lvl>
  </w:abstractNum>
  <w:abstractNum w:abstractNumId="20">
    <w:nsid w:val="275AC794"/>
    <w:multiLevelType w:val="hybridMultilevel"/>
    <w:lvl w:ilvl="0">
      <w:lvlJc w:val="left"/>
      <w:lvlText w:val="(%1)"/>
      <w:numFmt w:val="lowerLetter"/>
      <w:start w:val="3"/>
    </w:lvl>
  </w:abstractNum>
  <w:abstractNum w:abstractNumId="21">
    <w:nsid w:val="39386575"/>
    <w:multiLevelType w:val="hybridMultilevel"/>
    <w:lvl w:ilvl="0">
      <w:lvlJc w:val="left"/>
      <w:lvlText w:val="%1."/>
      <w:numFmt w:val="decimal"/>
      <w:start w:val="13"/>
    </w:lvl>
  </w:abstractNum>
  <w:abstractNum w:abstractNumId="22">
    <w:nsid w:val="1CF10FD8"/>
    <w:multiLevelType w:val="hybridMultilevel"/>
    <w:lvl w:ilvl="0">
      <w:lvlJc w:val="left"/>
      <w:lvlText w:val="%1."/>
      <w:numFmt w:val="decimal"/>
      <w:start w:val="15"/>
    </w:lvl>
  </w:abstractNum>
  <w:abstractNum w:abstractNumId="23">
    <w:nsid w:val="180115BE"/>
    <w:multiLevelType w:val="hybridMultilevel"/>
    <w:lvl w:ilvl="0">
      <w:lvlJc w:val="left"/>
      <w:lvlText w:val="%1."/>
      <w:numFmt w:val="decimal"/>
      <w:start w:val="16"/>
    </w:lvl>
  </w:abstractNum>
  <w:abstractNum w:abstractNumId="24">
    <w:nsid w:val="235BA861"/>
    <w:multiLevelType w:val="hybridMultilevel"/>
    <w:lvl w:ilvl="0">
      <w:lvlJc w:val="left"/>
      <w:lvlText w:val="%1"/>
      <w:numFmt w:val="lowerRoman"/>
      <w:start w:val="1"/>
    </w:lvl>
    <w:lvl w:ilvl="1">
      <w:lvlJc w:val="left"/>
      <w:lvlText w:val="(%2)"/>
      <w:numFmt w:val="lowerLetter"/>
      <w:start w:val="1"/>
    </w:lvl>
  </w:abstractNum>
  <w:abstractNum w:abstractNumId="25">
    <w:nsid w:val="47398C89"/>
    <w:multiLevelType w:val="hybridMultilevel"/>
    <w:lvl w:ilvl="0">
      <w:lvlJc w:val="left"/>
      <w:lvlText w:val="(%1)"/>
      <w:numFmt w:val="lowerRoman"/>
      <w:start w:val="1"/>
    </w:lvl>
    <w:lvl w:ilvl="1">
      <w:lvlJc w:val="left"/>
      <w:lvlText w:val="%2"/>
      <w:numFmt w:val="lowerLetter"/>
      <w:start w:val="1"/>
    </w:lvl>
  </w:abstractNum>
  <w:abstractNum w:abstractNumId="26">
    <w:nsid w:val="354FE9F9"/>
    <w:multiLevelType w:val="hybridMultilevel"/>
    <w:lvl w:ilvl="0">
      <w:lvlJc w:val="left"/>
      <w:lvlText w:val="%1."/>
      <w:numFmt w:val="decimal"/>
      <w:start w:val="17"/>
    </w:lvl>
  </w:abstractNum>
  <w:abstractNum w:abstractNumId="27">
    <w:nsid w:val="15B5AF5C"/>
    <w:multiLevelType w:val="hybridMultilevel"/>
    <w:lvl w:ilvl="0">
      <w:lvlJc w:val="left"/>
      <w:lvlText w:val="%1."/>
      <w:numFmt w:val="decimal"/>
      <w:start w:val="19"/>
    </w:lvl>
  </w:abstractNum>
  <w:abstractNum w:abstractNumId="28">
    <w:nsid w:val="741226BB"/>
    <w:multiLevelType w:val="hybridMultilevel"/>
    <w:lvl w:ilvl="0">
      <w:lvlJc w:val="left"/>
      <w:lvlText w:val="(%1)"/>
      <w:numFmt w:val="lowerLetter"/>
      <w:start w:val="1"/>
    </w:lvl>
  </w:abstractNum>
  <w:abstractNum w:abstractNumId="29">
    <w:nsid w:val="D34B6A8"/>
    <w:multiLevelType w:val="hybridMultilevel"/>
    <w:lvl w:ilvl="0">
      <w:lvlJc w:val="left"/>
      <w:lvlText w:val="(%1)"/>
      <w:numFmt w:val="lowerLetter"/>
      <w:start w:val="3"/>
    </w:lvl>
  </w:abstractNum>
  <w:abstractNum w:abstractNumId="30">
    <w:nsid w:val="10233C99"/>
    <w:multiLevelType w:val="hybridMultilevel"/>
    <w:lvl w:ilvl="0">
      <w:lvlJc w:val="left"/>
      <w:lvlText w:val="(%1)"/>
      <w:numFmt w:val="lowerLetter"/>
      <w:start w:val="4"/>
    </w:lvl>
  </w:abstractNum>
  <w:abstractNum w:abstractNumId="31">
    <w:nsid w:val="3F6AB60F"/>
    <w:multiLevelType w:val="hybridMultilevel"/>
    <w:lvl w:ilvl="0">
      <w:lvlJc w:val="left"/>
      <w:lvlText w:val="%1."/>
      <w:numFmt w:val="decimal"/>
      <w:start w:val="21"/>
    </w:lvl>
  </w:abstractNum>
  <w:abstractNum w:abstractNumId="32">
    <w:nsid w:val="61574095"/>
    <w:multiLevelType w:val="hybridMultilevel"/>
    <w:lvl w:ilvl="0">
      <w:lvlJc w:val="left"/>
      <w:lvlText w:val="(%1)"/>
      <w:numFmt w:val="lowerLetter"/>
      <w:start w:val="1"/>
    </w:lvl>
  </w:abstractNum>
  <w:abstractNum w:abstractNumId="33">
    <w:nsid w:val="7E0C57B1"/>
    <w:multiLevelType w:val="hybridMultilevel"/>
    <w:lvl w:ilvl="0">
      <w:lvlJc w:val="left"/>
      <w:lvlText w:val="(%1)"/>
      <w:numFmt w:val="lowerLetter"/>
      <w:start w:val="3"/>
    </w:lvl>
  </w:abstractNum>
  <w:abstractNum w:abstractNumId="34">
    <w:nsid w:val="77AE35EB"/>
    <w:multiLevelType w:val="hybridMultilevel"/>
    <w:lvl w:ilvl="0">
      <w:lvlJc w:val="left"/>
      <w:lvlText w:val="%1."/>
      <w:numFmt w:val="decimal"/>
      <w:start w:val="22"/>
    </w:lvl>
  </w:abstractNum>
  <w:abstractNum w:abstractNumId="35">
    <w:nsid w:val="579BE4F1"/>
    <w:multiLevelType w:val="hybridMultilevel"/>
    <w:lvl w:ilvl="0">
      <w:lvlJc w:val="left"/>
      <w:lvlText w:val="%1."/>
      <w:numFmt w:val="decimal"/>
      <w:start w:val="23"/>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1"/>
      <w:numFmt w:val="lowerRoman"/>
      <w:start w:val="1"/>
    </w:lvl>
    <w:lvl w:ilvl="1">
      <w:lvlJc w:val="left"/>
      <w:lvlText w:val="(%2)"/>
      <w:numFmt w:val="lowerLetter"/>
      <w:start w:val="1"/>
    </w:lvl>
  </w:abstractNum>
  <w:abstractNum w:abstractNumId="38">
    <w:nsid w:val="2F305DEF"/>
    <w:multiLevelType w:val="hybridMultilevel"/>
    <w:lvl w:ilvl="0">
      <w:lvlJc w:val="left"/>
      <w:lvlText w:val="(%1)"/>
      <w:numFmt w:val="lowerRoman"/>
      <w:start w:val="4"/>
    </w:lvl>
    <w:lvl w:ilvl="1">
      <w:lvlJc w:val="left"/>
      <w:lvlText w:val="%2"/>
      <w:numFmt w:val="lowerLetter"/>
      <w:start w:val="1"/>
    </w:lvl>
  </w:abstractNum>
  <w:abstractNum w:abstractNumId="39">
    <w:nsid w:val="25A70BF7"/>
    <w:multiLevelType w:val="hybridMultilevel"/>
    <w:lvl w:ilvl="0">
      <w:lvlJc w:val="left"/>
      <w:lvlText w:val="(%1)"/>
      <w:numFmt w:val="decimal"/>
      <w:start w:val="2"/>
    </w:lvl>
  </w:abstractNum>
  <w:abstractNum w:abstractNumId="40">
    <w:nsid w:val="1DBABF00"/>
    <w:multiLevelType w:val="hybridMultilevel"/>
    <w:lvl w:ilvl="0">
      <w:lvlJc w:val="left"/>
      <w:lvlText w:val="%1"/>
      <w:numFmt w:val="lowerLetter"/>
      <w:start w:val="1"/>
    </w:lvl>
    <w:lvl w:ilvl="1">
      <w:lvlJc w:val="left"/>
      <w:lvlText w:val="(%2)"/>
      <w:numFmt w:val="decimal"/>
      <w:start w:val="3"/>
    </w:lvl>
  </w:abstractNum>
  <w:abstractNum w:abstractNumId="41">
    <w:nsid w:val="4AD084E9"/>
    <w:multiLevelType w:val="hybridMultilevel"/>
    <w:lvl w:ilvl="0">
      <w:lvlJc w:val="left"/>
      <w:lvlText w:val="(%1)"/>
      <w:numFmt w:val="lowerLetter"/>
      <w:start w:val="1"/>
    </w:lvl>
    <w:lvl w:ilvl="1">
      <w:lvlJc w:val="left"/>
      <w:lvlText w:val="%2"/>
      <w:numFmt w:val="decimal"/>
      <w:start w:val="1"/>
    </w:lvl>
  </w:abstractNum>
  <w:abstractNum w:abstractNumId="42">
    <w:nsid w:val="1F48EAA1"/>
    <w:multiLevelType w:val="hybridMultilevel"/>
    <w:lvl w:ilvl="0">
      <w:lvlJc w:val="left"/>
      <w:lvlText w:val="(%1)"/>
      <w:numFmt w:val="lowerLetter"/>
      <w:start w:val="35"/>
    </w:lvl>
    <w:lvl w:ilvl="1">
      <w:lvlJc w:val="left"/>
      <w:lvlText w:val="%2"/>
      <w:numFmt w:val="decimal"/>
      <w:start w:val="1"/>
    </w:lvl>
  </w:abstractNum>
  <w:abstractNum w:abstractNumId="43">
    <w:nsid w:val="1381823A"/>
    <w:multiLevelType w:val="hybridMultilevel"/>
    <w:lvl w:ilvl="0">
      <w:lvlJc w:val="left"/>
      <w:lvlText w:val="(%1)"/>
      <w:numFmt w:val="decimal"/>
      <w:start w:val="5"/>
    </w:lvl>
  </w:abstractNum>
  <w:abstractNum w:abstractNumId="44">
    <w:nsid w:val="5DB70AE5"/>
    <w:multiLevelType w:val="hybridMultilevel"/>
    <w:lvl w:ilvl="0">
      <w:lvlJc w:val="left"/>
      <w:lvlText w:val="(%1)"/>
      <w:numFmt w:val="decimal"/>
      <w:start w:val="6"/>
    </w:lvl>
  </w:abstractNum>
  <w:abstractNum w:abstractNumId="45">
    <w:nsid w:val="100F8FCA"/>
    <w:multiLevelType w:val="hybridMultilevel"/>
    <w:lvl w:ilvl="0">
      <w:lvlJc w:val="left"/>
      <w:lvlText w:val="(%1)"/>
      <w:numFmt w:val="lowerLetter"/>
      <w:start w:val="1"/>
    </w:lvl>
  </w:abstractNum>
  <w:abstractNum w:abstractNumId="46">
    <w:nsid w:val="6590700B"/>
    <w:multiLevelType w:val="hybridMultilevel"/>
    <w:lvl w:ilvl="0">
      <w:lvlJc w:val="left"/>
      <w:lvlText w:val="%1"/>
      <w:numFmt w:val="lowerLetter"/>
      <w:start w:val="1"/>
    </w:lvl>
    <w:lvl w:ilvl="1">
      <w:lvlJc w:val="left"/>
      <w:lvlText w:val="(%2)"/>
      <w:numFmt w:val="lowerLetter"/>
      <w:start w:val="3"/>
    </w:lvl>
  </w:abstractNum>
  <w:abstractNum w:abstractNumId="47">
    <w:nsid w:val="15014ACB"/>
    <w:multiLevelType w:val="hybridMultilevel"/>
    <w:lvl w:ilvl="0">
      <w:lvlJc w:val="left"/>
      <w:lvlText w:val="(%1)"/>
      <w:numFmt w:val="lowerLetter"/>
      <w:start w:val="61"/>
    </w:lvl>
    <w:lvl w:ilvl="1">
      <w:lvlJc w:val="left"/>
      <w:lvlText w:val="(%2)"/>
      <w:numFmt w:val="lowerLetter"/>
      <w:start w:val="4"/>
    </w:lvl>
  </w:abstractNum>
  <w:abstractNum w:abstractNumId="48">
    <w:nsid w:val="5F5E7FD0"/>
    <w:multiLevelType w:val="hybridMultilevel"/>
    <w:lvl w:ilvl="0">
      <w:lvlJc w:val="left"/>
      <w:lvlText w:val="(%1)"/>
      <w:numFmt w:val="decimal"/>
      <w:start w:val="8"/>
    </w:lvl>
  </w:abstractNum>
  <w:abstractNum w:abstractNumId="49">
    <w:nsid w:val="98A3148"/>
    <w:multiLevelType w:val="hybridMultilevel"/>
    <w:lvl w:ilvl="0">
      <w:lvlJc w:val="left"/>
      <w:lvlText w:val="(%1)"/>
      <w:numFmt w:val="decimal"/>
      <w:start w:val="10"/>
    </w:lvl>
  </w:abstractNum>
  <w:abstractNum w:abstractNumId="50">
    <w:nsid w:val="799D0247"/>
    <w:multiLevelType w:val="hybridMultilevel"/>
    <w:lvl w:ilvl="0">
      <w:lvlJc w:val="left"/>
      <w:lvlText w:val="%1"/>
      <w:numFmt w:val="decimal"/>
      <w:start w:val="1"/>
    </w:lvl>
    <w:lvl w:ilvl="1">
      <w:lvlJc w:val="left"/>
      <w:lvlText w:val="(%2)"/>
      <w:numFmt w:val="lowerLetter"/>
      <w:start w:val="1"/>
    </w:lvl>
  </w:abstractNum>
  <w:abstractNum w:abstractNumId="51">
    <w:nsid w:val="6B94764"/>
    <w:multiLevelType w:val="hybridMultilevel"/>
    <w:lvl w:ilvl="0">
      <w:lvlJc w:val="left"/>
      <w:lvlText w:val="(%1)"/>
      <w:numFmt w:val="decimal"/>
      <w:start w:val="4"/>
    </w:lvl>
    <w:lvl w:ilvl="1">
      <w:lvlJc w:val="left"/>
      <w:lvlText w:val="(%2)"/>
      <w:numFmt w:val="lowerLetter"/>
      <w:start w:val="2"/>
    </w:lvl>
  </w:abstractNum>
  <w:abstractNum w:abstractNumId="52">
    <w:nsid w:val="42C296BD"/>
    <w:multiLevelType w:val="hybridMultilevel"/>
    <w:lvl w:ilvl="0">
      <w:lvlJc w:val="left"/>
      <w:lvlText w:val="(%1)"/>
      <w:numFmt w:val="lowerLetter"/>
      <w:start w:val="4"/>
    </w:lvl>
  </w:abstractNum>
  <w:abstractNum w:abstractNumId="53">
    <w:nsid w:val="168E121F"/>
    <w:multiLevelType w:val="hybridMultilevel"/>
    <w:lvl w:ilvl="0">
      <w:lvlJc w:val="left"/>
      <w:lvlText w:val="(%1)"/>
      <w:numFmt w:val="decimal"/>
      <w:start w:val="11"/>
    </w:lvl>
  </w:abstractNum>
  <w:abstractNum w:abstractNumId="54">
    <w:nsid w:val="1EBA5D23"/>
    <w:multiLevelType w:val="hybridMultilevel"/>
    <w:lvl w:ilvl="0">
      <w:lvlJc w:val="left"/>
      <w:lvlText w:val="(%1)"/>
      <w:numFmt w:val="lowerLetter"/>
      <w:start w:val="1"/>
    </w:lvl>
  </w:abstractNum>
  <w:abstractNum w:abstractNumId="55">
    <w:nsid w:val="661E3F1E"/>
    <w:multiLevelType w:val="hybridMultilevel"/>
    <w:lvl w:ilvl="0">
      <w:lvlJc w:val="left"/>
      <w:lvlText w:val="(%1)"/>
      <w:numFmt w:val="lowerLetter"/>
      <w:start w:val="2"/>
    </w:lvl>
  </w:abstractNum>
  <w:abstractNum w:abstractNumId="56">
    <w:nsid w:val="5DC79EA8"/>
    <w:multiLevelType w:val="hybridMultilevel"/>
    <w:lvl w:ilvl="0">
      <w:lvlJc w:val="left"/>
      <w:lvlText w:val="(%1)"/>
      <w:numFmt w:val="lowerRoman"/>
      <w:start w:val="3"/>
    </w:lvl>
  </w:abstractNum>
  <w:abstractNum w:abstractNumId="57">
    <w:nsid w:val="540A471C"/>
    <w:multiLevelType w:val="hybridMultilevel"/>
    <w:lvl w:ilvl="0">
      <w:lvlJc w:val="left"/>
      <w:lvlText w:val="(%1)"/>
      <w:numFmt w:val="decimal"/>
      <w:start w:val="13"/>
    </w:lvl>
  </w:abstractNum>
  <w:abstractNum w:abstractNumId="58">
    <w:nsid w:val="7BD3EE7B"/>
    <w:multiLevelType w:val="hybridMultilevel"/>
    <w:lvl w:ilvl="0">
      <w:lvlJc w:val="left"/>
      <w:lvlText w:val="(%1)"/>
      <w:numFmt w:val="lowerLetter"/>
      <w:start w:val="1"/>
    </w:lvl>
  </w:abstractNum>
  <w:abstractNum w:abstractNumId="59">
    <w:nsid w:val="51D9C564"/>
    <w:multiLevelType w:val="hybridMultilevel"/>
    <w:lvl w:ilvl="0">
      <w:lvlJc w:val="left"/>
      <w:lvlText w:val="(%1)"/>
      <w:numFmt w:val="decimal"/>
      <w:start w:val="14"/>
    </w:lvl>
  </w:abstractNum>
  <w:abstractNum w:abstractNumId="60">
    <w:nsid w:val="613EFDC5"/>
    <w:multiLevelType w:val="hybridMultilevel"/>
    <w:lvl w:ilvl="0">
      <w:lvlJc w:val="left"/>
      <w:lvlText w:val="(%1)"/>
      <w:numFmt w:val="decimal"/>
      <w:start w:val="15"/>
    </w:lvl>
  </w:abstractNum>
  <w:abstractNum w:abstractNumId="61">
    <w:nsid w:val="BF72B14"/>
    <w:multiLevelType w:val="hybridMultilevel"/>
    <w:lvl w:ilvl="0">
      <w:lvlJc w:val="left"/>
      <w:lvlText w:val="(%1)"/>
      <w:numFmt w:val="lowerLetter"/>
      <w:start w:val="1"/>
    </w:lvl>
  </w:abstractNum>
  <w:abstractNum w:abstractNumId="62">
    <w:nsid w:val="11447B73"/>
    <w:multiLevelType w:val="hybridMultilevel"/>
    <w:lvl w:ilvl="0">
      <w:lvlJc w:val="left"/>
      <w:lvlText w:val="(%1)"/>
      <w:numFmt w:val="decimal"/>
      <w:start w:val="16"/>
    </w:lvl>
  </w:abstractNum>
  <w:abstractNum w:abstractNumId="63">
    <w:nsid w:val="42963E5A"/>
    <w:multiLevelType w:val="hybridMultilevel"/>
    <w:lvl w:ilvl="0">
      <w:lvlJc w:val="left"/>
      <w:lvlText w:val="(%1)"/>
      <w:numFmt w:val="decimal"/>
      <w:start w:val="17"/>
    </w:lvl>
  </w:abstractNum>
  <w:abstractNum w:abstractNumId="64">
    <w:nsid w:val="A0382C5"/>
    <w:multiLevelType w:val="hybridMultilevel"/>
    <w:lvl w:ilvl="0">
      <w:lvlJc w:val="left"/>
      <w:lvlText w:val="(%1)"/>
      <w:numFmt w:val="decimal"/>
      <w:start w:val="18"/>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1)"/>
      <w:numFmt w:val="lowerLetter"/>
      <w:start w:val="1"/>
    </w:lvl>
  </w:abstractNum>
  <w:abstractNum w:abstractNumId="67">
    <w:nsid w:val="3B0FD379"/>
    <w:multiLevelType w:val="hybridMultilevel"/>
    <w:lvl w:ilvl="0">
      <w:lvlJc w:val="left"/>
      <w:lvlText w:val="(%1)"/>
      <w:numFmt w:val="lowerLetter"/>
      <w:start w:val="1"/>
    </w:lvl>
  </w:abstractNum>
  <w:abstractNum w:abstractNumId="68">
    <w:nsid w:val="68EB2F63"/>
    <w:multiLevelType w:val="hybridMultilevel"/>
    <w:lvl w:ilvl="0">
      <w:lvlJc w:val="left"/>
      <w:lvlText w:val="(%1)"/>
      <w:numFmt w:val="lowerLetter"/>
      <w:start w:val="1"/>
    </w:lvl>
  </w:abstractNum>
  <w:abstractNum w:abstractNumId="69">
    <w:nsid w:val="4962813B"/>
    <w:multiLevelType w:val="hybridMultilevel"/>
    <w:lvl w:ilvl="0">
      <w:lvlJc w:val="left"/>
      <w:lvlText w:val="(%1)"/>
      <w:numFmt w:val="lowerLetter"/>
      <w:start w:val="1"/>
    </w:lvl>
  </w:abstractNum>
  <w:abstractNum w:abstractNumId="70">
    <w:nsid w:val="60B6DF70"/>
    <w:multiLevelType w:val="hybridMultilevel"/>
    <w:lvl w:ilvl="0">
      <w:lvlJc w:val="left"/>
      <w:lvlText w:val="(%1)"/>
      <w:numFmt w:val="lowerLetter"/>
      <w:start w:val="1"/>
    </w:lvl>
  </w:abstractNum>
  <w:abstractNum w:abstractNumId="71">
    <w:nsid w:val="6A5EE64"/>
    <w:multiLevelType w:val="hybridMultilevel"/>
    <w:lvl w:ilvl="0">
      <w:lvlJc w:val="left"/>
      <w:lvlText w:val="(%1)"/>
      <w:numFmt w:val="lowerLetter"/>
      <w:start w:val="3"/>
    </w:lvl>
    <w:lvl w:ilvl="1">
      <w:lvlJc w:val="left"/>
      <w:lvlText w:val="(%2)"/>
      <w:numFmt w:val="lowerLetter"/>
    </w:lvl>
    <w:lvl w:ilvl="2">
      <w:lvlJc w:val="left"/>
      <w:lvlText w:val="(%3)"/>
      <w:numFmt w:val="lowerRoman"/>
      <w:start w:val="1"/>
    </w:lvl>
  </w:abstractNum>
  <w:abstractNum w:abstractNumId="72">
    <w:nsid w:val="14330624"/>
    <w:multiLevelType w:val="hybridMultilevel"/>
    <w:lvl w:ilvl="0">
      <w:lvlJc w:val="left"/>
      <w:lvlText w:val="%1"/>
      <w:numFmt w:val="lowerLetter"/>
      <w:start w:val="1"/>
    </w:lvl>
    <w:lvl w:ilvl="1">
      <w:lvlJc w:val="left"/>
      <w:lvlText w:val="(%2)"/>
      <w:numFmt w:val="lowerLetter"/>
      <w:start w:val="61"/>
    </w:lvl>
  </w:abstractNum>
  <w:abstractNum w:abstractNumId="73">
    <w:nsid w:val="7FFFCA11"/>
    <w:multiLevelType w:val="hybridMultilevel"/>
    <w:lvl w:ilvl="0">
      <w:lvlJc w:val="left"/>
      <w:lvlText w:val="(%1)"/>
      <w:numFmt w:val="lowerLetter"/>
      <w:start w:val="1"/>
    </w:lvl>
    <w:lvl w:ilvl="1">
      <w:lvlJc w:val="left"/>
      <w:lvlText w:val="%2"/>
      <w:numFmt w:val="lowerLetter"/>
      <w:start w:val="1"/>
    </w:lvl>
  </w:abstractNum>
  <w:abstractNum w:abstractNumId="74">
    <w:nsid w:val="1A27709E"/>
    <w:multiLevelType w:val="hybridMultilevel"/>
    <w:lvl w:ilvl="0">
      <w:lvlJc w:val="left"/>
      <w:lvlText w:val="(%1)"/>
      <w:numFmt w:val="lowerLetter"/>
      <w:start w:val="1"/>
    </w:lvl>
  </w:abstractNum>
  <w:abstractNum w:abstractNumId="75">
    <w:nsid w:val="71EA1109"/>
    <w:multiLevelType w:val="hybridMultilevel"/>
    <w:lvl w:ilvl="0">
      <w:lvlJc w:val="left"/>
      <w:lvlText w:val="(%1)"/>
      <w:numFmt w:val="lowerLetter"/>
      <w:start w:val="1"/>
    </w:lvl>
  </w:abstractNum>
  <w:abstractNum w:abstractNumId="76">
    <w:nsid w:val="100F59DC"/>
    <w:multiLevelType w:val="hybridMultilevel"/>
    <w:lvl w:ilvl="0">
      <w:lvlJc w:val="left"/>
      <w:lvlText w:val="(%1)"/>
      <w:numFmt w:val="lowerLetter"/>
      <w:start w:val="1"/>
    </w:lvl>
  </w:abstractNum>
  <w:abstractNum w:abstractNumId="77">
    <w:nsid w:val="7FB7E0AA"/>
    <w:multiLevelType w:val="hybridMultilevel"/>
    <w:lvl w:ilvl="0">
      <w:lvlJc w:val="left"/>
      <w:lvlText w:val="(%1)"/>
      <w:numFmt w:val="lowerLetter"/>
      <w:start w:val="1"/>
    </w:lvl>
  </w:abstractNum>
  <w:abstractNum w:abstractNumId="78">
    <w:nsid w:val="6EB5BD4"/>
    <w:multiLevelType w:val="hybridMultilevel"/>
    <w:lvl w:ilvl="0">
      <w:lvlJc w:val="left"/>
      <w:lvlText w:val="(%1)"/>
      <w:numFmt w:val="lowerLetter"/>
      <w:start w:val="2"/>
    </w:lvl>
  </w:abstractNum>
  <w:abstractNum w:abstractNumId="79">
    <w:nsid w:val="6F6DD9AC"/>
    <w:multiLevelType w:val="hybridMultilevel"/>
    <w:lvl w:ilvl="0">
      <w:lvlJc w:val="left"/>
      <w:lvlText w:val="(%1)"/>
      <w:numFmt w:val="lowerLetter"/>
      <w:start w:val="1"/>
    </w:lvl>
  </w:abstractNum>
  <w:abstractNum w:abstractNumId="80">
    <w:nsid w:val="94211F2"/>
    <w:multiLevelType w:val="hybridMultilevel"/>
    <w:lvl w:ilvl="0">
      <w:lvlJc w:val="left"/>
      <w:lvlText w:val="(%1)"/>
      <w:numFmt w:val="lowerLetter"/>
      <w:start w:val="2"/>
    </w:lvl>
  </w:abstractNum>
  <w:abstractNum w:abstractNumId="81">
    <w:nsid w:val="885E1B"/>
    <w:multiLevelType w:val="hybridMultilevel"/>
    <w:lvl w:ilvl="0">
      <w:lvlJc w:val="left"/>
      <w:lvlText w:val="%1."/>
      <w:numFmt w:val="decimal"/>
      <w:start w:val="4"/>
    </w:lvl>
  </w:abstractNum>
  <w:abstractNum w:abstractNumId="82">
    <w:nsid w:val="76272110"/>
    <w:multiLevelType w:val="hybridMultilevel"/>
    <w:lvl w:ilvl="0">
      <w:lvlJc w:val="left"/>
      <w:lvlText w:val="%1)"/>
      <w:numFmt w:val="lowerLetter"/>
      <w:start w:val="2"/>
    </w:lvl>
  </w:abstractNum>
  <w:abstractNum w:abstractNumId="83">
    <w:nsid w:val="4C04A8AF"/>
    <w:multiLevelType w:val="hybridMultilevel"/>
    <w:lvl w:ilvl="0">
      <w:lvlJc w:val="left"/>
      <w:lvlText w:val="%1"/>
      <w:numFmt w:val="decimal"/>
      <w:start w:val="1"/>
    </w:lvl>
    <w:lvl w:ilvl="1">
      <w:lvlJc w:val="left"/>
      <w:lvlText w:val="%2)"/>
      <w:numFmt w:val="lowerLetter"/>
      <w:start w:val="2"/>
    </w:lvl>
  </w:abstractNum>
  <w:abstractNum w:abstractNumId="84">
    <w:nsid w:val="1716703B"/>
    <w:multiLevelType w:val="hybridMultilevel"/>
    <w:lvl w:ilvl="0">
      <w:lvlJc w:val="left"/>
      <w:lvlText w:val="%1."/>
      <w:numFmt w:val="decimal"/>
      <w:start w:val="11"/>
    </w:lvl>
    <w:lvl w:ilvl="1">
      <w:lvlJc w:val="left"/>
      <w:lvlText w:val="%2"/>
      <w:numFmt w:val="lowerLetter"/>
      <w:start w:val="1"/>
    </w:lvl>
  </w:abstractNum>
  <w:abstractNum w:abstractNumId="85">
    <w:nsid w:val="14E17E33"/>
    <w:multiLevelType w:val="hybridMultilevel"/>
    <w:lvl w:ilvl="0">
      <w:lvlJc w:val="left"/>
      <w:lvlText w:val="%1."/>
      <w:numFmt w:val="decimal"/>
      <w:start w:val="15"/>
    </w:lvl>
  </w:abstractNum>
  <w:abstractNum w:abstractNumId="86">
    <w:nsid w:val="3222E7CD"/>
    <w:multiLevelType w:val="hybridMultilevel"/>
    <w:lvl w:ilvl="0">
      <w:lvlJc w:val="left"/>
      <w:lvlText w:val="%1)"/>
      <w:numFmt w:val="lowerLetter"/>
      <w:start w:val="1"/>
    </w:lvl>
  </w:abstractNum>
  <w:abstractNum w:abstractNumId="87">
    <w:nsid w:val="74DE0EE3"/>
    <w:multiLevelType w:val="hybridMultilevel"/>
    <w:lvl w:ilvl="0">
      <w:lvlJc w:val="left"/>
      <w:lvlText w:val="%1."/>
      <w:numFmt w:val="decimal"/>
      <w:start w:val="16"/>
    </w:lvl>
  </w:abstractNum>
  <w:abstractNum w:abstractNumId="88">
    <w:nsid w:val="68EBC550"/>
    <w:multiLevelType w:val="hybridMultilevel"/>
    <w:lvl w:ilvl="0">
      <w:lvlJc w:val="left"/>
      <w:lvlText w:val="%1)"/>
      <w:numFmt w:val="lowerLetter"/>
      <w:start w:val="3"/>
    </w:lvl>
  </w:abstractNum>
  <w:abstractNum w:abstractNumId="89">
    <w:nsid w:val="2DF6D648"/>
    <w:multiLevelType w:val="hybridMultilevel"/>
    <w:lvl w:ilvl="0">
      <w:lvlJc w:val="left"/>
      <w:lvlText w:val="%1)"/>
      <w:numFmt w:val="lowerLetter"/>
      <w:start w:val="1"/>
    </w:lvl>
  </w:abstractNum>
  <w:abstractNum w:abstractNumId="90">
    <w:nsid w:val="46B7D4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jpeg"/><Relationship Id="rId46" Type="http://schemas.openxmlformats.org/officeDocument/2006/relationships/image" Target="media/image37.png"/><Relationship Id="rId47" Type="http://schemas.openxmlformats.org/officeDocument/2006/relationships/image" Target="media/image38.jpeg"/><Relationship Id="rId48" Type="http://schemas.openxmlformats.org/officeDocument/2006/relationships/image" Target="media/image39.png"/><Relationship Id="rId49" Type="http://schemas.openxmlformats.org/officeDocument/2006/relationships/image" Target="media/image40.jpeg"/><Relationship Id="rId50" Type="http://schemas.openxmlformats.org/officeDocument/2006/relationships/image" Target="media/image41.png"/><Relationship Id="rId51" Type="http://schemas.openxmlformats.org/officeDocument/2006/relationships/image" Target="media/image42.jpeg"/><Relationship Id="rId52" Type="http://schemas.openxmlformats.org/officeDocument/2006/relationships/image" Target="media/image43.png"/><Relationship Id="rId53" Type="http://schemas.openxmlformats.org/officeDocument/2006/relationships/image" Target="media/image44.jpeg"/><Relationship Id="rId54" Type="http://schemas.openxmlformats.org/officeDocument/2006/relationships/image" Target="media/image45.png"/><Relationship Id="rId55" Type="http://schemas.openxmlformats.org/officeDocument/2006/relationships/image" Target="media/image46.jpeg"/><Relationship Id="rId56" Type="http://schemas.openxmlformats.org/officeDocument/2006/relationships/image" Target="media/image47.png"/><Relationship Id="rId57" Type="http://schemas.openxmlformats.org/officeDocument/2006/relationships/image" Target="media/image48.jpeg"/><Relationship Id="rId58" Type="http://schemas.openxmlformats.org/officeDocument/2006/relationships/image" Target="media/image49.png"/><Relationship Id="rId59" Type="http://schemas.openxmlformats.org/officeDocument/2006/relationships/image" Target="media/image50.jpeg"/><Relationship Id="rId60" Type="http://schemas.openxmlformats.org/officeDocument/2006/relationships/image" Target="media/image51.png"/><Relationship Id="rId61" Type="http://schemas.openxmlformats.org/officeDocument/2006/relationships/image" Target="media/image52.jpeg"/><Relationship Id="rId62" Type="http://schemas.openxmlformats.org/officeDocument/2006/relationships/image" Target="media/image53.png"/><Relationship Id="rId63" Type="http://schemas.openxmlformats.org/officeDocument/2006/relationships/image" Target="media/image54.jpeg"/><Relationship Id="rId64" Type="http://schemas.openxmlformats.org/officeDocument/2006/relationships/image" Target="media/image55.png"/><Relationship Id="rId65" Type="http://schemas.openxmlformats.org/officeDocument/2006/relationships/image" Target="media/image56.jpeg"/><Relationship Id="rId66" Type="http://schemas.openxmlformats.org/officeDocument/2006/relationships/image" Target="media/image57.png"/><Relationship Id="rId67" Type="http://schemas.openxmlformats.org/officeDocument/2006/relationships/image" Target="media/image58.jpeg"/><Relationship Id="rId68" Type="http://schemas.openxmlformats.org/officeDocument/2006/relationships/image" Target="media/image59.png"/><Relationship Id="rId69" Type="http://schemas.openxmlformats.org/officeDocument/2006/relationships/image" Target="media/image60.jpeg"/><Relationship Id="rId70" Type="http://schemas.openxmlformats.org/officeDocument/2006/relationships/image" Target="media/image61.png"/><Relationship Id="rId71" Type="http://schemas.openxmlformats.org/officeDocument/2006/relationships/image" Target="media/image62.jpeg"/><Relationship Id="rId72" Type="http://schemas.openxmlformats.org/officeDocument/2006/relationships/image" Target="media/image63.png"/><Relationship Id="rId73" Type="http://schemas.openxmlformats.org/officeDocument/2006/relationships/image" Target="media/image64.jpeg"/><Relationship Id="rId74" Type="http://schemas.openxmlformats.org/officeDocument/2006/relationships/image" Target="media/image65.png"/><Relationship Id="rId75" Type="http://schemas.openxmlformats.org/officeDocument/2006/relationships/image" Target="media/image66.jpe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jpeg"/><Relationship Id="rId80" Type="http://schemas.openxmlformats.org/officeDocument/2006/relationships/image" Target="media/image71.png"/><Relationship Id="rId81" Type="http://schemas.openxmlformats.org/officeDocument/2006/relationships/image" Target="media/image72.jpeg"/><Relationship Id="rId82" Type="http://schemas.openxmlformats.org/officeDocument/2006/relationships/image" Target="media/image73.png"/><Relationship Id="rId83" Type="http://schemas.openxmlformats.org/officeDocument/2006/relationships/image" Target="media/image74.jpeg"/><Relationship Id="rId84" Type="http://schemas.openxmlformats.org/officeDocument/2006/relationships/image" Target="media/image75.png"/><Relationship Id="rId85" Type="http://schemas.openxmlformats.org/officeDocument/2006/relationships/image" Target="media/image76.jpeg"/><Relationship Id="rId86" Type="http://schemas.openxmlformats.org/officeDocument/2006/relationships/image" Target="media/image77.png"/><Relationship Id="rId87" Type="http://schemas.openxmlformats.org/officeDocument/2006/relationships/image" Target="media/image78.jpe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jpeg"/><Relationship Id="rId91" Type="http://schemas.openxmlformats.org/officeDocument/2006/relationships/image" Target="media/image82.png"/><Relationship Id="rId92" Type="http://schemas.openxmlformats.org/officeDocument/2006/relationships/image" Target="media/image83.jpeg"/><Relationship Id="rId93" Type="http://schemas.openxmlformats.org/officeDocument/2006/relationships/image" Target="media/image84.png"/><Relationship Id="rId94" Type="http://schemas.openxmlformats.org/officeDocument/2006/relationships/image" Target="media/image85.jpeg"/><Relationship Id="rId95" Type="http://schemas.openxmlformats.org/officeDocument/2006/relationships/image" Target="media/image86.png"/><Relationship Id="rId96" Type="http://schemas.openxmlformats.org/officeDocument/2006/relationships/image" Target="media/image87.jpeg"/><Relationship Id="rId97" Type="http://schemas.openxmlformats.org/officeDocument/2006/relationships/image" Target="media/image88.png"/><Relationship Id="rId98" Type="http://schemas.openxmlformats.org/officeDocument/2006/relationships/image" Target="media/image89.jpeg"/><Relationship Id="rId99" Type="http://schemas.openxmlformats.org/officeDocument/2006/relationships/image" Target="media/image90.png"/><Relationship Id="rId100" Type="http://schemas.openxmlformats.org/officeDocument/2006/relationships/image" Target="media/image91.jpeg"/><Relationship Id="rId101" Type="http://schemas.openxmlformats.org/officeDocument/2006/relationships/image" Target="media/image92.png"/><Relationship Id="rId102" Type="http://schemas.openxmlformats.org/officeDocument/2006/relationships/image" Target="media/image93.jpeg"/><Relationship Id="rId103" Type="http://schemas.openxmlformats.org/officeDocument/2006/relationships/image" Target="media/image94.png"/><Relationship Id="rId104" Type="http://schemas.openxmlformats.org/officeDocument/2006/relationships/image" Target="media/image95.jpeg"/><Relationship Id="rId105" Type="http://schemas.openxmlformats.org/officeDocument/2006/relationships/image" Target="media/image96.jpeg"/><Relationship Id="rId106" Type="http://schemas.openxmlformats.org/officeDocument/2006/relationships/image" Target="media/image97.jpe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25" Type="http://schemas.openxmlformats.org/officeDocument/2006/relationships/hyperlink" Target="http://www.sec.gov/Archives/edgar/data/1697818/000119312517315220/d347875dex32.htm" TargetMode="External"/><Relationship Id="rId26" Type="http://schemas.openxmlformats.org/officeDocument/2006/relationships/hyperlink" Target="http://www.sec.gov/Archives/edgar/data/1697818/000119312517315220/d347875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2019-12-08T16:08:01Z</dcterms:created>
  <dcterms:modified xsi:type="dcterms:W3CDTF">2019-12-08T16:08:01Z</dcterms:modified>
</cp:coreProperties>
</file>