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August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422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August 28,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2019 Second-Quarter Unaudited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Significant Growth in Enterprise Solutions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Another Quarter of Record High Gross Billing, Revenue and Gross Profit —</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Hong Kong, August 26, 2019 </w:t>
      </w:r>
      <w:r>
        <w:rPr>
          <w:rFonts w:ascii="Arial" w:cs="Arial" w:eastAsia="Arial" w:hAnsi="Arial"/>
          <w:sz w:val="18"/>
          <w:szCs w:val="18"/>
          <w:color w:val="auto"/>
        </w:rPr>
        <w:t>— iClick Interactive Asia Group Limited (“iClick”) (NASDAQ: ICLK), an independent online marketing and enterprise data</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provider in China, today announced unaudited financial results for the second quarter ended June 30, 2019.</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in thousands)</w:t>
            </w:r>
          </w:p>
        </w:tc>
        <w:tc>
          <w:tcPr>
            <w:tcW w:w="1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Three Months Ended June 30,</w:t>
            </w:r>
          </w:p>
        </w:tc>
        <w:tc>
          <w:tcPr>
            <w:tcW w:w="1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gridSpan w:val="2"/>
            <w:vMerge w:val="continue"/>
          </w:tcPr>
          <w:p>
            <w:pPr>
              <w:spacing w:after="0"/>
              <w:rPr>
                <w:sz w:val="10"/>
                <w:szCs w:val="10"/>
                <w:color w:val="auto"/>
              </w:rPr>
            </w:pP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13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134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Percentage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solutions</w:t>
            </w:r>
          </w:p>
        </w:tc>
        <w:tc>
          <w:tcPr>
            <w:tcW w:w="1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46,590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42,697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Enterprise solutions</w:t>
            </w:r>
          </w:p>
        </w:tc>
        <w:tc>
          <w:tcPr>
            <w:tcW w:w="1380" w:type="dxa"/>
            <w:vAlign w:val="bottom"/>
          </w:tcPr>
          <w:p>
            <w:pPr>
              <w:jc w:val="right"/>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49,347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42,697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ind w:right="208"/>
              <w:spacing w:after="0"/>
              <w:rPr>
                <w:sz w:val="20"/>
                <w:szCs w:val="20"/>
                <w:color w:val="auto"/>
              </w:rPr>
            </w:pPr>
            <w:r>
              <w:rPr>
                <w:rFonts w:ascii="Arial" w:cs="Arial" w:eastAsia="Arial" w:hAnsi="Arial"/>
                <w:sz w:val="18"/>
                <w:szCs w:val="18"/>
                <w:color w:val="auto"/>
              </w:rPr>
              <w:t>13,596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9,912</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line="216" w:lineRule="exact"/>
              <w:rPr>
                <w:sz w:val="20"/>
                <w:szCs w:val="20"/>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1</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(1,102)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Diluted adjusted net loss per ADS</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(0.02)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Operating Metrics: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billing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105,389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pleased to report another record quarter with increase in top-line revenues by 16% YoY to $49.3 million amid a challenging business environment,” said Sammy Hsieh, Chief Executive Officer and Co-Founder of iClick. “During this quarter the Renminbi depreciated against the US dollar by 7% compared with the second quarter of 2018. Eliminating currency fluctuation, our revenue would have increased 24% to $52.8 million for the second quarter of 2019 compared with the same period last year.”</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Enterprise Solution initiative has continued to ramp up as we reported a sequential gain of more than 80% from the first quarter of 2019 to $2.8 million. For the first half of 2019 the Enterprise Solutions business accounts for 4.8% of our total revenue. We are optimistic that the contribution from this key area will consistently increase over time as we continue to receive strong demand from a number of our leading brand clients,” continued Mr. Hsieh. “We continue our momentum in establishing new partnership opportunities globally. A recent example is the announcement of a new strategic partnership with Vector Inc., the leading strategic PR group in Japan. This is a perfect illustration of our integration of enterprise and marketing solutions that allow us to provide Japanese brands with technology to target Chinese consumers traveling in Japan. We continue to seek out similar opportunities.”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the revenue from our Marketing Solutions also reached another record high. We reported $46.6 million in the second quarter, representing an increase of 9% YoY. “While we believe the long-term growth trend is positive for this segment, we expect challenges from the current business environment in the near term. Therefore, we continue to build partnerships in different geographies as our joint venture, V-Click Technology was recently officially launched, which helps our expansion into Thailand and Southeast Asia,” concluded Mr.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180" w:right="20" w:hanging="172"/>
        <w:spacing w:after="0" w:line="227" w:lineRule="auto"/>
        <w:tabs>
          <w:tab w:leader="none" w:pos="171"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2019 Results: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second quarter of 2019 grew to US$49.3 million, up 16% from US$42.7 million for the same period last year, attributable to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from existing marketing solutions and the Company’s new enterprise solutions, which was launched in January 2019, partially offset by depreciation of the Renminbi against the US dollar by 7% compared with the second quarter of 2018. On a currency-neutral basis, the revenue increased 24% at US$52.8 million for the second quarter of 2019 compared with the same period last year.</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Revenue from marketing solutions </w:t>
      </w:r>
      <w:r>
        <w:rPr>
          <w:rFonts w:ascii="Arial" w:cs="Arial" w:eastAsia="Arial" w:hAnsi="Arial"/>
          <w:sz w:val="18"/>
          <w:szCs w:val="18"/>
          <w:color w:val="auto"/>
        </w:rPr>
        <w:t>grew to US$46.6 million for the second quarter of 2019, up 9% from US$42.7 million for the second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the result of growing market demand from marketers. On a currency-neutral basis, the revenue increased 17% at US$49.9 million for the second quarter of 2019 compared with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was US$2.8 million for the second quarter of 2019.</w:t>
      </w:r>
    </w:p>
    <w:p>
      <w:pPr>
        <w:spacing w:after="0" w:line="221"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for the quarter ended June 30, 2019 increased 37% to US$13.6 million, compared with US$9.9 million for the quarter ended June 30, 2018,</w:t>
      </w:r>
      <w:r>
        <w:rPr>
          <w:rFonts w:ascii="Arial" w:cs="Arial" w:eastAsia="Arial" w:hAnsi="Arial"/>
          <w:sz w:val="16"/>
          <w:szCs w:val="16"/>
          <w:b w:val="1"/>
          <w:bCs w:val="1"/>
          <w:color w:val="auto"/>
        </w:rPr>
        <w:t xml:space="preserve"> </w:t>
      </w:r>
      <w:r>
        <w:rPr>
          <w:rFonts w:ascii="Arial" w:cs="Arial" w:eastAsia="Arial" w:hAnsi="Arial"/>
          <w:sz w:val="16"/>
          <w:szCs w:val="16"/>
          <w:color w:val="auto"/>
        </w:rPr>
        <w:t>mainly due to improvements in gross profit margin from the Company’s marketing solutions, and contribution from higher margin enterprise solutions.</w:t>
      </w:r>
    </w:p>
    <w:p>
      <w:pPr>
        <w:spacing w:after="0" w:line="11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were US$16.0 million for the second quarter of 2019, compared with US$11.1 million for the second quarter of 2018,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the expenses incurred for new business development, which led to an increase in staff cost and marketing activities. We also offered higher incentives for sales personnel for their contribution to our continuous business growth.</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US$2.4 million for the second quarter of 2019, compared with an operating loss of US$1.2 million for the prior-year period,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higher expenses incurred for new business development and more incentives for sales personnel.</w:t>
      </w:r>
    </w:p>
    <w:p>
      <w:pPr>
        <w:spacing w:after="0" w:line="162"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totalled US$3.2 million for the 2019 second quarter, compared with US$2.6 million for the 2018 second quarter, as a result of the fair value losses 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notes of US$1.0 million in the second quarter of 2019, partially offset by the decrease of exchange loss by US$0.8 million.</w:t>
      </w:r>
    </w:p>
    <w:p>
      <w:pPr>
        <w:spacing w:after="0" w:line="1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loss attributable to the Company’s shareholders per basic and diluted ADS was US$0.06, compared with a net loss per basic and diluted ADS of US$0.05 for the second quarter of 2018.</w:t>
      </w:r>
    </w:p>
    <w:p>
      <w:pPr>
        <w:spacing w:after="0" w:line="166"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for the second quarter of 2019 was relatively stable at US$840,000, compared with US$851,000 for the second quarter of 2018, resulting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increase in gross profit but partially offset by more operating expenses as discussed above. For a reconciliation of the Company’s adjusted EBITDA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right="140"/>
        <w:spacing w:after="0" w:line="289" w:lineRule="auto"/>
        <w:rPr>
          <w:sz w:val="20"/>
          <w:szCs w:val="20"/>
          <w:color w:val="auto"/>
        </w:rPr>
      </w:pPr>
      <w:r>
        <w:rPr>
          <w:rFonts w:ascii="Arial" w:cs="Arial" w:eastAsia="Arial" w:hAnsi="Arial"/>
          <w:sz w:val="17"/>
          <w:szCs w:val="17"/>
          <w:b w:val="1"/>
          <w:bCs w:val="1"/>
          <w:color w:val="auto"/>
        </w:rPr>
        <w:t xml:space="preserve">Adjusted net loss </w:t>
      </w:r>
      <w:r>
        <w:rPr>
          <w:rFonts w:ascii="Arial" w:cs="Arial" w:eastAsia="Arial" w:hAnsi="Arial"/>
          <w:sz w:val="17"/>
          <w:szCs w:val="17"/>
          <w:color w:val="auto"/>
        </w:rPr>
        <w:t>attributable to the Company’s shareholders, which excludes, among others, share-based compensation expenses, fair value losses 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notes, and other gains for the 2019 second quarter remained stable at US$1.1 million. For a reconciliation of the Company’s adjusted net loss to net loss, its most comparable GAAP measure, please refer to “Unaudited Reconciliations of GAAP and Non-GAAP Results.”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b w:val="1"/>
          <w:bCs w:val="1"/>
          <w:color w:val="auto"/>
        </w:rPr>
        <w:t>Gross billing</w:t>
      </w:r>
      <w:r>
        <w:rPr>
          <w:rFonts w:ascii="Arial" w:cs="Arial" w:eastAsia="Arial" w:hAnsi="Arial"/>
          <w:sz w:val="20"/>
          <w:szCs w:val="20"/>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grew to US$140.9 million for the second quarter ended June 30, 2019, up 34% from US$105.4 million in the same period last year.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is primarily a result of increasing marketer demand, partially offset by depreciation of the Renminbi against the US dollar by 7% compared with a year ago. The gross billing increased 43% on a currency-neutral basis at US$150.6 million for the second quarter of 2019 compared with a year ago.</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2019, the Company had cash and cash equivalents of US$41.9 million, compared with $39.8 million as of December 31, 2018. Restricted cash and time deposit amounted to US$9.6 million and US$0.2 million respectively, compared with US$nil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November of 2018 we announced that our board of directors authorized us to purchase up to $10 million of our own ADS in a twelve-month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 the first half of 2019 we purchased an aggregate value of approximately US$482,000.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information available as of the date of this press release, iClick provided the following outlook for the third quarter of 2019 and the following outlook for the 2019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2019:</w:t>
      </w:r>
    </w:p>
    <w:p>
      <w:pPr>
        <w:spacing w:after="0" w:line="225"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is estimated to be between US$50 million and US$54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Full Year 2019:</w:t>
      </w:r>
    </w:p>
    <w:p>
      <w:pPr>
        <w:spacing w:after="0" w:line="22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estimated to be between US$190 million and US$210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is estimated to be between 26% and 28%.</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The Company will host an earnings conference call at 8:00 AM U.S. Eastern Time on August 26, 2019 (8:00 PM Beijing/Hong Kong time on August 26, 2019). A live and archived webcast of the conference call will be available on iClick’s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conference call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United States:</w:t>
            </w:r>
          </w:p>
        </w:tc>
        <w:tc>
          <w:tcPr>
            <w:tcW w:w="2420" w:type="dxa"/>
            <w:vAlign w:val="bottom"/>
          </w:tcPr>
          <w:p>
            <w:pPr>
              <w:ind w:left="1160"/>
              <w:spacing w:after="0"/>
              <w:rPr>
                <w:sz w:val="20"/>
                <w:szCs w:val="20"/>
                <w:color w:val="auto"/>
              </w:rPr>
            </w:pPr>
            <w:r>
              <w:rPr>
                <w:rFonts w:ascii="Arial" w:cs="Arial" w:eastAsia="Arial" w:hAnsi="Arial"/>
                <w:sz w:val="18"/>
                <w:szCs w:val="18"/>
                <w:color w:val="auto"/>
                <w:w w:val="89"/>
              </w:rPr>
              <w:t>+1-845-675-0437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ind w:left="1160"/>
              <w:spacing w:after="0"/>
              <w:rPr>
                <w:sz w:val="20"/>
                <w:szCs w:val="20"/>
                <w:color w:val="auto"/>
              </w:rPr>
            </w:pPr>
            <w:r>
              <w:rPr>
                <w:rFonts w:ascii="Arial" w:cs="Arial" w:eastAsia="Arial" w:hAnsi="Arial"/>
                <w:sz w:val="18"/>
                <w:szCs w:val="18"/>
                <w:color w:val="auto"/>
              </w:rPr>
              <w:t>+65-6713-5090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Hong Kong:</w:t>
            </w:r>
          </w:p>
        </w:tc>
        <w:tc>
          <w:tcPr>
            <w:tcW w:w="2420" w:type="dxa"/>
            <w:vAlign w:val="bottom"/>
          </w:tcPr>
          <w:p>
            <w:pPr>
              <w:ind w:left="1160"/>
              <w:spacing w:after="0"/>
              <w:rPr>
                <w:sz w:val="20"/>
                <w:szCs w:val="20"/>
                <w:color w:val="auto"/>
              </w:rPr>
            </w:pPr>
            <w:r>
              <w:rPr>
                <w:rFonts w:ascii="Arial" w:cs="Arial" w:eastAsia="Arial" w:hAnsi="Arial"/>
                <w:sz w:val="18"/>
                <w:szCs w:val="18"/>
                <w:color w:val="auto"/>
                <w:w w:val="93"/>
              </w:rPr>
              <w:t>+852-3018-6771</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China:</w:t>
            </w:r>
          </w:p>
        </w:tc>
        <w:tc>
          <w:tcPr>
            <w:tcW w:w="2420" w:type="dxa"/>
            <w:vAlign w:val="bottom"/>
          </w:tcPr>
          <w:p>
            <w:pPr>
              <w:ind w:left="1160"/>
              <w:spacing w:after="0"/>
              <w:rPr>
                <w:sz w:val="20"/>
                <w:szCs w:val="20"/>
                <w:color w:val="auto"/>
              </w:rPr>
            </w:pPr>
            <w:r>
              <w:rPr>
                <w:rFonts w:ascii="Arial" w:cs="Arial" w:eastAsia="Arial" w:hAnsi="Arial"/>
                <w:sz w:val="18"/>
                <w:szCs w:val="18"/>
                <w:color w:val="auto"/>
              </w:rPr>
              <w:t>400-620-8038</w:t>
            </w: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Conference ID:</w:t>
            </w:r>
          </w:p>
        </w:tc>
        <w:tc>
          <w:tcPr>
            <w:tcW w:w="2420" w:type="dxa"/>
            <w:vAlign w:val="bottom"/>
          </w:tcPr>
          <w:p>
            <w:pPr>
              <w:ind w:left="1160"/>
              <w:spacing w:after="0"/>
              <w:rPr>
                <w:sz w:val="20"/>
                <w:szCs w:val="20"/>
                <w:color w:val="auto"/>
              </w:rPr>
            </w:pPr>
            <w:r>
              <w:rPr>
                <w:rFonts w:ascii="Arial" w:cs="Arial" w:eastAsia="Arial" w:hAnsi="Arial"/>
                <w:sz w:val="18"/>
                <w:szCs w:val="18"/>
                <w:color w:val="auto"/>
              </w:rPr>
              <w:t>8556408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replay of the conference call will be accessible by phone two hours after the conclusion of the live call at the following numbers until September 3,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United States:</w:t>
            </w:r>
          </w:p>
        </w:tc>
        <w:tc>
          <w:tcPr>
            <w:tcW w:w="2200" w:type="dxa"/>
            <w:vAlign w:val="bottom"/>
          </w:tcPr>
          <w:p>
            <w:pPr>
              <w:ind w:left="940"/>
              <w:spacing w:after="0"/>
              <w:rPr>
                <w:sz w:val="20"/>
                <w:szCs w:val="20"/>
                <w:color w:val="auto"/>
              </w:rPr>
            </w:pPr>
            <w:r>
              <w:rPr>
                <w:rFonts w:ascii="Arial" w:cs="Arial" w:eastAsia="Arial" w:hAnsi="Arial"/>
                <w:sz w:val="18"/>
                <w:szCs w:val="18"/>
                <w:color w:val="auto"/>
                <w:w w:val="89"/>
              </w:rPr>
              <w:t>+1-855-452-5696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International:</w:t>
            </w:r>
          </w:p>
        </w:tc>
        <w:tc>
          <w:tcPr>
            <w:tcW w:w="2200" w:type="dxa"/>
            <w:vAlign w:val="bottom"/>
          </w:tcPr>
          <w:p>
            <w:pPr>
              <w:ind w:left="940"/>
              <w:spacing w:after="0"/>
              <w:rPr>
                <w:sz w:val="20"/>
                <w:szCs w:val="20"/>
                <w:color w:val="auto"/>
              </w:rPr>
            </w:pPr>
            <w:r>
              <w:rPr>
                <w:rFonts w:ascii="Arial" w:cs="Arial" w:eastAsia="Arial" w:hAnsi="Arial"/>
                <w:sz w:val="18"/>
                <w:szCs w:val="18"/>
                <w:color w:val="auto"/>
                <w:w w:val="89"/>
              </w:rPr>
              <w:t>+61-2-8199-0299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Hong Kong:</w:t>
            </w:r>
          </w:p>
        </w:tc>
        <w:tc>
          <w:tcPr>
            <w:tcW w:w="2200" w:type="dxa"/>
            <w:vAlign w:val="bottom"/>
          </w:tcPr>
          <w:p>
            <w:pPr>
              <w:ind w:left="940"/>
              <w:spacing w:after="0"/>
              <w:rPr>
                <w:sz w:val="20"/>
                <w:szCs w:val="20"/>
                <w:color w:val="auto"/>
              </w:rPr>
            </w:pPr>
            <w:r>
              <w:rPr>
                <w:rFonts w:ascii="Arial" w:cs="Arial" w:eastAsia="Arial" w:hAnsi="Arial"/>
                <w:sz w:val="18"/>
                <w:szCs w:val="18"/>
                <w:color w:val="auto"/>
              </w:rPr>
              <w:t>800-963-117</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China:</w:t>
            </w:r>
          </w:p>
        </w:tc>
        <w:tc>
          <w:tcPr>
            <w:tcW w:w="2200" w:type="dxa"/>
            <w:vAlign w:val="bottom"/>
          </w:tcPr>
          <w:p>
            <w:pPr>
              <w:ind w:left="940"/>
              <w:spacing w:after="0"/>
              <w:rPr>
                <w:sz w:val="20"/>
                <w:szCs w:val="20"/>
                <w:color w:val="auto"/>
              </w:rPr>
            </w:pPr>
            <w:r>
              <w:rPr>
                <w:rFonts w:ascii="Arial" w:cs="Arial" w:eastAsia="Arial" w:hAnsi="Arial"/>
                <w:sz w:val="18"/>
                <w:szCs w:val="18"/>
                <w:color w:val="auto"/>
              </w:rPr>
              <w:t>400-632-2162</w:t>
            </w:r>
          </w:p>
        </w:tc>
      </w:tr>
      <w:tr>
        <w:trPr>
          <w:trHeight w:val="432"/>
        </w:trPr>
        <w:tc>
          <w:tcPr>
            <w:tcW w:w="2500" w:type="dxa"/>
            <w:vAlign w:val="bottom"/>
          </w:tcPr>
          <w:p>
            <w:pPr>
              <w:spacing w:after="0"/>
              <w:rPr>
                <w:sz w:val="20"/>
                <w:szCs w:val="20"/>
                <w:color w:val="auto"/>
              </w:rPr>
            </w:pPr>
            <w:r>
              <w:rPr>
                <w:rFonts w:ascii="Arial" w:cs="Arial" w:eastAsia="Arial" w:hAnsi="Arial"/>
                <w:sz w:val="18"/>
                <w:szCs w:val="18"/>
                <w:color w:val="auto"/>
              </w:rPr>
              <w:t>Replay Access Code:</w:t>
            </w:r>
          </w:p>
        </w:tc>
        <w:tc>
          <w:tcPr>
            <w:tcW w:w="2200" w:type="dxa"/>
            <w:vAlign w:val="bottom"/>
          </w:tcPr>
          <w:p>
            <w:pPr>
              <w:ind w:left="940"/>
              <w:spacing w:after="0"/>
              <w:rPr>
                <w:sz w:val="20"/>
                <w:szCs w:val="20"/>
                <w:color w:val="auto"/>
              </w:rPr>
            </w:pPr>
            <w:r>
              <w:rPr>
                <w:rFonts w:ascii="Arial" w:cs="Arial" w:eastAsia="Arial" w:hAnsi="Arial"/>
                <w:sz w:val="18"/>
                <w:szCs w:val="18"/>
                <w:color w:val="auto"/>
              </w:rPr>
              <w:t>8556408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decision-making purposes.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currency-neutral revenue and gross billing are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w w:val="98"/>
              </w:rPr>
              <w:t>For investor and media inquiries, please contact:</w:t>
            </w:r>
          </w:p>
        </w:tc>
        <w:tc>
          <w:tcPr>
            <w:tcW w:w="7300" w:type="dxa"/>
            <w:vAlign w:val="bottom"/>
          </w:tcPr>
          <w:p>
            <w:pPr>
              <w:spacing w:after="0"/>
              <w:rPr>
                <w:sz w:val="20"/>
                <w:szCs w:val="20"/>
                <w:color w:val="auto"/>
              </w:rPr>
            </w:pPr>
          </w:p>
        </w:tc>
      </w:tr>
      <w:tr>
        <w:trPr>
          <w:trHeight w:val="414"/>
        </w:trPr>
        <w:tc>
          <w:tcPr>
            <w:tcW w:w="4160" w:type="dxa"/>
            <w:vAlign w:val="bottom"/>
          </w:tcPr>
          <w:p>
            <w:pPr>
              <w:ind w:left="180"/>
              <w:spacing w:after="0"/>
              <w:rPr>
                <w:sz w:val="20"/>
                <w:szCs w:val="20"/>
                <w:color w:val="auto"/>
              </w:rPr>
            </w:pPr>
            <w:r>
              <w:rPr>
                <w:rFonts w:ascii="Arial" w:cs="Arial" w:eastAsia="Arial" w:hAnsi="Arial"/>
                <w:sz w:val="18"/>
                <w:szCs w:val="18"/>
                <w:b w:val="1"/>
                <w:bCs w:val="1"/>
                <w:color w:val="auto"/>
              </w:rPr>
              <w:t>In China:</w:t>
            </w: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160" w:type="dxa"/>
            <w:vAlign w:val="bottom"/>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Lisa Li</w:t>
            </w:r>
          </w:p>
        </w:tc>
        <w:tc>
          <w:tcPr>
            <w:tcW w:w="7300" w:type="dxa"/>
            <w:vAlign w:val="bottom"/>
          </w:tcPr>
          <w:p>
            <w:pPr>
              <w:ind w:left="420"/>
              <w:spacing w:after="0"/>
              <w:rPr>
                <w:sz w:val="20"/>
                <w:szCs w:val="20"/>
                <w:color w:val="auto"/>
              </w:rPr>
            </w:pPr>
            <w:r>
              <w:rPr>
                <w:rFonts w:ascii="Arial" w:cs="Arial" w:eastAsia="Arial" w:hAnsi="Arial"/>
                <w:sz w:val="18"/>
                <w:szCs w:val="18"/>
                <w:color w:val="auto"/>
              </w:rPr>
              <w:t>John Marco</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Phone: +86-21-3230-3931 #892</w:t>
            </w:r>
          </w:p>
        </w:tc>
        <w:tc>
          <w:tcPr>
            <w:tcW w:w="7300" w:type="dxa"/>
            <w:vAlign w:val="bottom"/>
          </w:tcPr>
          <w:p>
            <w:pPr>
              <w:ind w:left="420"/>
              <w:spacing w:after="0"/>
              <w:rPr>
                <w:sz w:val="20"/>
                <w:szCs w:val="20"/>
                <w:color w:val="auto"/>
              </w:rPr>
            </w:pPr>
            <w:r>
              <w:rPr>
                <w:rFonts w:ascii="Arial" w:cs="Arial" w:eastAsia="Arial" w:hAnsi="Arial"/>
                <w:sz w:val="18"/>
                <w:szCs w:val="18"/>
                <w:color w:val="auto"/>
              </w:rPr>
              <w:t>Tel: +1-516-222-2560</w:t>
            </w: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E-mail: ir@i-click.com</w:t>
            </w:r>
          </w:p>
        </w:tc>
        <w:tc>
          <w:tcPr>
            <w:tcW w:w="7300" w:type="dxa"/>
            <w:vAlign w:val="bottom"/>
          </w:tcPr>
          <w:p>
            <w:pPr>
              <w:ind w:left="420"/>
              <w:spacing w:after="0"/>
              <w:rPr>
                <w:sz w:val="20"/>
                <w:szCs w:val="20"/>
                <w:color w:val="auto"/>
              </w:rPr>
            </w:pPr>
            <w:r>
              <w:rPr>
                <w:rFonts w:ascii="Arial" w:cs="Arial" w:eastAsia="Arial" w:hAnsi="Arial"/>
                <w:sz w:val="18"/>
                <w:szCs w:val="18"/>
                <w:color w:val="auto"/>
              </w:rPr>
              <w:t>E-mail: johnm@coreir.com</w:t>
            </w:r>
          </w:p>
        </w:tc>
      </w:tr>
      <w:tr>
        <w:trPr>
          <w:trHeight w:val="432"/>
        </w:trPr>
        <w:tc>
          <w:tcPr>
            <w:tcW w:w="4160" w:type="dxa"/>
            <w:vAlign w:val="bottom"/>
          </w:tcPr>
          <w:p>
            <w:pPr>
              <w:spacing w:after="0"/>
              <w:rPr>
                <w:sz w:val="24"/>
                <w:szCs w:val="24"/>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(financial tables follow)</w:t>
            </w:r>
          </w:p>
        </w:tc>
      </w:tr>
      <w:tr>
        <w:trPr>
          <w:trHeight w:val="348"/>
        </w:trPr>
        <w:tc>
          <w:tcPr>
            <w:tcW w:w="416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49,347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88,565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(35,751)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(32,785)</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(62,579)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(59,891)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(2,849)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(3,600)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(3,311)</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(6,838)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spacing w:after="0"/>
              <w:rPr>
                <w:sz w:val="20"/>
                <w:szCs w:val="20"/>
                <w:color w:val="auto"/>
              </w:rPr>
            </w:pPr>
            <w:r>
              <w:rPr>
                <w:rFonts w:ascii="Arial" w:cs="Arial" w:eastAsia="Arial" w:hAnsi="Arial"/>
                <w:sz w:val="18"/>
                <w:szCs w:val="18"/>
                <w:color w:val="auto"/>
              </w:rPr>
              <w:t>(2,381)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(4,569)</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(1,992)</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Net loss attributable to iClick Interactive Asia Group Limited’s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ordinary shareholders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(3,141)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(2,606)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(5,276)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(2,718)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(3,244)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(2,606)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(5,713)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US$nil tax</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(1,319)</w:t>
            </w:r>
          </w:p>
        </w:tc>
        <w:tc>
          <w:tcPr>
            <w:tcW w:w="13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(4,080)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(3,925)</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(5,624)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Comprehensive loss attributable to noncontrolling interests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Arial" w:cs="Arial" w:eastAsia="Arial" w:hAnsi="Arial"/>
                <w:sz w:val="18"/>
                <w:szCs w:val="18"/>
                <w:b w:val="1"/>
                <w:bCs w:val="1"/>
                <w:color w:val="auto"/>
              </w:rPr>
              <w:t>Comprehensive loss attributable to iClick Interactive Asia</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(3,977)</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(3,925)</w:t>
            </w: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(5,187)</w:t>
            </w:r>
          </w:p>
        </w:tc>
        <w:tc>
          <w:tcPr>
            <w:tcW w:w="14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Group Limited</w:t>
            </w:r>
          </w:p>
        </w:tc>
        <w:tc>
          <w:tcPr>
            <w:tcW w:w="1600" w:type="dxa"/>
            <w:vAlign w:val="bottom"/>
            <w:gridSpan w:val="2"/>
            <w:vMerge w:val="continue"/>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1580" w:type="dxa"/>
            <w:vAlign w:val="bottom"/>
            <w:gridSpan w:val="2"/>
            <w:vMerge w:val="continue"/>
          </w:tcPr>
          <w:p>
            <w:pPr>
              <w:spacing w:after="0"/>
              <w:rPr>
                <w:sz w:val="22"/>
                <w:szCs w:val="22"/>
                <w:color w:val="auto"/>
              </w:rPr>
            </w:pPr>
          </w:p>
        </w:tc>
        <w:tc>
          <w:tcPr>
            <w:tcW w:w="148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4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Net loss per ADS attributable to iClick Interactive Asia Group</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Limited</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Diluted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ADS used in per share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calculation:</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57,021,120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52,167,588</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56,700,646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52,158,106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Diluted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57,021,120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52,167,588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56,700,646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52,158,106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 June 30, 2019</w:t>
            </w:r>
          </w:p>
        </w:tc>
        <w:tc>
          <w:tcPr>
            <w:tcW w:w="1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41,928</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39,828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Time deposit</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208</w:t>
            </w:r>
          </w:p>
        </w:tc>
        <w:tc>
          <w:tcPr>
            <w:tcW w:w="1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9,574</w:t>
            </w:r>
          </w:p>
        </w:tc>
        <w:tc>
          <w:tcPr>
            <w:tcW w:w="1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Short-term investment</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Accounts receivable, net of allowance for doubtful receivables of US$1,507 as of June 30, 2019 and December 31, 2018</w:t>
            </w: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respectively</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125,725</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65,627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Rebates receivable</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4,362</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media costs</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14,244</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3,950</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199,991</w:t>
            </w: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149,298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1,046</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equity investee</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553</w:t>
            </w:r>
          </w:p>
        </w:tc>
        <w:tc>
          <w:tcPr>
            <w:tcW w:w="1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554</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6,911</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55,156</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48,496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503</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Right-of-use assets</w:t>
            </w:r>
            <w:r>
              <w:rPr>
                <w:rFonts w:ascii="Arial" w:cs="Arial" w:eastAsia="Arial" w:hAnsi="Arial"/>
                <w:sz w:val="17"/>
                <w:szCs w:val="17"/>
                <w:color w:val="auto"/>
                <w:vertAlign w:val="superscript"/>
              </w:rPr>
              <w:t>3</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2,015</w:t>
            </w:r>
          </w:p>
        </w:tc>
        <w:tc>
          <w:tcPr>
            <w:tcW w:w="1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337</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1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67,075</w:t>
            </w:r>
          </w:p>
        </w:tc>
        <w:tc>
          <w:tcPr>
            <w:tcW w:w="280" w:type="dxa"/>
            <w:vAlign w:val="bottom"/>
            <w:tcBorders>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57,960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267,066</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207,258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tcPr>
          <w:p>
            <w:pPr>
              <w:spacing w:after="0" w:line="130" w:lineRule="exact"/>
              <w:rPr>
                <w:sz w:val="20"/>
                <w:szCs w:val="20"/>
                <w:color w:val="auto"/>
              </w:rPr>
            </w:pPr>
            <w:r>
              <w:rPr>
                <w:rFonts w:ascii="Arial" w:cs="Arial" w:eastAsia="Arial" w:hAnsi="Arial"/>
                <w:sz w:val="14"/>
                <w:szCs w:val="14"/>
                <w:color w:val="auto"/>
                <w:w w:val="99"/>
              </w:rPr>
              <w:t>Accounts payable (including accounts payable of the consolidated variable interest entity (“VIE”) and its subsidiaries without</w:t>
            </w: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ind w:left="160"/>
              <w:spacing w:after="0"/>
              <w:rPr>
                <w:sz w:val="20"/>
                <w:szCs w:val="20"/>
                <w:color w:val="auto"/>
              </w:rPr>
            </w:pPr>
            <w:r>
              <w:rPr>
                <w:rFonts w:ascii="Arial" w:cs="Arial" w:eastAsia="Arial" w:hAnsi="Arial"/>
                <w:sz w:val="14"/>
                <w:szCs w:val="14"/>
                <w:color w:val="auto"/>
              </w:rPr>
              <w:t>recourse to the Company of US$81 and US$45 as of June 30, 2019 and December 31, 2018, respectively)</w:t>
            </w:r>
          </w:p>
        </w:tc>
        <w:tc>
          <w:tcPr>
            <w:tcW w:w="1860" w:type="dxa"/>
            <w:vAlign w:val="bottom"/>
            <w:gridSpan w:val="2"/>
          </w:tcPr>
          <w:p>
            <w:pPr>
              <w:jc w:val="right"/>
              <w:ind w:right="280"/>
              <w:spacing w:after="0"/>
              <w:rPr>
                <w:sz w:val="20"/>
                <w:szCs w:val="20"/>
                <w:color w:val="auto"/>
              </w:rPr>
            </w:pPr>
            <w:r>
              <w:rPr>
                <w:rFonts w:ascii="Arial" w:cs="Arial" w:eastAsia="Arial" w:hAnsi="Arial"/>
                <w:sz w:val="14"/>
                <w:szCs w:val="14"/>
                <w:color w:val="auto"/>
              </w:rPr>
              <w:t>33,238</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6,557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Deferred revenue (including deferred revenue of the consolidated VIE and its subsidiaries without recourse to the Company of</w:t>
            </w: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US$1,102 and US$1,300 as of June 30, 2019 and December 31, 2018, respectively)</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43,215</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27,191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tcPr>
          <w:p>
            <w:pPr>
              <w:spacing w:after="0" w:line="130" w:lineRule="exact"/>
              <w:rPr>
                <w:sz w:val="20"/>
                <w:szCs w:val="20"/>
                <w:color w:val="auto"/>
              </w:rPr>
            </w:pPr>
            <w:r>
              <w:rPr>
                <w:rFonts w:ascii="Arial" w:cs="Arial" w:eastAsia="Arial" w:hAnsi="Arial"/>
                <w:sz w:val="14"/>
                <w:szCs w:val="14"/>
                <w:color w:val="auto"/>
              </w:rPr>
              <w:t>Accrued liabilities and other current liabilities (including accrued liabilities and other current liabilities of the consolidated</w:t>
            </w: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160"/>
              <w:spacing w:after="0" w:line="149" w:lineRule="exact"/>
              <w:rPr>
                <w:sz w:val="20"/>
                <w:szCs w:val="20"/>
                <w:color w:val="auto"/>
              </w:rPr>
            </w:pPr>
            <w:r>
              <w:rPr>
                <w:rFonts w:ascii="Arial" w:cs="Arial" w:eastAsia="Arial" w:hAnsi="Arial"/>
                <w:sz w:val="14"/>
                <w:szCs w:val="14"/>
                <w:color w:val="auto"/>
              </w:rPr>
              <w:t>VIE and its subsidiaries without recourse to the Company of US$2,799 and US$1,776 as of June 30, 2019 and</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ind w:left="160"/>
              <w:spacing w:after="0"/>
              <w:rPr>
                <w:sz w:val="20"/>
                <w:szCs w:val="20"/>
                <w:color w:val="auto"/>
              </w:rPr>
            </w:pPr>
            <w:r>
              <w:rPr>
                <w:rFonts w:ascii="Arial" w:cs="Arial" w:eastAsia="Arial" w:hAnsi="Arial"/>
                <w:sz w:val="14"/>
                <w:szCs w:val="14"/>
                <w:color w:val="auto"/>
              </w:rPr>
              <w:t>December 31, 2018, respectively)</w:t>
            </w:r>
          </w:p>
        </w:tc>
        <w:tc>
          <w:tcPr>
            <w:tcW w:w="1860" w:type="dxa"/>
            <w:vAlign w:val="bottom"/>
            <w:gridSpan w:val="2"/>
          </w:tcPr>
          <w:p>
            <w:pPr>
              <w:jc w:val="right"/>
              <w:ind w:right="280"/>
              <w:spacing w:after="0"/>
              <w:rPr>
                <w:sz w:val="20"/>
                <w:szCs w:val="20"/>
                <w:color w:val="auto"/>
              </w:rPr>
            </w:pPr>
            <w:r>
              <w:rPr>
                <w:rFonts w:ascii="Arial" w:cs="Arial" w:eastAsia="Arial" w:hAnsi="Arial"/>
                <w:sz w:val="14"/>
                <w:szCs w:val="14"/>
                <w:color w:val="auto"/>
              </w:rPr>
              <w:t>16,130</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16,348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w:t>
            </w:r>
            <w:r>
              <w:rPr>
                <w:rFonts w:ascii="Arial" w:cs="Arial" w:eastAsia="Arial" w:hAnsi="Arial"/>
                <w:sz w:val="17"/>
                <w:szCs w:val="17"/>
                <w:color w:val="auto"/>
                <w:vertAlign w:val="superscript"/>
              </w:rPr>
              <w:t>3</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1,157</w:t>
            </w:r>
          </w:p>
        </w:tc>
        <w:tc>
          <w:tcPr>
            <w:tcW w:w="1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Bank borrowings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26,009</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 at fair value</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32,398</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34,837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Income tax payable</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3,264</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155,411</w:t>
            </w: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97,151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561</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w:t>
            </w:r>
            <w:r>
              <w:rPr>
                <w:rFonts w:ascii="Arial" w:cs="Arial" w:eastAsia="Arial" w:hAnsi="Arial"/>
                <w:sz w:val="17"/>
                <w:szCs w:val="17"/>
                <w:color w:val="auto"/>
                <w:vertAlign w:val="superscript"/>
              </w:rPr>
              <w:t>3</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899</w:t>
            </w:r>
          </w:p>
        </w:tc>
        <w:tc>
          <w:tcPr>
            <w:tcW w:w="1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2,616</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1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4,076</w:t>
            </w: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159,487</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tcPr>
          <w:p>
            <w:pPr>
              <w:spacing w:after="0" w:line="130" w:lineRule="exact"/>
              <w:rPr>
                <w:sz w:val="20"/>
                <w:szCs w:val="20"/>
                <w:color w:val="auto"/>
              </w:rPr>
            </w:pPr>
            <w:r>
              <w:rPr>
                <w:rFonts w:ascii="Arial" w:cs="Arial" w:eastAsia="Arial" w:hAnsi="Arial"/>
                <w:sz w:val="14"/>
                <w:szCs w:val="14"/>
                <w:color w:val="auto"/>
                <w:w w:val="97"/>
              </w:rPr>
              <w:t>Ordinary shares — Class A (US$0.001 par value; 80,000,000 shares authorized as of June 30, 2019 and December 31, 2018,</w:t>
            </w: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160"/>
              <w:spacing w:after="0" w:line="149" w:lineRule="exact"/>
              <w:rPr>
                <w:sz w:val="20"/>
                <w:szCs w:val="20"/>
                <w:color w:val="auto"/>
              </w:rPr>
            </w:pPr>
            <w:r>
              <w:rPr>
                <w:rFonts w:ascii="Arial" w:cs="Arial" w:eastAsia="Arial" w:hAnsi="Arial"/>
                <w:sz w:val="14"/>
                <w:szCs w:val="14"/>
                <w:color w:val="auto"/>
              </w:rPr>
              <w:t>respectively; 23,697,509 and 23,166,092 shares issued and outstanding as of June 30, 2019 and December 31, 2018,</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ind w:left="160"/>
              <w:spacing w:after="0"/>
              <w:rPr>
                <w:sz w:val="20"/>
                <w:szCs w:val="20"/>
                <w:color w:val="auto"/>
              </w:rPr>
            </w:pPr>
            <w:r>
              <w:rPr>
                <w:rFonts w:ascii="Arial" w:cs="Arial" w:eastAsia="Arial" w:hAnsi="Arial"/>
                <w:sz w:val="14"/>
                <w:szCs w:val="14"/>
                <w:color w:val="auto"/>
              </w:rPr>
              <w:t>respectively)</w:t>
            </w:r>
          </w:p>
        </w:tc>
        <w:tc>
          <w:tcPr>
            <w:tcW w:w="1860" w:type="dxa"/>
            <w:vAlign w:val="bottom"/>
            <w:gridSpan w:val="2"/>
          </w:tcPr>
          <w:p>
            <w:pPr>
              <w:jc w:val="right"/>
              <w:ind w:right="280"/>
              <w:spacing w:after="0"/>
              <w:rPr>
                <w:sz w:val="20"/>
                <w:szCs w:val="20"/>
                <w:color w:val="auto"/>
              </w:rPr>
            </w:pPr>
            <w:r>
              <w:rPr>
                <w:rFonts w:ascii="Arial" w:cs="Arial" w:eastAsia="Arial" w:hAnsi="Arial"/>
                <w:sz w:val="14"/>
                <w:szCs w:val="14"/>
                <w:color w:val="auto"/>
              </w:rPr>
              <w:t>24</w:t>
            </w:r>
          </w:p>
        </w:tc>
        <w:tc>
          <w:tcPr>
            <w:tcW w:w="186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Ordinary shares — Class B (US$0.001 par value; 20,000,000 shares authorized as of June 30, 2019 and December 31, 2018,</w:t>
            </w: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respectively; 4,820,608 shares issued and outstanding as of June 30, 2019 and December 31, 2018, respectively)</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Treasury shares (1,316,721 shares and 1,363,860 shares as of June 30, 2019 and December 31, 2018, respectively)</w:t>
            </w:r>
          </w:p>
        </w:tc>
        <w:tc>
          <w:tcPr>
            <w:tcW w:w="1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(1,011)</w:t>
            </w:r>
          </w:p>
        </w:tc>
        <w:tc>
          <w:tcPr>
            <w:tcW w:w="1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298,917</w:t>
            </w:r>
          </w:p>
        </w:tc>
        <w:tc>
          <w:tcPr>
            <w:tcW w:w="1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293,072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Statutory reserves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losses</w:t>
            </w:r>
          </w:p>
        </w:tc>
        <w:tc>
          <w:tcPr>
            <w:tcW w:w="1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(5,778)</w:t>
            </w:r>
          </w:p>
        </w:tc>
        <w:tc>
          <w:tcPr>
            <w:tcW w:w="1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1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(186,689)</w:t>
            </w:r>
          </w:p>
        </w:tc>
        <w:tc>
          <w:tcPr>
            <w:tcW w:w="1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(181,413)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iClick Interactive Asia Group Limited shareholders’ equity</w:t>
            </w: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105,549</w:t>
            </w: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105,325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2,030</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107,579</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106,640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267,066</w:t>
            </w:r>
          </w:p>
        </w:tc>
        <w:tc>
          <w:tcPr>
            <w:tcW w:w="1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207,258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60" w:hanging="172"/>
        <w:spacing w:after="0" w:line="238" w:lineRule="auto"/>
        <w:tabs>
          <w:tab w:leader="none" w:pos="171"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Company adopted the new leasing guidance (ASU 2016-02) started from January 1, 2019, which requires that a lessee recognize the assets and liabilities that arise from operating leases. The Company recognized a right-of-use asset and a liability relating to lease payments (the Lease Liability) in the consolidated balance sheets for lease contracts having terms beyond 12 months period. The adoption of new leasing guidance resulted in recognition of US$2.0 million of right-of-use assets and US$2.1 million of lease liabilities, respectively, as of June 30, 2019. The consolidated financial information related to periods prior to January 1, 2019 were not restated, and continue to be reported under ASC Topic 840 —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ind w:left="340" w:right="2780"/>
        <w:spacing w:after="0" w:line="266" w:lineRule="auto"/>
        <w:rPr>
          <w:sz w:val="20"/>
          <w:szCs w:val="20"/>
          <w:color w:val="auto"/>
        </w:rPr>
      </w:pPr>
      <w:r>
        <w:rPr>
          <w:rFonts w:ascii="Arial" w:cs="Arial" w:eastAsia="Arial" w:hAnsi="Arial"/>
          <w:sz w:val="18"/>
          <w:szCs w:val="18"/>
          <w:b w:val="1"/>
          <w:bCs w:val="1"/>
          <w:color w:val="auto"/>
        </w:rPr>
        <w:t xml:space="preserve">ICLICK INTERACTIVE ASIA GROUP LIMITED Unaudited Reconciliations of GAAP and Non-GAAP Results </w:t>
      </w:r>
      <w:r>
        <w:rPr>
          <w:rFonts w:ascii="Arial" w:cs="Arial" w:eastAsia="Arial" w:hAnsi="Arial"/>
          <w:sz w:val="18"/>
          <w:szCs w:val="18"/>
          <w:color w:val="auto"/>
        </w:rPr>
        <w:t>(US$’000, except share data and per share data, or otherwise noted, unaudited)</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interest income, (iv) income tax expense, (v) share-based compensation, (vi) fair value losses on convertible notes, (vii) other (gains)/ losses, net, (viii) net loss attributable to noncontrolling interests, (ix) share of losses from an equity investee, (x) cost related to new business setup or acquisitions, and (xi) cost related to filing of Form F-3.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loss for the periods indicated:</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left="793"/>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jc w:val="center"/>
              <w:ind w:left="7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(3,244)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Fair value losses on convertible notes</w:t>
            </w:r>
          </w:p>
        </w:tc>
        <w:tc>
          <w:tcPr>
            <w:tcW w:w="520" w:type="dxa"/>
            <w:vAlign w:val="bottom"/>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(gains)/losses,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of losses from an equity investee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23"/>
                <w:szCs w:val="23"/>
                <w:color w:val="auto"/>
                <w:vertAlign w:val="superscript"/>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Cost related to filing of Form F-3</w:t>
            </w:r>
            <w:r>
              <w:rPr>
                <w:rFonts w:ascii="Arial" w:cs="Arial" w:eastAsia="Arial" w:hAnsi="Arial"/>
                <w:sz w:val="23"/>
                <w:szCs w:val="23"/>
                <w:color w:val="auto"/>
                <w:vertAlign w:val="superscript"/>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60" w:firstLine="8"/>
        <w:spacing w:after="0" w:line="227" w:lineRule="auto"/>
        <w:tabs>
          <w:tab w:leader="none" w:pos="13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Cost related to new business setup or acquisition represents transaction cost for setting up Thailand business and other acquisitions, including audit, legal and professional fee.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It represents cost related to F-3 filing such as audit, legal and professional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 w:name="page13"/>
    <w:bookmarkEnd w:id="12"/>
    <w:p>
      <w:pPr>
        <w:jc w:val="both"/>
        <w:ind w:right="60"/>
        <w:spacing w:after="0" w:line="264" w:lineRule="auto"/>
        <w:rPr>
          <w:sz w:val="20"/>
          <w:szCs w:val="20"/>
          <w:color w:val="auto"/>
        </w:rPr>
      </w:pPr>
      <w:r>
        <w:rPr>
          <w:rFonts w:ascii="Arial" w:cs="Arial" w:eastAsia="Arial" w:hAnsi="Arial"/>
          <w:sz w:val="18"/>
          <w:szCs w:val="18"/>
          <w:color w:val="auto"/>
        </w:rPr>
        <w:t>Adjusted net loss represents net loss before (i) share-based compensation, (ii) fair value losses on convertible notes, (iii) other (gains)/ losses, net, (iv) net loss attributable to noncontrolling interests, (v) share of losses from an equity investee, (vi) cost related to new business setup or acquisitions, and (vii) cost related to filing of Form F-3. There is no material tax effects on these non-GAAP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(3,244)</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(2,606)</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Fair value losses on convertible notes</w:t>
            </w:r>
          </w:p>
        </w:tc>
        <w:tc>
          <w:tcPr>
            <w:tcW w:w="520" w:type="dxa"/>
            <w:vAlign w:val="bottom"/>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(gains)/ losses, net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of losses from an equity investee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Cost related to new business setup or acquisitions</w:t>
            </w: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related to filing of Form F-3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Adjusted net loss</w:t>
            </w: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adjusted net loss per ADS for the periods indicated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8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0"/>
        </w:trPr>
        <w:tc>
          <w:tcPr>
            <w:tcW w:w="1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56"/>
        </w:trPr>
        <w:tc>
          <w:tcPr>
            <w:tcW w:w="18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Adjusted net loss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5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(2,350)</w:t>
            </w:r>
          </w:p>
        </w:tc>
        <w:tc>
          <w:tcPr>
            <w:tcW w:w="4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(2,556)</w:t>
            </w:r>
          </w:p>
        </w:tc>
        <w:tc>
          <w:tcPr>
            <w:tcW w:w="320" w:type="dxa"/>
            <w:vAlign w:val="bottom"/>
          </w:tcPr>
          <w:p>
            <w:pPr>
              <w:spacing w:after="0"/>
              <w:rPr>
                <w:sz w:val="22"/>
                <w:szCs w:val="22"/>
                <w:color w:val="auto"/>
              </w:rPr>
            </w:pPr>
          </w:p>
        </w:tc>
      </w:tr>
      <w:tr>
        <w:trPr>
          <w:trHeight w:val="197"/>
        </w:trPr>
        <w:tc>
          <w:tcPr>
            <w:tcW w:w="18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ADS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56"/>
        </w:trPr>
        <w:tc>
          <w:tcPr>
            <w:tcW w:w="18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57,021,120</w:t>
            </w:r>
          </w:p>
        </w:tc>
        <w:tc>
          <w:tcPr>
            <w:tcW w:w="52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52,167,588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56,700,646</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52,158,106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97"/>
        </w:trPr>
        <w:tc>
          <w:tcPr>
            <w:tcW w:w="18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r>
      <w:tr>
        <w:trPr>
          <w:trHeight w:val="256"/>
        </w:trPr>
        <w:tc>
          <w:tcPr>
            <w:tcW w:w="18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Basic adjusted net loss per ADS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22"/>
                <w:szCs w:val="22"/>
                <w:color w:val="auto"/>
              </w:rPr>
            </w:pPr>
          </w:p>
        </w:tc>
      </w:tr>
      <w:tr>
        <w:trPr>
          <w:trHeight w:val="197"/>
        </w:trPr>
        <w:tc>
          <w:tcPr>
            <w:tcW w:w="18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r>
      <w:tr>
        <w:trPr>
          <w:trHeight w:val="243"/>
        </w:trPr>
        <w:tc>
          <w:tcPr>
            <w:tcW w:w="18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Diluted adjusted net loss per ADS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8"/>
        </w:trPr>
        <w:tc>
          <w:tcPr>
            <w:tcW w:w="18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2019-11-29T16:49:28Z</dcterms:created>
  <dcterms:modified xsi:type="dcterms:W3CDTF">2019-11-29T16:49:28Z</dcterms:modified>
</cp:coreProperties>
</file>