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33191d2_nt20f.htm"/>
      <w:bookmarkStart w:id="1" w:name="kstm233191d2_nt20f"/>
      <w:bookmarkEnd w:id="0"/>
      <w:bookmarkEnd w:id="1"/>
      <w:r>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FILE NUMBER: 001-38313</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 45113Y203</w:t>
      </w:r>
    </w:p>
    <w:p>
      <w:pPr>
        <w:pStyle w:val="TextBody"/>
        <w:spacing w:before="240" w:after="60"/>
        <w:rPr>
          <w:bdr w:val="single" w:sz="16" w:space="1" w:color="000000"/>
        </w:rPr>
      </w:pPr>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12b-25</w:t>
      </w:r>
    </w:p>
    <w:p>
      <w:pPr>
        <w:pStyle w:val="TextBody"/>
        <w:spacing w:before="0" w:after="0"/>
        <w:ind w:left="0" w:right="0" w:hanging="0"/>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(Check One )</w:t>
      </w:r>
      <w:r>
        <w:rPr>
          <w:rFonts w:ascii="Times New Roman;Times;Serif" w:hAnsi="Times New Roman;Times;Serif"/>
          <w:b w:val="false"/>
          <w:i w:val="false"/>
          <w:caps w:val="false"/>
          <w:smallCaps w:val="false"/>
          <w:sz w:val="20"/>
        </w:rPr>
        <w:t>        </w:t>
      </w: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Form 10-K ☒ Form 20-F  </w:t>
      </w: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Form 11-K  </w:t>
      </w:r>
      <w:r>
        <w:rPr>
          <w:rFonts w:ascii="Wingdings" w:hAnsi="Wingdings"/>
          <w:b w:val="false"/>
          <w:i w:val="false"/>
          <w:caps w:val="false"/>
          <w:smallCaps w:val="false"/>
          <w:sz w:val="20"/>
        </w:rPr>
        <w:t xml:space="preserve">o </w:t>
      </w:r>
      <w:r>
        <w:rPr>
          <w:rFonts w:ascii="Times New Roman;Times;Serif" w:hAnsi="Times New Roman;Times;Serif"/>
          <w:b w:val="false"/>
          <w:i w:val="false"/>
          <w:caps w:val="false"/>
          <w:smallCaps w:val="false"/>
          <w:sz w:val="20"/>
        </w:rPr>
        <w:t>Form 10-Q</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Form 10-D </w:t>
      </w: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Form N-CEN </w:t>
      </w: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Form N-CSR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 Ended: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10-K</w:t>
      </w:r>
    </w:p>
    <w:p>
      <w:pPr>
        <w:pStyle w:val="TextBody"/>
        <w:spacing w:before="0" w:after="0"/>
        <w:ind w:left="0" w:right="0" w:firstLine="144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20-F</w:t>
      </w:r>
    </w:p>
    <w:p>
      <w:pPr>
        <w:pStyle w:val="TextBody"/>
        <w:spacing w:before="0" w:after="0"/>
        <w:ind w:left="0" w:right="0" w:firstLine="144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11-K</w:t>
      </w:r>
    </w:p>
    <w:p>
      <w:pPr>
        <w:pStyle w:val="TextBody"/>
        <w:spacing w:before="0" w:after="0"/>
        <w:ind w:left="0" w:right="0" w:firstLine="144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10-Q</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w:t>
      </w:r>
    </w:p>
    <w:p>
      <w:pPr>
        <w:pStyle w:val="TextBody"/>
        <w:spacing w:before="0" w:after="0"/>
        <w:ind w:left="0" w:right="0" w:hanging="0"/>
        <w:rPr>
          <w:caps w:val="false"/>
          <w:smallCaps w:val="false"/>
        </w:rPr>
      </w:pPr>
      <w:r>
        <w:rPr>
          <w:caps w:val="false"/>
          <w:smallCaps w:val="false"/>
        </w:rPr>
        <w:t> </w:t>
      </w:r>
    </w:p>
    <w:tbl>
      <w:tblPr>
        <w:tblW w:w="9785" w:type="dxa"/>
        <w:jc w:val="left"/>
        <w:tblInd w:w="0" w:type="dxa"/>
        <w:tblCellMar>
          <w:top w:w="28" w:type="dxa"/>
          <w:left w:w="108" w:type="dxa"/>
          <w:bottom w:w="28" w:type="dxa"/>
          <w:right w:w="108" w:type="dxa"/>
        </w:tblCellMar>
      </w:tblPr>
      <w:tblGrid>
        <w:gridCol w:w="9785"/>
      </w:tblGrid>
      <w:tr>
        <w:trPr/>
        <w:tc>
          <w:tcPr>
            <w:tcW w:w="978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 Instruction (on back page) Before Preparing Form. Please Print or Type.</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Nothing in this form shall be construed to imply that the Commission has verified any information contained herein.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pBdr>
          <w:bottom w:val="single" w:sz="8" w:space="1" w:color="000000"/>
        </w:pBdr>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165" w:type="dxa"/>
        <w:jc w:val="left"/>
        <w:tblInd w:w="0" w:type="dxa"/>
        <w:tblCellMar>
          <w:top w:w="0" w:type="dxa"/>
          <w:left w:w="0" w:type="dxa"/>
          <w:bottom w:w="0" w:type="dxa"/>
          <w:right w:w="0" w:type="dxa"/>
        </w:tblCellMar>
      </w:tblPr>
      <w:tblGrid>
        <w:gridCol w:w="5165"/>
      </w:tblGrid>
      <w:tr>
        <w:trPr/>
        <w:tc>
          <w:tcPr>
            <w:tcW w:w="5165"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tc>
      </w:tr>
      <w:tr>
        <w:trPr/>
        <w:tc>
          <w:tcPr>
            <w:tcW w:w="516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165"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iClick Interactive Asia Group Limited</w:t>
            </w:r>
          </w:p>
        </w:tc>
      </w:tr>
      <w:tr>
        <w:trPr/>
        <w:tc>
          <w:tcPr>
            <w:tcW w:w="516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tc>
      </w:tr>
      <w:tr>
        <w:trPr/>
        <w:tc>
          <w:tcPr>
            <w:tcW w:w="5165"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r>
      <w:tr>
        <w:trPr/>
        <w:tc>
          <w:tcPr>
            <w:tcW w:w="516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tc>
      </w:tr>
      <w:tr>
        <w:trPr/>
        <w:tc>
          <w:tcPr>
            <w:tcW w:w="516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165"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15/F, Prosperity Millennia Plaza, 663 King’s Road, Quarry Bay</w:t>
            </w:r>
          </w:p>
        </w:tc>
      </w:tr>
      <w:tr>
        <w:trPr/>
        <w:tc>
          <w:tcPr>
            <w:tcW w:w="516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(Street and Number)</w:t>
            </w:r>
          </w:p>
        </w:tc>
      </w:tr>
      <w:tr>
        <w:trPr/>
        <w:tc>
          <w:tcPr>
            <w:tcW w:w="516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165"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S.A.R., People’s Republic of China</w:t>
            </w:r>
          </w:p>
        </w:tc>
      </w:tr>
      <w:tr>
        <w:trPr/>
        <w:tc>
          <w:tcPr>
            <w:tcW w:w="516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28" w:type="dxa"/>
        </w:tblCellMar>
      </w:tblPr>
      <w:tblGrid>
        <w:gridCol w:w="245"/>
        <w:gridCol w:w="9960"/>
      </w:tblGrid>
      <w:tr>
        <w:trPr/>
        <w:tc>
          <w:tcPr>
            <w:tcW w:w="245" w:type="dxa"/>
            <w:vMerge w:val="restart"/>
            <w:tcBorders>
              <w:right w:val="single" w:sz="8" w:space="0" w:color="000000"/>
            </w:tcBorders>
            <w:shd w:fill="auto" w:val="clear"/>
            <w:vAlign w:val="center"/>
          </w:tcPr>
          <w:p>
            <w:pPr>
              <w:pStyle w:val="TableContents"/>
              <w:spacing w:before="0" w:after="283"/>
              <w:rPr/>
            </w:pPr>
            <w:r>
              <w:rPr/>
              <w:t>☒</w:t>
            </w:r>
          </w:p>
        </w:tc>
        <w:tc>
          <w:tcPr>
            <w:tcW w:w="9960" w:type="dxa"/>
            <w:tcBorders/>
            <w:shd w:fill="auto" w:val="clear"/>
            <w:tcMar>
              <w:right w:w="0" w:type="dxa"/>
            </w:tcMar>
            <w:vAlign w:val="center"/>
          </w:tcPr>
          <w:p>
            <w:pPr>
              <w:pStyle w:val="TableContents"/>
              <w:spacing w:before="0" w:after="283"/>
              <w:rPr>
                <w:sz w:val="20"/>
              </w:rPr>
            </w:pPr>
            <w:r>
              <w:rPr>
                <w:sz w:val="20"/>
              </w:rPr>
              <w:t>(a)The reason described in reasonable detail in Part III of this form could not be eliminated without unreasonable effort or expense;</w:t>
            </w:r>
          </w:p>
        </w:tc>
      </w:tr>
      <w:tr>
        <w:trPr/>
        <w:tc>
          <w:tcPr>
            <w:tcW w:w="245" w:type="dxa"/>
            <w:vMerge w:val="continue"/>
            <w:tcBorders>
              <w:right w:val="single" w:sz="8" w:space="0" w:color="000000"/>
            </w:tcBorders>
            <w:shd w:fill="auto" w:val="clear"/>
            <w:vAlign w:val="center"/>
          </w:tcPr>
          <w:p>
            <w:pPr>
              <w:pStyle w:val="Normal"/>
              <w:rPr/>
            </w:pPr>
            <w:r>
              <w:rPr/>
            </w:r>
          </w:p>
        </w:tc>
        <w:tc>
          <w:tcPr>
            <w:tcW w:w="9960" w:type="dxa"/>
            <w:tcBorders/>
            <w:shd w:fill="auto" w:val="clear"/>
            <w:tcMar>
              <w:right w:w="0" w:type="dxa"/>
            </w:tcMar>
            <w:vAlign w:val="center"/>
          </w:tcPr>
          <w:p>
            <w:pPr>
              <w:pStyle w:val="TableContents"/>
              <w:spacing w:before="0" w:after="0"/>
              <w:ind w:left="288" w:right="0" w:hanging="288"/>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vMerge w:val="continue"/>
            <w:tcBorders>
              <w:right w:val="single" w:sz="8" w:space="0" w:color="000000"/>
            </w:tcBorders>
            <w:shd w:fill="auto" w:val="clear"/>
            <w:vAlign w:val="center"/>
          </w:tcPr>
          <w:p>
            <w:pPr>
              <w:pStyle w:val="Normal"/>
              <w:rPr/>
            </w:pPr>
            <w:r>
              <w:rPr/>
            </w:r>
          </w:p>
        </w:tc>
        <w:tc>
          <w:tcPr>
            <w:tcW w:w="9960" w:type="dxa"/>
            <w:tcBorders/>
            <w:shd w:fill="auto" w:val="clear"/>
            <w:tcMar>
              <w:right w:w="0" w:type="dxa"/>
            </w:tcMar>
            <w:vAlign w:val="center"/>
          </w:tcPr>
          <w:p>
            <w:pPr>
              <w:pStyle w:val="TableContents"/>
              <w:spacing w:before="0" w:after="283"/>
              <w:rPr>
                <w:sz w:val="20"/>
              </w:rPr>
            </w:pPr>
            <w:r>
              <w:rPr>
                <w:sz w:val="20"/>
              </w:rPr>
              <w:t>(c)The accountant’s statement or other exhibit required by Rule 12b-25(c) has been attached if applicable.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1344 (06-19) Persons who are to respond to the collection of information contained in this form are not required to respond unless the form displays a currently valid OMB control number.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or portion thereof, could not be filed within the prescribed time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 extra Sheets if Needed)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iClick Interactive Asia Group Limited (the “Company”) has experienced a delay in compiling all information necessary for the disclosure and finalizing its financial statements (the “FY2022 Financial Statements”) in connection with its filing of the Form 20-F for the fiscal year ended December 31, 2022 (the “FY2022 Form 20-F”). Therefore, the Company needs additional time to complete its FY2022 Form 20-F and will not be able to file its FY2022 Form 20-F by the prescribed filing deadline.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spacing w:before="0" w:after="0"/>
        <w:ind w:left="0" w:right="0" w:hanging="0"/>
        <w:rPr>
          <w:caps w:val="false"/>
          <w:smallCaps w:val="false"/>
        </w:rPr>
      </w:pPr>
      <w:r>
        <w:rPr>
          <w:caps w:val="false"/>
          <w:smallCaps w:val="false"/>
        </w:rPr>
        <w:t> </w:t>
      </w:r>
    </w:p>
    <w:tbl>
      <w:tblPr>
        <w:tblW w:w="6685" w:type="dxa"/>
        <w:jc w:val="left"/>
        <w:tblInd w:w="0" w:type="dxa"/>
        <w:tblCellMar>
          <w:top w:w="0" w:type="dxa"/>
          <w:left w:w="0" w:type="dxa"/>
          <w:bottom w:w="0" w:type="dxa"/>
          <w:right w:w="0" w:type="dxa"/>
        </w:tblCellMar>
      </w:tblPr>
      <w:tblGrid>
        <w:gridCol w:w="260"/>
        <w:gridCol w:w="6425"/>
      </w:tblGrid>
      <w:tr>
        <w:trPr/>
        <w:tc>
          <w:tcPr>
            <w:tcW w:w="260" w:type="dxa"/>
            <w:tcBorders/>
            <w:shd w:fill="auto" w:val="clear"/>
            <w:vAlign w:val="center"/>
          </w:tcPr>
          <w:p>
            <w:pPr>
              <w:pStyle w:val="TableContents"/>
              <w:spacing w:before="0" w:after="283"/>
              <w:rPr>
                <w:sz w:val="20"/>
              </w:rPr>
            </w:pPr>
            <w:r>
              <w:rPr>
                <w:sz w:val="20"/>
              </w:rPr>
              <w:t>(1)</w:t>
            </w:r>
          </w:p>
        </w:tc>
        <w:tc>
          <w:tcPr>
            <w:tcW w:w="6425" w:type="dxa"/>
            <w:tcBorders/>
            <w:shd w:fill="auto" w:val="clear"/>
            <w:vAlign w:val="center"/>
          </w:tcPr>
          <w:p>
            <w:pPr>
              <w:pStyle w:val="TableContents"/>
              <w:spacing w:before="0" w:after="283"/>
              <w:rPr>
                <w:sz w:val="20"/>
              </w:rPr>
            </w:pPr>
            <w:r>
              <w:rPr>
                <w:sz w:val="20"/>
              </w:rPr>
              <w:t>Name and telephone number of person to contact in regard to this notification  </w:t>
            </w:r>
          </w:p>
        </w:tc>
      </w:tr>
    </w:tbl>
    <w:p>
      <w:pPr>
        <w:pStyle w:val="TextBody"/>
        <w:spacing w:before="0" w:after="0"/>
        <w:ind w:left="0" w:right="0" w:hanging="0"/>
        <w:rPr>
          <w:caps w:val="false"/>
          <w:smallCaps w:val="false"/>
        </w:rPr>
      </w:pPr>
      <w:r>
        <w:rPr>
          <w:caps w:val="false"/>
          <w:smallCaps w:val="false"/>
        </w:rPr>
        <w:t> </w:t>
      </w:r>
    </w:p>
    <w:tbl>
      <w:tblPr>
        <w:tblW w:w="4020" w:type="dxa"/>
        <w:jc w:val="left"/>
        <w:tblInd w:w="0" w:type="dxa"/>
        <w:tblCellMar>
          <w:top w:w="0" w:type="dxa"/>
          <w:left w:w="0" w:type="dxa"/>
          <w:bottom w:w="0" w:type="dxa"/>
          <w:right w:w="0" w:type="dxa"/>
        </w:tblCellMar>
      </w:tblPr>
      <w:tblGrid>
        <w:gridCol w:w="75"/>
        <w:gridCol w:w="1130"/>
        <w:gridCol w:w="1040"/>
        <w:gridCol w:w="1775"/>
      </w:tblGrid>
      <w:tr>
        <w:trPr/>
        <w:tc>
          <w:tcPr>
            <w:tcW w:w="75"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b/>
                <w:sz w:val="20"/>
              </w:rPr>
            </w:pPr>
            <w:r>
              <w:rPr>
                <w:b/>
                <w:sz w:val="20"/>
              </w:rPr>
              <w:t>David Zhang</w:t>
            </w:r>
          </w:p>
        </w:tc>
        <w:tc>
          <w:tcPr>
            <w:tcW w:w="1040" w:type="dxa"/>
            <w:tcBorders/>
            <w:shd w:fill="auto" w:val="clear"/>
            <w:vAlign w:val="center"/>
          </w:tcPr>
          <w:p>
            <w:pPr>
              <w:pStyle w:val="TableContents"/>
              <w:spacing w:before="0" w:after="283"/>
              <w:jc w:val="center"/>
              <w:rPr>
                <w:b/>
                <w:sz w:val="20"/>
              </w:rPr>
            </w:pPr>
            <w:r>
              <w:rPr>
                <w:b/>
                <w:sz w:val="20"/>
              </w:rPr>
              <w:t>852</w:t>
            </w:r>
          </w:p>
        </w:tc>
        <w:tc>
          <w:tcPr>
            <w:tcW w:w="1775" w:type="dxa"/>
            <w:tcBorders/>
            <w:shd w:fill="auto" w:val="clear"/>
            <w:vAlign w:val="center"/>
          </w:tcPr>
          <w:p>
            <w:pPr>
              <w:pStyle w:val="TableContents"/>
              <w:spacing w:before="0" w:after="283"/>
              <w:jc w:val="center"/>
              <w:rPr>
                <w:b/>
                <w:sz w:val="20"/>
              </w:rPr>
            </w:pPr>
            <w:r>
              <w:rPr>
                <w:b/>
                <w:sz w:val="20"/>
              </w:rPr>
              <w:t>3700 9000</w:t>
            </w:r>
          </w:p>
        </w:tc>
      </w:tr>
      <w:tr>
        <w:trPr/>
        <w:tc>
          <w:tcPr>
            <w:tcW w:w="75"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pBdr>
                <w:top w:val="single" w:sz="6"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1040" w:type="dxa"/>
            <w:tcBorders/>
            <w:shd w:fill="auto" w:val="clear"/>
            <w:vAlign w:val="center"/>
          </w:tcPr>
          <w:p>
            <w:pPr>
              <w:pStyle w:val="TableContents"/>
              <w:pBdr>
                <w:top w:val="single" w:sz="6"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(Area Code)</w:t>
            </w:r>
          </w:p>
        </w:tc>
        <w:tc>
          <w:tcPr>
            <w:tcW w:w="1775" w:type="dxa"/>
            <w:tcBorders/>
            <w:shd w:fill="auto" w:val="clear"/>
            <w:vAlign w:val="center"/>
          </w:tcPr>
          <w:p>
            <w:pPr>
              <w:pStyle w:val="TableContents"/>
              <w:pBdr>
                <w:top w:val="single" w:sz="6"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Number)</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vAlign w:val="center"/>
          </w:tcPr>
          <w:p>
            <w:pPr>
              <w:pStyle w:val="TableContents"/>
              <w:spacing w:before="0" w:after="283"/>
              <w:rPr>
                <w:sz w:val="20"/>
              </w:rPr>
            </w:pPr>
            <w:r>
              <w:rPr>
                <w:sz w:val="20"/>
              </w:rPr>
              <w:t>(2)</w:t>
            </w:r>
          </w:p>
        </w:tc>
        <w:tc>
          <w:tcPr>
            <w:tcW w:w="9983"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p>
          <w:p>
            <w:pPr>
              <w:pStyle w:val="TableContents"/>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1"/>
        <w:gridCol w:w="9974"/>
      </w:tblGrid>
      <w:tr>
        <w:trPr/>
        <w:tc>
          <w:tcPr>
            <w:tcW w:w="231" w:type="dxa"/>
            <w:tcBorders/>
            <w:shd w:fill="auto" w:val="clear"/>
            <w:vAlign w:val="center"/>
          </w:tcPr>
          <w:p>
            <w:pPr>
              <w:pStyle w:val="TableContents"/>
              <w:spacing w:before="0" w:after="283"/>
              <w:rPr>
                <w:sz w:val="20"/>
              </w:rPr>
            </w:pPr>
            <w:r>
              <w:rPr>
                <w:sz w:val="20"/>
              </w:rPr>
              <w:t>(3)</w:t>
            </w:r>
          </w:p>
        </w:tc>
        <w:tc>
          <w:tcPr>
            <w:tcW w:w="997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it anticipated that any significant change in results of operations from the corresponding period for the last fiscal year will be reflected by the earnings statements to be included in the subject report or portion thereof?  </w:t>
            </w:r>
          </w:p>
          <w:p>
            <w:pPr>
              <w:pStyle w:val="TableContents"/>
              <w:spacing w:before="0" w:after="0"/>
              <w:ind w:left="0" w:right="0" w:hanging="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anticipates that there will be significant changes in its results of operations for FY2022 from the last fiscal year due to the scale-down of its marketing solutions business, uncertainties in the macro-economic environment from pandemic impact, which led to reduced budget and spending from clients and a broad-based slowdown in the advertising market in China, and increased competition in the SaaS market. In particular, the Company anticipates a significant decrease in net revenues from US$307.7 million in 2021 to approximately US$170 million in FY2022. The Company also expects to record a significant impairment of intangible assets under cost of revenues of no more than US$50 million in 2022 relating to its online advertising service. As a result, the Company expects to record a gross loss of approximately US$5 million in 2022, compared to gross profit of US$89.2 million in 2021. In addition, the Company expects to record significant impairment of goodwill and other long-lived assets of approximately US$80 million and US$5 million in 2022, respectively. As a result, the Company expects to record a net loss of no less than US$200 million in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had cash and cash equivalents, time deposits and restricted cash of no more than US$106 million. Subsequent to December 31, 2022, available facilities from certain banks to the Group were reduced whereby total undrawn facilities available for draw-down, net of bank deposits that would need to be pledged as restricted cash upon utilization of the facilities as of February 28, 2023 dropped to no more than US$19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financial data included in Part IV is based on the Company’s currently available information and is subject to change upon finalization of the FY2022 Financial Statements. The Company’s reported material weaknesses from its fiscal year 2021 Form 20-F remain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notification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its strategic shift away from Marketing Solutions to focus on Enterprise Solutions; its success in implementing its SaaS + X business model;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notification is as of the date of this notification, and the Company undertakes no obligation to update any forward-looking statement, except as required under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iClick Interactive Asia Group Limited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Charter)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tbl>
      <w:tblPr>
        <w:tblW w:w="3880" w:type="dxa"/>
        <w:jc w:val="left"/>
        <w:tblInd w:w="0" w:type="dxa"/>
        <w:tblCellMar>
          <w:top w:w="0" w:type="dxa"/>
          <w:left w:w="0" w:type="dxa"/>
          <w:bottom w:w="0" w:type="dxa"/>
          <w:right w:w="0" w:type="dxa"/>
        </w:tblCellMar>
      </w:tblPr>
      <w:tblGrid>
        <w:gridCol w:w="75"/>
        <w:gridCol w:w="545"/>
        <w:gridCol w:w="3260"/>
      </w:tblGrid>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3260" w:type="dxa"/>
            <w:tcBorders/>
            <w:shd w:fill="auto" w:val="clear"/>
            <w:vAlign w:val="center"/>
          </w:tcPr>
          <w:p>
            <w:pPr>
              <w:pStyle w:val="TableContents"/>
              <w:spacing w:before="0" w:after="283"/>
              <w:rPr>
                <w:b/>
                <w:sz w:val="20"/>
              </w:rPr>
            </w:pPr>
            <w:r>
              <w:rPr>
                <w:b/>
                <w:sz w:val="20"/>
              </w:rPr>
              <w:t>iClick Interactive Asia Group Limited</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32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By:</w:t>
            </w:r>
          </w:p>
        </w:tc>
        <w:tc>
          <w:tcPr>
            <w:tcW w:w="3260" w:type="dxa"/>
            <w:tcBorders>
              <w:bottom w:val="single" w:sz="8" w:space="0" w:color="000000"/>
            </w:tcBorders>
            <w:shd w:fill="auto" w:val="clear"/>
            <w:tcMar>
              <w:bottom w:w="28" w:type="dxa"/>
            </w:tcMar>
            <w:vAlign w:val="center"/>
          </w:tcPr>
          <w:p>
            <w:pPr>
              <w:pStyle w:val="TableContents"/>
              <w:spacing w:before="0" w:after="283"/>
              <w:rPr>
                <w:sz w:val="20"/>
              </w:rPr>
            </w:pPr>
            <w:r>
              <w:rPr>
                <w:sz w:val="20"/>
              </w:rPr>
              <w:t>/s/ David Zhang</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3260" w:type="dxa"/>
            <w:tcBorders/>
            <w:shd w:fill="auto" w:val="clear"/>
            <w:vAlign w:val="center"/>
          </w:tcPr>
          <w:p>
            <w:pPr>
              <w:pStyle w:val="TableContents"/>
              <w:spacing w:before="0" w:after="283"/>
              <w:rPr>
                <w:sz w:val="20"/>
              </w:rPr>
            </w:pPr>
            <w:r>
              <w:rPr>
                <w:sz w:val="20"/>
              </w:rPr>
              <w:t>David Zhang</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3260" w:type="dxa"/>
            <w:tcBorders/>
            <w:shd w:fill="auto" w:val="clear"/>
            <w:vAlign w:val="center"/>
          </w:tcPr>
          <w:p>
            <w:pPr>
              <w:pStyle w:val="TableContents"/>
              <w:spacing w:before="0" w:after="283"/>
              <w:rPr>
                <w:sz w:val="20"/>
              </w:rPr>
            </w:pPr>
            <w:r>
              <w:rPr>
                <w:sz w:val="20"/>
              </w:rPr>
              <w:t>Chief Financial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28,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1369</Words>
  <CharactersWithSpaces>8844</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