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4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33" w:right="1440" w:bottom="1440" w:gutter="0" w:footer="0" w:header="0"/>
        </w:sectPr>
      </w:pPr>
    </w:p>
    <w:bookmarkStart w:id="1" w:name="page2"/>
    <w:bookmarkEnd w:id="1"/>
    <w:p>
      <w:pPr>
        <w:ind w:left="55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0"/>
                <w:szCs w:val="20"/>
                <w:color w:val="auto"/>
              </w:rPr>
            </w:pPr>
          </w:p>
        </w:tc>
        <w:tc>
          <w:tcPr>
            <w:tcW w:w="9180" w:type="dxa"/>
            <w:vAlign w:val="bottom"/>
          </w:tcPr>
          <w:p>
            <w:pPr>
              <w:jc w:val="right"/>
              <w:ind w:right="523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jc w:val="right"/>
              <w:ind w:right="9090"/>
              <w:spacing w:after="0" w:line="169" w:lineRule="exact"/>
              <w:rPr>
                <w:sz w:val="20"/>
                <w:szCs w:val="20"/>
                <w:color w:val="auto"/>
              </w:rPr>
            </w:pPr>
            <w:r>
              <w:rPr>
                <w:rFonts w:ascii="Times New Roman" w:cs="Times New Roman" w:eastAsia="Times New Roman" w:hAnsi="Times New Roman"/>
                <w:sz w:val="18"/>
                <w:szCs w:val="18"/>
                <w:color w:val="0000EE"/>
                <w:w w:val="97"/>
              </w:rPr>
              <w:t>Press release</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91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45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Reports First Quarter 2026 Unaudited Financial Results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the resilience of our high-quality client franchise despite a softer macro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revealed the underlying operating system, introducing A-MM: an agent-native liquidity operations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 C4AI day: A key milestone to sharing the Amber Agents architecture and a fuller picture of the operating core.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May 28, 2026 – </w:t>
      </w:r>
      <w:r>
        <w:rPr>
          <w:rFonts w:ascii="Times New Roman" w:cs="Times New Roman" w:eastAsia="Times New Roman" w:hAnsi="Times New Roman"/>
          <w:sz w:val="18"/>
          <w:szCs w:val="18"/>
          <w:color w:val="auto"/>
        </w:rPr>
        <w:t>Amber International Holding Limited (Nasdaq: AMBR) (“Amber International”, “we,” “us,” or the “Company”),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digital wealth management platform, today announced First Quarter 2026 Unaudited Financial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Michael Wu, Chairman and Chief Executive Officer of Amber International, commented: “The first quarter of 2026 reflected a softer digital asset market environment, with industry trading volumes and asset prices declining further from already subdued levels. Our results moved with the cycle. What remained unchanged is the depth and durability of our core institutional and high-net-worth client relationships. In connection with our regulatory licensing process, we made a deliberate decision to streamline certain long-tail accounts, concentrating resources on higher-value, regulated relationships. During the quarter, we launched A-MM, the first flagship component of our A-Suite agent-native operating systems, marking an important step in extending our capabilities from the distribution layer into the operating infrastructure layer. We also introduced our Crypto for AI (C4AI) vision, positioning crypto as the financial infrastructure for the emerging agent economy. Our inaugural C4AI Investor Day is planned for October this year.”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Vicky Wang, President of Amber Premium, said: “Q1 once again demonstrated the resilience of our high-quality client franchise despite a softer macro environment. While Execution and Payment Solutions activity moderated in line with the market cycle, our primary recurring revenue engine — Wealth Management Solutions — continued to perform steadily. Our core institutional and high-net-worth relationships remained intact, with Assets on Platform per active client holding stable at approximately US$1.2 million. In connection with our preparation for upcoming regulatory licensing, we proactively streamlined a portion of lower-value retail accounts. This was a deliberate portfolio optimization rather than client attrition, and the overall client assets on platform were still inline with the market trend without material impact. Our focus remains on serving these institutional clients and partners more efficiently, while extending that capability to a broader institutional base.”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18"/>
          <w:szCs w:val="18"/>
          <w:color w:val="auto"/>
        </w:rPr>
        <w:t>: US$10.0 million in Q1 2026. It was US$14.5 million in Q1 2025 and US$16.3 million in Q4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Solutions Revenue: </w:t>
      </w:r>
      <w:r>
        <w:rPr>
          <w:rFonts w:ascii="Times New Roman" w:cs="Times New Roman" w:eastAsia="Times New Roman" w:hAnsi="Times New Roman"/>
          <w:sz w:val="18"/>
          <w:szCs w:val="18"/>
          <w:color w:val="auto"/>
        </w:rPr>
        <w:t>US$4.3 million in Q1 2026, representing 74.8% of Amber Premium segment revenue. It was US$5.9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last quarter, 56.2% of Amber Premium segment revenue, and US$9.9 million in Q1 2025, contributing 74.1% of Amber Premium segment revenue.</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US$6.8 million in Q1 2026 at a gross margin of 67.7%. It amounted to US$12.1 million last quarter with a gross margin of 74.2%,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US$10.9 million with a gross margin of 75.5% in Q1 2025.</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Adjusted EBITDA from continuing operations: </w:t>
      </w:r>
      <w:r>
        <w:rPr>
          <w:rFonts w:ascii="Times New Roman" w:cs="Times New Roman" w:eastAsia="Times New Roman" w:hAnsi="Times New Roman"/>
          <w:sz w:val="18"/>
          <w:szCs w:val="18"/>
          <w:color w:val="auto"/>
        </w:rPr>
        <w:t>US$3.2 million loss in Q1 2026, versus US$50 thousand and US$1.6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Q4 2025 and Q1 2025, respectively.</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hanging="328"/>
        <w:spacing w:after="0" w:line="189"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Client Assets on Platform</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Stood at approximately US$1.0 billion as of March 31, 2026. Client Assets per Active Client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US$1.2 million as of March 31, 2026, reflecting the Company’s differentiated client profile.</w:t>
      </w:r>
    </w:p>
    <w:p>
      <w:pPr>
        <w:spacing w:after="0" w:line="199" w:lineRule="exact"/>
        <w:rPr>
          <w:rFonts w:ascii="Times New Roman" w:cs="Times New Roman" w:eastAsia="Times New Roman" w:hAnsi="Times New Roman"/>
          <w:sz w:val="36"/>
          <w:szCs w:val="36"/>
          <w:color w:val="auto"/>
          <w:vertAlign w:val="superscript"/>
        </w:rPr>
      </w:pPr>
    </w:p>
    <w:p>
      <w:pPr>
        <w:jc w:val="both"/>
        <w:ind w:left="660" w:hanging="328"/>
        <w:spacing w:after="0" w:line="214"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Cumulative KYC'ed Users</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color w:val="auto"/>
        </w:rPr>
        <w:t>: the Company had 4,401 cumulative KYC’ed users as of March 31, 2026, representing a modest 5.5% decline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March 31, 2025. During the first quarter of 2026, we streamlined certain client accounts in connection with our Virtual Asset Service Provider (VASP) license application in Hong Kong and other regions. This can also enhance alignment with the updated regulatory requirements and strengthen our competitiveness, global suitability and compliance standards, positioning Amber Premium for sustainable growth.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 and Strategic Updates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quarter of 2026 reflected continued execution of the long-term strategy Amber has pursued since its founding. Amber was established on the conviction that crypto and artificial intelligence would converge to redefine the future of finance. This quarter’s developments represent the natural progression of that thesis.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Building on Amber Premium’s established position as a proven distribution layer — characterized by deep institutional and high-net-worth client relationships, a strong regulatory foundation, and consistent profitability — the Company is extending into the operating infrastructure layer beneath it. This evolution aims to create a more scalable, efficient, and intelligent platform capable of supporting the emerging agent economy. Rather than a departure from its origins, this represents a deliberate next step in Amber’s development: moving from competing at the interface level to building the foundational operating systems that power agent-driven financial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developments anchored the quarter:</w:t>
      </w:r>
    </w:p>
    <w:p>
      <w:pPr>
        <w:spacing w:after="0" w:line="221" w:lineRule="exact"/>
        <w:rPr>
          <w:sz w:val="20"/>
          <w:szCs w:val="20"/>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A-MM launch. </w:t>
      </w:r>
      <w:r>
        <w:rPr>
          <w:rFonts w:ascii="Times New Roman" w:cs="Times New Roman" w:eastAsia="Times New Roman" w:hAnsi="Times New Roman"/>
          <w:sz w:val="18"/>
          <w:szCs w:val="18"/>
          <w:color w:val="auto"/>
        </w:rPr>
        <w:t>At the end of March 2026, the Company launched A-MM (Agentic Market Making), the first flagship component of its A-Suite agent-native operating systems. A-MM is an agent-native liquidity operations system and designated market-making infrastructure platform designed for token projects. It unifies execution workflows, infrastructure, and transparency into a single, agent-orchestrated layer, supported by real-time performance and risk reporting. A-MM is designed to work alongside traditional market makers rather than replace them, with the goal of improving efficiency, transparency, and scalability. The soft launch generated strong early interest from token projects, and the Company expects A-MM to begin contributing meaningful revenue from the second quarter of 2026 onward. A-MM marks the first concrete step in transitioning from a distribution-focused platform to a full-stack, agent-native organization.</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Crypto-for-AI (C4AI) vision. </w:t>
      </w:r>
      <w:r>
        <w:rPr>
          <w:rFonts w:ascii="Times New Roman" w:cs="Times New Roman" w:eastAsia="Times New Roman" w:hAnsi="Times New Roman"/>
          <w:sz w:val="18"/>
          <w:szCs w:val="18"/>
          <w:color w:val="auto"/>
        </w:rPr>
        <w:t>The Company formally introduced its Crypto for AI (C4AI) vision, which positions crypto as the financial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infrastructure for the emerging agent economy. As part of this vision, Amber plans to host its inaugural C4AI Investor Day in October 2026, where it intends to provide a broader update on the A-Suite roadmap and the development of its agent capabilities.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quarter, Amber Premium’s core institutional and high-net-worth client relationships remained resilient despite a softer market environment. Client Assets on Platform stood at approximately US$1.0 billion, with Assets on Platform per active client holding steady at approximately US$1.2 million. In connection with its preparation for upcoming regulatory licensing, the Company made a deliberate decision to streamline certain long-tail retail accounts. This was a proactive portfolio optimization aimed at concentrating resources on higher-value, regulated relationships. The optimization had minimal impact on overall Client Assets on Platform and the core client profile, reinforcing the quality and durability of Amber’s institutional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8"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Client Assets on Platform is defined as the total U.S. dollar equivalent value of client assets as of a specific date.</w:t>
      </w:r>
    </w:p>
    <w:p>
      <w:pPr>
        <w:spacing w:after="0" w:line="22" w:lineRule="exact"/>
        <w:rPr>
          <w:sz w:val="20"/>
          <w:szCs w:val="20"/>
          <w:color w:val="auto"/>
        </w:rPr>
      </w:pPr>
    </w:p>
    <w:p>
      <w:pPr>
        <w:ind w:firstLine="8"/>
        <w:spacing w:after="0" w:line="195" w:lineRule="auto"/>
        <w:tabs>
          <w:tab w:leader="none" w:pos="134"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 Active Client is defined as a client who has conducted at least one transaction during any consecutive three months ended as of a specific date, or whose assets under management with the Company greater than US$10 thousand as of a specific date.</w:t>
      </w:r>
    </w:p>
    <w:p>
      <w:pPr>
        <w:spacing w:after="0" w:line="24" w:lineRule="exact"/>
        <w:rPr>
          <w:sz w:val="20"/>
          <w:szCs w:val="20"/>
          <w:color w:val="auto"/>
        </w:rPr>
      </w:pPr>
    </w:p>
    <w:p>
      <w:pPr>
        <w:jc w:val="both"/>
        <w:ind w:firstLine="8"/>
        <w:spacing w:after="0" w:line="210" w:lineRule="auto"/>
        <w:tabs>
          <w:tab w:leader="none" w:pos="139"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Cumulative KYC’ed Users is defined as the total number of clients that completed the Company’s Know Your Customer identity verification as of a specific date. The Company does not offer or provide any services to registered users who have not successfully completed the Know Your Customer identity verification process.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2025, the Company announced a share repurchase program authorizing the purchase of up to US$50.0 million of its ADSs over a 12-month period commencing December 1, 2025. As of March 31, 2026, the Company had repurchased a total of 1,973,943 ADSs under this program for an aggregate consideration of approximately US$4.5 million. As of March 31, 2026, approximately US$45.5 million remained available for future repurchases under the program, providing significant capacity for opportunistic repurchases alongside continued growth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financial metrics of the Company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39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 except per share data;</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24"/>
                <w:szCs w:val="24"/>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Wealth Management Solutions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4,257</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9,918</w:t>
            </w:r>
          </w:p>
        </w:tc>
        <w:tc>
          <w:tcPr>
            <w:tcW w:w="1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5,935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Execution Solutions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859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2,674</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(67.9)%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3,391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(74.7)%</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Payment Solutions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575</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797</w:t>
            </w:r>
          </w:p>
        </w:tc>
        <w:tc>
          <w:tcPr>
            <w:tcW w:w="1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1,231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(53.3)%</w:t>
            </w:r>
          </w:p>
        </w:tc>
      </w:tr>
      <w:tr>
        <w:trPr>
          <w:trHeight w:val="257"/>
        </w:trPr>
        <w:tc>
          <w:tcPr>
            <w:tcW w:w="3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Sub-total of Amber Premium Business</w:t>
            </w:r>
            <w:r>
              <w:rPr>
                <w:rFonts w:ascii="Times New Roman" w:cs="Times New Roman" w:eastAsia="Times New Roman" w:hAnsi="Times New Roman"/>
                <w:sz w:val="29"/>
                <w:szCs w:val="29"/>
                <w:color w:val="auto"/>
                <w:vertAlign w:val="superscript"/>
              </w:rPr>
              <w:t>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13,389</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Marketing and Enterprise Solutions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4,337</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1,118</w:t>
            </w:r>
          </w:p>
        </w:tc>
        <w:tc>
          <w:tcPr>
            <w:tcW w:w="1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287.9%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5,780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(25.0)%</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14,507</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6,788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10,948</w:t>
            </w:r>
          </w:p>
        </w:tc>
        <w:tc>
          <w:tcPr>
            <w:tcW w:w="1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 from continuing operations</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net (loss)/income from continuing</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per American Depositary Shares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3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 from continuing operations</w:t>
            </w:r>
            <w:r>
              <w:rPr>
                <w:rFonts w:ascii="Times New Roman" w:cs="Times New Roman" w:eastAsia="Times New Roman" w:hAnsi="Times New Roman"/>
                <w:sz w:val="29"/>
                <w:szCs w:val="29"/>
                <w:color w:val="auto"/>
                <w:vertAlign w:val="superscript"/>
              </w:rPr>
              <w:t>5</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01"/>
        </w:trPr>
        <w:tc>
          <w:tcPr>
            <w:tcW w:w="39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Adjusted net (loss)/income from continuing</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1"/>
        </w:trPr>
        <w:tc>
          <w:tcPr>
            <w:tcW w:w="394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operations</w:t>
            </w:r>
            <w:r>
              <w:rPr>
                <w:rFonts w:ascii="Times New Roman" w:cs="Times New Roman" w:eastAsia="Times New Roman" w:hAnsi="Times New Roman"/>
                <w:sz w:val="29"/>
                <w:szCs w:val="29"/>
                <w:color w:val="auto"/>
                <w:vertAlign w:val="superscript"/>
              </w:rPr>
              <w:t>5</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1,483</w:t>
            </w:r>
          </w:p>
        </w:tc>
        <w:tc>
          <w:tcPr>
            <w:tcW w:w="180" w:type="dxa"/>
            <w:vAlign w:val="bottom"/>
          </w:tcPr>
          <w:p>
            <w:pPr>
              <w:spacing w:after="0"/>
              <w:rPr>
                <w:sz w:val="23"/>
                <w:szCs w:val="23"/>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01"/>
        </w:trPr>
        <w:tc>
          <w:tcPr>
            <w:tcW w:w="39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Diluted adjusted net (loss)/income per ADS from</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71"/>
        </w:trPr>
        <w:tc>
          <w:tcPr>
            <w:tcW w:w="394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continuing operations</w:t>
            </w:r>
            <w:r>
              <w:rPr>
                <w:rFonts w:ascii="Times New Roman" w:cs="Times New Roman" w:eastAsia="Times New Roman" w:hAnsi="Times New Roman"/>
                <w:sz w:val="29"/>
                <w:szCs w:val="29"/>
                <w:color w:val="auto"/>
                <w:vertAlign w:val="superscript"/>
              </w:rPr>
              <w:t>5</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ind w:firstLine="8"/>
        <w:spacing w:after="0" w:line="261" w:lineRule="auto"/>
        <w:tabs>
          <w:tab w:leader="none" w:pos="1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iClick Interactive Asia Group Limited completed its merger (the "Merger") with Amber DWM Holding Limited. The Merger is accounted for as a reverse acquisition for accounting purposes. Accordingly, the Merger is treated as the equivalent of Amber DWM issuing shares for the acquisition of iClick, accompanied by a recapitalization, for accounting purposes. The financial results of iClick have been included in our consolidated financial results since March 12, 2025.</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first quarter of 2026 amounted to US$10.0 million, compared to US$16.3 million last quarter, mainly influenced by a materially softer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asset market environment, which resulted in a moderation in transaction volumes across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6"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Amber Premium business comprises our Wealth Management Solutions, Execution Solutions, and Payment Solutions.</w:t>
      </w:r>
    </w:p>
    <w:p>
      <w:pPr>
        <w:spacing w:after="0" w:line="22" w:lineRule="exact"/>
        <w:rPr>
          <w:sz w:val="20"/>
          <w:szCs w:val="20"/>
          <w:color w:val="auto"/>
        </w:rPr>
      </w:pPr>
    </w:p>
    <w:p>
      <w:pPr>
        <w:ind w:right="20" w:firstLine="8"/>
        <w:spacing w:after="0" w:line="195" w:lineRule="auto"/>
        <w:tabs>
          <w:tab w:leader="none" w:pos="126"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more details on these non-GAAP financial measures, please see the tables captioned "Unaudited Reconciliations of GAAP and Non-GAAP Results" set forth at the end of this press release.</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Management Solutions was US$4.3 million in the first quarter of 2026, versus US$5.9 million last quarter, due to the external market environment, and our deliberate client base optimization to focus exclusively on high value relationships.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Execution Solutions was US$0.9 million in the first quarter of 2026, versus US$3.4 million last quarter, respectively, reflecting a pronounced industry-wide contraction in trading volumes and a lower realized fee rate during the quarter.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Payment Solutions was US$0.6 million in the first quarter of 2026, versus US$1.2 million last quarter, resulting from softer market conditions, partially offset by the ongoing structural growth in stablecoin-based payment flows for risk-off positioning and treasury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Enterprise Solutions revenue was US$4.3 million in the first quarter of 2026, compared to US$5.8 million last quarter, influenced by the seasonality of online spending cycles of consumers and marketers.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first quarter of 2026 was US$6.8 million, versus US$12.1 million last quarter. Gross profit margin was 67.7% in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versus 74.2% last quarter. The change for this quarter reflected mix dynamics, with our dual products representing a higher share of revenue. We remain focused on advancing long-term growth across all product lines.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US$10.0 million in the first quarter of 2026, compared to US$11.0 million last quarter. We streamlined our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strategically, with one of the ways was by integrating MIA, our in-house developed AI agent, into operating segments. During the period, the operating cost from marketing and enterprise solution segment reduced by more than 10.0%, following the integration of AI capabilities into our existing digital marketing business, and transitioning the business toward an AI-driven operating model.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was US$3.2 million in the first quarter of 2026, compared to US$1.2 million operating income last quarter, due to the quarter-over-quarter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gross profit.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losses, net </w:t>
      </w:r>
      <w:r>
        <w:rPr>
          <w:rFonts w:ascii="Times New Roman" w:cs="Times New Roman" w:eastAsia="Times New Roman" w:hAnsi="Times New Roman"/>
          <w:sz w:val="18"/>
          <w:szCs w:val="18"/>
          <w:color w:val="auto"/>
        </w:rPr>
        <w:t>were US$0.6 million in the first quarter of 2026, versus US$1.6 million last quarter. The improvement in the first quarter of 2026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attributable to the decline of fair value loss of crypto assets loan receivables and digital assets, and the net exchange gains this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from continuing operations was </w:t>
      </w:r>
      <w:r>
        <w:rPr>
          <w:rFonts w:ascii="Times New Roman" w:cs="Times New Roman" w:eastAsia="Times New Roman" w:hAnsi="Times New Roman"/>
          <w:sz w:val="18"/>
          <w:szCs w:val="18"/>
          <w:color w:val="auto"/>
        </w:rPr>
        <w:t>US$3.7 million in the first quarter of 2026, compared to net income of US$0.8 million last quarter.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from continuing operations </w:t>
      </w:r>
      <w:r>
        <w:rPr>
          <w:rFonts w:ascii="Times New Roman" w:cs="Times New Roman" w:eastAsia="Times New Roman" w:hAnsi="Times New Roman"/>
          <w:sz w:val="18"/>
          <w:szCs w:val="18"/>
          <w:color w:val="auto"/>
        </w:rPr>
        <w:t>was a loss of US$3.2 million, versus US$50 thousand last quarter.</w:t>
      </w:r>
      <w:r>
        <w:rPr>
          <w:rFonts w:ascii="Times New Roman" w:cs="Times New Roman" w:eastAsia="Times New Roman" w:hAnsi="Times New Roman"/>
          <w:sz w:val="18"/>
          <w:szCs w:val="18"/>
          <w:b w:val="1"/>
          <w:bCs w:val="1"/>
          <w:color w:val="auto"/>
        </w:rPr>
        <w:t xml:space="preserve"> Adjusted net loss from continuing operations </w:t>
      </w:r>
      <w:r>
        <w:rPr>
          <w:rFonts w:ascii="Times New Roman" w:cs="Times New Roman" w:eastAsia="Times New Roman" w:hAnsi="Times New Roman"/>
          <w:sz w:val="18"/>
          <w:szCs w:val="18"/>
          <w:color w:val="auto"/>
        </w:rPr>
        <w:t>was US$3.5 million, versus adjusted net income of US$0.9 million last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time deposits and restricted cash of US$36.5 million, compared to US$33.9 million as of December 31, 2025.</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Operating Data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operating metrics listed below to evaluate our business, measure our performance, identify trends and make strategic decisions: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56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6"/>
                <w:szCs w:val="16"/>
                <w:color w:val="auto"/>
              </w:rPr>
            </w:pPr>
          </w:p>
        </w:tc>
      </w:t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 unless specified)</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382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Operating Metrics</w:t>
            </w:r>
            <w:r>
              <w:rPr>
                <w:rFonts w:ascii="Times New Roman" w:cs="Times New Roman" w:eastAsia="Times New Roman" w:hAnsi="Times New Roman"/>
                <w:sz w:val="28"/>
                <w:szCs w:val="28"/>
                <w:b w:val="1"/>
                <w:bCs w:val="1"/>
                <w:color w:val="auto"/>
                <w:vertAlign w:val="superscript"/>
              </w:rPr>
              <w:t>6</w:t>
            </w: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KYC'ed users (in number)</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clients (in number)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assets on platform</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971,412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1,275,364</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1,318,413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3920" w:type="dxa"/>
            <w:vAlign w:val="bottom"/>
          </w:tcPr>
          <w:p>
            <w:pPr>
              <w:spacing w:after="0"/>
              <w:rPr>
                <w:sz w:val="16"/>
                <w:szCs w:val="16"/>
                <w:color w:val="auto"/>
              </w:rPr>
            </w:pPr>
          </w:p>
        </w:tc>
        <w:tc>
          <w:tcPr>
            <w:tcW w:w="144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5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6"/>
                <w:szCs w:val="16"/>
                <w:color w:val="auto"/>
              </w:rPr>
            </w:pPr>
          </w:p>
        </w:tc>
      </w:tr>
      <w:tr>
        <w:trPr>
          <w:trHeight w:val="238"/>
        </w:trPr>
        <w:tc>
          <w:tcPr>
            <w:tcW w:w="39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220" w:type="dxa"/>
            <w:vAlign w:val="bottom"/>
            <w:tcBorders>
              <w:bottom w:val="single" w:sz="8" w:color="CCEEFF"/>
            </w:tcBorders>
          </w:tcPr>
          <w:p>
            <w:pPr>
              <w:spacing w:after="0"/>
              <w:rPr>
                <w:sz w:val="20"/>
                <w:szCs w:val="20"/>
                <w:color w:val="auto"/>
              </w:rPr>
            </w:pPr>
          </w:p>
        </w:tc>
      </w:tr>
      <w:tr>
        <w:trPr>
          <w:trHeight w:val="237"/>
        </w:trPr>
        <w:tc>
          <w:tcPr>
            <w:tcW w:w="39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New onboarded KYC'ed users</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17"/>
                <w:szCs w:val="17"/>
                <w:color w:val="auto"/>
              </w:rPr>
              <w:t xml:space="preserve"> (in number)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56"/>
        </w:trPr>
        <w:tc>
          <w:tcPr>
            <w:tcW w:w="3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Execution trading volume</w:t>
            </w:r>
            <w:r>
              <w:rPr>
                <w:rFonts w:ascii="Times New Roman" w:cs="Times New Roman" w:eastAsia="Times New Roman" w:hAnsi="Times New Roman"/>
                <w:sz w:val="29"/>
                <w:szCs w:val="29"/>
                <w:color w:val="auto"/>
                <w:vertAlign w:val="superscript"/>
              </w:rPr>
              <w:t>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1,236,231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2,454,371</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2,341,376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57"/>
        </w:trPr>
        <w:tc>
          <w:tcPr>
            <w:tcW w:w="3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Payment trading volume</w:t>
            </w:r>
            <w:r>
              <w:rPr>
                <w:rFonts w:ascii="Times New Roman" w:cs="Times New Roman" w:eastAsia="Times New Roman" w:hAnsi="Times New Roman"/>
                <w:sz w:val="29"/>
                <w:szCs w:val="29"/>
                <w:color w:val="auto"/>
                <w:vertAlign w:val="superscript"/>
              </w:rPr>
              <w:t>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218,714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281,279</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533,753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information available as of the date of this press release, the Company provides the following revenue outlook of Amber Premium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2026:</w:t>
      </w:r>
    </w:p>
    <w:p>
      <w:pPr>
        <w:spacing w:after="0" w:line="225" w:lineRule="exact"/>
        <w:rPr>
          <w:sz w:val="20"/>
          <w:szCs w:val="20"/>
          <w:color w:val="auto"/>
        </w:rPr>
      </w:pPr>
    </w:p>
    <w:p>
      <w:pPr>
        <w:ind w:right="3160" w:firstLine="332"/>
        <w:spacing w:after="0" w:line="53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Amber Premium business is estimated to be between US$9.0 million and US$10.0 million. Please also refer to the factors set out under the section titled “Safe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2" w:lineRule="exact"/>
        <w:rPr>
          <w:sz w:val="20"/>
          <w:szCs w:val="20"/>
          <w:color w:val="auto"/>
        </w:rPr>
      </w:pPr>
    </w:p>
    <w:p>
      <w:pPr>
        <w:jc w:val="both"/>
        <w:ind w:firstLine="8"/>
        <w:spacing w:after="0" w:line="238" w:lineRule="auto"/>
        <w:tabs>
          <w:tab w:leader="none" w:pos="123"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operating metrics presented in this press release include operating data from Sparrow business and the Assigned Contracts (as defined below). While the relevant entities were not consolidated subsidiaries of the Company throughout the relevant periods, their operating data have been included on a pro forma basis for illustrative purposes assuming the completion of DWM Asset Restructuring contemplated in the Merger. As of the date of this earnings release, we have obtained certain local regulatory approvals in Singapore and Dubai. For instance, we became a controller in Sparrow Tech Private Limited in April 2025 and Amber Premium FZE received the VASP license from VARA in April 2026. The DWM Asset Restructuring has not been completed. In connection with the Merger, we entered into intercompany services agreements with certain wholly owned subsidiaries of our parent,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WhaleFin Technologies Limited ("WFTL") (the "WFTL Assigned Contracts") effective from January 1, 2025 to October 27, 2025, and our entitlement to 100% of the consolidated net income generated from certain contracts associated with AG Global Technology Limited Inc. ("AGTL") (the "AGTL Assigned Contracts") effective from October 28, 2025 (collectively, the "Assigned Contracts")</w:t>
      </w:r>
    </w:p>
    <w:p>
      <w:pPr>
        <w:spacing w:after="0" w:line="33" w:lineRule="exact"/>
        <w:rPr>
          <w:sz w:val="20"/>
          <w:szCs w:val="20"/>
          <w:color w:val="auto"/>
        </w:rPr>
      </w:pPr>
    </w:p>
    <w:p>
      <w:pPr>
        <w:ind w:firstLine="8"/>
        <w:spacing w:after="0" w:line="195" w:lineRule="auto"/>
        <w:tabs>
          <w:tab w:leader="none" w:pos="127"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New onboarded KYC'ed user is defined as the number of clients that completed the Company's Know Your Customer onboarding procedures during the period.</w:t>
      </w:r>
    </w:p>
    <w:p>
      <w:pPr>
        <w:spacing w:after="0" w:line="24" w:lineRule="exact"/>
        <w:rPr>
          <w:sz w:val="20"/>
          <w:szCs w:val="20"/>
          <w:color w:val="auto"/>
        </w:rPr>
      </w:pPr>
    </w:p>
    <w:p>
      <w:pPr>
        <w:ind w:firstLine="8"/>
        <w:spacing w:after="0" w:line="195" w:lineRule="auto"/>
        <w:tabs>
          <w:tab w:leader="none" w:pos="124"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Execution trading volume is defined as the total U.S. dollar equivalent value of two-side spot matched trades transacted of crypto assets between a buyer and seller through the Company, and excluding the deposit or withdrawal of crypto assets during the period.</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Payment trading volume is defined as the total U.S. dollar equivalent value of one-side on/off-ramp through the Company during the period.</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May 28, 2026 (8:00 PM Singapore time on May 28, 2026). Participants are asked to use one of the following teleconferencing numbers to participate in the call and reference the Access ID number 13760784. The Company requests that participants dial in 10 minutes before the conference call begins.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Dial-in Numbers: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1-844-539-3703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1-412-652-1273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via a live webcast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https://viavid.webcasts.com/starthere.jsp?ei=1764524&amp;tp_key=aabee98e15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Dial-in Numbers: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1-844-512-2921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Pin Number: 13760784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on Thursday, May 28, 2026, after 12:00 PM ET through Thursday, June 11, 2026 at 11:59 PM 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earnings release and investor presentation will be available shortly after issuance in the Investor Relations section of Amber International's website at https://ir.ambr.io.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Amber International Holding Limited (Nasdaq: AMBR), operating under the brand name “Amber Premium,” is a global leading digital wealth management platform. As a private banking grade expert in digital wealth management and a subsidiary of Amber Group, Amber Premium is a trusted partner to high-net-worth individuals and leading institutions, delivering institutional-grade market access, execution infrastructure, and investment solutions. The firm is set to redefine the digital wealth management landscape, serving as a proven Nasdaq-listed gateway to digital assets. Learn more at </w:t>
      </w:r>
      <w:r>
        <w:rPr>
          <w:rFonts w:ascii="Times New Roman" w:cs="Times New Roman" w:eastAsia="Times New Roman" w:hAnsi="Times New Roman"/>
          <w:sz w:val="18"/>
          <w:szCs w:val="18"/>
          <w:u w:val="single" w:color="auto"/>
          <w:color w:val="auto"/>
        </w:rPr>
        <w:t>www.ambr.io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adjusted EBITDA from continuing operations, adjusted net (loss)/income from continuing operations, and diluted adjusted net (loss)/income from continuing operations per ADS, each a non-GAAP financial measure, in evaluating the Company's operating results and for financial and operational decision-making purposes. The Company believes that adjusted EBITDA from continuing operations, adjusted net (loss)/income from continuing operations, and diluted adjusted net (loss)/income from continuing operations per ADS help identify underlying trends in the Company's business that could otherwise be distorted by the effect of the expenses and gains that the Company includes in net (loss)/income. The Company believes that adjusted EBITDA from continuing operations and adjusted net (loss)/income from continuing operations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from continuing operations, adjusted net (loss)/income from continuing operations, and diluted adjusted net (loss)/income from continuing operations per ADS should not be considered in isolation or construed as an alternative to net (loss)/income or any other measure of performance or as an indicator of the Company's operating performance. Investors are encouraged to review the historical non-GAAP financial measures to the most directly comparable GAAP measures. Adjusted EBITDA from continuing operations, adjusted net (loss)/income from continuing operations, and diluted adjusted net (loss)/income from continuing operations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“Unaudited Reconciliations of GAAP and Non-GAAP results” set forth at the end of this press release.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were presented with the most directly comparable GAAP financial measures together for facilitating a more comprehensive understanding of operating performance between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Preliminary Financial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information presented herein is preliminary and unaudited, and is subject to change in connection with the completion of the Company’s financial closing and audit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Further information regarding these and other risks is included in the Company's annual reports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(646) 866-7928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amber@iecapitalusa.com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ind w:right="500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(Loss)/Income (US$’000, except share data and per share data, or otherwise noted)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19"/>
                <w:szCs w:val="19"/>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   December 31, 2025</w:t>
            </w:r>
          </w:p>
        </w:tc>
        <w:tc>
          <w:tcPr>
            <w:tcW w:w="100" w:type="dxa"/>
            <w:vAlign w:val="bottom"/>
          </w:tcPr>
          <w:p>
            <w:pPr>
              <w:spacing w:after="0"/>
              <w:rPr>
                <w:sz w:val="19"/>
                <w:szCs w:val="19"/>
                <w:color w:val="auto"/>
              </w:rPr>
            </w:pPr>
          </w:p>
        </w:tc>
      </w:tr>
      <w:tr>
        <w:trPr>
          <w:trHeight w:val="189"/>
        </w:trPr>
        <w:tc>
          <w:tcPr>
            <w:tcW w:w="17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Continuing operations</w:t>
            </w:r>
          </w:p>
        </w:tc>
        <w:tc>
          <w:tcPr>
            <w:tcW w:w="50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10,028</w:t>
            </w:r>
          </w:p>
        </w:tc>
        <w:tc>
          <w:tcPr>
            <w:tcW w:w="15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14,507</w:t>
            </w: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16,337</w:t>
            </w:r>
          </w:p>
        </w:tc>
      </w:tr>
      <w:tr>
        <w:trPr>
          <w:trHeight w:val="230"/>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5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(3,559)</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r>
      <w:tr>
        <w:trPr>
          <w:trHeight w:val="209"/>
        </w:trPr>
        <w:tc>
          <w:tcPr>
            <w:tcW w:w="6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2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00" w:type="dxa"/>
            <w:vAlign w:val="bottom"/>
            <w:tcBorders>
              <w:bottom w:val="single" w:sz="8" w:color="CCEEFF"/>
            </w:tcBorders>
          </w:tcPr>
          <w:p>
            <w:pPr>
              <w:spacing w:after="0"/>
              <w:rPr>
                <w:sz w:val="18"/>
                <w:szCs w:val="18"/>
                <w:color w:val="auto"/>
              </w:rPr>
            </w:pPr>
          </w:p>
        </w:tc>
      </w:tr>
      <w:tr>
        <w:trPr>
          <w:trHeight w:val="209"/>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5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(3,383)</w:t>
            </w: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5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(743)</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9"/>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5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(5,974)</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09"/>
        </w:trPr>
        <w:tc>
          <w:tcPr>
            <w:tcW w:w="68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5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w:t>
            </w:r>
          </w:p>
        </w:tc>
      </w:tr>
      <w:tr>
        <w:trPr>
          <w:trHeight w:val="178"/>
        </w:trPr>
        <w:tc>
          <w:tcPr>
            <w:tcW w:w="680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(Loss)/income from continuing operations before share of losses from an equity investee</w:t>
            </w: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income tax (expense)/credit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5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942</w:t>
            </w:r>
          </w:p>
        </w:tc>
        <w:tc>
          <w:tcPr>
            <w:tcW w:w="5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9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68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from continuing operations before income tax (expense)/credit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1,058</w:t>
            </w:r>
          </w:p>
        </w:tc>
      </w:tr>
      <w:tr>
        <w:trPr>
          <w:trHeight w:val="209"/>
        </w:trPr>
        <w:tc>
          <w:tcPr>
            <w:tcW w:w="68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from continuing operations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9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680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(loss)/income from continuing operations attributable to the Company’s ordinary</w:t>
            </w: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(3,728)</w:t>
            </w:r>
          </w:p>
        </w:tc>
        <w:tc>
          <w:tcPr>
            <w:tcW w:w="15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937</w:t>
            </w:r>
          </w:p>
        </w:tc>
        <w:tc>
          <w:tcPr>
            <w:tcW w:w="5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827</w:t>
            </w:r>
          </w:p>
        </w:tc>
      </w:tr>
      <w:tr>
        <w:trPr>
          <w:trHeight w:val="216"/>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8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Discontinued operations</w:t>
            </w:r>
          </w:p>
        </w:tc>
        <w:tc>
          <w:tcPr>
            <w:tcW w:w="49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5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(21)</w:t>
            </w: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30"/>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174"/>
        </w:trPr>
        <w:tc>
          <w:tcPr>
            <w:tcW w:w="680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from discontinued operations attributable to the Company’s ordinary</w:t>
            </w: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5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w:t>
            </w:r>
          </w:p>
        </w:tc>
        <w:tc>
          <w:tcPr>
            <w:tcW w:w="5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(3,732)</w:t>
            </w:r>
          </w:p>
        </w:tc>
        <w:tc>
          <w:tcPr>
            <w:tcW w:w="15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916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569</w:t>
            </w: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the Company’s ordinary shareholders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(3,732)</w:t>
            </w:r>
          </w:p>
        </w:tc>
        <w:tc>
          <w:tcPr>
            <w:tcW w:w="156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931</w:t>
            </w:r>
          </w:p>
        </w:tc>
        <w:tc>
          <w:tcPr>
            <w:tcW w:w="5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570</w:t>
            </w:r>
          </w:p>
        </w:tc>
      </w:tr>
      <w:tr>
        <w:trPr>
          <w:trHeight w:val="216"/>
        </w:trPr>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(loss)/income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p>
      <w:pPr>
        <w:spacing w:after="0" w:line="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b w:val="1"/>
          <w:bCs w:val="1"/>
          <w:color w:val="auto"/>
        </w:rPr>
        <w:t>Comprehensive (loss)/income from continuing operations attributable to the Company's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20"/>
                <w:szCs w:val="20"/>
                <w:color w:val="auto"/>
              </w:rPr>
            </w:pPr>
          </w:p>
        </w:tc>
      </w:tr>
      <w:tr>
        <w:trPr>
          <w:trHeight w:val="427"/>
        </w:trPr>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0"/>
        </w:trPr>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(4,145)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937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r>
      <w:tr>
        <w:trPr>
          <w:trHeight w:val="20"/>
        </w:trPr>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3" w:lineRule="exact"/>
        <w:rPr>
          <w:sz w:val="20"/>
          <w:szCs w:val="20"/>
          <w:color w:val="auto"/>
        </w:rPr>
      </w:pPr>
    </w:p>
    <w:p>
      <w:pPr>
        <w:sectPr>
          <w:pgSz w:w="11900" w:h="16838" w:orient="portrait"/>
          <w:cols w:equalWidth="0" w:num="2">
            <w:col w:w="6080" w:space="720"/>
            <w:col w:w="4440"/>
          </w:cols>
          <w:pgMar w:left="320" w:top="900" w:right="339" w:bottom="1440" w:gutter="0" w:footer="0" w:header="0"/>
          <w:type w:val="continuous"/>
        </w:sectPr>
      </w:pPr>
    </w:p>
    <w:p>
      <w:pPr>
        <w:spacing w:after="0" w:line="21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   December 31, 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discontinued operations</w:t>
            </w: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from discontinued operations attributable to noncontrolling interests</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68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 from discontinued operations attributable to the Company's</w:t>
            </w: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w:t>
            </w:r>
          </w:p>
        </w:tc>
        <w:tc>
          <w:tcPr>
            <w:tcW w:w="3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(258)</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(loss)/income attributable to the Company's ordinary shareholders</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(4,149)</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916</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(739)</w:t>
            </w:r>
          </w:p>
        </w:tc>
        <w:tc>
          <w:tcPr>
            <w:tcW w:w="0" w:type="dxa"/>
            <w:vAlign w:val="bottom"/>
          </w:tcPr>
          <w:p>
            <w:pPr>
              <w:spacing w:after="0"/>
              <w:rPr>
                <w:sz w:val="1"/>
                <w:szCs w:val="1"/>
                <w:color w:val="auto"/>
              </w:rPr>
            </w:pPr>
          </w:p>
        </w:tc>
      </w:tr>
      <w:tr>
        <w:trPr>
          <w:trHeight w:val="178"/>
        </w:trPr>
        <w:tc>
          <w:tcPr>
            <w:tcW w:w="68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(loss)/income from continuing operations per ADS attributable to the Company’s</w:t>
            </w: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93,837,525</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68,315,567</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93,762,225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93,837,525</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68,325,051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93,775,581</w:t>
            </w:r>
          </w:p>
        </w:tc>
        <w:tc>
          <w:tcPr>
            <w:tcW w:w="0" w:type="dxa"/>
            <w:vAlign w:val="bottom"/>
          </w:tcPr>
          <w:p>
            <w:pPr>
              <w:spacing w:after="0"/>
              <w:rPr>
                <w:sz w:val="1"/>
                <w:szCs w:val="1"/>
                <w:color w:val="auto"/>
              </w:rPr>
            </w:pP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from discontinued operations per ADS attributable to the Company’s ordinary</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93,837,525</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68,315,567</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93,762,225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93,837,525</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68,315,567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93,762,225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 per ADS attributable to the Company’s ordinary shareholders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93,837,525</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68,315,567</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93,762,225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93,837,525</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68,325,051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93,775,581</w:t>
            </w:r>
          </w:p>
        </w:tc>
        <w:tc>
          <w:tcPr>
            <w:tcW w:w="0" w:type="dxa"/>
            <w:vAlign w:val="bottom"/>
          </w:tcPr>
          <w:p>
            <w:pPr>
              <w:spacing w:after="0"/>
              <w:rPr>
                <w:sz w:val="1"/>
                <w:szCs w:val="1"/>
                <w:color w:val="auto"/>
              </w:rPr>
            </w:pPr>
          </w:p>
        </w:tc>
      </w:tr>
      <w:tr>
        <w:trPr>
          <w:trHeight w:val="648"/>
        </w:trPr>
        <w:tc>
          <w:tcPr>
            <w:tcW w:w="6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4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time deposits and restricted cash</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33,902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 assets loan receivables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42,141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45,958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profits or loss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53,136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53,136</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235,611</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256,379</w:t>
            </w:r>
          </w:p>
        </w:tc>
        <w:tc>
          <w:tcPr>
            <w:tcW w:w="100" w:type="dxa"/>
            <w:vAlign w:val="bottom"/>
            <w:tcBorders>
              <w:bottom w:val="single" w:sz="8" w:color="CCEEFF"/>
            </w:tcBorders>
          </w:tcPr>
          <w:p>
            <w:pPr>
              <w:spacing w:after="0"/>
              <w:rPr>
                <w:sz w:val="22"/>
                <w:szCs w:val="22"/>
                <w:color w:val="auto"/>
              </w:rPr>
            </w:pPr>
          </w:p>
        </w:tc>
      </w:tr>
      <w:tr>
        <w:trPr>
          <w:trHeight w:val="196"/>
        </w:trPr>
        <w:tc>
          <w:tcPr>
            <w:tcW w:w="8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51,177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61,351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44,649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48,031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146,067</w:t>
            </w:r>
          </w:p>
        </w:tc>
      </w:tr>
      <w:tr>
        <w:trPr>
          <w:trHeight w:val="197"/>
        </w:trPr>
        <w:tc>
          <w:tcPr>
            <w:tcW w:w="8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86,481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90,061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(36,871)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(33,139)</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53,390</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110,312</w:t>
            </w:r>
          </w:p>
        </w:tc>
        <w:tc>
          <w:tcPr>
            <w:tcW w:w="100" w:type="dxa"/>
            <w:vAlign w:val="bottom"/>
          </w:tcPr>
          <w:p>
            <w:pPr>
              <w:spacing w:after="0"/>
              <w:rPr>
                <w:sz w:val="18"/>
                <w:szCs w:val="18"/>
                <w:color w:val="auto"/>
              </w:rPr>
            </w:pPr>
          </w:p>
        </w:tc>
      </w:tr>
      <w:tr>
        <w:trPr>
          <w:trHeight w:val="24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235,611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256,379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 except share data and per share data, or otherwise noted)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from continuing operations represents net (loss)/income from continuing operations before (i) depreciation and amortization, (ii) finance income, net, (iii) income tax expense/(credit), (iv) share-based compensation, (v) other gains, net, (vi) unrealized loss in fair value of digital assets, and (vii) cost related to merger.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the Company’s adjusted EBITDA from continuing operations from net (loss)/income from continuing operations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800" w:type="dxa"/>
            <w:vAlign w:val="bottom"/>
          </w:tcPr>
          <w:p>
            <w:pPr>
              <w:spacing w:after="0"/>
              <w:rPr>
                <w:sz w:val="19"/>
                <w:szCs w:val="19"/>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19"/>
                <w:szCs w:val="19"/>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   December 31, 2025</w:t>
            </w:r>
          </w:p>
        </w:tc>
        <w:tc>
          <w:tcPr>
            <w:tcW w:w="100" w:type="dxa"/>
            <w:vAlign w:val="bottom"/>
            <w:gridSpan w:val="2"/>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 from continuing operations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(1,058)</w:t>
            </w: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gridSpan w:val="2"/>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Add/(less):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5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in fair value of digital assets</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8"/>
                <w:szCs w:val="18"/>
                <w:color w:val="auto"/>
              </w:rPr>
            </w:pPr>
          </w:p>
        </w:tc>
        <w:tc>
          <w:tcPr>
            <w:tcW w:w="19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8"/>
                <w:szCs w:val="18"/>
                <w:color w:val="auto"/>
              </w:rPr>
            </w:pPr>
          </w:p>
        </w:tc>
      </w:tr>
      <w:tr>
        <w:trPr>
          <w:trHeight w:val="270"/>
        </w:trPr>
        <w:tc>
          <w:tcPr>
            <w:tcW w:w="68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10</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(loss)/income from continuing operations represents net (loss)/income from continuing operations before (i) share-based compensation,</w:t>
      </w:r>
    </w:p>
    <w:p>
      <w:pPr>
        <w:spacing w:after="0" w:line="27" w:lineRule="exact"/>
        <w:rPr>
          <w:sz w:val="20"/>
          <w:szCs w:val="20"/>
          <w:color w:val="auto"/>
        </w:rPr>
      </w:pPr>
    </w:p>
    <w:p>
      <w:pPr>
        <w:ind w:right="20" w:firstLine="8"/>
        <w:spacing w:after="0" w:line="260"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gains, net, (iii) unrealized loss in fair value of digital assets, and (iv) cost related to merger. There are no material tax effects on these non-GAAP adjustments.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the Company’s adjusted net (loss)/income from continuing operations from net (loss)/income from continuing operations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00" w:type="dxa"/>
            <w:vAlign w:val="bottom"/>
          </w:tcPr>
          <w:p>
            <w:pPr>
              <w:spacing w:after="0"/>
              <w:rPr>
                <w:sz w:val="19"/>
                <w:szCs w:val="19"/>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19"/>
                <w:szCs w:val="19"/>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   December 31, 2025</w:t>
            </w:r>
          </w:p>
        </w:tc>
        <w:tc>
          <w:tcPr>
            <w:tcW w:w="10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 from continuing operations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in fair value of digital assets</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70"/>
        </w:trPr>
        <w:tc>
          <w:tcPr>
            <w:tcW w:w="68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10</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(loss)/income from continuing operations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6"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Cost related to the merger relates to legal and professional fees.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diluted adjusted net (loss)/income from continuing operations per ADS for the periods indicated are calculated as follows: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(loss)/income from 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Non-GAAP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(loss)/income from continuing operations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top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5"/>
        </w:trPr>
        <w:tc>
          <w:tcPr>
            <w:tcW w:w="12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(3,728)</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827</w:t>
            </w:r>
          </w:p>
        </w:tc>
      </w:tr>
      <w:tr>
        <w:trPr>
          <w:trHeight w:val="234"/>
        </w:trPr>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-445135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-153670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904"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net (loss)/income from continuing operations per ADS – Weighted</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ADS outstanding</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93,837,525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68,325,051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93,775,581</w:t>
            </w:r>
          </w:p>
        </w:tc>
      </w:tr>
      <w:tr>
        <w:trPr>
          <w:trHeight w:val="216"/>
        </w:trPr>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adjusted net (loss)/income from continuing operations per ADS –</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ADS outstanding</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93,837,525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68,325,051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93,775,581</w:t>
            </w:r>
          </w:p>
        </w:tc>
      </w:tr>
      <w:tr>
        <w:trPr>
          <w:trHeight w:val="216"/>
        </w:trPr>
        <w:tc>
          <w:tcPr>
            <w:tcW w:w="6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(loss)/income from continuing operations per ADS</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(loss)/income from continuing operations per ADS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5"/>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6"/>
      <w:numFmt w:val="bullet"/>
      <w:start w:val="1"/>
    </w:lvl>
  </w:abstractNum>
  <w:abstractNum w:abstractNumId="13">
    <w:nsid w:val="41A7C4C9"/>
    <w:multiLevelType w:val="hybridMultilevel"/>
    <w:lvl w:ilvl="0">
      <w:lvlJc w:val="left"/>
      <w:lvlText w:val="7"/>
      <w:numFmt w:val="bullet"/>
      <w:start w:val="1"/>
    </w:lvl>
  </w:abstractNum>
  <w:abstractNum w:abstractNumId="14">
    <w:nsid w:val="6B68079A"/>
    <w:multiLevelType w:val="hybridMultilevel"/>
    <w:lvl w:ilvl="0">
      <w:lvlJc w:val="left"/>
      <w:lvlText w:val="8"/>
      <w:numFmt w:val="bullet"/>
      <w:start w:val="1"/>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2026-05-28T06:48:20Z</dcterms:created>
  <dcterms:modified xsi:type="dcterms:W3CDTF">2026-05-28T06:48:20Z</dcterms:modified>
</cp:coreProperties>
</file>