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iClick Interactive Asia Group Limited</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Sponsored ADR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45113Y104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31 December 2020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420" w:right="7719" w:firstLine="9"/>
        <w:spacing w:after="0" w:line="612" w:lineRule="auto"/>
        <w:tabs>
          <w:tab w:leader="none" w:pos="105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4"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45113Y104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Baillie Gifford &amp; Co (Scottish partnership)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rFonts w:ascii="Courier New" w:cs="Courier New" w:eastAsia="Courier New" w:hAnsi="Courier New"/>
          <w:sz w:val="16"/>
          <w:szCs w:val="16"/>
          <w:color w:val="auto"/>
        </w:rPr>
      </w:pP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SCOTLAND UK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line="192" w:lineRule="exact"/>
              <w:rPr>
                <w:sz w:val="20"/>
                <w:szCs w:val="20"/>
                <w:color w:val="auto"/>
              </w:rPr>
            </w:pPr>
            <w:r>
              <w:rPr>
                <w:rFonts w:ascii="Courier New" w:cs="Courier New" w:eastAsia="Courier New" w:hAnsi="Courier New"/>
                <w:sz w:val="18"/>
                <w:szCs w:val="18"/>
                <w:color w:val="auto"/>
              </w:rPr>
              <w:t>Number of</w:t>
            </w:r>
          </w:p>
        </w:tc>
        <w:tc>
          <w:tcPr>
            <w:tcW w:w="48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5.</w:t>
            </w:r>
          </w:p>
        </w:tc>
        <w:tc>
          <w:tcPr>
            <w:tcW w:w="2680" w:type="dxa"/>
            <w:vAlign w:val="bottom"/>
          </w:tcPr>
          <w:p>
            <w:pPr>
              <w:ind w:left="60"/>
              <w:spacing w:after="0" w:line="192" w:lineRule="exact"/>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ind w:left="120"/>
              <w:spacing w:after="0" w:line="192" w:lineRule="exact"/>
              <w:rPr>
                <w:sz w:val="20"/>
                <w:szCs w:val="20"/>
                <w:color w:val="auto"/>
              </w:rPr>
            </w:pPr>
            <w:r>
              <w:rPr>
                <w:rFonts w:ascii="Courier New" w:cs="Courier New" w:eastAsia="Courier New" w:hAnsi="Courier New"/>
                <w:sz w:val="18"/>
                <w:szCs w:val="18"/>
                <w:color w:val="auto"/>
              </w:rPr>
              <w:t>4,982,960</w:t>
            </w:r>
          </w:p>
        </w:tc>
      </w:tr>
      <w:tr>
        <w:trPr>
          <w:trHeight w:val="202"/>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by</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02"/>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4,982,960</w:t>
            </w:r>
          </w:p>
        </w:tc>
      </w:tr>
      <w:tr>
        <w:trPr>
          <w:trHeight w:val="202"/>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w:t>
            </w:r>
          </w:p>
        </w:tc>
      </w:tr>
      <w:tr>
        <w:trPr>
          <w:trHeight w:val="296"/>
        </w:trPr>
        <w:tc>
          <w:tcPr>
            <w:tcW w:w="158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8.</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ind w:left="120"/>
              <w:spacing w:after="0"/>
              <w:rPr>
                <w:sz w:val="20"/>
                <w:szCs w:val="20"/>
                <w:color w:val="auto"/>
              </w:rPr>
            </w:pPr>
            <w:r>
              <w:rPr>
                <w:rFonts w:ascii="Courier New" w:cs="Courier New" w:eastAsia="Courier New" w:hAnsi="Courier New"/>
                <w:sz w:val="18"/>
                <w:szCs w:val="18"/>
                <w:color w:val="auto"/>
              </w:rPr>
              <w:t>0</w:t>
            </w:r>
          </w:p>
        </w:tc>
      </w:tr>
    </w:tbl>
    <w:p>
      <w:pPr>
        <w:sectPr>
          <w:pgSz w:w="11900" w:h="16914" w:orient="portrait"/>
          <w:cols w:equalWidth="0" w:num="1">
            <w:col w:w="10139"/>
          </w:cols>
          <w:pgMar w:left="320" w:top="218" w:right="1440" w:bottom="0" w:gutter="0" w:footer="0" w:header="0"/>
        </w:sectPr>
      </w:pPr>
    </w:p>
    <w:bookmarkStart w:id="1" w:name="page2"/>
    <w:bookmarkEnd w:id="1"/>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w:t>
      </w:r>
    </w:p>
    <w:p>
      <w:pPr>
        <w:spacing w:after="0" w:line="201" w:lineRule="exact"/>
        <w:rPr>
          <w:sz w:val="20"/>
          <w:szCs w:val="20"/>
          <w:color w:val="auto"/>
        </w:rPr>
      </w:pPr>
    </w:p>
    <w:p>
      <w:pPr>
        <w:ind w:left="5280" w:right="3499" w:hanging="5272"/>
        <w:spacing w:after="0" w:line="402" w:lineRule="auto"/>
        <w:tabs>
          <w:tab w:leader="none" w:pos="33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4,982,960</w:t>
      </w:r>
    </w:p>
    <w:p>
      <w:pPr>
        <w:ind w:left="320" w:right="2979" w:hanging="312"/>
        <w:spacing w:after="0" w:line="346" w:lineRule="auto"/>
        <w:tabs>
          <w:tab w:leader="none" w:pos="42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gridSpan w:val="3"/>
          </w:tcPr>
          <w:p>
            <w:pPr>
              <w:spacing w:after="0"/>
              <w:rPr>
                <w:sz w:val="20"/>
                <w:szCs w:val="20"/>
                <w:color w:val="auto"/>
              </w:rPr>
            </w:pPr>
            <w:r>
              <w:rPr>
                <w:rFonts w:ascii="Courier New" w:cs="Courier New" w:eastAsia="Courier New" w:hAnsi="Courier New"/>
                <w:sz w:val="18"/>
                <w:szCs w:val="18"/>
                <w:color w:val="auto"/>
              </w:rPr>
              <w:t>11. Percent of Class Represented by Amount in Row (9)</w:t>
            </w:r>
          </w:p>
        </w:tc>
        <w:tc>
          <w:tcPr>
            <w:tcW w:w="1700" w:type="dxa"/>
            <w:vAlign w:val="bottom"/>
          </w:tcPr>
          <w:p>
            <w:pPr>
              <w:jc w:val="right"/>
              <w:ind w:right="1072"/>
              <w:spacing w:after="0"/>
              <w:rPr>
                <w:sz w:val="20"/>
                <w:szCs w:val="20"/>
                <w:color w:val="auto"/>
              </w:rPr>
            </w:pPr>
            <w:r>
              <w:rPr>
                <w:rFonts w:ascii="Courier New" w:cs="Courier New" w:eastAsia="Courier New" w:hAnsi="Courier New"/>
                <w:sz w:val="18"/>
                <w:szCs w:val="18"/>
                <w:color w:val="auto"/>
                <w:w w:val="96"/>
              </w:rPr>
              <w:t>6.17%</w:t>
            </w:r>
          </w:p>
        </w:tc>
        <w:tc>
          <w:tcPr>
            <w:tcW w:w="0" w:type="dxa"/>
            <w:vAlign w:val="bottom"/>
          </w:tcPr>
          <w:p>
            <w:pPr>
              <w:spacing w:after="0"/>
              <w:rPr>
                <w:sz w:val="1"/>
                <w:szCs w:val="1"/>
                <w:color w:val="auto"/>
              </w:rPr>
            </w:pPr>
          </w:p>
        </w:tc>
      </w:tr>
      <w:tr>
        <w:trPr>
          <w:trHeight w:val="296"/>
        </w:trPr>
        <w:tc>
          <w:tcPr>
            <w:tcW w:w="8440" w:type="dxa"/>
            <w:vAlign w:val="bottom"/>
            <w:gridSpan w:val="4"/>
          </w:tcPr>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w:t>
            </w:r>
          </w:p>
        </w:tc>
        <w:tc>
          <w:tcPr>
            <w:tcW w:w="0" w:type="dxa"/>
            <w:vAlign w:val="bottom"/>
          </w:tcPr>
          <w:p>
            <w:pPr>
              <w:spacing w:after="0"/>
              <w:rPr>
                <w:sz w:val="1"/>
                <w:szCs w:val="1"/>
                <w:color w:val="auto"/>
              </w:rPr>
            </w:pPr>
          </w:p>
        </w:tc>
      </w:tr>
      <w:tr>
        <w:trPr>
          <w:trHeight w:val="311"/>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w w:val="97"/>
              </w:rPr>
              <w:t>12. Type of Reporting Person (See Instructions)</w:t>
            </w:r>
          </w:p>
        </w:tc>
        <w:tc>
          <w:tcPr>
            <w:tcW w:w="1780" w:type="dxa"/>
            <w:vAlign w:val="bottom"/>
          </w:tcPr>
          <w:p>
            <w:pPr>
              <w:spacing w:after="0"/>
              <w:rPr>
                <w:sz w:val="24"/>
                <w:szCs w:val="24"/>
                <w:color w:val="auto"/>
              </w:rPr>
            </w:pPr>
          </w:p>
        </w:tc>
        <w:tc>
          <w:tcPr>
            <w:tcW w:w="170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96"/>
        </w:trPr>
        <w:tc>
          <w:tcPr>
            <w:tcW w:w="8440" w:type="dxa"/>
            <w:vAlign w:val="bottom"/>
            <w:gridSpan w:val="4"/>
          </w:tcPr>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w:t>
            </w:r>
          </w:p>
        </w:tc>
        <w:tc>
          <w:tcPr>
            <w:tcW w:w="0" w:type="dxa"/>
            <w:vAlign w:val="bottom"/>
          </w:tcPr>
          <w:p>
            <w:pPr>
              <w:spacing w:after="0"/>
              <w:rPr>
                <w:sz w:val="1"/>
                <w:szCs w:val="1"/>
                <w:color w:val="auto"/>
              </w:rPr>
            </w:pPr>
          </w:p>
        </w:tc>
      </w:tr>
      <w:tr>
        <w:trPr>
          <w:trHeight w:val="716"/>
        </w:trPr>
        <w:tc>
          <w:tcPr>
            <w:tcW w:w="28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5580" w:type="dxa"/>
            <w:vAlign w:val="bottom"/>
            <w:gridSpan w:val="3"/>
            <w:vMerge w:val="restart"/>
          </w:tcPr>
          <w:p>
            <w:pPr>
              <w:jc w:val="right"/>
              <w:ind w:right="1292"/>
              <w:spacing w:after="0"/>
              <w:rPr>
                <w:sz w:val="20"/>
                <w:szCs w:val="20"/>
                <w:color w:val="auto"/>
              </w:rPr>
            </w:pPr>
            <w:r>
              <w:rPr>
                <w:rFonts w:ascii="Courier New" w:cs="Courier New" w:eastAsia="Courier New" w:hAnsi="Courier New"/>
                <w:sz w:val="18"/>
                <w:szCs w:val="18"/>
                <w:color w:val="auto"/>
              </w:rPr>
              <w:t>iClick Interactive Asia Group Limited</w:t>
            </w:r>
          </w:p>
        </w:tc>
        <w:tc>
          <w:tcPr>
            <w:tcW w:w="0" w:type="dxa"/>
            <w:vAlign w:val="bottom"/>
          </w:tcPr>
          <w:p>
            <w:pPr>
              <w:spacing w:after="0"/>
              <w:rPr>
                <w:sz w:val="1"/>
                <w:szCs w:val="1"/>
                <w:color w:val="auto"/>
              </w:rPr>
            </w:pPr>
          </w:p>
        </w:tc>
      </w:tr>
      <w:tr>
        <w:trPr>
          <w:trHeight w:val="296"/>
        </w:trPr>
        <w:tc>
          <w:tcPr>
            <w:tcW w:w="2860" w:type="dxa"/>
            <w:vAlign w:val="bottom"/>
          </w:tcPr>
          <w:p>
            <w:pPr>
              <w:ind w:left="640"/>
              <w:spacing w:after="0"/>
              <w:rPr>
                <w:sz w:val="20"/>
                <w:szCs w:val="20"/>
                <w:color w:val="auto"/>
              </w:rPr>
            </w:pPr>
            <w:r>
              <w:rPr>
                <w:rFonts w:ascii="Courier New" w:cs="Courier New" w:eastAsia="Courier New" w:hAnsi="Courier New"/>
                <w:sz w:val="18"/>
                <w:szCs w:val="18"/>
                <w:color w:val="auto"/>
              </w:rPr>
              <w:t>(a) Name of Issuer</w:t>
            </w:r>
          </w:p>
        </w:tc>
        <w:tc>
          <w:tcPr>
            <w:tcW w:w="55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74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(b) Address of Issuers Principal Executive Offices</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15/F PROSPPERITY MILLENNIA PLAZA</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663 KING'S ROAD, QUARRAY BAY</w:t>
            </w: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HONG KONG F4 00000</w:t>
            </w:r>
          </w:p>
        </w:tc>
        <w:tc>
          <w:tcPr>
            <w:tcW w:w="0" w:type="dxa"/>
            <w:vAlign w:val="bottom"/>
          </w:tcPr>
          <w:p>
            <w:pPr>
              <w:spacing w:after="0"/>
              <w:rPr>
                <w:sz w:val="1"/>
                <w:szCs w:val="1"/>
                <w:color w:val="auto"/>
              </w:rPr>
            </w:pPr>
          </w:p>
        </w:tc>
      </w:tr>
      <w:tr>
        <w:trPr>
          <w:trHeight w:val="716"/>
        </w:trPr>
        <w:tc>
          <w:tcPr>
            <w:tcW w:w="28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2100" w:type="dxa"/>
            <w:vAlign w:val="bottom"/>
          </w:tcPr>
          <w:p>
            <w:pPr>
              <w:spacing w:after="0"/>
              <w:rPr>
                <w:sz w:val="24"/>
                <w:szCs w:val="24"/>
                <w:color w:val="auto"/>
              </w:rPr>
            </w:pPr>
          </w:p>
        </w:tc>
        <w:tc>
          <w:tcPr>
            <w:tcW w:w="348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Baillie Gifford &amp; Co</w:t>
            </w:r>
          </w:p>
        </w:tc>
        <w:tc>
          <w:tcPr>
            <w:tcW w:w="0" w:type="dxa"/>
            <w:vAlign w:val="bottom"/>
          </w:tcPr>
          <w:p>
            <w:pPr>
              <w:spacing w:after="0"/>
              <w:rPr>
                <w:sz w:val="1"/>
                <w:szCs w:val="1"/>
                <w:color w:val="auto"/>
              </w:rPr>
            </w:pPr>
          </w:p>
        </w:tc>
      </w:tr>
      <w:tr>
        <w:trPr>
          <w:trHeight w:val="296"/>
        </w:trPr>
        <w:tc>
          <w:tcPr>
            <w:tcW w:w="496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(a) Name of Person Filing</w:t>
            </w:r>
          </w:p>
        </w:tc>
        <w:tc>
          <w:tcPr>
            <w:tcW w:w="3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40" w:type="dxa"/>
            <w:vAlign w:val="bottom"/>
            <w:gridSpan w:val="4"/>
          </w:tcPr>
          <w:p>
            <w:pPr>
              <w:ind w:left="640"/>
              <w:spacing w:after="0"/>
              <w:rPr>
                <w:sz w:val="20"/>
                <w:szCs w:val="20"/>
                <w:color w:val="auto"/>
              </w:rPr>
            </w:pPr>
            <w:r>
              <w:rPr>
                <w:rFonts w:ascii="Courier New" w:cs="Courier New" w:eastAsia="Courier New" w:hAnsi="Courier New"/>
                <w:sz w:val="18"/>
                <w:szCs w:val="18"/>
                <w:color w:val="auto"/>
              </w:rPr>
              <w:t>(b) Address of Principal Business Office or, if none, Residence</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Courier New" w:cs="Courier New" w:eastAsia="Courier New" w:hAnsi="Courier New"/>
                <w:sz w:val="18"/>
                <w:szCs w:val="18"/>
                <w:color w:val="auto"/>
              </w:rPr>
              <w:t>Calton Square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1 Greenside Row</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Edinburgh EH1 3AN</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Scotland</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Courier New" w:cs="Courier New" w:eastAsia="Courier New" w:hAnsi="Courier New"/>
                <w:sz w:val="18"/>
                <w:szCs w:val="18"/>
                <w:color w:val="auto"/>
              </w:rPr>
              <w:t>UK</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60" w:type="dxa"/>
            <w:vAlign w:val="bottom"/>
          </w:tcPr>
          <w:p>
            <w:pPr>
              <w:ind w:left="640"/>
              <w:spacing w:after="0"/>
              <w:rPr>
                <w:sz w:val="20"/>
                <w:szCs w:val="20"/>
                <w:color w:val="auto"/>
              </w:rPr>
            </w:pPr>
            <w:r>
              <w:rPr>
                <w:rFonts w:ascii="Courier New" w:cs="Courier New" w:eastAsia="Courier New" w:hAnsi="Courier New"/>
                <w:sz w:val="18"/>
                <w:szCs w:val="18"/>
                <w:color w:val="auto"/>
              </w:rPr>
              <w:t>(c) Citizenship</w:t>
            </w:r>
          </w:p>
        </w:tc>
        <w:tc>
          <w:tcPr>
            <w:tcW w:w="2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Courier New" w:cs="Courier New" w:eastAsia="Courier New" w:hAnsi="Courier New"/>
                <w:sz w:val="18"/>
                <w:szCs w:val="18"/>
                <w:color w:val="auto"/>
              </w:rPr>
              <w:t>Scotland UK</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96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(d) Title of Class of Securities</w:t>
            </w:r>
          </w:p>
        </w:tc>
        <w:tc>
          <w:tcPr>
            <w:tcW w:w="1780" w:type="dxa"/>
            <w:vAlign w:val="bottom"/>
          </w:tcPr>
          <w:p>
            <w:pPr>
              <w:spacing w:after="0"/>
              <w:rPr>
                <w:sz w:val="20"/>
                <w:szCs w:val="20"/>
                <w:color w:val="auto"/>
              </w:rPr>
            </w:pPr>
            <w:r>
              <w:rPr>
                <w:rFonts w:ascii="Courier New" w:cs="Courier New" w:eastAsia="Courier New" w:hAnsi="Courier New"/>
                <w:sz w:val="18"/>
                <w:szCs w:val="18"/>
                <w:color w:val="auto"/>
              </w:rPr>
              <w:t>Sponsored ADR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860" w:type="dxa"/>
            <w:vAlign w:val="bottom"/>
          </w:tcPr>
          <w:p>
            <w:pPr>
              <w:ind w:left="640"/>
              <w:spacing w:after="0"/>
              <w:rPr>
                <w:sz w:val="20"/>
                <w:szCs w:val="20"/>
                <w:color w:val="auto"/>
              </w:rPr>
            </w:pPr>
            <w:r>
              <w:rPr>
                <w:rFonts w:ascii="Courier New" w:cs="Courier New" w:eastAsia="Courier New" w:hAnsi="Courier New"/>
                <w:sz w:val="18"/>
                <w:szCs w:val="18"/>
                <w:color w:val="auto"/>
              </w:rPr>
              <w:t>(e) CUSIP Number</w:t>
            </w:r>
          </w:p>
        </w:tc>
        <w:tc>
          <w:tcPr>
            <w:tcW w:w="21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Courier New" w:cs="Courier New" w:eastAsia="Courier New" w:hAnsi="Courier New"/>
                <w:sz w:val="18"/>
                <w:szCs w:val="18"/>
                <w:color w:val="auto"/>
              </w:rPr>
              <w:t>45113Y104</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Item 3. If this statement is filed pursuant to rule 240.13d-1(b) or 240.13d-2(b) or (c), check whether the person filing is a:</w:t>
      </w:r>
    </w:p>
    <w:p>
      <w:pPr>
        <w:spacing w:after="0" w:line="20" w:lineRule="exact"/>
        <w:rPr>
          <w:sz w:val="20"/>
          <w:szCs w:val="20"/>
          <w:color w:val="auto"/>
        </w:rPr>
      </w:pPr>
    </w:p>
    <w:p>
      <w:pPr>
        <w:ind w:left="640" w:right="3599" w:hanging="632"/>
        <w:spacing w:after="0" w:line="346" w:lineRule="auto"/>
        <w:tabs>
          <w:tab w:leader="none" w:pos="74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Act (15 U.S.C. 78o).</w:t>
      </w:r>
    </w:p>
    <w:p>
      <w:pPr>
        <w:spacing w:after="0" w:line="19"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640" w:right="3179" w:hanging="632"/>
        <w:spacing w:after="0" w:line="346" w:lineRule="auto"/>
        <w:tabs>
          <w:tab w:leader="none" w:pos="74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19" w:lineRule="exact"/>
        <w:rPr>
          <w:rFonts w:ascii="Courier New" w:cs="Courier New" w:eastAsia="Courier New" w:hAnsi="Courier New"/>
          <w:sz w:val="18"/>
          <w:szCs w:val="18"/>
          <w:color w:val="auto"/>
        </w:rPr>
      </w:pPr>
    </w:p>
    <w:p>
      <w:pPr>
        <w:ind w:left="740" w:right="2759" w:hanging="732"/>
        <w:spacing w:after="0" w:line="346"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19"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in accordance with rule 240.13d-</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1(b)(1)(ii)(E)</w:t>
      </w:r>
    </w:p>
    <w:p>
      <w:pPr>
        <w:spacing w:after="0" w:line="169" w:lineRule="exact"/>
        <w:rPr>
          <w:sz w:val="20"/>
          <w:szCs w:val="20"/>
          <w:color w:val="auto"/>
        </w:rPr>
      </w:pPr>
    </w:p>
    <w:p>
      <w:pPr>
        <w:ind w:left="740" w:right="2979" w:hanging="732"/>
        <w:spacing w:after="0" w:line="346"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 or endowment fund in accordance with 240.13d-1(b)(1)(ii)(F)</w:t>
      </w:r>
    </w:p>
    <w:p>
      <w:pPr>
        <w:spacing w:after="0" w:line="19" w:lineRule="exact"/>
        <w:rPr>
          <w:rFonts w:ascii="Courier New" w:cs="Courier New" w:eastAsia="Courier New" w:hAnsi="Courier New"/>
          <w:sz w:val="18"/>
          <w:szCs w:val="18"/>
          <w:color w:val="auto"/>
        </w:rPr>
      </w:pPr>
    </w:p>
    <w:p>
      <w:pPr>
        <w:ind w:left="740" w:right="2979" w:hanging="732"/>
        <w:spacing w:after="0" w:line="346"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240.13d-1(b) (1)(ii)(G)</w:t>
      </w:r>
    </w:p>
    <w:p>
      <w:pPr>
        <w:spacing w:after="0" w:line="19" w:lineRule="exact"/>
        <w:rPr>
          <w:rFonts w:ascii="Courier New" w:cs="Courier New" w:eastAsia="Courier New" w:hAnsi="Courier New"/>
          <w:sz w:val="18"/>
          <w:szCs w:val="18"/>
          <w:color w:val="auto"/>
        </w:rPr>
      </w:pPr>
    </w:p>
    <w:p>
      <w:pPr>
        <w:ind w:left="740" w:right="2659" w:hanging="732"/>
        <w:spacing w:after="0" w:line="346"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(j) X</w:t>
      </w:r>
      <w:r>
        <w:rPr>
          <w:sz w:val="20"/>
          <w:szCs w:val="20"/>
          <w:color w:val="auto"/>
        </w:rPr>
        <w:tab/>
      </w:r>
      <w:r>
        <w:rPr>
          <w:rFonts w:ascii="Courier New" w:cs="Courier New" w:eastAsia="Courier New" w:hAnsi="Courier New"/>
          <w:sz w:val="16"/>
          <w:szCs w:val="16"/>
          <w:color w:val="auto"/>
        </w:rPr>
        <w:t>A non-U.S. institution in accordance with 240.13d-1(b)(1)(ii)(J);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Group, in accordance with 240.13d-1(b)(1)(ii)(K). If filing as a non-U.S.</w:t>
      </w:r>
    </w:p>
    <w:p>
      <w:pPr>
        <w:ind w:left="740"/>
        <w:spacing w:after="0" w:line="238" w:lineRule="auto"/>
        <w:rPr>
          <w:sz w:val="20"/>
          <w:szCs w:val="20"/>
          <w:color w:val="auto"/>
        </w:rPr>
      </w:pPr>
      <w:r>
        <w:rPr>
          <w:rFonts w:ascii="Courier New" w:cs="Courier New" w:eastAsia="Courier New" w:hAnsi="Courier New"/>
          <w:sz w:val="18"/>
          <w:szCs w:val="18"/>
          <w:color w:val="auto"/>
        </w:rPr>
        <w:t>institution in accordance with 240.13d-1(b)(1)(ii)(J),</w:t>
      </w:r>
    </w:p>
    <w:p>
      <w:pPr>
        <w:ind w:left="860"/>
        <w:spacing w:after="0"/>
        <w:rPr>
          <w:sz w:val="20"/>
          <w:szCs w:val="20"/>
          <w:color w:val="auto"/>
        </w:rPr>
      </w:pPr>
      <w:r>
        <w:rPr>
          <w:rFonts w:ascii="Courier New" w:cs="Courier New" w:eastAsia="Courier New" w:hAnsi="Courier New"/>
          <w:sz w:val="18"/>
          <w:szCs w:val="18"/>
          <w:color w:val="auto"/>
        </w:rPr>
        <w:t>please specify the type of institution: ____</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right="2439"/>
        <w:spacing w:after="0" w:line="42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ectPr>
          <w:pgSz w:w="11900" w:h="16942" w:orient="portrait"/>
          <w:cols w:equalWidth="0" w:num="1">
            <w:col w:w="10139"/>
          </w:cols>
          <w:pgMar w:left="320" w:top="110" w:right="1440" w:bottom="0" w:gutter="0" w:footer="0" w:header="0"/>
        </w:sectPr>
      </w:pPr>
    </w:p>
    <w:bookmarkStart w:id="2" w:name="page3"/>
    <w:bookmarkEnd w:id="2"/>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row (9) on page 2.</w:t>
      </w:r>
    </w:p>
    <w:p>
      <w:pPr>
        <w:spacing w:after="0" w:line="201" w:lineRule="exact"/>
        <w:rPr>
          <w:sz w:val="20"/>
          <w:szCs w:val="20"/>
          <w:color w:val="auto"/>
        </w:rPr>
      </w:pPr>
    </w:p>
    <w:p>
      <w:pPr>
        <w:spacing w:after="0"/>
        <w:tabs>
          <w:tab w:leader="none" w:pos="620" w:val="left"/>
          <w:tab w:leader="none" w:pos="3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see row (11) on page 2.</w:t>
      </w:r>
    </w:p>
    <w:p>
      <w:pPr>
        <w:spacing w:after="0" w:line="201"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31" w:lineRule="exact"/>
        <w:rPr>
          <w:sz w:val="20"/>
          <w:szCs w:val="20"/>
          <w:color w:val="auto"/>
        </w:rPr>
      </w:pPr>
    </w:p>
    <w:p>
      <w:pPr>
        <w:ind w:left="640" w:right="5279" w:hanging="632"/>
        <w:spacing w:after="0" w:line="238"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row (5) on page 2.</w:t>
      </w:r>
    </w:p>
    <w:p>
      <w:pPr>
        <w:ind w:left="640" w:right="5079" w:hanging="632"/>
        <w:spacing w:after="0" w:line="238"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row (6) on page 2</w:t>
      </w:r>
    </w:p>
    <w:p>
      <w:pPr>
        <w:ind w:left="640" w:right="3919" w:hanging="632"/>
        <w:spacing w:after="0" w:line="238"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row (7) on page 2</w:t>
      </w:r>
    </w:p>
    <w:p>
      <w:pPr>
        <w:ind w:left="640" w:right="3699" w:hanging="632"/>
        <w:spacing w:after="0" w:line="309"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row (8) on page 2</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65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2439"/>
        <w:spacing w:after="0" w:line="256" w:lineRule="auto"/>
        <w:rPr>
          <w:sz w:val="20"/>
          <w:szCs w:val="20"/>
          <w:color w:val="auto"/>
        </w:rPr>
      </w:pPr>
      <w:r>
        <w:rPr>
          <w:rFonts w:ascii="Courier New" w:cs="Courier New" w:eastAsia="Courier New" w:hAnsi="Courier New"/>
          <w:sz w:val="18"/>
          <w:szCs w:val="18"/>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w:t>
      </w:r>
    </w:p>
    <w:p>
      <w:pPr>
        <w:spacing w:after="0" w:line="300" w:lineRule="exact"/>
        <w:rPr>
          <w:sz w:val="20"/>
          <w:szCs w:val="20"/>
          <w:color w:val="auto"/>
        </w:rPr>
      </w:pP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3399"/>
        <w:spacing w:after="0" w:line="257" w:lineRule="auto"/>
        <w:rPr>
          <w:sz w:val="20"/>
          <w:szCs w:val="20"/>
          <w:color w:val="auto"/>
        </w:rPr>
      </w:pPr>
      <w:r>
        <w:rPr>
          <w:rFonts w:ascii="Courier New" w:cs="Courier New" w:eastAsia="Courier New" w:hAnsi="Courier New"/>
          <w:sz w:val="18"/>
          <w:szCs w:val="18"/>
          <w:color w:val="auto"/>
        </w:rPr>
        <w:t>By signing below I certify that, to the best of my knowledge and belief:</w:t>
      </w:r>
    </w:p>
    <w:p>
      <w:pPr>
        <w:spacing w:after="0" w:line="238" w:lineRule="auto"/>
        <w:rPr>
          <w:sz w:val="20"/>
          <w:szCs w:val="20"/>
          <w:color w:val="auto"/>
        </w:rPr>
      </w:pPr>
      <w:r>
        <w:rPr>
          <w:rFonts w:ascii="Courier New" w:cs="Courier New" w:eastAsia="Courier New" w:hAnsi="Courier New"/>
          <w:sz w:val="18"/>
          <w:szCs w:val="18"/>
          <w:color w:val="auto"/>
        </w:rPr>
        <w:t>- the securities referred to above were acquired and are held in</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right="2979" w:firstLine="8"/>
        <w:spacing w:after="0" w:line="238" w:lineRule="auto"/>
        <w:tabs>
          <w:tab w:leader="none" w:pos="21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regulatory scheme applicable to investment advisers is substantially comparable to the functionally equivalent U.S. institution(s).</w:t>
      </w:r>
    </w:p>
    <w:p>
      <w:pPr>
        <w:ind w:right="339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also undertake to furnish the Commission staff, upon request, information that would otherwise be disclosed in a Schedule 13D.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enquiry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 January 2021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w:t>
      </w: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Easton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Easton</w:t>
      </w:r>
    </w:p>
    <w:p>
      <w:pPr>
        <w:sectPr>
          <w:pgSz w:w="11900" w:h="16838" w:orient="portrait"/>
          <w:cols w:equalWidth="0" w:num="1">
            <w:col w:w="10139"/>
          </w:cols>
          <w:pgMar w:left="320" w:top="31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Head of Policies, Training and Regulatory Reporting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original statement shall be signed by each person on</w:t>
      </w:r>
    </w:p>
    <w:p>
      <w:pPr>
        <w:spacing w:after="0" w:line="3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8"/>
          <w:szCs w:val="18"/>
          <w:color w:val="auto"/>
        </w:rPr>
        <w:t>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Schedules filed in paper format shall include a signed original</w:t>
      </w:r>
    </w:p>
    <w:p>
      <w:pPr>
        <w:spacing w:after="0" w:line="31" w:lineRule="exact"/>
        <w:rPr>
          <w:sz w:val="20"/>
          <w:szCs w:val="20"/>
          <w:color w:val="auto"/>
        </w:rPr>
      </w:pPr>
    </w:p>
    <w:p>
      <w:pPr>
        <w:ind w:right="2439"/>
        <w:spacing w:after="0" w:line="309" w:lineRule="auto"/>
        <w:rPr>
          <w:sz w:val="20"/>
          <w:szCs w:val="20"/>
          <w:color w:val="auto"/>
        </w:rPr>
      </w:pPr>
      <w:r>
        <w:rPr>
          <w:rFonts w:ascii="Courier New" w:cs="Courier New" w:eastAsia="Courier New" w:hAnsi="Courier New"/>
          <w:sz w:val="18"/>
          <w:szCs w:val="18"/>
          <w:color w:val="auto"/>
        </w:rPr>
        <w:t>and five copies of the schedule,including all exhibits. See rule 240.13d-7 for other parties for whom copies are to be sent.</w:t>
      </w:r>
    </w:p>
    <w:p>
      <w:pPr>
        <w:spacing w:after="0" w:line="50"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9"/>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6"/>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2021-01-28T05:47:54Z</dcterms:created>
  <dcterms:modified xsi:type="dcterms:W3CDTF">2021-01-28T05:47:54Z</dcterms:modified>
</cp:coreProperties>
</file>