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ectPr>
          <w:pgSz w:w="11900" w:h="16838" w:orient="portrait"/>
          <w:cols w:equalWidth="0" w:num="1">
            <w:col w:w="10380"/>
          </w:cols>
          <w:pgMar w:left="320" w:top="779" w:right="1199" w:bottom="1440" w:gutter="0" w:footer="0" w:header="0"/>
        </w:sect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One):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10-K</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10-D</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20-F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N-CEN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11-K</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Form N-CSR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434" w:lineRule="exact"/>
        <w:rPr>
          <w:sz w:val="24"/>
          <w:szCs w:val="24"/>
          <w:color w:val="auto"/>
        </w:rPr>
      </w:pPr>
    </w:p>
    <w:p>
      <w:pPr>
        <w:sectPr>
          <w:pgSz w:w="11900" w:h="16838" w:orient="portrait"/>
          <w:cols w:equalWidth="0" w:num="9">
            <w:col w:w="1580" w:space="720"/>
            <w:col w:w="160" w:space="360"/>
            <w:col w:w="1020" w:space="720"/>
            <w:col w:w="160" w:space="360"/>
            <w:col w:w="1020" w:space="720"/>
            <w:col w:w="160" w:space="360"/>
            <w:col w:w="1000" w:space="720"/>
            <w:col w:w="160" w:space="340"/>
            <w:col w:w="820"/>
          </w:cols>
          <w:pgMar w:left="320" w:top="779" w:right="1199" w:bottom="1440" w:gutter="0" w:footer="0" w:header="0"/>
          <w:type w:val="continuous"/>
        </w:sectPr>
      </w:pPr>
    </w:p>
    <w:p>
      <w:pPr>
        <w:spacing w:after="0" w:line="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b w:val="1"/>
          <w:bCs w:val="1"/>
          <w:color w:val="auto"/>
        </w:rPr>
        <w:t>December 31, 2025</w:t>
      </w:r>
    </w:p>
    <w:p>
      <w:pPr>
        <w:spacing w:after="0" w:line="229"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05"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color w:val="auto"/>
        </w:rPr>
        <w:t>For the transition period ended: _____________________</w:t>
      </w:r>
    </w:p>
    <w:p>
      <w:pPr>
        <w:spacing w:after="0" w:line="22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Nothing in this form shall be construed to imply that the Commission has verified any information contained herein.</w:t>
      </w:r>
    </w:p>
    <w:p>
      <w:pPr>
        <w:spacing w:after="0" w:line="24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80"/>
          </w:cols>
          <w:pgMar w:left="320" w:top="779" w:right="119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Wallich Street, #30-02 Guoco Tower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and number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078881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12b-25(b) AND (c)</w:t>
      </w:r>
    </w:p>
    <w:p>
      <w:pPr>
        <w:spacing w:after="0" w:line="205" w:lineRule="exact"/>
        <w:rPr>
          <w:sz w:val="20"/>
          <w:szCs w:val="20"/>
          <w:color w:val="auto"/>
        </w:rPr>
      </w:pPr>
    </w:p>
    <w:p>
      <w:pPr>
        <w:ind w:right="5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113030</wp:posOffset>
            </wp:positionV>
            <wp:extent cx="8255" cy="1234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234440"/>
                    </a:xfrm>
                    <a:prstGeom prst="rect">
                      <a:avLst/>
                    </a:prstGeom>
                    <a:noFill/>
                  </pic:spPr>
                </pic:pic>
              </a:graphicData>
            </a:graphic>
          </wp:anchor>
        </w:drawing>
      </w:r>
    </w:p>
    <w:p>
      <w:pPr>
        <w:spacing w:after="0" w:line="356" w:lineRule="exact"/>
        <w:rPr>
          <w:sz w:val="20"/>
          <w:szCs w:val="20"/>
          <w:color w:val="auto"/>
        </w:rPr>
      </w:pPr>
    </w:p>
    <w:p>
      <w:pPr>
        <w:ind w:left="1240" w:hanging="554"/>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1240" w:hanging="554"/>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jc w:val="both"/>
        <w:ind w:left="1240" w:right="100" w:hanging="917"/>
        <w:spacing w:after="0" w:line="200" w:lineRule="auto"/>
        <w:tabs>
          <w:tab w:leader="none" w:pos="124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ind w:left="1240" w:hanging="554"/>
        <w:spacing w:after="0"/>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NARRATIVE</w:t>
      </w:r>
    </w:p>
    <w:p>
      <w:pPr>
        <w:spacing w:after="0" w:line="20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State below in reasonable detail why Forms 10-K, 20-F, 11-K, 10-Q, 10-D, N-CEN, N-CSR, or the transition report or portion thereof, could not be filed within the prescribed time period.</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Amber International Holding Limited (the “Company”) is filing this Notification of Late Filing on Form 12b-25 with respect to its Annual Report on Form 20-F for its fiscal year ended December 31, 2025 (the “2025 Annual Report”).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still in the process of completing its audit and its assessment of internal control over financial reporting in accordance with Section 404 of the Sarbanes-Oxley Act of 2002 for the fiscal year ended December 31, 2025, and compiling certain other required information for its 2025 Annual Report. As a result, the Company is unable, without unreasonable effort or expense, to file the 2025 Annual Report by the filing deadline. The Company expects to file its 2025 Annual Report within the 15-calendar day extension provided by Rule 12(b)-25(b).</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3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tc>
        <w:tc>
          <w:tcPr>
            <w:tcW w:w="3300" w:type="dxa"/>
            <w:vAlign w:val="bottom"/>
          </w:tcPr>
          <w:p>
            <w:pPr>
              <w:spacing w:after="0"/>
              <w:rPr>
                <w:sz w:val="20"/>
                <w:szCs w:val="20"/>
                <w:color w:val="auto"/>
              </w:rPr>
            </w:pPr>
          </w:p>
        </w:tc>
      </w:tr>
      <w:tr>
        <w:trPr>
          <w:trHeight w:val="432"/>
        </w:trPr>
        <w:tc>
          <w:tcPr>
            <w:tcW w:w="7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tc>
        <w:tc>
          <w:tcPr>
            <w:tcW w:w="3300" w:type="dxa"/>
            <w:vAlign w:val="bottom"/>
          </w:tcPr>
          <w:p>
            <w:pPr>
              <w:spacing w:after="0"/>
              <w:rPr>
                <w:sz w:val="24"/>
                <w:szCs w:val="24"/>
                <w:color w:val="auto"/>
              </w:rPr>
            </w:pPr>
          </w:p>
        </w:tc>
      </w:tr>
      <w:tr>
        <w:trPr>
          <w:trHeight w:val="432"/>
        </w:trPr>
        <w:tc>
          <w:tcPr>
            <w:tcW w:w="356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Josephine Ngai</w:t>
            </w:r>
          </w:p>
        </w:tc>
        <w:tc>
          <w:tcPr>
            <w:tcW w:w="4380" w:type="dxa"/>
            <w:vAlign w:val="bottom"/>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65</w:t>
            </w:r>
          </w:p>
        </w:tc>
        <w:tc>
          <w:tcPr>
            <w:tcW w:w="330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6022-0228</w:t>
            </w:r>
          </w:p>
        </w:tc>
      </w:tr>
      <w:tr>
        <w:trPr>
          <w:trHeight w:val="432"/>
        </w:trPr>
        <w:tc>
          <w:tcPr>
            <w:tcW w:w="35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(Area Code)</w:t>
            </w:r>
          </w:p>
        </w:tc>
        <w:tc>
          <w:tcPr>
            <w:tcW w:w="3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(Telephone Number)</w:t>
            </w:r>
          </w:p>
        </w:tc>
      </w:tr>
      <w:tr>
        <w:trPr>
          <w:trHeight w:val="675"/>
        </w:trPr>
        <w:tc>
          <w:tcPr>
            <w:tcW w:w="35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0" w:lineRule="exact"/>
        <w:rPr>
          <w:sz w:val="20"/>
          <w:szCs w:val="20"/>
          <w:color w:val="auto"/>
        </w:rPr>
      </w:pPr>
    </w:p>
    <w:p>
      <w:pPr>
        <w:spacing w:after="0" w:line="241" w:lineRule="exact"/>
        <w:rPr>
          <w:sz w:val="20"/>
          <w:szCs w:val="20"/>
          <w:color w:val="auto"/>
        </w:rPr>
      </w:pPr>
    </w:p>
    <w:p>
      <w:pPr>
        <w:ind w:left="660" w:right="1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35" w:lineRule="exact"/>
        <w:rPr>
          <w:sz w:val="20"/>
          <w:szCs w:val="20"/>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1" w:lineRule="exact"/>
        <w:rPr>
          <w:sz w:val="20"/>
          <w:szCs w:val="20"/>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anticipates that there will be significant changes in its results of operations for the fiscal year ended December 31, 2025 from the last fiscal year, due to (i) the completion of the merger (the “Merger”) between iClick Interactive Asia Group Limited and Amber DWM Holding Limited on March 12, 2025, (ii) intercompany services agreements with certain wholly owned subsidiaries of Amber Global Limited, which would afford the Company with substantially the same economic benefits as the transactions contemplated under the merger agreement signed in connection with the Merger, pending certain regulatory approvals for DWM Asset Restructuring contemplated under the merger agreement. This includes the Company’s entitlement to 100% of the consolidated net income generated from certain contracts associated with WhaleFin Technologies Limited and AG Global Technology Limited Inc., (iii) substantial growth in Amber Premium Business with the Company’s strategic business expansion, and (iv) waiver of digital assets from a related party prior to the Merger, which resulted in the decline of other losses, net in 2025.</w:t>
      </w:r>
    </w:p>
    <w:p>
      <w:pPr>
        <w:spacing w:after="0" w:line="19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the Company expects to record a net income from continuing operations of no more than US$5.0 million in 2025. In addition, it is also anticipated that as of December 31, 2025, the Company had cash and cash equivalents, time deposits and restricted cash of no more than US$34.0 million.</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financial data is based on the Company’s currently available information and is preliminary and unaudited. Because management’s review is ongoing, there can be no assurance that the financial and accounting information referred to in this Form 12b-25 will not change upon filing of the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This Form 12b-25 contains “forward-looking statements” within the meaning of Section 27A of the Securities Act of 1933 and Section 21E of the Securities Exchange Act of 1934, as amended. These forward-looking statements are based on management’s current intent, belief, expectations, estimates and projections. These statements are not guarantees of future performance and involve risks, uncertainties, assumptions and other factors that are difficult to predict. Actual results may vary materially from what is expressed in or indicated by the forward-looking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8420" w:type="dxa"/>
            <w:vAlign w:val="bottom"/>
            <w:gridSpan w:val="2"/>
          </w:tcPr>
          <w:p>
            <w:pPr>
              <w:jc w:val="center"/>
              <w:ind w:right="2730"/>
              <w:spacing w:after="0"/>
              <w:rPr>
                <w:sz w:val="20"/>
                <w:szCs w:val="20"/>
                <w:color w:val="auto"/>
              </w:rPr>
            </w:pPr>
            <w:r>
              <w:rPr>
                <w:rFonts w:ascii="Times New Roman" w:cs="Times New Roman" w:eastAsia="Times New Roman" w:hAnsi="Times New Roman"/>
                <w:sz w:val="18"/>
                <w:szCs w:val="18"/>
                <w:b w:val="1"/>
                <w:bCs w:val="1"/>
                <w:color w:val="auto"/>
                <w:w w:val="99"/>
              </w:rPr>
              <w:t>Amber International Holding Limited</w:t>
            </w:r>
          </w:p>
        </w:tc>
      </w:tr>
      <w:tr>
        <w:trPr>
          <w:trHeight w:val="432"/>
        </w:trPr>
        <w:tc>
          <w:tcPr>
            <w:tcW w:w="2820" w:type="dxa"/>
            <w:vAlign w:val="bottom"/>
          </w:tcPr>
          <w:p>
            <w:pPr>
              <w:spacing w:after="0"/>
              <w:rPr>
                <w:sz w:val="24"/>
                <w:szCs w:val="24"/>
                <w:color w:val="auto"/>
              </w:rPr>
            </w:pPr>
          </w:p>
        </w:tc>
        <w:tc>
          <w:tcPr>
            <w:tcW w:w="842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color w:val="auto"/>
              </w:rPr>
              <w:t>(Name of Registrant as Specified in Charter)</w:t>
            </w: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33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Wu</w:t>
            </w:r>
          </w:p>
        </w:tc>
      </w:tr>
      <w:tr>
        <w:trPr>
          <w:trHeight w:val="191"/>
        </w:trPr>
        <w:tc>
          <w:tcPr>
            <w:tcW w:w="2820" w:type="dxa"/>
            <w:vAlign w:val="bottom"/>
          </w:tcPr>
          <w:p>
            <w:pPr>
              <w:spacing w:after="0"/>
              <w:rPr>
                <w:sz w:val="16"/>
                <w:szCs w:val="16"/>
                <w:color w:val="auto"/>
              </w:rPr>
            </w:pPr>
          </w:p>
        </w:tc>
        <w:tc>
          <w:tcPr>
            <w:tcW w:w="3380" w:type="dxa"/>
            <w:vAlign w:val="bottom"/>
          </w:tcPr>
          <w:p>
            <w:pPr>
              <w:ind w:left="2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Wu</w:t>
            </w:r>
          </w:p>
        </w:tc>
      </w:tr>
      <w:tr>
        <w:trPr>
          <w:trHeight w:val="234"/>
        </w:trPr>
        <w:tc>
          <w:tcPr>
            <w:tcW w:w="2820" w:type="dxa"/>
            <w:vAlign w:val="bottom"/>
          </w:tcPr>
          <w:p>
            <w:pPr>
              <w:spacing w:after="0"/>
              <w:rPr>
                <w:sz w:val="20"/>
                <w:szCs w:val="20"/>
                <w:color w:val="auto"/>
              </w:rPr>
            </w:pPr>
          </w:p>
        </w:tc>
        <w:tc>
          <w:tcPr>
            <w:tcW w:w="33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675"/>
        </w:trPr>
        <w:tc>
          <w:tcPr>
            <w:tcW w:w="28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2026-04-30T06:07:13Z</dcterms:created>
  <dcterms:modified xsi:type="dcterms:W3CDTF">2026-04-30T06:07:13Z</dcterms:modified>
</cp:coreProperties>
</file>