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March 2020</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824230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33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Press release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13970</wp:posOffset>
            </wp:positionV>
            <wp:extent cx="152590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138" w:lineRule="exact"/>
        <w:rPr>
          <w:sz w:val="20"/>
          <w:szCs w:val="20"/>
          <w:color w:val="auto"/>
        </w:rPr>
      </w:pPr>
    </w:p>
    <w:p>
      <w:pPr>
        <w:jc w:val="center"/>
        <w:spacing w:after="0" w:line="255" w:lineRule="auto"/>
        <w:rPr>
          <w:sz w:val="20"/>
          <w:szCs w:val="20"/>
          <w:color w:val="auto"/>
        </w:rPr>
      </w:pPr>
      <w:r>
        <w:rPr>
          <w:rFonts w:ascii="Arial" w:cs="Arial" w:eastAsia="Arial" w:hAnsi="Arial"/>
          <w:sz w:val="27"/>
          <w:szCs w:val="27"/>
          <w:b w:val="1"/>
          <w:bCs w:val="1"/>
          <w:color w:val="auto"/>
        </w:rPr>
        <w:t>iClick Interactive Asia Group Limited Gives Update on Coronavirus Impact, Provides 2020 Guidance, and Pre-announces Preliminary Fourth-Quarter and Full Year 2019 Unaudited Financial Results</w:t>
      </w:r>
    </w:p>
    <w:p>
      <w:pPr>
        <w:spacing w:after="0" w:line="25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Hong Kong, March 17, 2020 </w:t>
      </w:r>
      <w:r>
        <w:rPr>
          <w:rFonts w:ascii="Arial" w:cs="Arial" w:eastAsia="Arial" w:hAnsi="Arial"/>
          <w:sz w:val="20"/>
          <w:szCs w:val="20"/>
          <w:color w:val="auto"/>
        </w:rPr>
        <w:t>-- iClick Interactive Asia Group Limited (“iClick,” the “Company” or “we”) (NASDAQ: ICLK), an</w:t>
      </w:r>
      <w:r>
        <w:rPr>
          <w:rFonts w:ascii="Arial" w:cs="Arial" w:eastAsia="Arial" w:hAnsi="Arial"/>
          <w:sz w:val="20"/>
          <w:szCs w:val="20"/>
          <w:b w:val="1"/>
          <w:bCs w:val="1"/>
          <w:color w:val="auto"/>
        </w:rPr>
        <w:t xml:space="preserve"> </w:t>
      </w:r>
      <w:r>
        <w:rPr>
          <w:rFonts w:ascii="Arial" w:cs="Arial" w:eastAsia="Arial" w:hAnsi="Arial"/>
          <w:sz w:val="20"/>
          <w:szCs w:val="20"/>
          <w:color w:val="auto"/>
        </w:rPr>
        <w:t>independent online marketing and enterprise data solutions provider in China, today announced an update regarding the coronavirus’ impact on its operations, provided 2020 guidance and pre-announced preliminary unaudited financial results for the fourth quarter and full year ended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Coronavirus Impact</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iClick is closely monitoring the impact of the COVID-19 (coronavirus) outbreak. Our top priority is the health and safety of employees, customers and partners worldwide and we endeavour to support their needs.</w:t>
      </w:r>
    </w:p>
    <w:p>
      <w:pPr>
        <w:spacing w:after="0" w:line="10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Currently, certain industry verticals such as the travel and hospitality sectors of our business have been adversely impacted by the coronavirus. However, some other sectors including e-commerce and online-gaming, have shown resiliency as homebound consumers shift more of their purchasing activities online.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 iClick’s diversified customer base of stable, top-tier brands, and the Chinese government’s highly devoted efforts to contain the spread of the virus, we remain cautiously optimistic for the second half of this year. However, coronavirus outbreaks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Outlook</w:t>
      </w:r>
    </w:p>
    <w:p>
      <w:pPr>
        <w:spacing w:after="0" w:line="154"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Based on the information available as of the date of this press release, we expect revenue to be between US$235 million and US$255 million for full year 2020. We also expect an adjusted EBITDA to be between US$5.0 million and US$8.0 million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Preliminary Fourth-Quarter and Full Year 2019 Unaudited Financial Results Ending December 31, 2019</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report record high gross billing, revenue, gross profit and adjusted EBITDA</w:t>
      </w:r>
      <w:r>
        <w:rPr>
          <w:rFonts w:ascii="Arial" w:cs="Arial" w:eastAsia="Arial" w:hAnsi="Arial"/>
          <w:sz w:val="14"/>
          <w:szCs w:val="14"/>
          <w:color w:val="auto"/>
        </w:rPr>
        <w:t>1</w:t>
      </w:r>
      <w:r>
        <w:rPr>
          <w:rFonts w:ascii="Arial" w:cs="Arial" w:eastAsia="Arial" w:hAnsi="Arial"/>
          <w:sz w:val="18"/>
          <w:szCs w:val="18"/>
          <w:color w:val="auto"/>
        </w:rPr>
        <w:t xml:space="preserve"> for the fourth quarter and full year of 2019.</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Here are the details: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Fourth Quarter 2019 Results:</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fourth quarter of 2019 is expected to be in the range of US$55.5 million to US$59.0 million, up approximately 40% to 49%</w:t>
      </w:r>
      <w:r>
        <w:rPr>
          <w:rFonts w:ascii="Arial" w:cs="Arial" w:eastAsia="Arial" w:hAnsi="Arial"/>
          <w:sz w:val="18"/>
          <w:szCs w:val="18"/>
          <w:b w:val="1"/>
          <w:bCs w:val="1"/>
          <w:color w:val="auto"/>
        </w:rPr>
        <w:t xml:space="preserve"> </w:t>
      </w:r>
      <w:r>
        <w:rPr>
          <w:rFonts w:ascii="Arial" w:cs="Arial" w:eastAsia="Arial" w:hAnsi="Arial"/>
          <w:sz w:val="18"/>
          <w:szCs w:val="18"/>
          <w:color w:val="auto"/>
        </w:rPr>
        <w:t>from US$39.5 million for the same period of 2018. Revenue from marketing solutions is expected to be in the range of US$51.7 million to US$55.7 million for the fourth quarter of 2019, up approximately 31% to 41% from US$39.5 million for the fourth quarter of 2018. Revenue from enterprise solutions is expected to be in the range of US$3.3 million to US$3.8 million for the fourth quarter of 2019.</w:t>
      </w:r>
    </w:p>
    <w:p>
      <w:pPr>
        <w:spacing w:after="0" w:line="8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fourth quarter of 2019 is expected to be in the range of US$15.5 million to US$17.5 million, up approximately 32% to</w:t>
      </w:r>
      <w:r>
        <w:rPr>
          <w:rFonts w:ascii="Arial" w:cs="Arial" w:eastAsia="Arial" w:hAnsi="Arial"/>
          <w:sz w:val="20"/>
          <w:szCs w:val="20"/>
          <w:b w:val="1"/>
          <w:bCs w:val="1"/>
          <w:color w:val="auto"/>
        </w:rPr>
        <w:t xml:space="preserve"> </w:t>
      </w:r>
      <w:r>
        <w:rPr>
          <w:rFonts w:ascii="Arial" w:cs="Arial" w:eastAsia="Arial" w:hAnsi="Arial"/>
          <w:sz w:val="20"/>
          <w:szCs w:val="20"/>
          <w:color w:val="auto"/>
        </w:rPr>
        <w:t>49% compared with US$11.8 million for the fourth quarter of 2018.</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Adjusted EBITDA</w:t>
      </w:r>
      <w:r>
        <w:rPr>
          <w:rFonts w:ascii="Arial" w:cs="Arial" w:eastAsia="Arial" w:hAnsi="Arial"/>
          <w:sz w:val="16"/>
          <w:szCs w:val="16"/>
          <w:color w:val="auto"/>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for the fourth quarter of 2019 is expected to be in the range of US$1.3 million to US$2.3 million,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negative US$0.9 million for the fourth quarter of 2018.</w:t>
      </w:r>
    </w:p>
    <w:p>
      <w:pPr>
        <w:spacing w:after="0" w:line="96"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b w:val="1"/>
          <w:bCs w:val="1"/>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is expected to be in the range of US$210.0 million to US$230.0 million for the fourth quarter of 2019, up approximately</w:t>
      </w:r>
      <w:r>
        <w:rPr>
          <w:rFonts w:ascii="Arial" w:cs="Arial" w:eastAsia="Arial" w:hAnsi="Arial"/>
          <w:sz w:val="20"/>
          <w:szCs w:val="20"/>
          <w:b w:val="1"/>
          <w:bCs w:val="1"/>
          <w:color w:val="auto"/>
        </w:rPr>
        <w:t xml:space="preserve"> </w:t>
      </w:r>
      <w:r>
        <w:rPr>
          <w:rFonts w:ascii="Arial" w:cs="Arial" w:eastAsia="Arial" w:hAnsi="Arial"/>
          <w:sz w:val="20"/>
          <w:szCs w:val="20"/>
          <w:color w:val="auto"/>
        </w:rPr>
        <w:t>114% to 135% from US$98.1 million for the fourth quarter of 2018.</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Preliminary Full Year 2019 Results:</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Revenue </w:t>
      </w:r>
      <w:r>
        <w:rPr>
          <w:rFonts w:ascii="Arial" w:cs="Arial" w:eastAsia="Arial" w:hAnsi="Arial"/>
          <w:sz w:val="20"/>
          <w:szCs w:val="20"/>
          <w:color w:val="auto"/>
        </w:rPr>
        <w:t>for 2019 is expected to be in the range of US$198.2 million to US $201.7 million, up approximately 24% to 26% from US$160.0</w:t>
      </w:r>
      <w:r>
        <w:rPr>
          <w:rFonts w:ascii="Arial" w:cs="Arial" w:eastAsia="Arial" w:hAnsi="Arial"/>
          <w:sz w:val="20"/>
          <w:szCs w:val="20"/>
          <w:b w:val="1"/>
          <w:bCs w:val="1"/>
          <w:color w:val="auto"/>
        </w:rPr>
        <w:t xml:space="preserve"> </w:t>
      </w:r>
      <w:r>
        <w:rPr>
          <w:rFonts w:ascii="Arial" w:cs="Arial" w:eastAsia="Arial" w:hAnsi="Arial"/>
          <w:sz w:val="20"/>
          <w:szCs w:val="20"/>
          <w:color w:val="auto"/>
        </w:rPr>
        <w:t>million in 2018. Revenue from marketing solutions is expected to be in the range of US$187.6 million to US $191.6 million for 2019, up approximately 17% to 20% from US$160.0 million in 2018. Revenue from enterprise solutions is expected to be in the range of US$10.1 million to US$10.6 million in 2019.</w:t>
      </w:r>
    </w:p>
    <w:p>
      <w:pPr>
        <w:spacing w:after="0" w:line="116"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2019 is expected to be in the range of US$55.0 million to US$57.0 million, up approximately 41% to 46% compared with</w:t>
      </w:r>
      <w:r>
        <w:rPr>
          <w:rFonts w:ascii="Arial" w:cs="Arial" w:eastAsia="Arial" w:hAnsi="Arial"/>
          <w:sz w:val="20"/>
          <w:szCs w:val="20"/>
          <w:b w:val="1"/>
          <w:bCs w:val="1"/>
          <w:color w:val="auto"/>
        </w:rPr>
        <w:t xml:space="preserve"> </w:t>
      </w:r>
      <w:r>
        <w:rPr>
          <w:rFonts w:ascii="Arial" w:cs="Arial" w:eastAsia="Arial" w:hAnsi="Arial"/>
          <w:sz w:val="20"/>
          <w:szCs w:val="20"/>
          <w:color w:val="auto"/>
        </w:rPr>
        <w:t>US$39.1 million for 2018.</w:t>
      </w:r>
    </w:p>
    <w:p>
      <w:pPr>
        <w:spacing w:after="0" w:line="9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Adjusted EBITDA</w:t>
      </w:r>
      <w:r>
        <w:rPr>
          <w:rFonts w:ascii="Arial" w:cs="Arial" w:eastAsia="Arial" w:hAnsi="Arial"/>
          <w:sz w:val="16"/>
          <w:szCs w:val="16"/>
          <w:color w:val="auto"/>
        </w:rPr>
        <w:t>1</w:t>
      </w:r>
      <w:r>
        <w:rPr>
          <w:rFonts w:ascii="Arial" w:cs="Arial" w:eastAsia="Arial" w:hAnsi="Arial"/>
          <w:sz w:val="20"/>
          <w:szCs w:val="20"/>
          <w:b w:val="1"/>
          <w:bCs w:val="1"/>
          <w:color w:val="auto"/>
        </w:rPr>
        <w:t xml:space="preserve"> </w:t>
      </w:r>
      <w:r>
        <w:rPr>
          <w:rFonts w:ascii="Arial" w:cs="Arial" w:eastAsia="Arial" w:hAnsi="Arial"/>
          <w:sz w:val="20"/>
          <w:szCs w:val="20"/>
          <w:color w:val="auto"/>
        </w:rPr>
        <w:t>for 2019 is expected to be in the range of US$3.6 million to US$4.6 million, up approximately 132% to 196%</w:t>
      </w:r>
      <w:r>
        <w:rPr>
          <w:rFonts w:ascii="Arial" w:cs="Arial" w:eastAsia="Arial" w:hAnsi="Arial"/>
          <w:sz w:val="20"/>
          <w:szCs w:val="20"/>
          <w:b w:val="1"/>
          <w:bCs w:val="1"/>
          <w:color w:val="auto"/>
        </w:rPr>
        <w:t xml:space="preserve"> </w:t>
      </w:r>
      <w:r>
        <w:rPr>
          <w:rFonts w:ascii="Arial" w:cs="Arial" w:eastAsia="Arial" w:hAnsi="Arial"/>
          <w:sz w:val="20"/>
          <w:szCs w:val="20"/>
          <w:color w:val="auto"/>
        </w:rPr>
        <w:t>compared with US$1.6 million for 2018.</w:t>
      </w:r>
    </w:p>
    <w:p>
      <w:pPr>
        <w:spacing w:after="0" w:line="82" w:lineRule="exact"/>
        <w:rPr>
          <w:sz w:val="20"/>
          <w:szCs w:val="20"/>
          <w:color w:val="auto"/>
        </w:rPr>
      </w:pPr>
    </w:p>
    <w:p>
      <w:pPr>
        <w:jc w:val="both"/>
        <w:spacing w:after="0" w:line="215"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27"/>
          <w:szCs w:val="27"/>
          <w:color w:val="auto"/>
          <w:vertAlign w:val="superscript"/>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is expected to be in the range of US$627.3 million to US$647.3 million for 2019, up approximately 57% to 62% from</w:t>
      </w:r>
      <w:r>
        <w:rPr>
          <w:rFonts w:ascii="Arial" w:cs="Arial" w:eastAsia="Arial" w:hAnsi="Arial"/>
          <w:sz w:val="20"/>
          <w:szCs w:val="20"/>
          <w:b w:val="1"/>
          <w:bCs w:val="1"/>
          <w:color w:val="auto"/>
        </w:rPr>
        <w:t xml:space="preserve"> </w:t>
      </w:r>
      <w:r>
        <w:rPr>
          <w:rFonts w:ascii="Arial" w:cs="Arial" w:eastAsia="Arial" w:hAnsi="Arial"/>
          <w:sz w:val="20"/>
          <w:szCs w:val="20"/>
          <w:color w:val="auto"/>
        </w:rPr>
        <w:t>US$399.7 million in 2018.</w:t>
      </w:r>
    </w:p>
    <w:p>
      <w:pPr>
        <w:spacing w:after="0" w:line="1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financial results described in this press release are preliminary and unaudited and are subject to change upon completion of the Company's normal review process. As a result, these preliminary financial results are estimates only and could differ materially from the actual results that will be reflected in the Company’s financial statements for the fourth quarter and the year ended December 31, 2019 when they are released.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14230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5"/>
          <w:szCs w:val="15"/>
          <w:color w:val="auto"/>
        </w:rPr>
      </w:pPr>
      <w:r>
        <w:rPr>
          <w:rFonts w:ascii="Arial" w:cs="Arial" w:eastAsia="Arial" w:hAnsi="Arial"/>
          <w:sz w:val="14"/>
          <w:szCs w:val="14"/>
          <w:color w:val="auto"/>
        </w:rPr>
        <w:t>For more details on this non-GAAP financial measure, please see the section entitled “Non-GAAP Financial Measures.”</w:t>
      </w:r>
    </w:p>
    <w:p>
      <w:pPr>
        <w:ind w:left="220" w:hanging="212"/>
        <w:spacing w:after="0" w:line="187" w:lineRule="auto"/>
        <w:tabs>
          <w:tab w:leader="none" w:pos="220" w:val="left"/>
        </w:tabs>
        <w:numPr>
          <w:ilvl w:val="0"/>
          <w:numId w:val="2"/>
        </w:numPr>
        <w:rPr>
          <w:rFonts w:ascii="Arial" w:cs="Arial" w:eastAsia="Arial" w:hAnsi="Arial"/>
          <w:sz w:val="21"/>
          <w:szCs w:val="21"/>
          <w:color w:val="auto"/>
          <w:vertAlign w:val="superscript"/>
        </w:rPr>
      </w:pPr>
      <w:r>
        <w:rPr>
          <w:rFonts w:ascii="Arial" w:cs="Arial" w:eastAsia="Arial" w:hAnsi="Arial"/>
          <w:sz w:val="13"/>
          <w:szCs w:val="13"/>
          <w:color w:val="auto"/>
        </w:rPr>
        <w:t>Gross billing is defined as the aggregate dollar amount that clients pay the Company after deducting rebates paid and discounts given to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5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Company uses adjusted EBITDA as a non-GAAP financial measure, in evaluating the Company’s operating results and for financial and operational decision-making purposes. Adjusted EBITDA represents net income (loss) before (i) depreciation and amortization, (ii) interest expense, (iii) interest income, (iv) income tax expense/ (benefit), (v) share-based compensation, (vi) fair value losses/ (gain) on convertible notes, (vii) other losses/ (gains), net, (viii) convertible notes issuance cost, (ix) net loss/ (income) attributable to noncontrolling interests, (x) share of losses/ (income) from an equity investee, (xi) cost related to new business setup or acquisitions, (xii) cost related to filing of Form F-3, and (xiii) non-cash provision, if any. We will disclose more details on the reconciliations of non-GAAP financial measures to comparable U.S. GAAP financial measures when we release the actual results for the fourth quarter and the year ended December 31, 2019.</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Company believes that adjusted EBITDA helps identify underlying trends in the Company’s business that could otherwise be distorted by the effect of the expenses and gains that the Company includes in net income (loss). The Company believes that adjusted EBITDA provides useful information about the Company’s operating results, enhances the overall understanding of the Company’s past performance and future prospects and allows for greater visibility with respect to key metrics used by the Company’s management in its financial and operational decision-making.</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Adjusted EBITDA should not be considered in isolation or construed as an alternative to net income (loss) or any other measure of performance or as an indicator of the Company’s operating performance. Investors are encouraged to review the historical non-GAAP financial measures to the most directly comparable GAAP measures. Adjusted EBITDA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Safe Harbor Statement</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coronavirus outbreak and its potential impact on our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240"/>
          </w:cols>
          <w:pgMar w:left="320" w:top="360" w:right="33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China: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iClick Interactive Asia Group Limited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Lisa 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+86-21-3230-3931 #892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Marco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+1-516-222-2560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johnm@coreir.com</w:t>
      </w:r>
    </w:p>
    <w:sectPr>
      <w:pgSz w:w="11900" w:h="16838" w:orient="portrait"/>
      <w:cols w:equalWidth="0" w:num="2">
        <w:col w:w="4020" w:space="720"/>
        <w:col w:w="6500"/>
      </w:cols>
      <w:pgMar w:left="320" w:top="36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2020-03-17T17:34:52Z</dcterms:created>
  <dcterms:modified xsi:type="dcterms:W3CDTF">2020-03-17T17:34:52Z</dcterms:modified>
</cp:coreProperties>
</file>