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Amber International Holding Limited</w:t>
      </w:r>
    </w:p>
    <w:p>
      <w:pPr>
        <w:spacing w:after="0" w:line="4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Wallich Street, #30-02 Guoco Tower, Singapore 078881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+65 60220228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10100" w:type="dxa"/>
            <w:vAlign w:val="bottom"/>
            <w:tcBorders>
              <w:bottom w:val="single" w:sz="8" w:color="auto"/>
            </w:tcBorders>
            <w:gridSpan w:val="2"/>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Amber International Holding Limited Reports Third Quarter 2025 Unaudited Financial Results</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40" w:type="dxa"/>
            <w:vAlign w:val="bottom"/>
            <w:tcBorders>
              <w:top w:val="single" w:sz="8" w:color="0000EE"/>
              <w:bottom w:val="single" w:sz="8" w:color="auto"/>
            </w:tcBorders>
          </w:tcPr>
          <w:p>
            <w:pPr>
              <w:jc w:val="right"/>
              <w:ind w:right="2250"/>
              <w:spacing w:after="0"/>
              <w:rPr>
                <w:sz w:val="20"/>
                <w:szCs w:val="20"/>
                <w:color w:val="auto"/>
              </w:rPr>
            </w:pPr>
            <w:r>
              <w:rPr>
                <w:rFonts w:ascii="Times New Roman" w:cs="Times New Roman" w:eastAsia="Times New Roman" w:hAnsi="Times New Roman"/>
                <w:sz w:val="18"/>
                <w:szCs w:val="18"/>
                <w:color w:val="auto"/>
              </w:rPr>
              <w:t>2</w:t>
            </w:r>
          </w:p>
        </w:tc>
        <w:tc>
          <w:tcPr>
            <w:tcW w:w="3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26, 2025</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Amber International Holding Limited Reports Third Quarter 2025 Unaudited Financial Results and Announces Share Repurchase Program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Enhanced operational profitability with continuous substantial growth in revenue and gross profit -</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US$50 million share repurchase program reflects Company’s confidence in Amber International’s business momentum and long-term growth trajectory -</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Singapore, November 26, 2025 </w:t>
      </w:r>
      <w:r>
        <w:rPr>
          <w:rFonts w:ascii="Times New Roman" w:cs="Times New Roman" w:eastAsia="Times New Roman" w:hAnsi="Times New Roman"/>
          <w:sz w:val="18"/>
          <w:szCs w:val="18"/>
          <w:color w:val="auto"/>
        </w:rPr>
        <w:t>– Amber International Holding Limited (Nasdaq: AMBR) (“Amber International”, “we,” “us,”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leading digital wealth management platform, today announced unaudited financial results for the third quarter ended September 30, 2025, and approval from its board of directors of a share repurchase program with an aggregate value of up to US$50.0 million.</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Wu, Chairman of the Board and CEO of Amber International, commented, </w:t>
      </w:r>
      <w:r>
        <w:rPr>
          <w:rFonts w:ascii="Times New Roman" w:cs="Times New Roman" w:eastAsia="Times New Roman" w:hAnsi="Times New Roman"/>
          <w:sz w:val="18"/>
          <w:szCs w:val="18"/>
          <w:color w:val="auto"/>
        </w:rPr>
        <w:t>“We delivered another profitable quarter, as we intensified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 on high-quality, higher-margin revenue streams and achieved a significant enhancement in operating profit margin from continuing operations—from –4% in the previous quarter to +8% in Q3. These results are a testament to our disciplined execution and strengthened operating leverage, which together underpin our trajectory toward sustainable and profitable growth. This progress is further evidenced by quarterly revenue of US$16.3 million, net income from continuing operations of US$2.2 million, and Adjusted EBITDA of US$2.9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continued to build for long-term scalability—advancing AI integration across our internal processes, enhancing productivity, and accelerating the development of our standardized Real World Asset (“RWA”) platform to meet rising institutional demand. With our disciplined focus, we are well positioned to extend our profitability and capture new opportunities across digital wealth, tokenization, and AI-driven financial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our strong results, we are pleased to authorize a share repurchase program, reflecting our confidence in the strength and scalability of Amber’s core digital wealth management business and ability to generate sustainable cash flows.”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Vicky Wang, President of Amber International, added, </w:t>
      </w:r>
      <w:r>
        <w:rPr>
          <w:rFonts w:ascii="Times New Roman" w:cs="Times New Roman" w:eastAsia="Times New Roman" w:hAnsi="Times New Roman"/>
          <w:sz w:val="18"/>
          <w:szCs w:val="18"/>
          <w:color w:val="auto"/>
        </w:rPr>
        <w:t>“This quarter, we further deepened our focus on high-net-worth, ultra-high-net-worth,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institutional clients, while accelerating initiatives in infrastructure, product innovation, and operational discipline. We intentionally focused on improving revenue quality and expanding higher-margin product offerings, which contributed meaningfully to margin expansion. Client assets on our platform grew 69.8% year-over-year to US$1.84 billion, accompanied by significant growth in trading volumes—clear indicators of enhanced client engagement and the durability of our diversified revenue streams. Looking ahead, we remain committed to delivering private banking-grade services and product sophistication to elevate revenue quality, scalability, and long-term defensibility, positioning us for continued sustainable growth.”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Highlights</w:t>
      </w:r>
    </w:p>
    <w:p>
      <w:pPr>
        <w:spacing w:after="0" w:line="225" w:lineRule="exact"/>
        <w:rPr>
          <w:sz w:val="20"/>
          <w:szCs w:val="20"/>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18"/>
          <w:szCs w:val="18"/>
          <w:color w:val="auto"/>
        </w:rPr>
        <w:t>: Reached US$16.3 million in the third quarter of 2025.</w:t>
      </w:r>
    </w:p>
    <w:p>
      <w:pPr>
        <w:spacing w:after="0" w:line="3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Solutions Revenue: </w:t>
      </w:r>
      <w:r>
        <w:rPr>
          <w:rFonts w:ascii="Times New Roman" w:cs="Times New Roman" w:eastAsia="Times New Roman" w:hAnsi="Times New Roman"/>
          <w:sz w:val="18"/>
          <w:szCs w:val="18"/>
          <w:color w:val="auto"/>
        </w:rPr>
        <w:t>Reached US$7.5 million in the third quarter of 2025.</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color w:val="auto"/>
        </w:rPr>
        <w:t>: Reached US$11.8 million in the third quarter of 2025.</w:t>
      </w:r>
    </w:p>
    <w:p>
      <w:pPr>
        <w:spacing w:after="0" w:line="9" w:lineRule="exact"/>
        <w:rPr>
          <w:rFonts w:ascii="Times New Roman" w:cs="Times New Roman" w:eastAsia="Times New Roman" w:hAnsi="Times New Roman"/>
          <w:sz w:val="18"/>
          <w:szCs w:val="18"/>
          <w:color w:val="auto"/>
        </w:rPr>
      </w:pPr>
    </w:p>
    <w:p>
      <w:pPr>
        <w:ind w:left="840" w:right="20" w:hanging="184"/>
        <w:spacing w:after="0" w:line="250" w:lineRule="auto"/>
        <w:tabs>
          <w:tab w:leader="none" w:pos="8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from continuing operations: </w:t>
      </w:r>
      <w:r>
        <w:rPr>
          <w:rFonts w:ascii="Times New Roman" w:cs="Times New Roman" w:eastAsia="Times New Roman" w:hAnsi="Times New Roman"/>
          <w:sz w:val="18"/>
          <w:szCs w:val="18"/>
          <w:color w:val="auto"/>
        </w:rPr>
        <w:t>US$2.9 million in the third quarter of 2025, versus a US$1.8 million loss in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ind w:left="840" w:hanging="184"/>
        <w:spacing w:after="0" w:line="183" w:lineRule="auto"/>
        <w:tabs>
          <w:tab w:leader="none" w:pos="840" w:val="left"/>
        </w:tabs>
        <w:numPr>
          <w:ilvl w:val="0"/>
          <w:numId w:val="1"/>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b w:val="1"/>
          <w:bCs w:val="1"/>
          <w:color w:val="auto"/>
        </w:rPr>
        <w:t>Client Assets on Platform</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color w:val="auto"/>
        </w:rPr>
        <w:t>: Increased to US$1,842.4 million as of September 30, 2025, up 69.8% from September 30, 2024.</w:t>
      </w:r>
    </w:p>
    <w:p>
      <w:pPr>
        <w:ind w:left="840" w:hanging="184"/>
        <w:spacing w:after="0" w:line="195" w:lineRule="auto"/>
        <w:tabs>
          <w:tab w:leader="none" w:pos="84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Cumulative KYC’ed Users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color w:val="auto"/>
        </w:rPr>
        <w:t>: Reached 5,116 as of September 30, 2025, up 20.4% from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Client Assets on Platform is defined as the total U.S. dollar equivalent value of client assets as of a specific date.</w:t>
      </w:r>
    </w:p>
    <w:p>
      <w:pPr>
        <w:spacing w:after="0" w:line="22" w:lineRule="exact"/>
        <w:rPr>
          <w:sz w:val="20"/>
          <w:szCs w:val="20"/>
          <w:color w:val="auto"/>
        </w:rPr>
      </w:pPr>
    </w:p>
    <w:p>
      <w:pPr>
        <w:jc w:val="both"/>
        <w:ind w:firstLine="8"/>
        <w:spacing w:after="0" w:line="210" w:lineRule="auto"/>
        <w:tabs>
          <w:tab w:leader="none" w:pos="139"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Cumulative KYC’ed Users is defined as the total number of clients that completed the Company’s Know Your Customer identity verification as of a specific date. The Company does not offer or provide any services to registered users who have not successfully completed the Know Your Customer identity verification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Business Developments and Strategic Updates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2025, Amber International delivered strong operational and financial performance while executing on key strategic initiatives to expand its addressable market.</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High-Quality Revenue Mix and Margin Expansion: </w:t>
      </w:r>
      <w:r>
        <w:rPr>
          <w:rFonts w:ascii="Times New Roman" w:cs="Times New Roman" w:eastAsia="Times New Roman" w:hAnsi="Times New Roman"/>
          <w:sz w:val="18"/>
          <w:szCs w:val="18"/>
          <w:color w:val="auto"/>
        </w:rPr>
        <w:t>During the quarter, management continued its deliberate focus on high-quality and high-margin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streams. The Company allocated resources to more profitable product lines, leading to a meaningful improvement in operating profit margin from continuing operations from –4% in Q2 2025 to +8% in Q3 2025. Growth was broad-based across execution solutions and payment solutions, reflecting both improved revenue quality and deepening client demand for our integrated platform. The Company will enhance execution capabilities and expand product offerings to meet diverse client profiles. This includes broadening the structured product suite, developing digital-asset inheritance solutions for family offices and UHNW clients, and optimizing pricing models and OTC workflows for competitive execution and timely market access.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Strengthening Client Metrics: </w:t>
      </w:r>
      <w:r>
        <w:rPr>
          <w:rFonts w:ascii="Times New Roman" w:cs="Times New Roman" w:eastAsia="Times New Roman" w:hAnsi="Times New Roman"/>
          <w:sz w:val="18"/>
          <w:szCs w:val="18"/>
          <w:color w:val="auto"/>
        </w:rPr>
        <w:t>Client assets on platform reached US$1.84 billion, up 69.8% year-over-year, reflecting accelerating institutional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Cumulative KYC’ed users grew to 5,116 (+20.4% YoY), active clients increased to 1,045 (+11.8% YoY), and trading volumes expanded significantly with execution trading volume up 36.1% YoY and payment trading volume up 69.9% YoY. Strong net new asset inflows and stronger client allocations, together with a significant increase in trading volumes clearly demonstrates that clients are not only remaining with the Company, but are also deepening their engagement across multiple product lines, even amidst ongoing market volatility.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AI Integration to Drive Efficiency and Scalable Growth: </w:t>
      </w:r>
      <w:r>
        <w:rPr>
          <w:rFonts w:ascii="Times New Roman" w:cs="Times New Roman" w:eastAsia="Times New Roman" w:hAnsi="Times New Roman"/>
          <w:sz w:val="18"/>
          <w:szCs w:val="18"/>
          <w:color w:val="auto"/>
        </w:rPr>
        <w:t>The Company continues to advance its AI roadmap, deepening the integration of AI-driven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tools across internal workflows and client-facing platforms. Work With MIA and Perplexity-powered automation improved operational efficiency and decision-support capability, laying the foundation for enhanced scalability and long-term margin expansion.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RWA Solution Launch: </w:t>
      </w:r>
      <w:r>
        <w:rPr>
          <w:rFonts w:ascii="Times New Roman" w:cs="Times New Roman" w:eastAsia="Times New Roman" w:hAnsi="Times New Roman"/>
          <w:sz w:val="18"/>
          <w:szCs w:val="18"/>
          <w:color w:val="auto"/>
        </w:rPr>
        <w:t>In September 2025, Amber Premium launched its full-stack Real World Asset (RWA) Solution—a comprehensive, turnkey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 designed to bring traditional assets onto the blockchain with institutional regulatory alignment. The solution encompasses structuring, regulatory-compliant custody, smart contract automation, cross-chain interoperability, and bank-grade security, supporting the entire lifecycle of tokenized assets from distribution to liquidity management and yield farming.</w:t>
      </w:r>
    </w:p>
    <w:p>
      <w:pPr>
        <w:spacing w:after="0" w:line="17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Expansion of Digital Assets Treasury Services: </w:t>
      </w:r>
      <w:r>
        <w:rPr>
          <w:rFonts w:ascii="Times New Roman" w:cs="Times New Roman" w:eastAsia="Times New Roman" w:hAnsi="Times New Roman"/>
          <w:sz w:val="17"/>
          <w:szCs w:val="17"/>
          <w:color w:val="auto"/>
        </w:rPr>
        <w:t>The Company expanded its Digital Assets Treasury services to better serve publicly listed companies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corporations seeking institutional-grade digital-asset management. The Company offers a one-stop platform for RWA including consulting, trade execution, financing, custody, and compliance support, addressing the critical gap between corporate digital asset acquisition and effective treasury management.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Company’s achievement of operating profitability and in recognition of its strong financial position, the Board of Directors has authorized a share repurchase program of up to US$50 million of the Company’s ADSs over the next 12 months, starting from December 1, 2025. Under the share repurchase program, the Company may repurchase its ADSs from time to time through open market transactions at prevailing market prices, privately negotiated transactions, block trades or any combination thereof. The Company will effect repurchase transactions in compliance with Rule 10b-18 and Rule 10b5-1 as applicable under the Securities Exchange Act of 1934, as amended, and its insider trading policy. The number of ADSs repurchased and the timing of repurchases will depend on a number of factors, including, but not limited to, share price, trading volume and general market conditions, along with the Company’s working capital requirements and general business conditions. The Company’s Board of Directors will review the share repurchase program periodically, and may authorize adjustment of its terms and size. The Company plans to fund the repurchases from a combination of its cash balance and cash generated from its operations, and does not expect the repurchase program to adversely affect its existing business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 Summary</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March 12, 2025, iClick Interactive Asia Group Limited (“iClick”) completed its merger (the “Merger”) with Amber DWM Holding Limited (“Amber DWM”)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 Merger is accounted for as a reverse acquisition for accounting purposes. Accordingly, the Merger is treated as the equivalent of Amber DWM issuing shares for the acquisition of iClick, accompanied by a recapitalization, for accounting purposes. The financial results of iClick have been included in our consolidated financial results since March 12, 2025.</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optimizes our business to drive returns to the shareholders through proactive monitoring our operations and market trends. As of the end of third quarter of 2025, certain operations under iClick were classified as held-for-sale, and we completed one of the disposals in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2025, the WFTL Assigned Contracts were assumed by AG Global Technology Limited Inc., which is also a wholly owned subsidiary of Amber Group and an affiliate of the Company, and Amber Match Limited, one of our wholly owned subsidiaries, entered into intercompany services agreement with AG Global Technology Limited Inc. to replace its previous agreement with WFTL on substantially the same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key financial metrics of the Company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except per share data; unaudited)</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Wealth Management Solutions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7,512</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549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1,268.3%</w:t>
            </w:r>
          </w:p>
        </w:tc>
      </w:tr>
      <w:tr>
        <w:trPr>
          <w:trHeight w:val="216"/>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Execution Solutions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3,168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110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2,780.0%</w:t>
            </w:r>
          </w:p>
        </w:tc>
      </w:tr>
      <w:tr>
        <w:trPr>
          <w:trHeight w:val="216"/>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Payment Solutions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1,200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142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745.1%</w:t>
            </w:r>
          </w:p>
        </w:tc>
      </w:tr>
      <w:tr>
        <w:trPr>
          <w:trHeight w:val="257"/>
        </w:trPr>
        <w:tc>
          <w:tcPr>
            <w:tcW w:w="67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Sub-total of Amber Premium Business</w:t>
            </w:r>
            <w:r>
              <w:rPr>
                <w:rFonts w:ascii="Times New Roman" w:cs="Times New Roman" w:eastAsia="Times New Roman" w:hAnsi="Times New Roman"/>
                <w:sz w:val="29"/>
                <w:szCs w:val="29"/>
                <w:color w:val="auto"/>
                <w:vertAlign w:val="superscript"/>
              </w:rPr>
              <w:t>4</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11,880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1,383.1%</w:t>
            </w:r>
          </w:p>
        </w:tc>
      </w:tr>
      <w:tr>
        <w:trPr>
          <w:trHeight w:val="216"/>
        </w:trPr>
        <w:tc>
          <w:tcPr>
            <w:tcW w:w="6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Marketing and Enterprise Solutions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4,417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i w:val="1"/>
                <w:i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N/M</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16,297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1,934.6%</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11,777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3,189.7%</w:t>
            </w: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1,375</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(1,788)</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2,151</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6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Diluted net income/(loss) from continuing operations per American Depositary Shares</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6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(“ADS”)</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(0.01)</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Adjusted EBITDA from continuing operations</w:t>
            </w:r>
            <w:r>
              <w:rPr>
                <w:rFonts w:ascii="Times New Roman" w:cs="Times New Roman" w:eastAsia="Times New Roman" w:hAnsi="Times New Roman"/>
                <w:sz w:val="29"/>
                <w:szCs w:val="29"/>
                <w:color w:val="auto"/>
                <w:vertAlign w:val="superscript"/>
              </w:rPr>
              <w:t>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2,887</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6"/>
        </w:trPr>
        <w:tc>
          <w:tcPr>
            <w:tcW w:w="6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Adjusted net income/(loss) from continuing operations</w:t>
            </w:r>
            <w:r>
              <w:rPr>
                <w:rFonts w:ascii="Times New Roman" w:cs="Times New Roman" w:eastAsia="Times New Roman" w:hAnsi="Times New Roman"/>
                <w:sz w:val="29"/>
                <w:szCs w:val="29"/>
                <w:color w:val="auto"/>
                <w:vertAlign w:val="superscript"/>
              </w:rPr>
              <w:t>5</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2,739</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(1,824)</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r>
        <w:trPr>
          <w:trHeight w:val="257"/>
        </w:trPr>
        <w:tc>
          <w:tcPr>
            <w:tcW w:w="6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Diluted adjusted net income/(loss) per ADS from continuing operations</w:t>
            </w:r>
            <w:r>
              <w:rPr>
                <w:rFonts w:ascii="Times New Roman" w:cs="Times New Roman" w:eastAsia="Times New Roman" w:hAnsi="Times New Roman"/>
                <w:sz w:val="29"/>
                <w:szCs w:val="29"/>
                <w:color w:val="auto"/>
                <w:vertAlign w:val="superscript"/>
              </w:rPr>
              <w:t>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0.03</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jc w:val="both"/>
        <w:ind w:firstLine="8"/>
        <w:spacing w:after="0" w:line="228" w:lineRule="auto"/>
        <w:tabs>
          <w:tab w:leader="none" w:pos="131"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the Merger, we entered into intercompany services agreements with certain wholly owned subsidiaries of our parent, Amber Group. These agreements would afford us with substantially the same economic benefits as the transactions contemplated under the merger agreement signed in connection with the Merger, pending certain regulatory approvals for DWM Asset Restructuring contemplated under the merger agreement. This includes our entitlement to 100% of the consolidated net income generated from certain contracts associated with WhaleFin Technologies Limited (“WFTL”) (the “WFTL Assigned Contracts”) effective from January 1, 2025. Therefore, our results for the three months and nine months ended September 30, 2025 have included the net income from WFTL Assigned Contracts, which was not reflected in our results for the corresponding periods in 2024.</w:t>
      </w:r>
    </w:p>
    <w:p>
      <w:pPr>
        <w:spacing w:after="0" w:line="3"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Amber Premium business comprises our Wealth Management Solutions, Execution Solutions, and Payment Solutions.</w:t>
      </w:r>
    </w:p>
    <w:p>
      <w:pPr>
        <w:spacing w:after="0" w:line="22" w:lineRule="exact"/>
        <w:rPr>
          <w:sz w:val="20"/>
          <w:szCs w:val="20"/>
          <w:color w:val="auto"/>
        </w:rPr>
      </w:pPr>
    </w:p>
    <w:p>
      <w:pPr>
        <w:ind w:right="20" w:firstLine="8"/>
        <w:spacing w:after="0" w:line="195" w:lineRule="auto"/>
        <w:tabs>
          <w:tab w:leader="none" w:pos="125"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for the third quarter of 2025 was US$16.3 million, a 1,934.6% increase year-over-year, primarily driven by WFTL Assigned Contracts which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to us starting from January 1, 2025, and to a lesser extent, due to the significant growth in Amber Premium Business, along with contributions from Marketing and Enterprise Solutions following the Merger:</w:t>
      </w:r>
    </w:p>
    <w:p>
      <w:pPr>
        <w:spacing w:after="0" w:line="175" w:lineRule="exact"/>
        <w:rPr>
          <w:sz w:val="20"/>
          <w:szCs w:val="20"/>
          <w:color w:val="auto"/>
        </w:rPr>
      </w:pPr>
    </w:p>
    <w:p>
      <w:pPr>
        <w:jc w:val="both"/>
        <w:ind w:firstLine="8"/>
        <w:spacing w:after="0" w:line="266" w:lineRule="auto"/>
        <w:tabs>
          <w:tab w:leader="none" w:pos="2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Wealth Management Solutions was US$7.5 million in the third quarter of 2025, a significant increase from US$0.5 million in the same period of 2024. It was achieved by stronger adoption of wealth management offerings, which were supported by the WFTL Assigned Contracts, as well as increased demand on our diverse investment products and services such as new accumulator/decumulator products launched in the fourth quarter of 2024.</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Execution Solutions grew to US$3.2 million in the third quarter of 2025, compared to US$0.1 million in the same period of 2024. The growth was driven by revenue generated from the WFTL Assigned Contracts, together with higher average fee rate and spread in this quarter.</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Payment Solutions was US$1.2 million in the third quarter of 2025, increased from US$0.1 million for the same period of 2024, mainly contributed by the WFTL Assigned Contracts.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Enterprise Solutions revenue was US$4.4 million in the third quarter of 2025, generated from online marketing, SaaS products and services under iClick’s operations after the Merger.</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third quarter of 2025 reached US$11.8 million, compared to US$0.4 million in the same period of 2024. Gross profit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demonstrated an upward trend to 72.3% in the third quarter of 2025, from 44.7% in the third quarter of 2024. These changes were mainly fueled by the WFTL Assigned Contracts starting from January 1, 2025, as well as accelerated growth of our core Amber Premium business, and higher margin of marketing and enterprise solutions.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US$10.4 million in the third quarter of 2025, increased from US$2.1 million in the third quarter of 2024. The change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the increase of personnel expenses, technology and development expenses, and legal and other professional service fees to support our ongoing business expansion.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US$1.4 million in the third quarter of 2025, achieved a turnaround from US$1.8 million operating loss in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driven by the significant increase in gross profit and strengthened operating leverage.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gains, net </w:t>
      </w:r>
      <w:r>
        <w:rPr>
          <w:rFonts w:ascii="Times New Roman" w:cs="Times New Roman" w:eastAsia="Times New Roman" w:hAnsi="Times New Roman"/>
          <w:sz w:val="18"/>
          <w:szCs w:val="18"/>
          <w:color w:val="auto"/>
        </w:rPr>
        <w:t>was US$0.5 million in the third quarter of 2025, compared to US$0.9 million in the third quarter of 2024. Other gains, net in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were mainly driven by unrealized gain in fair value of digital assets in connection with a related party’s loan, which was subsequently waived prior to the Merger.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from continuing operations </w:t>
      </w:r>
      <w:r>
        <w:rPr>
          <w:rFonts w:ascii="Times New Roman" w:cs="Times New Roman" w:eastAsia="Times New Roman" w:hAnsi="Times New Roman"/>
          <w:sz w:val="18"/>
          <w:szCs w:val="18"/>
          <w:color w:val="auto"/>
        </w:rPr>
        <w:t>was US$2.2 million in the third quarter of 2025, compared to net loss from continuing operations of US$0.8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third quarter of 2024, as a result of the foregoing.</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adjusted net income from continuing operations </w:t>
      </w:r>
      <w:r>
        <w:rPr>
          <w:rFonts w:ascii="Times New Roman" w:cs="Times New Roman" w:eastAsia="Times New Roman" w:hAnsi="Times New Roman"/>
          <w:sz w:val="18"/>
          <w:szCs w:val="18"/>
          <w:color w:val="auto"/>
        </w:rPr>
        <w:t>were US$2.9 million and US$2.7 million, respectively in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compared to adjusted EBITDA, a loss at US$1.8 million and adjusted net loss at US$1.8 million in the third quarter of 2024.</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from discontinued operations </w:t>
      </w:r>
      <w:r>
        <w:rPr>
          <w:rFonts w:ascii="Times New Roman" w:cs="Times New Roman" w:eastAsia="Times New Roman" w:hAnsi="Times New Roman"/>
          <w:sz w:val="18"/>
          <w:szCs w:val="18"/>
          <w:color w:val="auto"/>
        </w:rPr>
        <w:t>was US$1.7 million in the third quarter of 2025, related to the financial results of certain operations under iClick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were held-for-sale as of quarter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Balance Sheet Highlights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cash and cash equivalents, time deposits and restricted cash of US$39.9 million, compared to US$9.3 million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Operating Data</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operating metrics listed below to evaluate our business, measure our performance, identify trends and make strategic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6"/>
                <w:szCs w:val="16"/>
                <w:color w:val="auto"/>
              </w:rPr>
            </w:pPr>
          </w:p>
        </w:tc>
      </w:tr>
      <w:tr>
        <w:trPr>
          <w:trHeight w:val="238"/>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(US$ in thousands, unless specified)</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520" w:type="dxa"/>
            <w:vAlign w:val="bottom"/>
            <w:tcBorders>
              <w:top w:val="single" w:sz="8" w:color="auto"/>
            </w:tcBorders>
            <w:shd w:val="clear" w:color="auto" w:fill="CCEEFF"/>
          </w:tcPr>
          <w:p>
            <w:pPr>
              <w:spacing w:after="0" w:line="250" w:lineRule="exact"/>
              <w:rPr>
                <w:sz w:val="20"/>
                <w:szCs w:val="20"/>
                <w:color w:val="auto"/>
              </w:rPr>
            </w:pPr>
            <w:r>
              <w:rPr>
                <w:rFonts w:ascii="Times New Roman" w:cs="Times New Roman" w:eastAsia="Times New Roman" w:hAnsi="Times New Roman"/>
                <w:sz w:val="17"/>
                <w:szCs w:val="17"/>
                <w:b w:val="1"/>
                <w:bCs w:val="1"/>
                <w:color w:val="auto"/>
              </w:rPr>
              <w:t>Operating Metrics</w:t>
            </w:r>
            <w:r>
              <w:rPr>
                <w:rFonts w:ascii="Times New Roman" w:cs="Times New Roman" w:eastAsia="Times New Roman" w:hAnsi="Times New Roman"/>
                <w:sz w:val="28"/>
                <w:szCs w:val="28"/>
                <w:b w:val="1"/>
                <w:bCs w:val="1"/>
                <w:color w:val="auto"/>
                <w:vertAlign w:val="superscript"/>
              </w:rPr>
              <w:t>6</w:t>
            </w:r>
            <w:r>
              <w:rPr>
                <w:rFonts w:ascii="Times New Roman" w:cs="Times New Roman" w:eastAsia="Times New Roman" w:hAnsi="Times New Roman"/>
                <w:sz w:val="17"/>
                <w:szCs w:val="17"/>
                <w:b w:val="1"/>
                <w:bCs w:val="1"/>
                <w:color w:val="auto"/>
              </w:rPr>
              <w:t>:</w:t>
            </w:r>
          </w:p>
        </w:tc>
        <w:tc>
          <w:tcPr>
            <w:tcW w:w="2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r>
      <w:tr>
        <w:trPr>
          <w:trHeight w:val="216"/>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KYC’ed users (in number)</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5,116</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4,249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w:t>
            </w:r>
          </w:p>
        </w:tc>
      </w:tr>
      <w:tr>
        <w:trPr>
          <w:trHeight w:val="257"/>
        </w:trPr>
        <w:tc>
          <w:tcPr>
            <w:tcW w:w="674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Active clients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(in number)</w:t>
            </w: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935</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assets on platform</w:t>
            </w: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1,842,420</w:t>
            </w: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1,085,267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450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September 30,</w:t>
            </w:r>
          </w:p>
        </w:tc>
      </w:tr>
      <w:tr>
        <w:trPr>
          <w:trHeight w:val="187"/>
        </w:trPr>
        <w:tc>
          <w:tcPr>
            <w:tcW w:w="674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67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w:t>
            </w:r>
          </w:p>
        </w:tc>
        <w:tc>
          <w:tcPr>
            <w:tcW w:w="160" w:type="dxa"/>
            <w:vAlign w:val="bottom"/>
            <w:tcBorders>
              <w:bottom w:val="single" w:sz="8" w:color="CCEEFF"/>
            </w:tcBorders>
          </w:tcPr>
          <w:p>
            <w:pPr>
              <w:spacing w:after="0"/>
              <w:rPr>
                <w:sz w:val="20"/>
                <w:szCs w:val="20"/>
                <w:color w:val="auto"/>
              </w:rPr>
            </w:pPr>
          </w:p>
        </w:tc>
      </w:tr>
      <w:tr>
        <w:trPr>
          <w:trHeight w:val="237"/>
        </w:trPr>
        <w:tc>
          <w:tcPr>
            <w:tcW w:w="67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New onboarded KYC’ed users</w:t>
            </w:r>
            <w:r>
              <w:rPr>
                <w:rFonts w:ascii="Times New Roman" w:cs="Times New Roman" w:eastAsia="Times New Roman" w:hAnsi="Times New Roman"/>
                <w:sz w:val="27"/>
                <w:szCs w:val="27"/>
                <w:color w:val="auto"/>
                <w:vertAlign w:val="superscript"/>
              </w:rPr>
              <w:t>8</w:t>
            </w:r>
            <w:r>
              <w:rPr>
                <w:rFonts w:ascii="Times New Roman" w:cs="Times New Roman" w:eastAsia="Times New Roman" w:hAnsi="Times New Roman"/>
                <w:sz w:val="17"/>
                <w:szCs w:val="17"/>
                <w:color w:val="auto"/>
              </w:rPr>
              <w:t xml:space="preserve"> (in number)</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r>
      <w:tr>
        <w:trPr>
          <w:trHeight w:val="257"/>
        </w:trPr>
        <w:tc>
          <w:tcPr>
            <w:tcW w:w="67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Execution trading volume</w:t>
            </w:r>
            <w:r>
              <w:rPr>
                <w:rFonts w:ascii="Times New Roman" w:cs="Times New Roman" w:eastAsia="Times New Roman" w:hAnsi="Times New Roman"/>
                <w:sz w:val="29"/>
                <w:szCs w:val="29"/>
                <w:color w:val="auto"/>
                <w:vertAlign w:val="superscript"/>
              </w:rPr>
              <w:t>9</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2,686,591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1,973,728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r>
      <w:tr>
        <w:trPr>
          <w:trHeight w:val="270"/>
        </w:trPr>
        <w:tc>
          <w:tcPr>
            <w:tcW w:w="67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Payment trading volume</w:t>
            </w:r>
            <w:r>
              <w:rPr>
                <w:rFonts w:ascii="Times New Roman" w:cs="Times New Roman" w:eastAsia="Times New Roman" w:hAnsi="Times New Roman"/>
                <w:sz w:val="29"/>
                <w:szCs w:val="29"/>
                <w:color w:val="auto"/>
                <w:vertAlign w:val="superscript"/>
              </w:rPr>
              <w:t>10</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439,747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258,788</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information available as of the date of this press release, the Company provides the following revenue outlook of Amber Premium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Year 2025:</w:t>
      </w:r>
    </w:p>
    <w:p>
      <w:pPr>
        <w:spacing w:after="0" w:line="225"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Amber Premium business is estimated to be between US$50.0 million and US$52.5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3" w:lineRule="exact"/>
        <w:rPr>
          <w:sz w:val="20"/>
          <w:szCs w:val="20"/>
          <w:color w:val="auto"/>
        </w:rPr>
      </w:pPr>
    </w:p>
    <w:p>
      <w:pPr>
        <w:jc w:val="both"/>
        <w:ind w:firstLine="8"/>
        <w:spacing w:after="0" w:line="219" w:lineRule="auto"/>
        <w:tabs>
          <w:tab w:leader="none" w:pos="121"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operating metrics presented in this press release include operating data from Sparrow business and the WFTL Assigned Contracts. While the relevant entities were not consolidated subsidiaries of the Company throughout the relevant periods, their operating data have been included on a pro forma basis for illustrative purposes assuming the completion of DWM Asset Restructuring contemplated in the Merger. As of the date of this earnings release, other than the consolidation of Sparrow business following the relevant regulatory approval in April 2025, the DWM Asset Restructuring has not been completed.</w:t>
      </w:r>
    </w:p>
    <w:p>
      <w:pPr>
        <w:spacing w:after="0" w:line="23" w:lineRule="exact"/>
        <w:rPr>
          <w:sz w:val="20"/>
          <w:szCs w:val="20"/>
          <w:color w:val="auto"/>
        </w:rPr>
      </w:pPr>
    </w:p>
    <w:p>
      <w:pPr>
        <w:ind w:firstLine="8"/>
        <w:spacing w:after="0" w:line="195" w:lineRule="auto"/>
        <w:tabs>
          <w:tab w:leader="none" w:pos="137"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An active client is defined as a client who has conducted at least one transaction during any consecutive three months ended as of a specific date, or whose assets under management with the Company greater than US$10 thousand as of a specific date.</w:t>
      </w:r>
    </w:p>
    <w:p>
      <w:pPr>
        <w:spacing w:after="0" w:line="24" w:lineRule="exact"/>
        <w:rPr>
          <w:sz w:val="20"/>
          <w:szCs w:val="20"/>
          <w:color w:val="auto"/>
        </w:rPr>
      </w:pPr>
    </w:p>
    <w:p>
      <w:pPr>
        <w:ind w:firstLine="8"/>
        <w:spacing w:after="0" w:line="195" w:lineRule="auto"/>
        <w:tabs>
          <w:tab w:leader="none" w:pos="125"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New onboarded KYC’ed user is defined as the number of clients that completed the Company’s Know Your Customer onboarding procedures during the period.</w:t>
      </w:r>
    </w:p>
    <w:p>
      <w:pPr>
        <w:spacing w:after="0" w:line="24" w:lineRule="exact"/>
        <w:rPr>
          <w:sz w:val="20"/>
          <w:szCs w:val="20"/>
          <w:color w:val="auto"/>
        </w:rPr>
      </w:pPr>
    </w:p>
    <w:p>
      <w:pPr>
        <w:ind w:firstLine="8"/>
        <w:spacing w:after="0" w:line="195" w:lineRule="auto"/>
        <w:tabs>
          <w:tab w:leader="none" w:pos="124"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Execution trading volume is defined as the total U.S. dollar equivalent value of two-side spot matched trades transacted of crypto assets between a buyer and seller through the Company, and excluding the deposit or withdrawal of crypto assets during the period.</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Payment trading volume is defined as the total U.S. dollar equivalent value of one-side on/off-ramp through the Company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host an earnings conference call at 8:00 AM U.S. Eastern Time on November 26, 2025 (9:00 PM Singapore time on November 26, 2025). Participants are asked to use one of the following teleconferencing numbers to participate in the call and reference the Access ID number 13757293. The Company requests that participants dial in 10 minutes before the conference call begins.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1-844-539-3703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 1-412-652-1273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available via a live webcast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https://viavid.webcasts.com/starthere.jsp?ei=1743886&amp;tp_key=bebae2bd4a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Dial-in Numbers: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 Free: 1-844-512-2921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Toll/International:1-412-317-6671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Pin Number: 13757293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call will be available on Wednesday, November 26, 2025, after 12:00 PM ET through Wednesday, December 10, 2025 at 11:59 PM ET.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earnings release and investor presentation will be available shortly after issuance in the Investor Relations section of Amber International’s website at https://ir.ambr.io.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International Holding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Amber International Holding Limited (Nasdaq: AMBR), operating under the brand name “Amber Premium,” is a global leading digital wealth management platform. As a private banking grade expert in digital wealth management and a subsidiary of Amber Group, Amber Premium is a trusted partner to high-net-worth individuals and leading institutions, delivering institutional-grade market access, execution infrastructure, and investment solutions. The firm is set to redefine the digital wealth management landscape, serving as a proven Nasdaq-listed gateway to digital assets. Learn more at </w:t>
      </w:r>
      <w:r>
        <w:rPr>
          <w:rFonts w:ascii="Times New Roman" w:cs="Times New Roman" w:eastAsia="Times New Roman" w:hAnsi="Times New Roman"/>
          <w:sz w:val="18"/>
          <w:szCs w:val="18"/>
          <w:u w:val="single" w:color="auto"/>
          <w:color w:val="auto"/>
        </w:rPr>
        <w:t>www.ambr.io</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uses adjusted EBITDA from continuing operations, adjusted net income/(loss) from continuing operations, and diluted adjusted net income/(loss) from continuing operations per ADS, each a non-GAAP financial measure, in evaluating the Company’s operating results and for financial and operational decision-making purposes. The Company believes that adjusted EBITDA from continuing operations, adjusted net income/(loss) from continuing operations, and diluted adjusted net income/(loss) from continuing operations per ADS help identify underlying trends in the Company’s business that could otherwise be distorted by the effect of the expenses and gains that the Company includes in net income/(loss). The Company believes that adjusted EBITDA from continuing operations and adjusted net income/(loss) from continuing operations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from continuing operations, adjusted net income/(loss) from continuing operations, and diluted adjusted net income/(loss) from continuing operations per ADS should not be considered in isolation or construed as an alternative to net income/(loss) or any other measure of performance or as an indicator of the Company’s operating performance. Investors are encouraged to review the historical non-GAAP financial measures to the most directly comparable GAAP measures. Adjusted EBITDA from continuing operations, adjusted net income/(loss) from continuing operations, and diluted adjusted net income/(loss) from continuing operations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these non-GAAP financial measures, please see the table captioned “Unaudited Reconciliations of GAAP and Non-GAAP results” set forth at the end of this press release.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non-GAAP financial measures were presented with the most directly comparable GAAP financial measures together for facilitating a more comprehensive understanding of operating performance between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Further information regarding these and other risks is included in the Company’s annual report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Media &amp; Investor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Asia: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 6022 0228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pr@ambr.io | ir@ambr.io | ambr@paradigmconsulting.com.hk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Elite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Annabelle Zhang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 (646) 866-7928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amber@iecapitalusa.com</w:t>
      </w:r>
    </w:p>
    <w:p>
      <w:pPr>
        <w:spacing w:after="0" w:line="207"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 except share data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940" w:type="dxa"/>
            <w:vAlign w:val="bottom"/>
            <w:gridSpan w:val="5"/>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80" w:type="dxa"/>
            <w:vAlign w:val="bottom"/>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92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7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4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189"/>
        </w:trPr>
        <w:tc>
          <w:tcPr>
            <w:tcW w:w="174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Continuing operations</w:t>
            </w:r>
          </w:p>
        </w:tc>
        <w:tc>
          <w:tcPr>
            <w:tcW w:w="3780" w:type="dxa"/>
            <w:vAlign w:val="bottom"/>
            <w:tcBorders>
              <w:bottom w:val="single" w:sz="8" w:color="CCEEFF"/>
            </w:tcBorders>
            <w:gridSpan w:val="2"/>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16,297</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49,752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2,679</w:t>
            </w: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(4,520)</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(12,444)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09"/>
        </w:trPr>
        <w:tc>
          <w:tcPr>
            <w:tcW w:w="5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w:t>
            </w:r>
          </w:p>
        </w:tc>
        <w:tc>
          <w:tcPr>
            <w:tcW w:w="2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tcPr>
          <w:p>
            <w:pPr>
              <w:spacing w:after="0"/>
              <w:rPr>
                <w:sz w:val="18"/>
                <w:szCs w:val="18"/>
                <w:color w:val="auto"/>
              </w:rPr>
            </w:pPr>
          </w:p>
        </w:tc>
      </w:tr>
      <w:tr>
        <w:trPr>
          <w:trHeight w:val="209"/>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(1,643)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(9,611)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(2,636)</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(5,859)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(6,123)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(1,932)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(20,402)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10"/>
        </w:trPr>
        <w:tc>
          <w:tcPr>
            <w:tcW w:w="5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(10,402</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r>
      <w:tr>
        <w:trPr>
          <w:trHeight w:val="178"/>
        </w:trPr>
        <w:tc>
          <w:tcPr>
            <w:tcW w:w="552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Income/(loss) from continuing operations before share of losses from an</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equity investee and income tax credit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2,152</w:t>
            </w:r>
          </w:p>
        </w:tc>
        <w:tc>
          <w:tcPr>
            <w:tcW w:w="4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3,867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(11,174)</w:t>
            </w: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Income/(loss) from continuing operations before income tax credit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18"/>
                <w:szCs w:val="18"/>
                <w:color w:val="auto"/>
              </w:rPr>
            </w:pPr>
          </w:p>
        </w:tc>
      </w:tr>
      <w:tr>
        <w:trPr>
          <w:trHeight w:val="229"/>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from continuing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c>
          <w:tcPr>
            <w:tcW w:w="100" w:type="dxa"/>
            <w:vAlign w:val="bottom"/>
          </w:tcPr>
          <w:p>
            <w:pPr>
              <w:spacing w:after="0"/>
              <w:rPr>
                <w:sz w:val="18"/>
                <w:szCs w:val="18"/>
                <w:color w:val="auto"/>
              </w:rPr>
            </w:pPr>
          </w:p>
        </w:tc>
      </w:tr>
      <w:tr>
        <w:trPr>
          <w:trHeight w:val="230"/>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income/(loss) from continuing operations attributable to the</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2,151</w:t>
            </w:r>
          </w:p>
        </w:tc>
        <w:tc>
          <w:tcPr>
            <w:tcW w:w="4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3,838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r>
      <w:tr>
        <w:trPr>
          <w:trHeight w:val="216"/>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5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7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of discontinued operations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(2,045)</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(2,088)</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from discontinued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1,092</w:t>
            </w: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from discontinued operations attributable to the Company’s</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5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ordinary shareholders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(642)</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(657)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417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(833)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2,061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r>
      <w:tr>
        <w:trPr>
          <w:trHeight w:val="194"/>
        </w:trPr>
        <w:tc>
          <w:tcPr>
            <w:tcW w:w="5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income/(loss) attributable to the Company’s ordinary</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1,509</w:t>
            </w:r>
          </w:p>
        </w:tc>
        <w:tc>
          <w:tcPr>
            <w:tcW w:w="4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3,181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r>
      <w:tr>
        <w:trPr>
          <w:trHeight w:val="216"/>
        </w:trPr>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2,151</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(11,174)</w:t>
            </w:r>
          </w:p>
        </w:tc>
      </w:tr>
      <w:tr>
        <w:trPr>
          <w:trHeight w:val="216"/>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 from continuing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2,265</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from continuing operations attributable to</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5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income/(loss) from continuing operations attributable</w:t>
            </w:r>
          </w:p>
        </w:tc>
        <w:tc>
          <w:tcPr>
            <w:tcW w:w="12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52"/>
        </w:trPr>
        <w:tc>
          <w:tcPr>
            <w:tcW w:w="5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the Company’s ordinary shareholders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2,265</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(833)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3,837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(11,174)</w:t>
            </w:r>
          </w:p>
        </w:tc>
      </w:tr>
      <w:tr>
        <w:trPr>
          <w:trHeight w:val="695"/>
        </w:trPr>
        <w:tc>
          <w:tcPr>
            <w:tcW w:w="1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from discontinued operations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(1,777)</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income/(loss) from discontinued operations 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55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Comprehensive loss from discontinued operations attributable to the</w:t>
            </w:r>
          </w:p>
        </w:tc>
        <w:tc>
          <w:tcPr>
            <w:tcW w:w="12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Company’s ordinary shareholders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(1,725)</w:t>
            </w:r>
          </w:p>
        </w:tc>
        <w:tc>
          <w:tcPr>
            <w:tcW w:w="4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income/(loss) attributable to the Company’s ordinary</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540</w:t>
            </w: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(11,174)</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from continuing operations per ADS attributable to the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ordinary 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93,562,823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84,234,780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93,610,599</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84,269,237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from discontinued operations per ADS attributable to the</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ordinary 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93,562,823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84,234,780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93,562,823</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84,234,780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5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income/(loss) per ADS attributable to the Company’s ordinary</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ADS used in per share calculation:</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93,562,823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84,234,780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93,610,599</w:t>
            </w:r>
          </w:p>
        </w:tc>
        <w:tc>
          <w:tcPr>
            <w:tcW w:w="4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84,269,237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61,966,949</w:t>
            </w:r>
          </w:p>
        </w:tc>
        <w:tc>
          <w:tcPr>
            <w:tcW w:w="80" w:type="dxa"/>
            <w:vAlign w:val="bottom"/>
          </w:tcPr>
          <w:p>
            <w:pPr>
              <w:spacing w:after="0"/>
              <w:rPr>
                <w:sz w:val="19"/>
                <w:szCs w:val="19"/>
                <w:color w:val="auto"/>
              </w:rPr>
            </w:pPr>
          </w:p>
        </w:tc>
      </w:tr>
      <w:tr>
        <w:trPr>
          <w:trHeight w:val="668"/>
        </w:trPr>
        <w:tc>
          <w:tcPr>
            <w:tcW w:w="552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80" w:type="dxa"/>
            <w:vAlign w:val="bottom"/>
          </w:tcPr>
          <w:p>
            <w:pPr>
              <w:spacing w:after="0"/>
              <w:rPr>
                <w:sz w:val="20"/>
                <w:szCs w:val="20"/>
                <w:color w:val="auto"/>
              </w:rPr>
            </w:pP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time deposits and restricted cash</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39,923</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9,326</w:t>
            </w:r>
          </w:p>
        </w:tc>
        <w:tc>
          <w:tcPr>
            <w:tcW w:w="80" w:type="dxa"/>
            <w:vAlign w:val="bottom"/>
            <w:shd w:val="clear" w:color="auto" w:fill="CCEEFF"/>
          </w:tcPr>
          <w:p>
            <w:pPr>
              <w:spacing w:after="0"/>
              <w:rPr>
                <w:sz w:val="18"/>
                <w:szCs w:val="18"/>
                <w:color w:val="auto"/>
              </w:rPr>
            </w:pPr>
          </w:p>
        </w:tc>
      </w:tr>
      <w:tr>
        <w:trPr>
          <w:trHeight w:val="198"/>
        </w:trPr>
        <w:tc>
          <w:tcPr>
            <w:tcW w:w="6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US$1,884 and US$nil as of</w:t>
            </w: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16,461</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contracts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90,479</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69,934</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35,762</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4,832</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24,915</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11,533</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Collateral receivables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19,623</w:t>
            </w: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14,414</w:t>
            </w:r>
          </w:p>
        </w:tc>
      </w:tr>
      <w:tr>
        <w:trPr>
          <w:trHeight w:val="198"/>
        </w:trPr>
        <w:tc>
          <w:tcPr>
            <w:tcW w:w="6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current assets, net of allowance for credit losses of US$nil and US$nil as of</w:t>
            </w:r>
          </w:p>
        </w:tc>
        <w:tc>
          <w:tcPr>
            <w:tcW w:w="2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19,756</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shd w:val="clear" w:color="auto" w:fill="CCEEFF"/>
          </w:tcPr>
          <w:p>
            <w:pPr>
              <w:spacing w:after="0"/>
              <w:rPr>
                <w:sz w:val="20"/>
                <w:szCs w:val="20"/>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6,565</w:t>
            </w: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253,484</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65,922</w:t>
            </w: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16,735</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3,051</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w:t>
            </w: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72,276</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6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325,760</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129,834</w:t>
            </w:r>
          </w:p>
        </w:tc>
        <w:tc>
          <w:tcPr>
            <w:tcW w:w="80" w:type="dxa"/>
            <w:vAlign w:val="bottom"/>
            <w:shd w:val="clear" w:color="auto" w:fill="CCEEFF"/>
          </w:tcPr>
          <w:p>
            <w:pPr>
              <w:spacing w:after="0"/>
              <w:rPr>
                <w:sz w:val="22"/>
                <w:szCs w:val="22"/>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6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3,648</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Collateral payables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29,254</w:t>
            </w:r>
          </w:p>
        </w:tc>
        <w:tc>
          <w:tcPr>
            <w:tcW w:w="2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14,414</w:t>
            </w: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due to customers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111,446</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71,523</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Payable to related parties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30,002</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9,980</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18,052</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2,884</w:t>
            </w: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8,339</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200,743</w:t>
            </w:r>
          </w:p>
        </w:tc>
        <w:tc>
          <w:tcPr>
            <w:tcW w:w="22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99,564</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6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09"/>
        </w:trPr>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Borders>
              <w:bottom w:val="single" w:sz="8" w:color="CCEEFF"/>
            </w:tcBorders>
          </w:tcPr>
          <w:p>
            <w:pPr>
              <w:spacing w:after="0"/>
              <w:rPr>
                <w:sz w:val="18"/>
                <w:szCs w:val="18"/>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6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9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201,708</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100,049</w:t>
            </w:r>
          </w:p>
        </w:tc>
        <w:tc>
          <w:tcPr>
            <w:tcW w:w="80" w:type="dxa"/>
            <w:vAlign w:val="bottom"/>
          </w:tcPr>
          <w:p>
            <w:pPr>
              <w:spacing w:after="0"/>
              <w:rPr>
                <w:sz w:val="24"/>
                <w:szCs w:val="24"/>
                <w:color w:val="auto"/>
              </w:rPr>
            </w:pPr>
          </w:p>
        </w:tc>
      </w:tr>
      <w:tr>
        <w:trPr>
          <w:trHeight w:val="196"/>
        </w:trPr>
        <w:tc>
          <w:tcPr>
            <w:tcW w:w="688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79,714</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2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(33,709)</w:t>
            </w:r>
          </w:p>
        </w:tc>
        <w:tc>
          <w:tcPr>
            <w:tcW w:w="2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(36,890)</w:t>
            </w: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79,151</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53,175</w:t>
            </w: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attributable to equity holders of the Company</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125,156</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00" w:type="dxa"/>
            <w:vAlign w:val="bottom"/>
            <w:gridSpan w:val="2"/>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(1,104)</w:t>
            </w:r>
          </w:p>
        </w:tc>
        <w:tc>
          <w:tcPr>
            <w:tcW w:w="21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124,052</w:t>
            </w:r>
          </w:p>
        </w:tc>
        <w:tc>
          <w:tcPr>
            <w:tcW w:w="220" w:type="dxa"/>
            <w:vAlign w:val="bottom"/>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29,785</w:t>
            </w:r>
          </w:p>
        </w:tc>
        <w:tc>
          <w:tcPr>
            <w:tcW w:w="100" w:type="dxa"/>
            <w:vAlign w:val="bottom"/>
            <w:gridSpan w:val="2"/>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325,760</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129,834</w:t>
            </w:r>
          </w:p>
        </w:tc>
        <w:tc>
          <w:tcPr>
            <w:tcW w:w="80" w:type="dxa"/>
            <w:vAlign w:val="bottom"/>
          </w:tcPr>
          <w:p>
            <w:pPr>
              <w:spacing w:after="0"/>
              <w:rPr>
                <w:sz w:val="22"/>
                <w:szCs w:val="22"/>
                <w:color w:val="auto"/>
              </w:rPr>
            </w:pPr>
          </w:p>
        </w:tc>
      </w:tr>
      <w:tr>
        <w:trPr>
          <w:trHeight w:val="20"/>
        </w:trPr>
        <w:tc>
          <w:tcPr>
            <w:tcW w:w="688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AMBER INTERNATIONAL HOLDING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Reconciliations of GAAP and Non-GAAP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(US$’000, except share data and per share data, or otherwise noted)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from continuing operations represents net income/(loss) from continuing operations before (i) depreciation and amortization, (ii) finance income, net, (iii) income tax credit, (iv) share-based compensation, (v) other losses/(gains), net, (vi) unrealized (gain)/loss in fair value of digital assets, and (vii) cost related to merger.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EBITDA from continuing operations from net income/(loss) from continuing operations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4"/>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EBITDA from continuing operations</w:t>
            </w: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Add/(less):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(gain)/loss in fair value of digital assets</w:t>
            </w:r>
          </w:p>
        </w:tc>
        <w:tc>
          <w:tcPr>
            <w:tcW w:w="11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80" w:type="dxa"/>
            <w:vAlign w:val="bottom"/>
          </w:tcPr>
          <w:p>
            <w:pPr>
              <w:spacing w:after="0"/>
              <w:rPr>
                <w:sz w:val="18"/>
                <w:szCs w:val="18"/>
                <w:color w:val="auto"/>
              </w:rPr>
            </w:pPr>
          </w:p>
        </w:tc>
      </w:tr>
      <w:tr>
        <w:trPr>
          <w:trHeight w:val="270"/>
        </w:trPr>
        <w:tc>
          <w:tcPr>
            <w:tcW w:w="634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11</w:t>
            </w:r>
          </w:p>
        </w:tc>
        <w:tc>
          <w:tcPr>
            <w:tcW w:w="11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 represents net income/(loss) from continuing operations before (i) share-based compensation,</w:t>
      </w:r>
    </w:p>
    <w:p>
      <w:pPr>
        <w:spacing w:after="0" w:line="27" w:lineRule="exact"/>
        <w:rPr>
          <w:sz w:val="20"/>
          <w:szCs w:val="20"/>
          <w:color w:val="auto"/>
        </w:rPr>
      </w:pPr>
    </w:p>
    <w:p>
      <w:pPr>
        <w:ind w:firstLine="8"/>
        <w:spacing w:after="0" w:line="260"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losses/(gains), net, (iii) unrealized (gain)/loss in fair value of digital assets, and (iv) cost related to merger. There is no material tax effects on these non-GAAP adjustments.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sets forth a reconciliation of the Company’s adjusted net income/(loss) from continuing operations from net income/(loss) from continuing operations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6"/>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Add/(less):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(gain)/loss in fair value of digital assets</w:t>
            </w:r>
          </w:p>
        </w:tc>
        <w:tc>
          <w:tcPr>
            <w:tcW w:w="11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7,456</w:t>
            </w:r>
          </w:p>
        </w:tc>
      </w:tr>
      <w:tr>
        <w:trPr>
          <w:trHeight w:val="270"/>
        </w:trPr>
        <w:tc>
          <w:tcPr>
            <w:tcW w:w="634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Cost related to merger</w:t>
            </w:r>
            <w:r>
              <w:rPr>
                <w:rFonts w:ascii="Times New Roman" w:cs="Times New Roman" w:eastAsia="Times New Roman" w:hAnsi="Times New Roman"/>
                <w:sz w:val="29"/>
                <w:szCs w:val="29"/>
                <w:color w:val="auto"/>
                <w:vertAlign w:val="superscript"/>
              </w:rPr>
              <w:t>11</w:t>
            </w:r>
          </w:p>
        </w:tc>
        <w:tc>
          <w:tcPr>
            <w:tcW w:w="11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Cost related to the merger relates to legal and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diluted adjusted net income /(loss) from continuing operations per ADS for the periods indicated are calculated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940" w:type="dxa"/>
            <w:vAlign w:val="bottom"/>
            <w:gridSpan w:val="5"/>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4"/>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 from continuing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4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7,370</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income/(loss) from continuing operations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net income/(loss) from continuing operations per</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ADS – Weighted average ADS outstanding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93,610,599</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84,269,237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61,966,949</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diluted adjusted net income/(loss) from continuing</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per ADS – Weighted average ADS outstanding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93,610,599</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61,966,949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84,269,237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61,966,949</w:t>
            </w: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income/(loss) from continuing operations per ADS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0.02</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 Non-GAAP adjustments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0.12</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income/(loss) from continuing operations per ADS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6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6"/>
      <w:numFmt w:val="bullet"/>
      <w:start w:val="1"/>
    </w:lvl>
  </w:abstractNum>
  <w:abstractNum w:abstractNumId="8">
    <w:nsid w:val="216231B"/>
    <w:multiLevelType w:val="hybridMultilevel"/>
    <w:lvl w:ilvl="0">
      <w:lvlJc w:val="left"/>
      <w:lvlText w:val="7"/>
      <w:numFmt w:val="bullet"/>
      <w:start w:val="1"/>
    </w:lvl>
  </w:abstractNum>
  <w:abstractNum w:abstractNumId="9">
    <w:nsid w:val="1F16E9E8"/>
    <w:multiLevelType w:val="hybridMultilevel"/>
    <w:lvl w:ilvl="0">
      <w:lvlJc w:val="left"/>
      <w:lvlText w:val="8"/>
      <w:numFmt w:val="bullet"/>
      <w:start w:val="1"/>
    </w:lvl>
  </w:abstractNum>
  <w:abstractNum w:abstractNumId="10">
    <w:nsid w:val="1190CDE7"/>
    <w:multiLevelType w:val="hybridMultilevel"/>
    <w:lvl w:ilvl="0">
      <w:lvlJc w:val="left"/>
      <w:lvlText w:val="9"/>
      <w:numFmt w:val="bullet"/>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2025-11-26T06:48:31Z</dcterms:created>
  <dcterms:modified xsi:type="dcterms:W3CDTF">2025-11-26T06:48:31Z</dcterms:modified>
</cp:coreProperties>
</file>