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November 2021</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159385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29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940" w:type="dxa"/>
            <w:vAlign w:val="bottom"/>
            <w:tcBorders>
              <w:top w:val="single" w:sz="8" w:color="auto"/>
              <w:bottom w:val="single" w:sz="8" w:color="0000EE"/>
            </w:tcBorders>
          </w:tcPr>
          <w:p>
            <w:pPr>
              <w:ind w:left="20"/>
              <w:spacing w:after="0"/>
              <w:rPr>
                <w:rFonts w:ascii="Arial" w:cs="Arial" w:eastAsia="Arial" w:hAnsi="Arial"/>
                <w:sz w:val="18"/>
                <w:szCs w:val="18"/>
                <w:color w:val="0000EE"/>
                <w:w w:val="81"/>
              </w:rPr>
            </w:pPr>
            <w:hyperlink w:anchor="page4">
              <w:r>
                <w:rPr>
                  <w:rFonts w:ascii="Arial" w:cs="Arial" w:eastAsia="Arial" w:hAnsi="Arial"/>
                  <w:sz w:val="18"/>
                  <w:szCs w:val="18"/>
                  <w:color w:val="0000EE"/>
                  <w:w w:val="81"/>
                </w:rPr>
                <w:t>Press release</w:t>
              </w:r>
            </w:hyperlink>
          </w:p>
        </w:tc>
        <w:tc>
          <w:tcPr>
            <w:tcW w:w="906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107950</wp:posOffset>
            </wp:positionV>
            <wp:extent cx="1534160"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16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27"/>
          <w:szCs w:val="27"/>
          <w:b w:val="1"/>
          <w:bCs w:val="1"/>
          <w:color w:val="auto"/>
        </w:rPr>
        <w:t>iClick Interactive Asia Group Limited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Reports 2021 Third-Quarter Unaudited Financial Results</w:t>
      </w:r>
    </w:p>
    <w:p>
      <w:pPr>
        <w:spacing w:after="0" w:line="224" w:lineRule="exact"/>
        <w:rPr>
          <w:sz w:val="20"/>
          <w:szCs w:val="20"/>
          <w:color w:val="auto"/>
        </w:rPr>
      </w:pPr>
    </w:p>
    <w:p>
      <w:pPr>
        <w:ind w:left="2660" w:right="2520" w:hanging="81"/>
        <w:spacing w:after="0" w:line="316" w:lineRule="auto"/>
        <w:rPr>
          <w:sz w:val="20"/>
          <w:szCs w:val="20"/>
          <w:color w:val="auto"/>
        </w:rPr>
      </w:pPr>
      <w:r>
        <w:rPr>
          <w:rFonts w:ascii="Arial" w:cs="Arial" w:eastAsia="Arial" w:hAnsi="Arial"/>
          <w:sz w:val="18"/>
          <w:szCs w:val="18"/>
          <w:i w:val="1"/>
          <w:iCs w:val="1"/>
          <w:color w:val="auto"/>
        </w:rPr>
        <w:t>- Enterprise Solutions achieves eighth consecutive quarter of record results - - Marketing Solutions revenue grows 11% year-over-year to US$67 million -</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Hong Kong, November 30, 2021 </w:t>
      </w:r>
      <w:r>
        <w:rPr>
          <w:rFonts w:ascii="Arial" w:cs="Arial" w:eastAsia="Arial" w:hAnsi="Arial"/>
          <w:sz w:val="20"/>
          <w:szCs w:val="20"/>
          <w:color w:val="auto"/>
        </w:rPr>
        <w:t>-- iClick Interactive Asia Group Limited (“iClick” or the “Company”) (Nasdaq: ICLK),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enterprise and marketing cloud platform in China that empowers worldwide brands with full-stack consumer lifecycle solutions, today announced unaudited financial results for the third quarter ended September 30, 2021.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360" w:type="dxa"/>
            <w:vAlign w:val="bottom"/>
            <w:tcBorders>
              <w:bottom w:val="single" w:sz="8" w:color="auto"/>
            </w:tcBorders>
            <w:gridSpan w:val="4"/>
          </w:tcPr>
          <w:p>
            <w:pPr>
              <w:ind w:left="1080"/>
              <w:spacing w:after="0"/>
              <w:rPr>
                <w:sz w:val="20"/>
                <w:szCs w:val="20"/>
                <w:color w:val="auto"/>
              </w:rPr>
            </w:pPr>
            <w:r>
              <w:rPr>
                <w:rFonts w:ascii="Arial" w:cs="Arial" w:eastAsia="Arial" w:hAnsi="Arial"/>
                <w:sz w:val="14"/>
                <w:szCs w:val="14"/>
                <w:b w:val="1"/>
                <w:bCs w:val="1"/>
                <w:color w:val="auto"/>
                <w:w w:val="94"/>
              </w:rPr>
              <w:t>Three Months Ended September 30,</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60" w:type="dxa"/>
            <w:vAlign w:val="bottom"/>
          </w:tcPr>
          <w:p>
            <w:pPr>
              <w:spacing w:after="0"/>
              <w:rPr>
                <w:sz w:val="11"/>
                <w:szCs w:val="11"/>
                <w:color w:val="auto"/>
              </w:rPr>
            </w:pPr>
          </w:p>
        </w:tc>
        <w:tc>
          <w:tcPr>
            <w:tcW w:w="2020" w:type="dxa"/>
            <w:vAlign w:val="bottom"/>
            <w:vMerge w:val="restart"/>
          </w:tcPr>
          <w:p>
            <w:pPr>
              <w:jc w:val="right"/>
              <w:ind w:right="1156"/>
              <w:spacing w:after="0"/>
              <w:rPr>
                <w:sz w:val="20"/>
                <w:szCs w:val="20"/>
                <w:color w:val="auto"/>
              </w:rPr>
            </w:pPr>
            <w:r>
              <w:rPr>
                <w:rFonts w:ascii="Arial" w:cs="Arial" w:eastAsia="Arial" w:hAnsi="Arial"/>
                <w:sz w:val="14"/>
                <w:szCs w:val="14"/>
                <w:b w:val="1"/>
                <w:bCs w:val="1"/>
                <w:color w:val="auto"/>
              </w:rPr>
              <w:t>2021</w:t>
            </w:r>
          </w:p>
        </w:tc>
        <w:tc>
          <w:tcPr>
            <w:tcW w:w="8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233"/>
              <w:spacing w:after="0" w:line="133" w:lineRule="exact"/>
              <w:rPr>
                <w:sz w:val="20"/>
                <w:szCs w:val="20"/>
                <w:color w:val="auto"/>
              </w:rPr>
            </w:pPr>
            <w:r>
              <w:rPr>
                <w:rFonts w:ascii="Arial" w:cs="Arial" w:eastAsia="Arial" w:hAnsi="Arial"/>
                <w:sz w:val="14"/>
                <w:szCs w:val="14"/>
                <w:b w:val="1"/>
                <w:bCs w:val="1"/>
                <w:color w:val="auto"/>
                <w:w w:val="92"/>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6460" w:type="dxa"/>
            <w:vAlign w:val="bottom"/>
          </w:tcPr>
          <w:p>
            <w:pPr>
              <w:spacing w:after="0"/>
              <w:rPr>
                <w:sz w:val="13"/>
                <w:szCs w:val="13"/>
                <w:color w:val="auto"/>
              </w:rPr>
            </w:pPr>
          </w:p>
        </w:tc>
        <w:tc>
          <w:tcPr>
            <w:tcW w:w="20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i w:val="1"/>
                <w:iCs w:val="1"/>
                <w:color w:val="auto"/>
              </w:rPr>
              <w:t>(US$ in thousands)</w:t>
            </w:r>
          </w:p>
        </w:tc>
        <w:tc>
          <w:tcPr>
            <w:tcW w:w="8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Financial Metrics:</w:t>
            </w:r>
          </w:p>
        </w:tc>
        <w:tc>
          <w:tcPr>
            <w:tcW w:w="2020" w:type="dxa"/>
            <w:vAlign w:val="bottom"/>
          </w:tcPr>
          <w:p>
            <w:pPr>
              <w:jc w:val="right"/>
              <w:ind w:right="156"/>
              <w:spacing w:after="0"/>
              <w:rPr>
                <w:sz w:val="20"/>
                <w:szCs w:val="20"/>
                <w:color w:val="auto"/>
              </w:rPr>
            </w:pPr>
            <w:r>
              <w:rPr>
                <w:rFonts w:ascii="Arial" w:cs="Arial" w:eastAsia="Arial" w:hAnsi="Arial"/>
                <w:sz w:val="14"/>
                <w:szCs w:val="14"/>
                <w:i w:val="1"/>
                <w:iCs w:val="1"/>
                <w:color w:val="auto"/>
              </w:rPr>
              <w:t>(Unaudited)</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4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Revenue</w:t>
            </w:r>
          </w:p>
        </w:tc>
        <w:tc>
          <w:tcPr>
            <w:tcW w:w="2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Marketing Solutions</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66,556</w:t>
            </w:r>
          </w:p>
        </w:tc>
        <w:tc>
          <w:tcPr>
            <w:tcW w:w="820" w:type="dxa"/>
            <w:vAlign w:val="bottom"/>
          </w:tcPr>
          <w:p>
            <w:pPr>
              <w:jc w:val="right"/>
              <w:spacing w:after="0"/>
              <w:rPr>
                <w:sz w:val="20"/>
                <w:szCs w:val="20"/>
                <w:color w:val="auto"/>
              </w:rPr>
            </w:pPr>
            <w:r>
              <w:rPr>
                <w:rFonts w:ascii="Arial" w:cs="Arial" w:eastAsia="Arial" w:hAnsi="Arial"/>
                <w:sz w:val="18"/>
                <w:szCs w:val="18"/>
                <w:color w:val="auto"/>
              </w:rPr>
              <w:t>60,124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Enterprise Solutions</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20,261</w:t>
            </w:r>
          </w:p>
        </w:tc>
        <w:tc>
          <w:tcPr>
            <w:tcW w:w="820" w:type="dxa"/>
            <w:vAlign w:val="bottom"/>
          </w:tcPr>
          <w:p>
            <w:pPr>
              <w:jc w:val="right"/>
              <w:spacing w:after="0"/>
              <w:rPr>
                <w:sz w:val="20"/>
                <w:szCs w:val="20"/>
                <w:color w:val="auto"/>
              </w:rPr>
            </w:pPr>
            <w:r>
              <w:rPr>
                <w:rFonts w:ascii="Arial" w:cs="Arial" w:eastAsia="Arial" w:hAnsi="Arial"/>
                <w:sz w:val="18"/>
                <w:szCs w:val="18"/>
                <w:color w:val="auto"/>
              </w:rPr>
              <w:t>8,781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Total revenue</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86,817</w:t>
            </w:r>
          </w:p>
        </w:tc>
        <w:tc>
          <w:tcPr>
            <w:tcW w:w="820" w:type="dxa"/>
            <w:vAlign w:val="bottom"/>
          </w:tcPr>
          <w:p>
            <w:pPr>
              <w:jc w:val="right"/>
              <w:spacing w:after="0"/>
              <w:rPr>
                <w:sz w:val="20"/>
                <w:szCs w:val="20"/>
                <w:color w:val="auto"/>
              </w:rPr>
            </w:pPr>
            <w:r>
              <w:rPr>
                <w:rFonts w:ascii="Arial" w:cs="Arial" w:eastAsia="Arial" w:hAnsi="Arial"/>
                <w:sz w:val="18"/>
                <w:szCs w:val="18"/>
                <w:color w:val="auto"/>
              </w:rPr>
              <w:t>68,905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Gross profit</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21,718</w:t>
            </w:r>
          </w:p>
        </w:tc>
        <w:tc>
          <w:tcPr>
            <w:tcW w:w="820" w:type="dxa"/>
            <w:vAlign w:val="bottom"/>
          </w:tcPr>
          <w:p>
            <w:pPr>
              <w:jc w:val="right"/>
              <w:spacing w:after="0"/>
              <w:rPr>
                <w:sz w:val="20"/>
                <w:szCs w:val="20"/>
                <w:color w:val="auto"/>
              </w:rPr>
            </w:pPr>
            <w:r>
              <w:rPr>
                <w:rFonts w:ascii="Arial" w:cs="Arial" w:eastAsia="Arial" w:hAnsi="Arial"/>
                <w:sz w:val="18"/>
                <w:szCs w:val="18"/>
                <w:color w:val="auto"/>
              </w:rPr>
              <w:t>20,121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Net loss</w:t>
            </w:r>
          </w:p>
        </w:tc>
        <w:tc>
          <w:tcPr>
            <w:tcW w:w="2020" w:type="dxa"/>
            <w:vAlign w:val="bottom"/>
          </w:tcPr>
          <w:p>
            <w:pPr>
              <w:jc w:val="right"/>
              <w:ind w:right="576"/>
              <w:spacing w:after="0"/>
              <w:rPr>
                <w:sz w:val="20"/>
                <w:szCs w:val="20"/>
                <w:color w:val="auto"/>
              </w:rPr>
            </w:pPr>
            <w:r>
              <w:rPr>
                <w:rFonts w:ascii="Arial" w:cs="Arial" w:eastAsia="Arial" w:hAnsi="Arial"/>
                <w:sz w:val="18"/>
                <w:szCs w:val="18"/>
                <w:color w:val="auto"/>
              </w:rPr>
              <w:t>(2,632)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(7,097)</w:t>
            </w: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3,580</w:t>
            </w:r>
          </w:p>
        </w:tc>
        <w:tc>
          <w:tcPr>
            <w:tcW w:w="820" w:type="dxa"/>
            <w:vAlign w:val="bottom"/>
          </w:tcPr>
          <w:p>
            <w:pPr>
              <w:jc w:val="right"/>
              <w:spacing w:after="0"/>
              <w:rPr>
                <w:sz w:val="20"/>
                <w:szCs w:val="20"/>
                <w:color w:val="auto"/>
              </w:rPr>
            </w:pPr>
            <w:r>
              <w:rPr>
                <w:rFonts w:ascii="Arial" w:cs="Arial" w:eastAsia="Arial" w:hAnsi="Arial"/>
                <w:sz w:val="18"/>
                <w:szCs w:val="18"/>
                <w:color w:val="auto"/>
              </w:rPr>
              <w:t>4,701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1</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827</w:t>
            </w:r>
          </w:p>
        </w:tc>
        <w:tc>
          <w:tcPr>
            <w:tcW w:w="820" w:type="dxa"/>
            <w:vAlign w:val="bottom"/>
          </w:tcPr>
          <w:p>
            <w:pPr>
              <w:jc w:val="right"/>
              <w:spacing w:after="0"/>
              <w:rPr>
                <w:sz w:val="20"/>
                <w:szCs w:val="20"/>
                <w:color w:val="auto"/>
              </w:rPr>
            </w:pPr>
            <w:r>
              <w:rPr>
                <w:rFonts w:ascii="Arial" w:cs="Arial" w:eastAsia="Arial" w:hAnsi="Arial"/>
                <w:sz w:val="18"/>
                <w:szCs w:val="18"/>
                <w:color w:val="auto"/>
              </w:rPr>
              <w:t>2,424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5"/>
        </w:trPr>
        <w:tc>
          <w:tcPr>
            <w:tcW w:w="6460" w:type="dxa"/>
            <w:vAlign w:val="bottom"/>
          </w:tcPr>
          <w:p>
            <w:pPr>
              <w:spacing w:after="0"/>
              <w:rPr>
                <w:sz w:val="20"/>
                <w:szCs w:val="20"/>
                <w:color w:val="auto"/>
              </w:rPr>
            </w:pPr>
            <w:r>
              <w:rPr>
                <w:rFonts w:ascii="Arial" w:cs="Arial" w:eastAsia="Arial" w:hAnsi="Arial"/>
                <w:sz w:val="18"/>
                <w:szCs w:val="18"/>
                <w:color w:val="auto"/>
              </w:rPr>
              <w:t>Diluted adjusted net income per American Depositary Shares (“ADS”)</w:t>
            </w:r>
            <w:r>
              <w:rPr>
                <w:rFonts w:ascii="Arial" w:cs="Arial" w:eastAsia="Arial" w:hAnsi="Arial"/>
                <w:sz w:val="15"/>
                <w:szCs w:val="15"/>
                <w:color w:val="auto"/>
              </w:rPr>
              <w:t>1</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0.01</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3"/>
        </w:trPr>
        <w:tc>
          <w:tcPr>
            <w:tcW w:w="6460" w:type="dxa"/>
            <w:vAlign w:val="bottom"/>
          </w:tcPr>
          <w:p>
            <w:pPr>
              <w:spacing w:after="0"/>
              <w:rPr>
                <w:sz w:val="20"/>
                <w:szCs w:val="20"/>
                <w:color w:val="auto"/>
              </w:rPr>
            </w:pPr>
            <w:r>
              <w:rPr>
                <w:rFonts w:ascii="Arial" w:cs="Arial" w:eastAsia="Arial" w:hAnsi="Arial"/>
                <w:sz w:val="18"/>
                <w:szCs w:val="18"/>
                <w:b w:val="1"/>
                <w:bCs w:val="1"/>
                <w:color w:val="auto"/>
              </w:rPr>
              <w:t>Operating Metrics:</w:t>
            </w:r>
          </w:p>
        </w:tc>
        <w:tc>
          <w:tcPr>
            <w:tcW w:w="2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Gross billing</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195,405</w:t>
            </w:r>
          </w:p>
        </w:tc>
        <w:tc>
          <w:tcPr>
            <w:tcW w:w="820" w:type="dxa"/>
            <w:vAlign w:val="bottom"/>
          </w:tcPr>
          <w:p>
            <w:pPr>
              <w:jc w:val="right"/>
              <w:spacing w:after="0"/>
              <w:rPr>
                <w:sz w:val="20"/>
                <w:szCs w:val="20"/>
                <w:color w:val="auto"/>
              </w:rPr>
            </w:pPr>
            <w:r>
              <w:rPr>
                <w:rFonts w:ascii="Arial" w:cs="Arial" w:eastAsia="Arial" w:hAnsi="Arial"/>
                <w:sz w:val="18"/>
                <w:szCs w:val="18"/>
                <w:color w:val="auto"/>
              </w:rPr>
              <w:t>167,084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Jian “T.J.” Tang, Chairman, Chief Executive Officer and Co-Founder of iClick, said, “iClick achieved the eighth consecutive quarter of record revenues in our Enterprise Solutions business, which grew 131% year-over-year to US$20 million as demand for private domain traffic and online and offline integrations remained robust. Marketing Solutions revenues grew 11% year-over-year to US$67 million, a deceleration from the growth in prior quarters due to the weak advertising environment.</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“While China’s entire advertising sector was adversely affected by the changing regulatory environment and heightened macroeconomic uncertainties, we remain confident in the long-term growth of China’s digital advertising industry. In response to current challenges, during the quarter we adopted a strategy to balance sales growth and profitability in order to maximize long-term client retention. With a strong and diverse clients portfolio, we believe we are well positioned to capture the growth opportunities when the market recovers.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2040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1"/>
          <w:szCs w:val="11"/>
          <w:color w:val="auto"/>
        </w:rPr>
      </w:pPr>
      <w:r>
        <w:rPr>
          <w:rFonts w:ascii="Arial" w:cs="Arial" w:eastAsia="Arial" w:hAnsi="Arial"/>
          <w:sz w:val="13"/>
          <w:szCs w:val="13"/>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73" w:lineRule="auto"/>
        <w:rPr>
          <w:sz w:val="20"/>
          <w:szCs w:val="20"/>
          <w:color w:val="auto"/>
        </w:rPr>
      </w:pPr>
      <w:r>
        <w:rPr>
          <w:rFonts w:ascii="Arial" w:cs="Arial" w:eastAsia="Arial" w:hAnsi="Arial"/>
          <w:sz w:val="18"/>
          <w:szCs w:val="18"/>
          <w:color w:val="auto"/>
        </w:rPr>
        <w:t>“By contrast, the demand for private domain traffic remains strong and we are capitalizing on this trend through continued investment in our Enterprise Solutions business. Our strong industry solutions, combined with our growing and a loyal client base, are driving strong revenue growth while offsetting volatility in the advertising environment among our brand clients. We will continue to invest in sales and marketing and research and development to support our focus on developing innovative products and further expanding our market share within key accounts clients. For example, we leveraged iSmartGo, our cross-border e-commerce solution, to empower a number of new and existing global brand clients to tap into the increased demand in China for international products driven by the pandemic related travel restrictions. We will also devote more resources to developing “SaaS +X”, our enhanced SaaS model, which we believe will prevail over pure SaaS solutions currently available in China given additional services and operational support.</w:t>
      </w:r>
    </w:p>
    <w:p>
      <w:pPr>
        <w:spacing w:after="0" w:line="10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summary, we are encouraged by the continued outstanding growth in our Enterprise Solutions and will remain vigilant in preserving our market share in Marketing Solutions. With our clear strategies and solid execution capabilities, we are confident that iClick is well positioned to navigate the current challenging environment and deliver long-term sustainable value for our clients, employees and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2021 Results: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the third quarter of 2021 grew to US$86.8 million, up 26% from US$68.9 million for the same period of the prior year,</w:t>
      </w:r>
      <w:r>
        <w:rPr>
          <w:rFonts w:ascii="Arial" w:cs="Arial" w:eastAsia="Arial" w:hAnsi="Arial"/>
          <w:sz w:val="20"/>
          <w:szCs w:val="20"/>
          <w:b w:val="1"/>
          <w:bCs w:val="1"/>
          <w:color w:val="auto"/>
        </w:rPr>
        <w:t xml:space="preserve"> </w:t>
      </w:r>
      <w:r>
        <w:rPr>
          <w:rFonts w:ascii="Arial" w:cs="Arial" w:eastAsia="Arial" w:hAnsi="Arial"/>
          <w:sz w:val="20"/>
          <w:szCs w:val="20"/>
          <w:color w:val="auto"/>
        </w:rPr>
        <w:t>attributable to the increase in contributions from Marketing Solutions and Enterprise Solutions.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grew to US$66.6 million for the third quarter of 2021, up 11% from US$60.1 million for the third quarter</w:t>
      </w:r>
      <w:r>
        <w:rPr>
          <w:rFonts w:ascii="Arial" w:cs="Arial" w:eastAsia="Arial" w:hAnsi="Arial"/>
          <w:sz w:val="20"/>
          <w:szCs w:val="20"/>
          <w:i w:val="1"/>
          <w:iCs w:val="1"/>
          <w:color w:val="auto"/>
        </w:rPr>
        <w:t xml:space="preserve"> </w:t>
      </w:r>
      <w:r>
        <w:rPr>
          <w:rFonts w:ascii="Arial" w:cs="Arial" w:eastAsia="Arial" w:hAnsi="Arial"/>
          <w:sz w:val="20"/>
          <w:szCs w:val="20"/>
          <w:color w:val="auto"/>
        </w:rPr>
        <w:t>of 2020, primarily as a result of growing market demand from specified action marketing campaigns.</w:t>
      </w:r>
    </w:p>
    <w:p>
      <w:pPr>
        <w:spacing w:after="0" w:line="20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Revenue from Enterprise Solutions </w:t>
      </w:r>
      <w:r>
        <w:rPr>
          <w:rFonts w:ascii="Arial" w:cs="Arial" w:eastAsia="Arial" w:hAnsi="Arial"/>
          <w:sz w:val="18"/>
          <w:szCs w:val="18"/>
          <w:color w:val="auto"/>
        </w:rPr>
        <w:t>was US$20.3 million for the third quarter of 2021, up 131% from US$8.8 million for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due to the increasing need for online and offline consumer behavior data integration and digital transformation.</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third quarter of 2021 was US$21.7 million, increased 8% compared with US$20.1 million for the third quarter of 2020,</w:t>
      </w:r>
      <w:r>
        <w:rPr>
          <w:rFonts w:ascii="Arial" w:cs="Arial" w:eastAsia="Arial" w:hAnsi="Arial"/>
          <w:sz w:val="20"/>
          <w:szCs w:val="20"/>
          <w:b w:val="1"/>
          <w:bCs w:val="1"/>
          <w:color w:val="auto"/>
        </w:rPr>
        <w:t xml:space="preserve"> </w:t>
      </w:r>
      <w:r>
        <w:rPr>
          <w:rFonts w:ascii="Arial" w:cs="Arial" w:eastAsia="Arial" w:hAnsi="Arial"/>
          <w:sz w:val="20"/>
          <w:szCs w:val="20"/>
          <w:color w:val="auto"/>
        </w:rPr>
        <w:t>mainly due to contribution from higher-margin Enterprise Solutions.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were US$24.1 million for the third quarter of 2021, compared with US$20.0 million for the third quarter of 2020,</w:t>
      </w:r>
      <w:r>
        <w:rPr>
          <w:rFonts w:ascii="Arial" w:cs="Arial" w:eastAsia="Arial" w:hAnsi="Arial"/>
          <w:sz w:val="20"/>
          <w:szCs w:val="20"/>
          <w:b w:val="1"/>
          <w:bCs w:val="1"/>
          <w:color w:val="auto"/>
        </w:rPr>
        <w:t xml:space="preserve"> </w:t>
      </w:r>
      <w:r>
        <w:rPr>
          <w:rFonts w:ascii="Arial" w:cs="Arial" w:eastAsia="Arial" w:hAnsi="Arial"/>
          <w:sz w:val="20"/>
          <w:szCs w:val="20"/>
          <w:color w:val="auto"/>
        </w:rPr>
        <w:t>primarily due to an increase in share-based compensation expenses and incremental operating expenses incurred for the expansion of business scale.</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Operating loss </w:t>
      </w:r>
      <w:r>
        <w:rPr>
          <w:rFonts w:ascii="Arial" w:cs="Arial" w:eastAsia="Arial" w:hAnsi="Arial"/>
          <w:sz w:val="20"/>
          <w:szCs w:val="20"/>
          <w:color w:val="auto"/>
        </w:rPr>
        <w:t>was US$2.3 million for the third quarter of 2021, compared with an operating income of US$0.1 million for the third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of 2020. This increase was as a result of an increase in share-based compensation expenses, and incremental operating expenses incurred for the expansion of business scale, which was partially offset by the growth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was US$2.6 million for the third quarter of 2021, compared with net loss of US$7.1 million for the third quarter of 2020. This</w:t>
      </w:r>
      <w:r>
        <w:rPr>
          <w:rFonts w:ascii="Arial" w:cs="Arial" w:eastAsia="Arial" w:hAnsi="Arial"/>
          <w:sz w:val="19"/>
          <w:szCs w:val="19"/>
          <w:b w:val="1"/>
          <w:bCs w:val="1"/>
          <w:color w:val="auto"/>
        </w:rPr>
        <w:t xml:space="preserve"> </w:t>
      </w:r>
      <w:r>
        <w:rPr>
          <w:rFonts w:ascii="Arial" w:cs="Arial" w:eastAsia="Arial" w:hAnsi="Arial"/>
          <w:sz w:val="19"/>
          <w:szCs w:val="19"/>
          <w:color w:val="auto"/>
        </w:rPr>
        <w:t>decrease was mainly because the Company recorded the fair value losses of derivative liabilities and convertible notes of US$6.3 million and US$1.4 million, respectively, in the third quarter of 2020, while it did not incur such losses in the third quarter of 2021.</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loss attributable to the Company’s shareholders per basic and diluted ADS for the third quarter of 2021 were US$0.02, compared with a net loss attributable to the Company’s shareholders per basic and diluted ADS of US$0.08 for the third quarter of 2020.</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the third quarter of 2021 was US$3.6 million, compared with US$4.7 million for the third quarter of 2020. The</w:t>
      </w:r>
      <w:r>
        <w:rPr>
          <w:rFonts w:ascii="Arial" w:cs="Arial" w:eastAsia="Arial" w:hAnsi="Arial"/>
          <w:sz w:val="20"/>
          <w:szCs w:val="20"/>
          <w:b w:val="1"/>
          <w:bCs w:val="1"/>
          <w:color w:val="auto"/>
        </w:rPr>
        <w:t xml:space="preserve"> </w:t>
      </w:r>
      <w:r>
        <w:rPr>
          <w:rFonts w:ascii="Arial" w:cs="Arial" w:eastAsia="Arial" w:hAnsi="Arial"/>
          <w:sz w:val="20"/>
          <w:szCs w:val="20"/>
          <w:color w:val="auto"/>
        </w:rPr>
        <w:t>decrease was mainly due to incremental operating expenses incurred for the expansion of business scale, which was partially offset by the growth in gross profit. For a reconciliation of the Company’s adjusted EBITDA from net loss, its most comparable GAAP measure, please refer to “Unaudited Reconciliations of GAAP and Non-GAAP Results.”</w:t>
      </w:r>
    </w:p>
    <w:p>
      <w:pPr>
        <w:spacing w:after="0" w:line="21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for the third quarter of 2021 was US$0.8 million, compared with an adjusted net income of US$2.4 million in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The decrease was mainly due to incremental operating expenses incurred for the expansion of business scale and increase in finance cost, which was partially offset by the growth in gross profit. For a reconciliation of the Company’s adjusted net income from net loss, its most comparable GAAP measure, please refer to “Unaudited Reconciliations of GAAP and Non-GAAP Results.”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was US$195.4 million for the third quarter of 2021, increased 17% compared with US$167.1 million for the third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2020, driven by increasing marketers’ demand mainly from fashion, food and beverage, premium and luxury sectors.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September 30, 2021, the Company had cash and cash equivalents, time deposits and restricted cash of US$96.7 million, compared with US$94.5 million as of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December 10, 2020, the Company announced a share repurchase program in which it may purchase its own ADSs with an aggregate value of up to US$15.0 million from December 30, 2020 to December 31, 2021. In addition, our board of directors authorized the Company to upsize the share repurchase program from US$15 million to US$25 million on August 25, 2021. As of September 30, 2021, the aggregate value of purchased shares was approximately US$7.4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2040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2"/>
          <w:szCs w:val="12"/>
          <w:color w:val="auto"/>
        </w:rPr>
      </w:pPr>
      <w:r>
        <w:rPr>
          <w:rFonts w:ascii="Arial" w:cs="Arial" w:eastAsia="Arial" w:hAnsi="Arial"/>
          <w:sz w:val="14"/>
          <w:szCs w:val="14"/>
          <w:color w:val="auto"/>
        </w:rPr>
        <w:t>Gross billing is defined as the aggregate dollar amount that clients have to pay the Company after deducting rebates paid and discounts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Outlook</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Based on the information available as of the date of this press release, iClick provides the following outlook for the full year 2021:</w:t>
      </w:r>
    </w:p>
    <w:p>
      <w:pPr>
        <w:spacing w:after="0" w:line="362"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is estimated to be between US$318 million and US$338 million.</w:t>
      </w:r>
    </w:p>
    <w:p>
      <w:pPr>
        <w:spacing w:after="0" w:line="15" w:lineRule="exact"/>
        <w:rPr>
          <w:rFonts w:ascii="Arial" w:cs="Arial" w:eastAsia="Arial" w:hAnsi="Arial"/>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from Enterprise Solutions is estimated to be between US$62 million and US$68 million.</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note that the advertising budgets for our clients continue to be impacted by the changing regulatory environment and macroeconomic uncertainty. For example, recent regulatory tightening on several industry verticals including online education and online gaming have affected the sentiment of advertising spending of some clients in our Marketing Solutions business. Despite these headwinds in the current commercial environment, we anticipate that brands may allocate more of their advertising budgets to mobile and online targeted marketing, with the potential to benefit our mobile and performance-focused Marketing Solutions business. Brands may also see the importance of online and offline consumer behavioural data integration and analysis, which may favour our Enterprise Solutions business in the long run. We remain vigilant in evaluating the risks posed by the changing regulatory environment and macroeconomic uncertainty and the potential impacts they have on our expectations.</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With iClick’s diversified customer base of stable, top-tier brands and ongoing government efforts to contain the spread of the coronavirus amid the rollout of vaccine, we remain cautiously optimistic for the remainder of 2021. However, outbreaks and resurgence of COVID-19, including recent variants around the world may continue to impact market conditions and potentially trigger a longer period of global economic slowdown. This could affect the overall sentiment and advertising budgets of our branding customers, which in turn may impact our Marketing Solution business in the short term. The rapid development and fluidity of the current situation precludes any prediction as to the ultimate adverse impact of COVID-19. Management will continue to closely monitor the outbreak’s impact on our operations and financial results this year and will particularly focus on business retention and accounts receivable recoverability.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Conference Call</w:t>
      </w:r>
    </w:p>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The Company will host an earnings conference call at 8:00 AM U.S. Eastern Time on November 30, 2021 (9:00 PM Beijing/Hong Kong time on November 30, 2021). A live and archived webcast of the conference call will be available on iClick’s investor relations website at </w:t>
      </w:r>
      <w:r>
        <w:rPr>
          <w:rFonts w:ascii="Arial" w:cs="Arial" w:eastAsia="Arial" w:hAnsi="Arial"/>
          <w:sz w:val="20"/>
          <w:szCs w:val="20"/>
          <w:u w:val="single" w:color="auto"/>
          <w:color w:val="auto"/>
        </w:rPr>
        <w:t>http://ir.i-click.com</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Dial-in details for the conference call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United States:</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+1-888-346-8982</w:t>
            </w:r>
          </w:p>
        </w:tc>
      </w:t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International:</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+1-412-902-4272</w:t>
            </w:r>
          </w:p>
        </w:tc>
      </w:tr>
      <w:tr>
        <w:trPr>
          <w:trHeight w:val="229"/>
        </w:trPr>
        <w:tc>
          <w:tcPr>
            <w:tcW w:w="1840" w:type="dxa"/>
            <w:vAlign w:val="bottom"/>
          </w:tcPr>
          <w:p>
            <w:pPr>
              <w:spacing w:after="0"/>
              <w:rPr>
                <w:sz w:val="20"/>
                <w:szCs w:val="20"/>
                <w:color w:val="auto"/>
              </w:rPr>
            </w:pPr>
            <w:r>
              <w:rPr>
                <w:rFonts w:ascii="Arial" w:cs="Arial" w:eastAsia="Arial" w:hAnsi="Arial"/>
                <w:sz w:val="20"/>
                <w:szCs w:val="20"/>
                <w:color w:val="auto"/>
              </w:rPr>
              <w:t>Hong Kong:</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+852-800-905945</w:t>
            </w:r>
          </w:p>
        </w:tc>
      </w:tr>
      <w:tr>
        <w:trPr>
          <w:trHeight w:val="250"/>
        </w:trPr>
        <w:tc>
          <w:tcPr>
            <w:tcW w:w="1840" w:type="dxa"/>
            <w:vAlign w:val="bottom"/>
          </w:tcPr>
          <w:p>
            <w:pPr>
              <w:spacing w:after="0"/>
              <w:rPr>
                <w:sz w:val="20"/>
                <w:szCs w:val="20"/>
                <w:color w:val="auto"/>
              </w:rPr>
            </w:pPr>
            <w:r>
              <w:rPr>
                <w:rFonts w:ascii="Arial" w:cs="Arial" w:eastAsia="Arial" w:hAnsi="Arial"/>
                <w:sz w:val="20"/>
                <w:szCs w:val="20"/>
                <w:color w:val="auto"/>
              </w:rPr>
              <w:t>Mainland China:</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+86-4001-201203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please ask to join the iClick Interactive Asia Group Limited conference call.</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A replay of the conference call will be accessible by phone one hour after the conclusion of the live call at the following numbers, until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7,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20"/>
                <w:szCs w:val="20"/>
                <w:color w:val="auto"/>
              </w:rPr>
              <w:t>United States:</w:t>
            </w:r>
          </w:p>
        </w:tc>
        <w:tc>
          <w:tcPr>
            <w:tcW w:w="9280" w:type="dxa"/>
            <w:vAlign w:val="bottom"/>
          </w:tcPr>
          <w:p>
            <w:pPr>
              <w:ind w:left="260"/>
              <w:spacing w:after="0"/>
              <w:rPr>
                <w:sz w:val="20"/>
                <w:szCs w:val="20"/>
                <w:color w:val="auto"/>
              </w:rPr>
            </w:pPr>
            <w:r>
              <w:rPr>
                <w:rFonts w:ascii="Arial" w:cs="Arial" w:eastAsia="Arial" w:hAnsi="Arial"/>
                <w:sz w:val="20"/>
                <w:szCs w:val="20"/>
                <w:color w:val="auto"/>
              </w:rPr>
              <w:t>+1-877-344-7529</w:t>
            </w:r>
          </w:p>
        </w:tc>
      </w:tr>
      <w:tr>
        <w:trPr>
          <w:trHeight w:val="229"/>
        </w:trPr>
        <w:tc>
          <w:tcPr>
            <w:tcW w:w="1980" w:type="dxa"/>
            <w:vAlign w:val="bottom"/>
          </w:tcPr>
          <w:p>
            <w:pPr>
              <w:spacing w:after="0"/>
              <w:rPr>
                <w:sz w:val="20"/>
                <w:szCs w:val="20"/>
                <w:color w:val="auto"/>
              </w:rPr>
            </w:pPr>
            <w:r>
              <w:rPr>
                <w:rFonts w:ascii="Arial" w:cs="Arial" w:eastAsia="Arial" w:hAnsi="Arial"/>
                <w:sz w:val="20"/>
                <w:szCs w:val="20"/>
                <w:color w:val="auto"/>
              </w:rPr>
              <w:t>International:</w:t>
            </w:r>
          </w:p>
        </w:tc>
        <w:tc>
          <w:tcPr>
            <w:tcW w:w="9280" w:type="dxa"/>
            <w:vAlign w:val="bottom"/>
          </w:tcPr>
          <w:p>
            <w:pPr>
              <w:ind w:left="260"/>
              <w:spacing w:after="0"/>
              <w:rPr>
                <w:sz w:val="20"/>
                <w:szCs w:val="20"/>
                <w:color w:val="auto"/>
              </w:rPr>
            </w:pPr>
            <w:r>
              <w:rPr>
                <w:rFonts w:ascii="Arial" w:cs="Arial" w:eastAsia="Arial" w:hAnsi="Arial"/>
                <w:sz w:val="20"/>
                <w:szCs w:val="20"/>
                <w:color w:val="auto"/>
              </w:rPr>
              <w:t>+1-412-317-0088</w:t>
            </w:r>
          </w:p>
        </w:tc>
      </w:tr>
      <w:tr>
        <w:trPr>
          <w:trHeight w:val="229"/>
        </w:trPr>
        <w:tc>
          <w:tcPr>
            <w:tcW w:w="1980" w:type="dxa"/>
            <w:vAlign w:val="bottom"/>
          </w:tcPr>
          <w:p>
            <w:pPr>
              <w:spacing w:after="0"/>
              <w:rPr>
                <w:sz w:val="20"/>
                <w:szCs w:val="20"/>
                <w:color w:val="auto"/>
              </w:rPr>
            </w:pPr>
            <w:r>
              <w:rPr>
                <w:rFonts w:ascii="Arial" w:cs="Arial" w:eastAsia="Arial" w:hAnsi="Arial"/>
                <w:sz w:val="20"/>
                <w:szCs w:val="20"/>
                <w:color w:val="auto"/>
              </w:rPr>
              <w:t>Canada:</w:t>
            </w:r>
          </w:p>
        </w:tc>
        <w:tc>
          <w:tcPr>
            <w:tcW w:w="9280" w:type="dxa"/>
            <w:vAlign w:val="bottom"/>
          </w:tcPr>
          <w:p>
            <w:pPr>
              <w:ind w:left="260"/>
              <w:spacing w:after="0"/>
              <w:rPr>
                <w:sz w:val="20"/>
                <w:szCs w:val="20"/>
                <w:color w:val="auto"/>
              </w:rPr>
            </w:pPr>
            <w:r>
              <w:rPr>
                <w:rFonts w:ascii="Arial" w:cs="Arial" w:eastAsia="Arial" w:hAnsi="Arial"/>
                <w:sz w:val="20"/>
                <w:szCs w:val="20"/>
                <w:color w:val="auto"/>
              </w:rPr>
              <w:t>+1-855-669-9658</w:t>
            </w:r>
          </w:p>
        </w:tc>
      </w:tr>
      <w:tr>
        <w:trPr>
          <w:trHeight w:val="250"/>
        </w:trPr>
        <w:tc>
          <w:tcPr>
            <w:tcW w:w="1980" w:type="dxa"/>
            <w:vAlign w:val="bottom"/>
          </w:tcPr>
          <w:p>
            <w:pPr>
              <w:spacing w:after="0"/>
              <w:rPr>
                <w:sz w:val="20"/>
                <w:szCs w:val="20"/>
                <w:color w:val="auto"/>
              </w:rPr>
            </w:pPr>
            <w:r>
              <w:rPr>
                <w:rFonts w:ascii="Arial" w:cs="Arial" w:eastAsia="Arial" w:hAnsi="Arial"/>
                <w:sz w:val="20"/>
                <w:szCs w:val="20"/>
                <w:color w:val="auto"/>
              </w:rPr>
              <w:t>Replay Access Code:</w:t>
            </w:r>
          </w:p>
        </w:tc>
        <w:tc>
          <w:tcPr>
            <w:tcW w:w="9280" w:type="dxa"/>
            <w:vAlign w:val="bottom"/>
          </w:tcPr>
          <w:p>
            <w:pPr>
              <w:ind w:left="260"/>
              <w:spacing w:after="0"/>
              <w:rPr>
                <w:sz w:val="20"/>
                <w:szCs w:val="20"/>
                <w:color w:val="auto"/>
              </w:rPr>
            </w:pPr>
            <w:r>
              <w:rPr>
                <w:rFonts w:ascii="Arial" w:cs="Arial" w:eastAsia="Arial" w:hAnsi="Arial"/>
                <w:sz w:val="20"/>
                <w:szCs w:val="20"/>
                <w:color w:val="auto"/>
              </w:rPr>
              <w:t>59469524</w:t>
            </w:r>
          </w:p>
        </w:tc>
      </w:tr>
      <w:tr>
        <w:trPr>
          <w:trHeight w:val="583"/>
        </w:trPr>
        <w:tc>
          <w:tcPr>
            <w:tcW w:w="198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uses adjusted EBITDA, adjusted net income, and diluted adjusted net income per ADS, each a non-GAAP financial measure, in evaluating the Company’s operating results and for financial and operational decision-making purposes.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believes that adjusted EBITDA, adjusted net income, and diluted adjusted net income per ADS help identify underlying trends in the Company’s business that could otherwise be distorted by the effect of the expenses and gains that the Company includes in net loss. The Company believes that adjusted EBITDA, adjusted net income, and diluted adjusted net income per ADS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Adjusted EBITDA, adjusted net income, and diluted adjusted net income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income, and diluted adjusted net income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on these non-GAAP financial measures, please see the table captioned “Unaudited Reconciliations of GAAP and Non-GAAP results” set forth at the end of this press release.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Safe Harbor Statement</w:t>
      </w:r>
    </w:p>
    <w:p>
      <w:pPr>
        <w:spacing w:after="0" w:line="2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litigation and negative publicity surroundings China -based companies listed in the U.S.; effectiveness of its algorithms and data engines; its ability to collect and use data from various sources; its ability to comply with existing or future laws and regulations related to data protection or data security; ability to integrate and realize synergies from acquisitions, investments or strategic partnership; the duration of the COVID-19 outbreak, including the emergence of COVID variants,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00" w:type="dxa"/>
            <w:vAlign w:val="bottom"/>
          </w:tcPr>
          <w:p>
            <w:pPr>
              <w:spacing w:after="0"/>
              <w:rPr>
                <w:sz w:val="20"/>
                <w:szCs w:val="20"/>
                <w:color w:val="auto"/>
              </w:rPr>
            </w:pPr>
            <w:r>
              <w:rPr>
                <w:rFonts w:ascii="Arial" w:cs="Arial" w:eastAsia="Arial" w:hAnsi="Arial"/>
                <w:sz w:val="20"/>
                <w:szCs w:val="20"/>
                <w:b w:val="1"/>
                <w:bCs w:val="1"/>
                <w:color w:val="auto"/>
                <w:w w:val="94"/>
              </w:rPr>
              <w:t>For investor and media inquiries, please contact:</w:t>
            </w:r>
          </w:p>
        </w:tc>
        <w:tc>
          <w:tcPr>
            <w:tcW w:w="6860" w:type="dxa"/>
            <w:vAlign w:val="bottom"/>
          </w:tcPr>
          <w:p>
            <w:pPr>
              <w:spacing w:after="0"/>
              <w:rPr>
                <w:sz w:val="22"/>
                <w:szCs w:val="22"/>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20"/>
                <w:szCs w:val="20"/>
                <w:b w:val="1"/>
                <w:bCs w:val="1"/>
                <w:color w:val="auto"/>
              </w:rPr>
              <w:t>In China:</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In the United States:</w:t>
            </w:r>
          </w:p>
        </w:tc>
      </w:tr>
      <w:tr>
        <w:trPr>
          <w:trHeight w:val="236"/>
        </w:trPr>
        <w:tc>
          <w:tcPr>
            <w:tcW w:w="4400" w:type="dxa"/>
            <w:vAlign w:val="bottom"/>
          </w:tcPr>
          <w:p>
            <w:pPr>
              <w:spacing w:after="0"/>
              <w:rPr>
                <w:sz w:val="20"/>
                <w:szCs w:val="20"/>
                <w:color w:val="auto"/>
              </w:rPr>
            </w:pPr>
            <w:r>
              <w:rPr>
                <w:rFonts w:ascii="Arial" w:cs="Arial" w:eastAsia="Arial" w:hAnsi="Arial"/>
                <w:sz w:val="20"/>
                <w:szCs w:val="20"/>
                <w:b w:val="1"/>
                <w:bCs w:val="1"/>
                <w:color w:val="auto"/>
              </w:rPr>
              <w:t>iClick Interactive Asia Group Limited</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Core IR</w:t>
            </w:r>
          </w:p>
        </w:tc>
      </w:tr>
      <w:tr>
        <w:trPr>
          <w:trHeight w:val="229"/>
        </w:trPr>
        <w:tc>
          <w:tcPr>
            <w:tcW w:w="4400" w:type="dxa"/>
            <w:vAlign w:val="bottom"/>
          </w:tcPr>
          <w:p>
            <w:pPr>
              <w:spacing w:after="0"/>
              <w:rPr>
                <w:sz w:val="20"/>
                <w:szCs w:val="20"/>
                <w:color w:val="auto"/>
              </w:rPr>
            </w:pPr>
            <w:r>
              <w:rPr>
                <w:rFonts w:ascii="Arial" w:cs="Arial" w:eastAsia="Arial" w:hAnsi="Arial"/>
                <w:sz w:val="20"/>
                <w:szCs w:val="20"/>
                <w:color w:val="auto"/>
              </w:rPr>
              <w:t>Lisa Li</w:t>
            </w:r>
          </w:p>
        </w:tc>
        <w:tc>
          <w:tcPr>
            <w:tcW w:w="6860" w:type="dxa"/>
            <w:vAlign w:val="bottom"/>
          </w:tcPr>
          <w:p>
            <w:pPr>
              <w:ind w:left="1220"/>
              <w:spacing w:after="0"/>
              <w:rPr>
                <w:sz w:val="20"/>
                <w:szCs w:val="20"/>
                <w:color w:val="auto"/>
              </w:rPr>
            </w:pPr>
            <w:r>
              <w:rPr>
                <w:rFonts w:ascii="Arial" w:cs="Arial" w:eastAsia="Arial" w:hAnsi="Arial"/>
                <w:sz w:val="20"/>
                <w:szCs w:val="20"/>
                <w:color w:val="auto"/>
              </w:rPr>
              <w:t>Tom Caden</w:t>
            </w:r>
          </w:p>
        </w:tc>
      </w:tr>
      <w:tr>
        <w:trPr>
          <w:trHeight w:val="230"/>
        </w:trPr>
        <w:tc>
          <w:tcPr>
            <w:tcW w:w="4400" w:type="dxa"/>
            <w:vAlign w:val="bottom"/>
          </w:tcPr>
          <w:p>
            <w:pPr>
              <w:spacing w:after="0"/>
              <w:rPr>
                <w:sz w:val="20"/>
                <w:szCs w:val="20"/>
                <w:color w:val="auto"/>
              </w:rPr>
            </w:pPr>
            <w:r>
              <w:rPr>
                <w:rFonts w:ascii="Arial" w:cs="Arial" w:eastAsia="Arial" w:hAnsi="Arial"/>
                <w:sz w:val="20"/>
                <w:szCs w:val="20"/>
                <w:color w:val="auto"/>
              </w:rPr>
              <w:t>Phone: +86-21-3230-3931 #866</w:t>
            </w:r>
          </w:p>
        </w:tc>
        <w:tc>
          <w:tcPr>
            <w:tcW w:w="6860" w:type="dxa"/>
            <w:vAlign w:val="bottom"/>
          </w:tcPr>
          <w:p>
            <w:pPr>
              <w:ind w:left="1220"/>
              <w:spacing w:after="0"/>
              <w:rPr>
                <w:sz w:val="20"/>
                <w:szCs w:val="20"/>
                <w:color w:val="auto"/>
              </w:rPr>
            </w:pPr>
            <w:r>
              <w:rPr>
                <w:rFonts w:ascii="Arial" w:cs="Arial" w:eastAsia="Arial" w:hAnsi="Arial"/>
                <w:sz w:val="20"/>
                <w:szCs w:val="20"/>
                <w:color w:val="auto"/>
              </w:rPr>
              <w:t>Tel: +1-516-222-2560</w:t>
            </w: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E-mail: ir@i-click.com</w:t>
            </w:r>
          </w:p>
        </w:tc>
        <w:tc>
          <w:tcPr>
            <w:tcW w:w="6860" w:type="dxa"/>
            <w:vAlign w:val="bottom"/>
          </w:tcPr>
          <w:p>
            <w:pPr>
              <w:ind w:left="1220"/>
              <w:spacing w:after="0"/>
              <w:rPr>
                <w:sz w:val="20"/>
                <w:szCs w:val="20"/>
                <w:color w:val="auto"/>
              </w:rPr>
            </w:pPr>
            <w:r>
              <w:rPr>
                <w:rFonts w:ascii="Arial" w:cs="Arial" w:eastAsia="Arial" w:hAnsi="Arial"/>
                <w:sz w:val="20"/>
                <w:szCs w:val="20"/>
                <w:color w:val="auto"/>
              </w:rPr>
              <w:t>E-mail: tomc@coreir.com</w:t>
            </w:r>
          </w:p>
        </w:tc>
      </w:tr>
      <w:tr>
        <w:trPr>
          <w:trHeight w:val="473"/>
        </w:trPr>
        <w:tc>
          <w:tcPr>
            <w:tcW w:w="4400" w:type="dxa"/>
            <w:vAlign w:val="bottom"/>
          </w:tcPr>
          <w:p>
            <w:pPr>
              <w:spacing w:after="0"/>
              <w:rPr>
                <w:sz w:val="24"/>
                <w:szCs w:val="24"/>
                <w:color w:val="auto"/>
              </w:rPr>
            </w:pPr>
          </w:p>
        </w:tc>
        <w:tc>
          <w:tcPr>
            <w:tcW w:w="6860" w:type="dxa"/>
            <w:vAlign w:val="bottom"/>
          </w:tcPr>
          <w:p>
            <w:pPr>
              <w:ind w:left="280"/>
              <w:spacing w:after="0"/>
              <w:rPr>
                <w:sz w:val="20"/>
                <w:szCs w:val="20"/>
                <w:color w:val="auto"/>
              </w:rPr>
            </w:pPr>
            <w:r>
              <w:rPr>
                <w:rFonts w:ascii="Arial" w:cs="Arial" w:eastAsia="Arial" w:hAnsi="Arial"/>
                <w:sz w:val="20"/>
                <w:szCs w:val="20"/>
                <w:color w:val="auto"/>
              </w:rPr>
              <w:t>(financial tables follow)</w:t>
            </w:r>
          </w:p>
        </w:tc>
      </w:tr>
      <w:tr>
        <w:trPr>
          <w:trHeight w:val="111"/>
        </w:trPr>
        <w:tc>
          <w:tcPr>
            <w:tcW w:w="4400" w:type="dxa"/>
            <w:vAlign w:val="bottom"/>
            <w:tcBorders>
              <w:bottom w:val="single" w:sz="8" w:color="9A9A9A"/>
            </w:tcBorders>
          </w:tcPr>
          <w:p>
            <w:pPr>
              <w:spacing w:after="0"/>
              <w:rPr>
                <w:sz w:val="9"/>
                <w:szCs w:val="9"/>
                <w:color w:val="auto"/>
              </w:rPr>
            </w:pPr>
          </w:p>
        </w:tc>
        <w:tc>
          <w:tcPr>
            <w:tcW w:w="6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Condensed Consolidated Statements of Comprehensive Loss</w:t>
      </w:r>
    </w:p>
    <w:p>
      <w:pPr>
        <w:jc w:val="center"/>
        <w:ind w:right="20"/>
        <w:spacing w:after="0"/>
        <w:rPr>
          <w:sz w:val="20"/>
          <w:szCs w:val="20"/>
          <w:color w:val="auto"/>
        </w:rPr>
      </w:pPr>
      <w:r>
        <w:rPr>
          <w:rFonts w:ascii="Arial" w:cs="Arial" w:eastAsia="Arial" w:hAnsi="Arial"/>
          <w:sz w:val="20"/>
          <w:szCs w:val="20"/>
          <w:color w:val="auto"/>
        </w:rPr>
        <w:t>(US$’000, except share data and per share data, or otherwise noted,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6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86,817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68,905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231,379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176,053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Cost of revenue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(65,099)</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(48,784)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(165,776)</w:t>
            </w:r>
          </w:p>
        </w:tc>
        <w:tc>
          <w:tcPr>
            <w:tcW w:w="3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(126,054)</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21,718</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20,121</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65,603</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(2,270)</w:t>
            </w:r>
          </w:p>
        </w:tc>
        <w:tc>
          <w:tcPr>
            <w:tcW w:w="3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(1,174)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(6,330)</w:t>
            </w:r>
          </w:p>
        </w:tc>
        <w:tc>
          <w:tcPr>
            <w:tcW w:w="3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(12,706)</w:t>
            </w:r>
          </w:p>
        </w:tc>
        <w:tc>
          <w:tcPr>
            <w:tcW w:w="3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(9,035)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(42,264)</w:t>
            </w:r>
          </w:p>
        </w:tc>
        <w:tc>
          <w:tcPr>
            <w:tcW w:w="3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(26,151)</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(9,081)</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(9,819)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(24,830)</w:t>
            </w:r>
          </w:p>
        </w:tc>
        <w:tc>
          <w:tcPr>
            <w:tcW w:w="3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(20,946)</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(24,057)</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(73,424)</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(loss)/income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(2,339)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(1,180)</w:t>
            </w:r>
          </w:p>
        </w:tc>
        <w:tc>
          <w:tcPr>
            <w:tcW w:w="3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(3,195)</w:t>
            </w:r>
          </w:p>
        </w:tc>
        <w:tc>
          <w:tcPr>
            <w:tcW w:w="3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gains, net</w:t>
            </w:r>
          </w:p>
        </w:tc>
        <w:tc>
          <w:tcPr>
            <w:tcW w:w="1140" w:type="dxa"/>
            <w:vAlign w:val="bottom"/>
          </w:tcPr>
          <w:p>
            <w:pPr>
              <w:jc w:val="right"/>
              <w:spacing w:after="0"/>
              <w:rPr>
                <w:sz w:val="20"/>
                <w:szCs w:val="20"/>
                <w:color w:val="auto"/>
              </w:rPr>
            </w:pPr>
            <w:r>
              <w:rPr>
                <w:rFonts w:ascii="Arial" w:cs="Arial" w:eastAsia="Arial" w:hAnsi="Arial"/>
                <w:sz w:val="18"/>
                <w:szCs w:val="18"/>
                <w:color w:val="auto"/>
              </w:rPr>
              <w:t>940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1,652</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Fair value losses on derivative liabilities</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(6,343)</w:t>
            </w: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Fair value losses on convertible notes</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(1,426)</w:t>
            </w: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05"/>
        </w:trPr>
        <w:tc>
          <w:tcPr>
            <w:tcW w:w="5840" w:type="dxa"/>
            <w:vAlign w:val="bottom"/>
          </w:tcPr>
          <w:p>
            <w:pPr>
              <w:spacing w:after="0" w:line="205" w:lineRule="exact"/>
              <w:rPr>
                <w:sz w:val="20"/>
                <w:szCs w:val="20"/>
                <w:color w:val="auto"/>
              </w:rPr>
            </w:pPr>
            <w:r>
              <w:rPr>
                <w:rFonts w:ascii="Arial" w:cs="Arial" w:eastAsia="Arial" w:hAnsi="Arial"/>
                <w:sz w:val="18"/>
                <w:szCs w:val="18"/>
                <w:b w:val="1"/>
                <w:bCs w:val="1"/>
                <w:color w:val="auto"/>
              </w:rPr>
              <w:t>Loss before income tax expense and share of losses</w:t>
            </w: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from an equity investee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(2,302)</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(6,054)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(7,552)</w:t>
            </w:r>
          </w:p>
        </w:tc>
        <w:tc>
          <w:tcPr>
            <w:tcW w:w="3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(14,114)</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(1,027)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(1,869)</w:t>
            </w:r>
          </w:p>
        </w:tc>
        <w:tc>
          <w:tcPr>
            <w:tcW w:w="3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loss attributable to iClick Interactive Asia</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Group Limited’s ordinary shareholders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(2,321)</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(6,552)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(7,645)</w:t>
            </w:r>
          </w:p>
        </w:tc>
        <w:tc>
          <w:tcPr>
            <w:tcW w:w="3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(13,904)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(2,632)</w:t>
            </w:r>
          </w:p>
        </w:tc>
        <w:tc>
          <w:tcPr>
            <w:tcW w:w="3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(7,097)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(9,505)</w:t>
            </w:r>
          </w:p>
        </w:tc>
        <w:tc>
          <w:tcPr>
            <w:tcW w:w="32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(15,546)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 net of</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US$nil tax</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(2,491)</w:t>
            </w:r>
          </w:p>
        </w:tc>
        <w:tc>
          <w:tcPr>
            <w:tcW w:w="3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(3,426)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(7,276)</w:t>
            </w:r>
          </w:p>
        </w:tc>
        <w:tc>
          <w:tcPr>
            <w:tcW w:w="32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(11,263)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iClick Interactive Asia</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Group Limited’s ordinary shareholders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(2,180)</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(2,960)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(5,492)</w:t>
            </w:r>
          </w:p>
        </w:tc>
        <w:tc>
          <w:tcPr>
            <w:tcW w:w="3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(9,682)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ADS attributable to iClick Interactive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Asia Group Limited’s ordinary shareholders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441"/>
        </w:trPr>
        <w:tc>
          <w:tcPr>
            <w:tcW w:w="584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share calculation:</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140" w:type="dxa"/>
            <w:vAlign w:val="bottom"/>
          </w:tcPr>
          <w:p>
            <w:pPr>
              <w:jc w:val="right"/>
              <w:spacing w:after="0"/>
              <w:rPr>
                <w:sz w:val="20"/>
                <w:szCs w:val="20"/>
                <w:color w:val="auto"/>
              </w:rPr>
            </w:pPr>
            <w:r>
              <w:rPr>
                <w:rFonts w:ascii="Arial" w:cs="Arial" w:eastAsia="Arial" w:hAnsi="Arial"/>
                <w:sz w:val="18"/>
                <w:szCs w:val="18"/>
                <w:color w:val="auto"/>
              </w:rPr>
              <w:t>97,110,704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83,847,077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95,924,233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74,377,252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97,110,704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83,847,077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95,924,233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74,377,252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 w:name="page12"/>
    <w:bookmarkEnd w:id="11"/>
    <w:p>
      <w:pPr>
        <w:jc w:val="center"/>
        <w:ind w:right="20"/>
        <w:spacing w:after="0" w:line="253" w:lineRule="auto"/>
        <w:rPr>
          <w:sz w:val="20"/>
          <w:szCs w:val="20"/>
          <w:color w:val="auto"/>
        </w:rPr>
      </w:pPr>
      <w:r>
        <w:rPr>
          <w:rFonts w:ascii="Arial" w:cs="Arial" w:eastAsia="Arial" w:hAnsi="Arial"/>
          <w:sz w:val="20"/>
          <w:szCs w:val="20"/>
          <w:b w:val="1"/>
          <w:bCs w:val="1"/>
          <w:color w:val="auto"/>
        </w:rPr>
        <w:t xml:space="preserve">ICLICK INTERACTIVE ASIA GROUP LIMITED Unaudited Condensed Consolidated Balance Sheets </w:t>
      </w:r>
      <w:r>
        <w:rPr>
          <w:rFonts w:ascii="Arial" w:cs="Arial" w:eastAsia="Arial" w:hAnsi="Arial"/>
          <w:sz w:val="20"/>
          <w:szCs w:val="20"/>
          <w:color w:val="auto"/>
        </w:rPr>
        <w:t>(US$’000, except share data and per share data, or otherwise noted,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As of</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September 30, 2021</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Cash and cash equivalents, time deposits and restricted cash</w:t>
            </w:r>
          </w:p>
        </w:tc>
        <w:tc>
          <w:tcPr>
            <w:tcW w:w="1560" w:type="dxa"/>
            <w:vAlign w:val="bottom"/>
          </w:tcPr>
          <w:p>
            <w:pPr>
              <w:jc w:val="right"/>
              <w:spacing w:after="0"/>
              <w:rPr>
                <w:sz w:val="20"/>
                <w:szCs w:val="20"/>
                <w:color w:val="auto"/>
              </w:rPr>
            </w:pPr>
            <w:r>
              <w:rPr>
                <w:rFonts w:ascii="Arial" w:cs="Arial" w:eastAsia="Arial" w:hAnsi="Arial"/>
                <w:sz w:val="18"/>
                <w:szCs w:val="18"/>
                <w:color w:val="auto"/>
              </w:rPr>
              <w:t>96,698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94,466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Accounts receivable, net of allowance for doubtful receivables of US$16,608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US$11,749 as of September 30, 2021 and December 31, 2020 respectively</w:t>
            </w:r>
          </w:p>
        </w:tc>
        <w:tc>
          <w:tcPr>
            <w:tcW w:w="1560" w:type="dxa"/>
            <w:vAlign w:val="bottom"/>
          </w:tcPr>
          <w:p>
            <w:pPr>
              <w:jc w:val="right"/>
              <w:spacing w:after="0"/>
              <w:rPr>
                <w:sz w:val="20"/>
                <w:szCs w:val="20"/>
                <w:color w:val="auto"/>
              </w:rPr>
            </w:pPr>
            <w:r>
              <w:rPr>
                <w:rFonts w:ascii="Arial" w:cs="Arial" w:eastAsia="Arial" w:hAnsi="Arial"/>
                <w:sz w:val="18"/>
                <w:szCs w:val="18"/>
                <w:color w:val="auto"/>
              </w:rPr>
              <w:t>171,733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143,142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84,683</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353,114</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560" w:type="dxa"/>
            <w:vAlign w:val="bottom"/>
          </w:tcPr>
          <w:p>
            <w:pPr>
              <w:jc w:val="right"/>
              <w:spacing w:after="0"/>
              <w:rPr>
                <w:sz w:val="20"/>
                <w:szCs w:val="20"/>
                <w:color w:val="auto"/>
              </w:rPr>
            </w:pPr>
            <w:r>
              <w:rPr>
                <w:rFonts w:ascii="Arial" w:cs="Arial" w:eastAsia="Arial" w:hAnsi="Arial"/>
                <w:sz w:val="18"/>
                <w:szCs w:val="18"/>
                <w:color w:val="auto"/>
              </w:rPr>
              <w:t>81,388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74,419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560" w:type="dxa"/>
            <w:vAlign w:val="bottom"/>
          </w:tcPr>
          <w:p>
            <w:pPr>
              <w:jc w:val="right"/>
              <w:spacing w:after="0"/>
              <w:rPr>
                <w:sz w:val="20"/>
                <w:szCs w:val="20"/>
                <w:color w:val="auto"/>
              </w:rPr>
            </w:pPr>
            <w:r>
              <w:rPr>
                <w:rFonts w:ascii="Arial" w:cs="Arial" w:eastAsia="Arial" w:hAnsi="Arial"/>
                <w:sz w:val="18"/>
                <w:szCs w:val="18"/>
                <w:color w:val="auto"/>
              </w:rPr>
              <w:t>54,445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56,431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22,914</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158,747</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511,861</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7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560" w:type="dxa"/>
            <w:vAlign w:val="bottom"/>
          </w:tcPr>
          <w:p>
            <w:pPr>
              <w:jc w:val="right"/>
              <w:spacing w:after="0"/>
              <w:rPr>
                <w:sz w:val="20"/>
                <w:szCs w:val="20"/>
                <w:color w:val="auto"/>
              </w:rPr>
            </w:pPr>
            <w:r>
              <w:rPr>
                <w:rFonts w:ascii="Arial" w:cs="Arial" w:eastAsia="Arial" w:hAnsi="Arial"/>
                <w:sz w:val="18"/>
                <w:szCs w:val="18"/>
                <w:color w:val="auto"/>
              </w:rPr>
              <w:t>57,698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43,140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Bank borrowings</w:t>
            </w:r>
          </w:p>
        </w:tc>
        <w:tc>
          <w:tcPr>
            <w:tcW w:w="1560" w:type="dxa"/>
            <w:vAlign w:val="bottom"/>
          </w:tcPr>
          <w:p>
            <w:pPr>
              <w:jc w:val="right"/>
              <w:spacing w:after="0"/>
              <w:rPr>
                <w:sz w:val="20"/>
                <w:szCs w:val="20"/>
                <w:color w:val="auto"/>
              </w:rPr>
            </w:pPr>
            <w:r>
              <w:rPr>
                <w:rFonts w:ascii="Arial" w:cs="Arial" w:eastAsia="Arial" w:hAnsi="Arial"/>
                <w:sz w:val="18"/>
                <w:szCs w:val="18"/>
                <w:color w:val="auto"/>
              </w:rPr>
              <w:t>69,746</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56,040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64,686</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192,130</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22,220</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22,220</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214,350</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Ordinary shares – Class A (US$0.001 par value; 80,000,000 shares authorized as of</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September 30, 2021 and December 31, 2020, respectively; 42,340,137 shares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40,996,215 shares issued and outstanding as of September 30, 2021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2020, respectively)</w:t>
            </w: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Ordinary shares – Class B (US$0.001 par value; 20,000,000 shares authorized as of</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September 30, 2021 and December 31, 2020, respectively; 5,034,427 shares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4,820,608 shares issued and outstanding as of September 30, 2021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2020, respectively)</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Treasury shares (2,113,435 shares and 2,396,372 shares as of September 30, 2021</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and December 31, 2020, respectively)</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(17,444)</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(10,341)</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reserves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306,380</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Total iClick Interactive Asia Group Limited shareholders’ equity</w:t>
            </w:r>
          </w:p>
        </w:tc>
        <w:tc>
          <w:tcPr>
            <w:tcW w:w="1560" w:type="dxa"/>
            <w:vAlign w:val="bottom"/>
          </w:tcPr>
          <w:p>
            <w:pPr>
              <w:jc w:val="right"/>
              <w:spacing w:after="0"/>
              <w:rPr>
                <w:sz w:val="20"/>
                <w:szCs w:val="20"/>
                <w:color w:val="auto"/>
              </w:rPr>
            </w:pPr>
            <w:r>
              <w:rPr>
                <w:rFonts w:ascii="Arial" w:cs="Arial" w:eastAsia="Arial" w:hAnsi="Arial"/>
                <w:sz w:val="18"/>
                <w:szCs w:val="18"/>
                <w:color w:val="auto"/>
              </w:rPr>
              <w:t>288,983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272,102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8,528</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297,511</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279,088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gridSpan w:val="2"/>
            <w:vMerge w:val="continue"/>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511,861</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9A9A9A"/>
            </w:tcBorders>
          </w:tcPr>
          <w:p>
            <w:pPr>
              <w:spacing w:after="0"/>
              <w:rPr>
                <w:sz w:val="22"/>
                <w:szCs w:val="22"/>
                <w:color w:val="auto"/>
              </w:rPr>
            </w:pPr>
          </w:p>
        </w:tc>
        <w:tc>
          <w:tcPr>
            <w:tcW w:w="4500" w:type="dxa"/>
            <w:vAlign w:val="bottom"/>
            <w:tcBorders>
              <w:bottom w:val="single" w:sz="8" w:color="9A9A9A"/>
            </w:tcBorders>
          </w:tcPr>
          <w:p>
            <w:pPr>
              <w:spacing w:after="0"/>
              <w:rPr>
                <w:sz w:val="22"/>
                <w:szCs w:val="22"/>
                <w:color w:val="auto"/>
              </w:rPr>
            </w:pPr>
          </w:p>
        </w:tc>
        <w:tc>
          <w:tcPr>
            <w:tcW w:w="156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56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2" w:name="page13"/>
    <w:bookmarkEnd w:id="12"/>
    <w:p>
      <w:pPr>
        <w:jc w:val="center"/>
        <w:spacing w:after="0" w:line="253" w:lineRule="auto"/>
        <w:rPr>
          <w:sz w:val="20"/>
          <w:szCs w:val="20"/>
          <w:color w:val="auto"/>
        </w:rPr>
      </w:pPr>
      <w:r>
        <w:rPr>
          <w:rFonts w:ascii="Arial" w:cs="Arial" w:eastAsia="Arial" w:hAnsi="Arial"/>
          <w:sz w:val="20"/>
          <w:szCs w:val="20"/>
          <w:b w:val="1"/>
          <w:bCs w:val="1"/>
          <w:color w:val="auto"/>
        </w:rPr>
        <w:t xml:space="preserve">ICLICK INTERACTIVE ASIA GROUP LIMITED Unaudited Reconciliations of GAAP and Non-GAAP Results </w:t>
      </w:r>
      <w:r>
        <w:rPr>
          <w:rFonts w:ascii="Arial" w:cs="Arial" w:eastAsia="Arial" w:hAnsi="Arial"/>
          <w:sz w:val="20"/>
          <w:szCs w:val="20"/>
          <w:color w:val="auto"/>
        </w:rPr>
        <w:t>(US$’000, except share data and per share data, or otherwise noted, unaudited)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Adjusted EBITDA represents net loss before (i) depreciation and amortization, (ii) interest expense, (iii) interest income, (iv) income tax expense, (v) share-based compensation, (vi) fair value losses on derivative liabilities, (vii) fair value losses on convertible notes, (viii) other gains, net, (ix) convertible notes and shares issuance cost, (x) net loss attributable to noncontrolling interests, (xi) share of losses from an equity investee, (xii) cost related to new business setup or acquisitions, and (xiii) cost related to filing of Form F-3.</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EBITDA from net loss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11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gridSpan w:val="2"/>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1,641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1,180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Interest 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(742)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(509)</w:t>
            </w: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Income tax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EBITDA</w:t>
            </w: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(4,820)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3,424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12,270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6,343</w:t>
            </w:r>
          </w:p>
        </w:tc>
        <w:tc>
          <w:tcPr>
            <w:tcW w:w="240" w:type="dxa"/>
            <w:vAlign w:val="bottom"/>
          </w:tcPr>
          <w:p>
            <w:pPr>
              <w:spacing w:after="0"/>
              <w:rPr>
                <w:sz w:val="19"/>
                <w:szCs w:val="19"/>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Fair value losses on convertible notes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1,426</w:t>
            </w:r>
          </w:p>
        </w:tc>
        <w:tc>
          <w:tcPr>
            <w:tcW w:w="240" w:type="dxa"/>
            <w:vAlign w:val="bottom"/>
          </w:tcPr>
          <w:p>
            <w:pPr>
              <w:spacing w:after="0"/>
              <w:rPr>
                <w:sz w:val="19"/>
                <w:szCs w:val="19"/>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(849)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(880)</w:t>
            </w: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4</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7</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8</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20"/>
                <w:szCs w:val="20"/>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13,347</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2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right="20" w:hanging="111"/>
        <w:spacing w:after="0" w:line="230" w:lineRule="auto"/>
        <w:tabs>
          <w:tab w:leader="none" w:pos="114" w:val="left"/>
        </w:tabs>
        <w:numPr>
          <w:ilvl w:val="0"/>
          <w:numId w:val="4"/>
        </w:numPr>
        <w:rPr>
          <w:rFonts w:ascii="Arial" w:cs="Arial" w:eastAsia="Arial" w:hAnsi="Arial"/>
          <w:sz w:val="12"/>
          <w:szCs w:val="12"/>
          <w:color w:val="auto"/>
        </w:rPr>
      </w:pPr>
      <w:r>
        <w:rPr>
          <w:rFonts w:ascii="Arial" w:cs="Arial" w:eastAsia="Arial" w:hAnsi="Arial"/>
          <w:sz w:val="14"/>
          <w:szCs w:val="14"/>
          <w:color w:val="auto"/>
        </w:rPr>
        <w:t>Other gains, net has been adjusted out, except for amounts of US$663 thousand, US$803 thousand, US$2,075 thousand and US$2,018 thousand in relation to government grants for the three months ended September 30, 2021 and 2020 and for the nine months ended September 30, 2021 and 2020, respectively.</w:t>
      </w:r>
    </w:p>
    <w:p>
      <w:pPr>
        <w:ind w:left="120" w:hanging="112"/>
        <w:spacing w:after="0" w:line="222" w:lineRule="auto"/>
        <w:tabs>
          <w:tab w:leader="none" w:pos="120" w:val="left"/>
        </w:tabs>
        <w:numPr>
          <w:ilvl w:val="0"/>
          <w:numId w:val="5"/>
        </w:numPr>
        <w:rPr>
          <w:rFonts w:ascii="Arial" w:cs="Arial" w:eastAsia="Arial" w:hAnsi="Arial"/>
          <w:sz w:val="12"/>
          <w:szCs w:val="12"/>
          <w:color w:val="auto"/>
        </w:rPr>
      </w:pPr>
      <w:r>
        <w:rPr>
          <w:rFonts w:ascii="Arial" w:cs="Arial" w:eastAsia="Arial" w:hAnsi="Arial"/>
          <w:sz w:val="14"/>
          <w:szCs w:val="14"/>
          <w:color w:val="auto"/>
        </w:rPr>
        <w:t>Convertible notes and shares issuance cost represents legal and professional fee for the issue of convertible notes and shares.</w:t>
      </w:r>
    </w:p>
    <w:p>
      <w:pPr>
        <w:ind w:left="120" w:hanging="112"/>
        <w:spacing w:after="0" w:line="221" w:lineRule="auto"/>
        <w:tabs>
          <w:tab w:leader="none" w:pos="120" w:val="left"/>
        </w:tabs>
        <w:numPr>
          <w:ilvl w:val="0"/>
          <w:numId w:val="6"/>
        </w:numPr>
        <w:rPr>
          <w:rFonts w:ascii="Arial" w:cs="Arial" w:eastAsia="Arial" w:hAnsi="Arial"/>
          <w:sz w:val="12"/>
          <w:szCs w:val="12"/>
          <w:color w:val="auto"/>
        </w:rPr>
      </w:pPr>
      <w:r>
        <w:rPr>
          <w:rFonts w:ascii="Arial" w:cs="Arial" w:eastAsia="Arial" w:hAnsi="Arial"/>
          <w:sz w:val="14"/>
          <w:szCs w:val="14"/>
          <w:color w:val="auto"/>
        </w:rPr>
        <w:t>Net loss attributable to noncontrolling interests has been adjusted back because the Company’s management regularly reviews EBITDA excluding noncontrolling interests as a measure of its operational performance.</w:t>
      </w:r>
    </w:p>
    <w:p>
      <w:pPr>
        <w:spacing w:after="0" w:line="1" w:lineRule="exact"/>
        <w:rPr>
          <w:sz w:val="20"/>
          <w:szCs w:val="20"/>
          <w:color w:val="auto"/>
        </w:rPr>
      </w:pPr>
    </w:p>
    <w:p>
      <w:pPr>
        <w:ind w:left="120" w:hanging="112"/>
        <w:spacing w:after="0" w:line="221" w:lineRule="auto"/>
        <w:tabs>
          <w:tab w:leader="none" w:pos="120" w:val="left"/>
        </w:tabs>
        <w:numPr>
          <w:ilvl w:val="0"/>
          <w:numId w:val="7"/>
        </w:numPr>
        <w:rPr>
          <w:rFonts w:ascii="Arial" w:cs="Arial" w:eastAsia="Arial" w:hAnsi="Arial"/>
          <w:sz w:val="12"/>
          <w:szCs w:val="12"/>
          <w:color w:val="auto"/>
        </w:rPr>
      </w:pPr>
      <w:r>
        <w:rPr>
          <w:rFonts w:ascii="Arial" w:cs="Arial" w:eastAsia="Arial" w:hAnsi="Arial"/>
          <w:sz w:val="14"/>
          <w:szCs w:val="14"/>
          <w:color w:val="auto"/>
        </w:rPr>
        <w:t>Share of losses from an equity investee represents share of losses incurred by the Company’s Thailand business operated through an equity investee over which the Company has significant influence, and which is not considered to be a part of the core business that the Company operates through its consolidated entities.</w:t>
      </w:r>
    </w:p>
    <w:p>
      <w:pPr>
        <w:ind w:left="120" w:hanging="112"/>
        <w:spacing w:after="0" w:line="222" w:lineRule="auto"/>
        <w:tabs>
          <w:tab w:leader="none" w:pos="120" w:val="left"/>
        </w:tabs>
        <w:numPr>
          <w:ilvl w:val="0"/>
          <w:numId w:val="8"/>
        </w:numPr>
        <w:rPr>
          <w:rFonts w:ascii="Arial" w:cs="Arial" w:eastAsia="Arial" w:hAnsi="Arial"/>
          <w:sz w:val="12"/>
          <w:szCs w:val="12"/>
          <w:color w:val="auto"/>
        </w:rPr>
      </w:pPr>
      <w:r>
        <w:rPr>
          <w:rFonts w:ascii="Arial" w:cs="Arial" w:eastAsia="Arial" w:hAnsi="Arial"/>
          <w:sz w:val="14"/>
          <w:szCs w:val="14"/>
          <w:color w:val="auto"/>
        </w:rPr>
        <w:t>Cost related to new business setup or acquisition represents transaction cost (e.g. legal and professional fee) in connection therewith.</w:t>
      </w:r>
    </w:p>
    <w:p>
      <w:pPr>
        <w:spacing w:after="0"/>
        <w:rPr>
          <w:rFonts w:ascii="Arial" w:cs="Arial" w:eastAsia="Arial" w:hAnsi="Arial"/>
          <w:sz w:val="12"/>
          <w:szCs w:val="12"/>
          <w:color w:val="auto"/>
        </w:rPr>
      </w:pPr>
      <w:r>
        <w:rPr>
          <w:rFonts w:ascii="Arial" w:cs="Arial" w:eastAsia="Arial" w:hAnsi="Arial"/>
          <w:sz w:val="12"/>
          <w:szCs w:val="12"/>
          <w:color w:val="auto"/>
        </w:rPr>
        <w:t xml:space="preserve">8 </w:t>
      </w:r>
      <w:r>
        <w:rPr>
          <w:rFonts w:ascii="Arial" w:cs="Arial" w:eastAsia="Arial" w:hAnsi="Arial"/>
          <w:sz w:val="14"/>
          <w:szCs w:val="14"/>
          <w:color w:val="auto"/>
        </w:rPr>
        <w:t>Cost related to the filing of Form F-3 represents audit, legal and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 w:name="page14"/>
    <w:bookmarkEnd w:id="13"/>
    <w:p>
      <w:pPr>
        <w:jc w:val="both"/>
        <w:spacing w:after="0" w:line="246" w:lineRule="auto"/>
        <w:rPr>
          <w:sz w:val="20"/>
          <w:szCs w:val="20"/>
          <w:color w:val="auto"/>
        </w:rPr>
      </w:pPr>
      <w:r>
        <w:rPr>
          <w:rFonts w:ascii="Arial" w:cs="Arial" w:eastAsia="Arial" w:hAnsi="Arial"/>
          <w:sz w:val="20"/>
          <w:szCs w:val="20"/>
          <w:color w:val="auto"/>
        </w:rPr>
        <w:t>Adjusted net income represents net loss before (i) share-based compensation, (ii) fair value losses on derivative liabilities, (iii) fair value losses on convertible notes, (iv) other gains, net, (v) convertible notes and shares issuance cost, (vi) net loss attributable to noncontrolling interests, (vii) share of losses from an equity investee, (viii) cost related to new business setup or acquisitions, and (ix) cost related to filing of Form F-3. There is no material tax effects on these non-GAAP adjustments.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net income from net loss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loss</w:t>
            </w:r>
          </w:p>
        </w:tc>
        <w:tc>
          <w:tcPr>
            <w:tcW w:w="11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3,424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12,270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6,343</w:t>
            </w:r>
          </w:p>
        </w:tc>
        <w:tc>
          <w:tcPr>
            <w:tcW w:w="240" w:type="dxa"/>
            <w:vAlign w:val="bottom"/>
          </w:tcPr>
          <w:p>
            <w:pPr>
              <w:spacing w:after="0"/>
              <w:rPr>
                <w:sz w:val="19"/>
                <w:szCs w:val="19"/>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Fair value losses on convertible notes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1,426</w:t>
            </w:r>
          </w:p>
        </w:tc>
        <w:tc>
          <w:tcPr>
            <w:tcW w:w="240" w:type="dxa"/>
            <w:vAlign w:val="bottom"/>
          </w:tcPr>
          <w:p>
            <w:pPr>
              <w:spacing w:after="0"/>
              <w:rPr>
                <w:sz w:val="19"/>
                <w:szCs w:val="19"/>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(849)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(880)</w:t>
            </w: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4</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7</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8</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20"/>
                <w:szCs w:val="20"/>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diluted adjusted net income per ADS for the periods indicated are calculated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35"/>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735"/>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Adjusted 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Denominator for net loss per ADS - Weighted average</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97,110,704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83,847,077</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95,924,233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74,377,252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40" w:type="dxa"/>
            <w:vAlign w:val="bottom"/>
          </w:tcPr>
          <w:p>
            <w:pPr>
              <w:spacing w:after="0"/>
              <w:rPr>
                <w:sz w:val="20"/>
                <w:szCs w:val="20"/>
                <w:color w:val="auto"/>
              </w:rPr>
            </w:pPr>
            <w:r>
              <w:rPr>
                <w:rFonts w:ascii="Arial" w:cs="Arial" w:eastAsia="Arial" w:hAnsi="Arial"/>
                <w:sz w:val="18"/>
                <w:szCs w:val="18"/>
                <w:color w:val="auto"/>
              </w:rPr>
              <w:t>Denominator for diluted adjusted net income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 Weighted average 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102,437,548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90,085,165</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101,251,077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80,615,340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0"/>
                <w:szCs w:val="20"/>
                <w:color w:val="auto"/>
              </w:rPr>
            </w:pPr>
            <w:r>
              <w:rPr>
                <w:rFonts w:ascii="Arial" w:cs="Arial" w:eastAsia="Arial" w:hAnsi="Arial"/>
                <w:sz w:val="18"/>
                <w:szCs w:val="18"/>
                <w:color w:val="auto"/>
              </w:rPr>
              <w:t>Diluted net loss per ADS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loss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Diluted adjusted net income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5"/>
      <w:numFmt w:val="bullet"/>
      <w:start w:val="1"/>
    </w:lvl>
  </w:abstractNum>
  <w:abstractNum w:abstractNumId="6">
    <w:nsid w:val="79E2A9E3"/>
    <w:multiLevelType w:val="hybridMultilevel"/>
    <w:lvl w:ilvl="0">
      <w:lvlJc w:val="left"/>
      <w:lvlText w:val="6"/>
      <w:numFmt w:val="bullet"/>
      <w:start w:val="1"/>
    </w:lvl>
  </w:abstractNum>
  <w:abstractNum w:abstractNumId="7">
    <w:nsid w:val="7545E146"/>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2021-11-30T15:02:59Z</dcterms:created>
  <dcterms:modified xsi:type="dcterms:W3CDTF">2021-11-30T15:02:59Z</dcterms:modified>
</cp:coreProperties>
</file>