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4"/>
          <w:szCs w:val="24"/>
          <w:color w:val="auto"/>
        </w:rPr>
      </w:pPr>
    </w:p>
    <w:p>
      <w:pPr>
        <w:jc w:val="center"/>
        <w:ind w:right="-183"/>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4"/>
          <w:szCs w:val="24"/>
          <w:color w:val="auto"/>
        </w:rPr>
      </w:pPr>
    </w:p>
    <w:p>
      <w:pPr>
        <w:jc w:val="center"/>
        <w:ind w:right="-183"/>
        <w:spacing w:after="0"/>
        <w:rPr>
          <w:sz w:val="20"/>
          <w:szCs w:val="20"/>
          <w:color w:val="auto"/>
        </w:rPr>
      </w:pPr>
      <w:r>
        <w:rPr>
          <w:rFonts w:ascii="Arial" w:cs="Arial" w:eastAsia="Arial" w:hAnsi="Arial"/>
          <w:sz w:val="18"/>
          <w:szCs w:val="18"/>
          <w:color w:val="auto"/>
        </w:rPr>
        <w:t>663 King’s Road, Quarry Bay</w:t>
      </w:r>
    </w:p>
    <w:p>
      <w:pPr>
        <w:spacing w:after="0" w:line="9" w:lineRule="exact"/>
        <w:rPr>
          <w:sz w:val="24"/>
          <w:szCs w:val="24"/>
          <w:color w:val="auto"/>
        </w:rPr>
      </w:pPr>
    </w:p>
    <w:p>
      <w:pPr>
        <w:jc w:val="center"/>
        <w:ind w:right="-183"/>
        <w:spacing w:after="0"/>
        <w:rPr>
          <w:sz w:val="20"/>
          <w:szCs w:val="20"/>
          <w:color w:val="auto"/>
        </w:rPr>
      </w:pPr>
      <w:r>
        <w:rPr>
          <w:rFonts w:ascii="Arial" w:cs="Arial" w:eastAsia="Arial" w:hAnsi="Arial"/>
          <w:sz w:val="18"/>
          <w:szCs w:val="18"/>
          <w:color w:val="auto"/>
        </w:rPr>
        <w:t>Hong Kong S.A.R., People’s Republic of China</w:t>
      </w:r>
    </w:p>
    <w:p>
      <w:pPr>
        <w:spacing w:after="0" w:line="9" w:lineRule="exact"/>
        <w:rPr>
          <w:sz w:val="24"/>
          <w:szCs w:val="24"/>
          <w:color w:val="auto"/>
        </w:rPr>
      </w:pPr>
    </w:p>
    <w:p>
      <w:pPr>
        <w:jc w:val="center"/>
        <w:ind w:right="-183"/>
        <w:spacing w:after="0"/>
        <w:rPr>
          <w:sz w:val="20"/>
          <w:szCs w:val="20"/>
          <w:color w:val="auto"/>
        </w:rPr>
      </w:pPr>
      <w:r>
        <w:rPr>
          <w:rFonts w:ascii="Arial" w:cs="Arial" w:eastAsia="Arial" w:hAnsi="Arial"/>
          <w:sz w:val="18"/>
          <w:szCs w:val="18"/>
          <w:color w:val="auto"/>
        </w:rPr>
        <w:t>+852 3700 9000</w:t>
      </w:r>
    </w:p>
    <w:p>
      <w:pPr>
        <w:spacing w:after="0" w:line="234" w:lineRule="exact"/>
        <w:rPr>
          <w:sz w:val="24"/>
          <w:szCs w:val="24"/>
          <w:color w:val="auto"/>
        </w:rPr>
      </w:pPr>
    </w:p>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7" w:lineRule="exact"/>
        <w:rPr>
          <w:sz w:val="24"/>
          <w:szCs w:val="24"/>
          <w:color w:val="auto"/>
        </w:rPr>
      </w:pPr>
    </w:p>
    <w:p>
      <w:pPr>
        <w:ind w:left="5744"/>
        <w:spacing w:after="0"/>
        <w:rPr>
          <w:sz w:val="20"/>
          <w:szCs w:val="20"/>
          <w:color w:val="auto"/>
        </w:rPr>
      </w:pPr>
      <w:r>
        <w:rPr>
          <w:rFonts w:ascii="Arial" w:cs="Arial" w:eastAsia="Arial" w:hAnsi="Arial"/>
          <w:sz w:val="18"/>
          <w:szCs w:val="18"/>
          <w:color w:val="auto"/>
        </w:rPr>
        <w:t>July 29, 2020</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iClick Interactive Asia Group Limited</w:t>
      </w:r>
    </w:p>
    <w:p>
      <w:pPr>
        <w:spacing w:after="0" w:line="27"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Registration Statement on Form F-3</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Filed July 21, 2020</w:t>
      </w:r>
    </w:p>
    <w:p>
      <w:pPr>
        <w:spacing w:after="0" w:line="9" w:lineRule="exact"/>
        <w:rPr>
          <w:sz w:val="24"/>
          <w:szCs w:val="24"/>
          <w:color w:val="auto"/>
        </w:rPr>
      </w:pPr>
    </w:p>
    <w:p>
      <w:pPr>
        <w:ind w:left="984"/>
        <w:spacing w:after="0"/>
        <w:rPr>
          <w:sz w:val="20"/>
          <w:szCs w:val="20"/>
          <w:color w:val="auto"/>
        </w:rPr>
      </w:pPr>
      <w:r>
        <w:rPr>
          <w:rFonts w:ascii="Arial" w:cs="Arial" w:eastAsia="Arial" w:hAnsi="Arial"/>
          <w:sz w:val="18"/>
          <w:szCs w:val="18"/>
          <w:b w:val="1"/>
          <w:bCs w:val="1"/>
          <w:color w:val="auto"/>
        </w:rPr>
        <w:t>File No. 333-239982</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left="4" w:firstLine="440"/>
        <w:spacing w:after="0" w:line="259" w:lineRule="auto"/>
        <w:rPr>
          <w:sz w:val="20"/>
          <w:szCs w:val="20"/>
          <w:color w:val="auto"/>
        </w:rPr>
      </w:pPr>
      <w:r>
        <w:rPr>
          <w:rFonts w:ascii="Arial" w:cs="Arial" w:eastAsia="Arial" w:hAnsi="Arial"/>
          <w:sz w:val="18"/>
          <w:szCs w:val="18"/>
          <w:color w:val="auto"/>
        </w:rPr>
        <w:t>Pursuant to Rule 461 under the Securities Act of 1933, as amended, we hereby request acceleration by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the effective date of the above-referenced Registration Statement on Form F-3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of iClick Interactive Asia Group Limited (the “</w:t>
      </w:r>
      <w:r>
        <w:rPr>
          <w:rFonts w:ascii="Arial" w:cs="Arial" w:eastAsia="Arial" w:hAnsi="Arial"/>
          <w:sz w:val="18"/>
          <w:szCs w:val="18"/>
          <w:u w:val="single" w:color="auto"/>
          <w:color w:val="auto"/>
        </w:rPr>
        <w:t>Registrant</w:t>
      </w:r>
      <w:r>
        <w:rPr>
          <w:rFonts w:ascii="Arial" w:cs="Arial" w:eastAsia="Arial" w:hAnsi="Arial"/>
          <w:sz w:val="18"/>
          <w:szCs w:val="18"/>
          <w:color w:val="auto"/>
        </w:rPr>
        <w:t>”) so that the Registration Statement may become effective at 10:00 a.m., Eastern Daylight Time, on July 31, 2020, or as soon thereafter as practicable.</w:t>
      </w:r>
    </w:p>
    <w:p>
      <w:pPr>
        <w:spacing w:after="0" w:line="187" w:lineRule="exact"/>
        <w:rPr>
          <w:sz w:val="24"/>
          <w:szCs w:val="24"/>
          <w:color w:val="auto"/>
        </w:rPr>
      </w:pPr>
    </w:p>
    <w:p>
      <w:pPr>
        <w:ind w:left="444"/>
        <w:spacing w:after="0"/>
        <w:rPr>
          <w:sz w:val="20"/>
          <w:szCs w:val="20"/>
          <w:color w:val="auto"/>
        </w:rPr>
      </w:pPr>
      <w:r>
        <w:rPr>
          <w:rFonts w:ascii="Arial" w:cs="Arial" w:eastAsia="Arial" w:hAnsi="Arial"/>
          <w:sz w:val="18"/>
          <w:szCs w:val="18"/>
          <w:color w:val="auto"/>
        </w:rPr>
        <w:t>The Registrant hereby acknowledges that:</w:t>
      </w:r>
    </w:p>
    <w:p>
      <w:pPr>
        <w:spacing w:after="0" w:line="131" w:lineRule="exact"/>
        <w:rPr>
          <w:sz w:val="24"/>
          <w:szCs w:val="24"/>
          <w:color w:val="auto"/>
        </w:rPr>
      </w:pPr>
    </w:p>
    <w:p>
      <w:pPr>
        <w:ind w:left="964" w:right="760" w:hanging="532"/>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64" w:right="320" w:hanging="532"/>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64" w:right="680" w:hanging="532"/>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ind w:left="444"/>
        <w:spacing w:after="0"/>
        <w:rPr>
          <w:sz w:val="20"/>
          <w:szCs w:val="20"/>
          <w:color w:val="auto"/>
        </w:rPr>
      </w:pPr>
      <w:r>
        <w:rPr>
          <w:rFonts w:ascii="Arial" w:cs="Arial" w:eastAsia="Arial" w:hAnsi="Arial"/>
          <w:sz w:val="18"/>
          <w:szCs w:val="18"/>
          <w:color w:val="auto"/>
        </w:rPr>
        <w:t>Thank you for your assistance in this matter.</w:t>
      </w:r>
    </w:p>
    <w:p>
      <w:pPr>
        <w:spacing w:after="0" w:line="252"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By: /s/ Terence 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4"/>
          <w:szCs w:val="24"/>
          <w:color w:val="auto"/>
        </w:rPr>
      </w:pPr>
    </w:p>
    <w:p>
      <w:pPr>
        <w:ind w:left="6984"/>
        <w:spacing w:after="0"/>
        <w:rPr>
          <w:sz w:val="20"/>
          <w:szCs w:val="20"/>
          <w:color w:val="auto"/>
        </w:rPr>
      </w:pPr>
      <w:r>
        <w:rPr>
          <w:rFonts w:ascii="Arial" w:cs="Arial" w:eastAsia="Arial" w:hAnsi="Arial"/>
          <w:sz w:val="18"/>
          <w:szCs w:val="18"/>
          <w:color w:val="auto"/>
        </w:rPr>
        <w:t>Name: Terence Li</w:t>
      </w:r>
    </w:p>
    <w:p>
      <w:pPr>
        <w:spacing w:after="0" w:line="23" w:lineRule="exact"/>
        <w:rPr>
          <w:sz w:val="24"/>
          <w:szCs w:val="24"/>
          <w:color w:val="auto"/>
        </w:rPr>
      </w:pPr>
    </w:p>
    <w:p>
      <w:pPr>
        <w:ind w:left="6984"/>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4"/>
          <w:szCs w:val="24"/>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Shuang Zhao, Partner</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Cleary Gottlieb Steen &amp; Hamilton LLP</w:t>
      </w:r>
    </w:p>
    <w:sectPr>
      <w:pgSz w:w="11900" w:h="16838" w:orient="portrait"/>
      <w:cols w:equalWidth="0" w:num="1">
        <w:col w:w="10844"/>
      </w:cols>
      <w:pgMar w:left="436" w:top="22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2020-08-28T23:43:15Z</dcterms:created>
  <dcterms:modified xsi:type="dcterms:W3CDTF">2020-08-28T23:43:15Z</dcterms:modified>
</cp:coreProperties>
</file>