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May 2021</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747395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4"/>
                <w:szCs w:val="14"/>
                <w:color w:val="auto"/>
              </w:rPr>
            </w:pPr>
          </w:p>
        </w:tc>
        <w:tc>
          <w:tcPr>
            <w:tcW w:w="940" w:type="dxa"/>
            <w:vAlign w:val="bottom"/>
            <w:tcBorders>
              <w:top w:val="single" w:sz="8" w:color="auto"/>
              <w:bottom w:val="single" w:sz="8" w:color="0000EE"/>
            </w:tcBorders>
          </w:tcPr>
          <w:p>
            <w:pPr>
              <w:ind w:left="20"/>
              <w:spacing w:after="0" w:line="169" w:lineRule="exact"/>
              <w:rPr>
                <w:rFonts w:ascii="Arial" w:cs="Arial" w:eastAsia="Arial" w:hAnsi="Arial"/>
                <w:sz w:val="18"/>
                <w:szCs w:val="18"/>
                <w:color w:val="0000EE"/>
                <w:w w:val="81"/>
              </w:rPr>
            </w:pPr>
            <w:hyperlink w:anchor="page4">
              <w:r>
                <w:rPr>
                  <w:rFonts w:ascii="Arial" w:cs="Arial" w:eastAsia="Arial" w:hAnsi="Arial"/>
                  <w:sz w:val="18"/>
                  <w:szCs w:val="18"/>
                  <w:color w:val="0000EE"/>
                  <w:w w:val="81"/>
                </w:rPr>
                <w:t>Press release</w:t>
              </w:r>
            </w:hyperlink>
          </w:p>
        </w:tc>
        <w:tc>
          <w:tcPr>
            <w:tcW w:w="9060" w:type="dxa"/>
            <w:vAlign w:val="bottom"/>
            <w:tcBorders>
              <w:top w:val="single" w:sz="8" w:color="auto"/>
            </w:tcBorders>
          </w:tcPr>
          <w:p>
            <w:pPr>
              <w:spacing w:after="0"/>
              <w:rPr>
                <w:sz w:val="14"/>
                <w:szCs w:val="1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26,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90805</wp:posOffset>
            </wp:positionV>
            <wp:extent cx="1534160"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16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4" w:lineRule="exact"/>
        <w:rPr>
          <w:sz w:val="20"/>
          <w:szCs w:val="20"/>
          <w:color w:val="auto"/>
        </w:rPr>
      </w:pPr>
    </w:p>
    <w:p>
      <w:pPr>
        <w:jc w:val="center"/>
        <w:ind w:right="60"/>
        <w:spacing w:after="0"/>
        <w:rPr>
          <w:sz w:val="20"/>
          <w:szCs w:val="20"/>
          <w:color w:val="auto"/>
        </w:rPr>
      </w:pPr>
      <w:r>
        <w:rPr>
          <w:rFonts w:ascii="Arial" w:cs="Arial" w:eastAsia="Arial" w:hAnsi="Arial"/>
          <w:sz w:val="27"/>
          <w:szCs w:val="27"/>
          <w:b w:val="1"/>
          <w:bCs w:val="1"/>
          <w:color w:val="auto"/>
        </w:rPr>
        <w:t>iClick Interactive Asia Group Limited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Reports 2021 First-Quarter Unaudited Financial Results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Record first quarter financial results -</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20"/>
          <w:szCs w:val="20"/>
          <w:i w:val="1"/>
          <w:iCs w:val="1"/>
          <w:color w:val="auto"/>
        </w:rPr>
        <w:t>- Enterprise Solutions achieves sixth consecutive quarter of record results -</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Hong Kong, May 26, 2021 </w:t>
      </w:r>
      <w:r>
        <w:rPr>
          <w:rFonts w:ascii="Arial" w:cs="Arial" w:eastAsia="Arial" w:hAnsi="Arial"/>
          <w:sz w:val="20"/>
          <w:szCs w:val="20"/>
          <w:color w:val="auto"/>
        </w:rPr>
        <w:t>-- iClick Interactive Asia Group Limited (“iClick” or the “Company”) (Nasdaq: ICLK), a leading enterprise and</w:t>
      </w:r>
      <w:r>
        <w:rPr>
          <w:rFonts w:ascii="Arial" w:cs="Arial" w:eastAsia="Arial" w:hAnsi="Arial"/>
          <w:sz w:val="20"/>
          <w:szCs w:val="20"/>
          <w:b w:val="1"/>
          <w:bCs w:val="1"/>
          <w:color w:val="auto"/>
        </w:rPr>
        <w:t xml:space="preserve"> </w:t>
      </w:r>
      <w:r>
        <w:rPr>
          <w:rFonts w:ascii="Arial" w:cs="Arial" w:eastAsia="Arial" w:hAnsi="Arial"/>
          <w:sz w:val="20"/>
          <w:szCs w:val="20"/>
          <w:color w:val="auto"/>
        </w:rPr>
        <w:t>marketing cloud platform in China that empowers worldwide brands with full-stack consumer lifecycle solutions, today announced unaudited financial results for the first quarter ended March 31, 2021.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30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60" w:type="dxa"/>
            <w:vAlign w:val="bottom"/>
          </w:tcPr>
          <w:p>
            <w:pPr>
              <w:spacing w:after="0"/>
              <w:rPr>
                <w:sz w:val="11"/>
                <w:szCs w:val="11"/>
                <w:color w:val="auto"/>
              </w:rPr>
            </w:pPr>
          </w:p>
        </w:tc>
        <w:tc>
          <w:tcPr>
            <w:tcW w:w="14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1"/>
                <w:szCs w:val="11"/>
                <w:color w:val="auto"/>
              </w:rPr>
            </w:pPr>
          </w:p>
        </w:tc>
        <w:tc>
          <w:tcPr>
            <w:tcW w:w="14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473"/>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6460" w:type="dxa"/>
            <w:vAlign w:val="bottom"/>
            <w:vMerge w:val="restart"/>
          </w:tcPr>
          <w:p>
            <w:pPr>
              <w:spacing w:after="0"/>
              <w:rPr>
                <w:sz w:val="20"/>
                <w:szCs w:val="20"/>
                <w:color w:val="auto"/>
              </w:rPr>
            </w:pPr>
            <w:r>
              <w:rPr>
                <w:rFonts w:ascii="Arial" w:cs="Arial" w:eastAsia="Arial" w:hAnsi="Arial"/>
                <w:sz w:val="14"/>
                <w:szCs w:val="14"/>
                <w:i w:val="1"/>
                <w:iCs w:val="1"/>
                <w:color w:val="auto"/>
              </w:rPr>
              <w:t>(US$ in thousands)</w:t>
            </w:r>
          </w:p>
        </w:tc>
        <w:tc>
          <w:tcPr>
            <w:tcW w:w="14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646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i w:val="1"/>
                <w:iCs w:val="1"/>
                <w:color w:val="auto"/>
              </w:rPr>
              <w:t>(Unaudited)</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Financial Metrics:</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Revenue</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Marketing Solutions</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54,838</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44,632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Enterprise Solutions</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11,722</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4,403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Total revenue</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66,560</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49,035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Gross profit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19,548</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13,263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spacing w:after="0"/>
              <w:rPr>
                <w:sz w:val="20"/>
                <w:szCs w:val="20"/>
                <w:color w:val="auto"/>
              </w:rPr>
            </w:pPr>
            <w:r>
              <w:rPr>
                <w:rFonts w:ascii="Arial" w:cs="Arial" w:eastAsia="Arial" w:hAnsi="Arial"/>
                <w:sz w:val="18"/>
                <w:szCs w:val="18"/>
                <w:color w:val="auto"/>
              </w:rPr>
              <w:t>(7,470)</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17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3,630</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2,350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1</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6460" w:type="dxa"/>
            <w:vAlign w:val="bottom"/>
          </w:tcPr>
          <w:p>
            <w:pPr>
              <w:spacing w:after="0"/>
              <w:rPr>
                <w:sz w:val="20"/>
                <w:szCs w:val="20"/>
                <w:color w:val="auto"/>
              </w:rPr>
            </w:pPr>
            <w:r>
              <w:rPr>
                <w:rFonts w:ascii="Arial" w:cs="Arial" w:eastAsia="Arial" w:hAnsi="Arial"/>
                <w:sz w:val="18"/>
                <w:szCs w:val="18"/>
                <w:color w:val="auto"/>
              </w:rPr>
              <w:t>Diluted adjusted net income per ADS</w:t>
            </w:r>
            <w:r>
              <w:rPr>
                <w:rFonts w:ascii="Arial" w:cs="Arial" w:eastAsia="Arial" w:hAnsi="Arial"/>
                <w:sz w:val="15"/>
                <w:szCs w:val="15"/>
                <w:color w:val="auto"/>
              </w:rPr>
              <w:t>1</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0.0065</w:t>
            </w:r>
          </w:p>
        </w:tc>
        <w:tc>
          <w:tcPr>
            <w:tcW w:w="16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0.0077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Operating Metrics:</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Gross billing</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199,956</w:t>
            </w:r>
          </w:p>
        </w:tc>
        <w:tc>
          <w:tcPr>
            <w:tcW w:w="16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157,996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Jian “T.J.” Tang, Chief Executive Officer and Co-Founder of iClick, said: “The momentum we enjoyed last year has continued into the first quarter of 2021. We recorded the highest revenue, gross profit, adjusted EBITDA and adjusted net income of any first quarter in our history. This strong set of results was driven by increasing demand for our data-driven solutions which are helping brands to connect effectively and efficiently with consumers amidst the offline-to-online digital transformation occurring in China, despite some lingering effects of the coronavirus pandemic on advertisement spending.”</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“Enterprise Solutions had record results for the sixth consecutive quarter with revenue of US$11.7 million representing 166% year-over-year growth, and Marketing Solutions maintained healthy growth, with revenues increasing by 23% year-over-year to US$54.8 million. We are pleased to share that Enterprise Solutions accounted for roughly 18% of our total revenue this past quarter, the highest percentage in our history, further demonstrating both the strong market demand and our solid execution capability. Furthermore, our adjusted EBITDA grew 54% and our adjusted net income grew 17% year-over-year, as we benefit from the operating leverage arising from the strong economies of scale in our Marketing Solutions business. Investing in and growing our SaaS-based Enterprise Solutions is a key strategic focus for this year and we are making good progress in meeting this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040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71"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1"/>
          <w:szCs w:val="11"/>
          <w:color w:val="auto"/>
        </w:rPr>
      </w:pPr>
      <w:r>
        <w:rPr>
          <w:rFonts w:ascii="Arial" w:cs="Arial" w:eastAsia="Arial" w:hAnsi="Arial"/>
          <w:sz w:val="13"/>
          <w:szCs w:val="13"/>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60" w:lineRule="auto"/>
        <w:rPr>
          <w:sz w:val="20"/>
          <w:szCs w:val="20"/>
          <w:color w:val="auto"/>
        </w:rPr>
      </w:pPr>
      <w:r>
        <w:rPr>
          <w:rFonts w:ascii="Arial" w:cs="Arial" w:eastAsia="Arial" w:hAnsi="Arial"/>
          <w:sz w:val="19"/>
          <w:szCs w:val="19"/>
          <w:color w:val="auto"/>
        </w:rPr>
        <w:t>“The pace of integration in our strategic partnership with Baozun continues to be encouraging and we are working on several pilot-case clients. Our joint goal is to offer a comprehensive private domain e-commerce solution consolidating iClick’s front-end SaaS tools and data management capabilities with Baozun’s core strengths in e-commerce operations and back-end infrastructure for key account clients looking to unlock the huge smart retail market in China. We expect the potential synergies of partnering with Baozun to be significant, and we are already enjoying some cross-selling success and exploring a number of target industry verticals.</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“Penetrating the mid-end client segment is also a priority for 2021. To this end, we have already launched a series of SaaS-based standard products to address client needs for digital transformation. We have received positive initial feedback and look forward to accelerating our market penetration. We also recently introduced iSmartGo, a standard cross-border e-commerce solution to help foreign brands looking to tap into the enormous Chinese consumer market.</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are very well positioned to capitalize on the ongoing digital transformation in China. With the help of our employees and the support of our shareholders, we expect to capture additional market share and continue to produce sustainable growth in the quarters ahead both organically and through strategic acquisitions and partnerships.”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2021 Results:</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for the first quarter of 2021 grew to US$66.5 million, up 36% from US$49.0 million for the same period of the prior year,</w:t>
      </w:r>
      <w:r>
        <w:rPr>
          <w:rFonts w:ascii="Arial" w:cs="Arial" w:eastAsia="Arial" w:hAnsi="Arial"/>
          <w:sz w:val="20"/>
          <w:szCs w:val="20"/>
          <w:b w:val="1"/>
          <w:bCs w:val="1"/>
          <w:color w:val="auto"/>
        </w:rPr>
        <w:t xml:space="preserve"> </w:t>
      </w:r>
      <w:r>
        <w:rPr>
          <w:rFonts w:ascii="Arial" w:cs="Arial" w:eastAsia="Arial" w:hAnsi="Arial"/>
          <w:sz w:val="20"/>
          <w:szCs w:val="20"/>
          <w:color w:val="auto"/>
        </w:rPr>
        <w:t>attributable to the increase in contributions from existing Marketing Solutions and Enterprise Solutions.</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grew to US$54.8 million for the first quarter of 2021, up 23% from US$44.6 million for the first quarter</w:t>
      </w:r>
      <w:r>
        <w:rPr>
          <w:rFonts w:ascii="Arial" w:cs="Arial" w:eastAsia="Arial" w:hAnsi="Arial"/>
          <w:sz w:val="20"/>
          <w:szCs w:val="20"/>
          <w:i w:val="1"/>
          <w:iCs w:val="1"/>
          <w:color w:val="auto"/>
        </w:rPr>
        <w:t xml:space="preserve"> </w:t>
      </w:r>
      <w:r>
        <w:rPr>
          <w:rFonts w:ascii="Arial" w:cs="Arial" w:eastAsia="Arial" w:hAnsi="Arial"/>
          <w:sz w:val="20"/>
          <w:szCs w:val="20"/>
          <w:color w:val="auto"/>
        </w:rPr>
        <w:t>of 2020, primarily as a result of growing market demand from specified action marketing campaigns.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Revenue from Enterprise Solutions </w:t>
      </w:r>
      <w:r>
        <w:rPr>
          <w:rFonts w:ascii="Arial" w:cs="Arial" w:eastAsia="Arial" w:hAnsi="Arial"/>
          <w:sz w:val="20"/>
          <w:szCs w:val="20"/>
          <w:color w:val="auto"/>
        </w:rPr>
        <w:t>was US$11.7 million for the first quarter of 2021, up approximately 166% from US$4.4 million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first quarter of 2020, primarily due to the increasing need for online and offline consumer behavior data integration and digital transformation.</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the first quarter of 2021 was US$19.5 million, representing a 47% increase compared with US$13.3 million for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2020, mainly due to continued expansion of the Company’s Marketing Solutions and contribution from higher-margin Enterprise Solutions.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were US$25.9 million for the first quarter of 2021, compared with US$15.3 million for the first quarter of 2020</w:t>
      </w:r>
      <w:r>
        <w:rPr>
          <w:rFonts w:ascii="Arial" w:cs="Arial" w:eastAsia="Arial" w:hAnsi="Arial"/>
          <w:sz w:val="20"/>
          <w:szCs w:val="20"/>
          <w:b w:val="1"/>
          <w:bCs w:val="1"/>
          <w:color w:val="auto"/>
        </w:rPr>
        <w:t xml:space="preserve"> </w:t>
      </w:r>
      <w:r>
        <w:rPr>
          <w:rFonts w:ascii="Arial" w:cs="Arial" w:eastAsia="Arial" w:hAnsi="Arial"/>
          <w:sz w:val="20"/>
          <w:szCs w:val="20"/>
          <w:color w:val="auto"/>
        </w:rPr>
        <w:t>and mainly attributed to the increase in share-based compensation expense as included in sales and marketing expenses by US$6.4 million and the incremental operating expenses incurred for expansion of business scale.</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was US$6.4 million for the first quarter of 2021, compared with an operating loss of US$2.1 million for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2020, as a result of the increase in share-based compensation expense as included in sales and marketing expenses by US$6.4 million and the incremental operating expenses incurred for expansion of business scale, which was partially offset by the strong growth in gross profit.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totalled US $7.5 million for the first quarter of 2021, compared with net loss of US$8.4 million for the first quarter of 2020. This was</w:t>
      </w:r>
      <w:r>
        <w:rPr>
          <w:rFonts w:ascii="Arial" w:cs="Arial" w:eastAsia="Arial" w:hAnsi="Arial"/>
          <w:sz w:val="19"/>
          <w:szCs w:val="19"/>
          <w:b w:val="1"/>
          <w:bCs w:val="1"/>
          <w:color w:val="auto"/>
        </w:rPr>
        <w:t xml:space="preserve"> </w:t>
      </w:r>
      <w:r>
        <w:rPr>
          <w:rFonts w:ascii="Arial" w:cs="Arial" w:eastAsia="Arial" w:hAnsi="Arial"/>
          <w:sz w:val="19"/>
          <w:szCs w:val="19"/>
          <w:color w:val="auto"/>
        </w:rPr>
        <w:t>mainly because the Company recorded the fair value losses of derivative liabilities and convertible notes of US$3.6 million and US$2.5 million, respectively, in the first quarter of 2020, which was partially offset by the increase in operating loss.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loss attributable to the Company’s shareholders per basic and diluted ADS for the first quarter of 2021 were US$0.0751, compared with a net loss per basic and diluted ADS of US$0.1201 for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 w:name="page6"/>
    <w:bookmarkEnd w:id="5"/>
    <w:p>
      <w:pPr>
        <w:jc w:val="both"/>
        <w:spacing w:after="0" w:line="252"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for the first quarter of 2021 was US$3.6 million, compared with US$2.4 million for the first quarter of 2020. For a</w:t>
      </w:r>
      <w:r>
        <w:rPr>
          <w:rFonts w:ascii="Arial" w:cs="Arial" w:eastAsia="Arial" w:hAnsi="Arial"/>
          <w:sz w:val="20"/>
          <w:szCs w:val="20"/>
          <w:b w:val="1"/>
          <w:bCs w:val="1"/>
          <w:color w:val="auto"/>
        </w:rPr>
        <w:t xml:space="preserve"> </w:t>
      </w:r>
      <w:r>
        <w:rPr>
          <w:rFonts w:ascii="Arial" w:cs="Arial" w:eastAsia="Arial" w:hAnsi="Arial"/>
          <w:sz w:val="20"/>
          <w:szCs w:val="20"/>
          <w:color w:val="auto"/>
        </w:rPr>
        <w:t>reconciliation of the Company’s adjusted EBITDA from net loss, its most comparable GAAP measure, please refer to “Unaudited Reconciliations of GAAP and Non-GAAP Results.”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for the first quarter of 2021 was US$0.6 million, compared with an adjusted net income of US$0.6 million in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2020. For a reconciliation of the Company’s adjusted net income from net loss, its most comparable GAAP measure, please refer to “Unaudited Reconciliations of GAAP and Non-GAAP Results.”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was US$200.0 million for the first quarter of 2021, representing a 27% increase compared with US$158.0 million for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2020, primarily a result of increasing marketers’ demand especially from verticals of banking and finance, online education and training, and personal care and beauty.</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March 31, 2021, the Company had cash and cash equivalents, time deposits and restricted cash of US$100.2 million, compared with US$94.5 million as of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December 10, 2020, the Company announced a share repurchase program in which it may purchase its own ADSs with an aggregate value of up to US$15.0 million from December 30, 2020 to December 31, 2021. As of March 31, 2021, the aggregate value of purchased shares was approximately US$1.1 million.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Based on the information available as of the date of this press release, iClick provides the following outlook for the second quarter of 2021 and for the full year 2021: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2021:</w:t>
      </w:r>
    </w:p>
    <w:p>
      <w:pPr>
        <w:spacing w:after="0" w:line="108" w:lineRule="exact"/>
        <w:rPr>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 is estimated to be between US$72 million and US$77 million.</w:t>
      </w:r>
    </w:p>
    <w:p>
      <w:pPr>
        <w:spacing w:after="0" w:line="15"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 from Enterprise Solutions is estimated to be between US$12 million and US$13 million.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Full Year 2021:</w:t>
      </w:r>
    </w:p>
    <w:p>
      <w:pPr>
        <w:spacing w:after="0" w:line="108" w:lineRule="exact"/>
        <w:rPr>
          <w:sz w:val="20"/>
          <w:szCs w:val="20"/>
          <w:color w:val="auto"/>
        </w:rPr>
      </w:pP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is revised upward to be between US$318 million and US$338 million.</w:t>
      </w:r>
    </w:p>
    <w:p>
      <w:pPr>
        <w:spacing w:after="0" w:line="15" w:lineRule="exact"/>
        <w:rPr>
          <w:rFonts w:ascii="Arial" w:cs="Arial" w:eastAsia="Arial" w:hAnsi="Arial"/>
          <w:sz w:val="20"/>
          <w:szCs w:val="20"/>
          <w:color w:val="auto"/>
        </w:rPr>
      </w:pPr>
    </w:p>
    <w:p>
      <w:pPr>
        <w:ind w:left="400" w:hanging="392"/>
        <w:spacing w:after="0" w:line="222" w:lineRule="auto"/>
        <w:tabs>
          <w:tab w:leader="none" w:pos="400" w:val="left"/>
        </w:tabs>
        <w:numPr>
          <w:ilvl w:val="0"/>
          <w:numId w:val="3"/>
        </w:numPr>
        <w:rPr>
          <w:rFonts w:ascii="Arial" w:cs="Arial" w:eastAsia="Arial" w:hAnsi="Arial"/>
          <w:sz w:val="22"/>
          <w:szCs w:val="22"/>
          <w:color w:val="auto"/>
        </w:rPr>
      </w:pPr>
      <w:r>
        <w:rPr>
          <w:rFonts w:ascii="Arial" w:cs="Arial" w:eastAsia="Arial" w:hAnsi="Arial"/>
          <w:sz w:val="20"/>
          <w:szCs w:val="20"/>
          <w:color w:val="auto"/>
        </w:rPr>
        <w:t>Revenue from Enterprise Solutions is revised upward to be between US$62 million and US$68 million.</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noted that the advertising budgets for our clients continued to recover during the first quarter, as a result of the relaxation of restrictions on economic and social life due to a slowdown of COVID-19 cases in China. Based on the current commercial environment, we anticipate that brands may allocate more of their advertising budgets to mobile and online targeted marketing, with the potential to benefit our mobile and performance-focused Marketing Solutions business. Brands may also see the importance of online and offline consumer behavioural data integration and analysis, which may favour our Enterprise Solutions business in the long run.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2040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2"/>
          <w:szCs w:val="12"/>
          <w:color w:val="auto"/>
        </w:rPr>
      </w:pPr>
      <w:r>
        <w:rPr>
          <w:rFonts w:ascii="Arial" w:cs="Arial" w:eastAsia="Arial" w:hAnsi="Arial"/>
          <w:sz w:val="14"/>
          <w:szCs w:val="14"/>
          <w:color w:val="auto"/>
        </w:rPr>
        <w:t>Gross billing is defined as the aggregate dollar amount that clients pay the Company after deducting rebates paid and discounts given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both"/>
        <w:spacing w:after="0" w:line="258" w:lineRule="auto"/>
        <w:rPr>
          <w:sz w:val="20"/>
          <w:szCs w:val="20"/>
          <w:color w:val="auto"/>
        </w:rPr>
      </w:pPr>
      <w:r>
        <w:rPr>
          <w:rFonts w:ascii="Arial" w:cs="Arial" w:eastAsia="Arial" w:hAnsi="Arial"/>
          <w:sz w:val="19"/>
          <w:szCs w:val="19"/>
          <w:color w:val="auto"/>
        </w:rPr>
        <w:t>With iClick’s diversified customer base of stable, top-tier brands and ongoing government efforts to contain the spread of the coronavirus amid the rollout of vaccine, we remain cautiously optimistic for 2021. However, outbreaks of COVID-19 around the world may continue to impact market conditions and potentially trigger a longer period of global economic slowdown. This could affect the overall sentiment and advertising budgets of our branding customers, which in turn may impact our Marketing Solution business in the short term. The rapid development and fluidity of the current situation precludes any prediction as to the ultimate adverse impact of COVID-19. Management will continue to closely monitor the outbreak’s impact on our operations and financial results this year and will particularly focus on business retention and accounts receivable recoverability.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Company will host an earnings conference call at 8:00 AM U.S. Eastern Time on May 26, 2021 (8:00 PM Beijing/Hong Kong time on May 26, 2021). A live and archived webcast of the conference call will be available on iClick’s investor relations website at </w:t>
      </w:r>
      <w:r>
        <w:rPr>
          <w:rFonts w:ascii="Arial" w:cs="Arial" w:eastAsia="Arial" w:hAnsi="Arial"/>
          <w:sz w:val="20"/>
          <w:szCs w:val="20"/>
          <w:u w:val="single" w:color="auto"/>
          <w:color w:val="auto"/>
        </w:rPr>
        <w:t>http://ir.i-click.com</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Dial-in details for the conference call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United States:</w:t>
            </w:r>
          </w:p>
        </w:tc>
        <w:tc>
          <w:tcPr>
            <w:tcW w:w="1920" w:type="dxa"/>
            <w:vAlign w:val="bottom"/>
          </w:tcPr>
          <w:p>
            <w:pPr>
              <w:ind w:left="500"/>
              <w:spacing w:after="0"/>
              <w:rPr>
                <w:sz w:val="20"/>
                <w:szCs w:val="20"/>
                <w:color w:val="auto"/>
              </w:rPr>
            </w:pPr>
            <w:r>
              <w:rPr>
                <w:rFonts w:ascii="Arial" w:cs="Arial" w:eastAsia="Arial" w:hAnsi="Arial"/>
                <w:sz w:val="20"/>
                <w:szCs w:val="20"/>
                <w:color w:val="auto"/>
                <w:w w:val="90"/>
              </w:rPr>
              <w:t>+1-888-346-8982</w:t>
            </w:r>
          </w:p>
        </w:tc>
      </w:tr>
      <w:tr>
        <w:trPr>
          <w:trHeight w:val="229"/>
        </w:trPr>
        <w:tc>
          <w:tcPr>
            <w:tcW w:w="1840" w:type="dxa"/>
            <w:vAlign w:val="bottom"/>
          </w:tcPr>
          <w:p>
            <w:pPr>
              <w:spacing w:after="0"/>
              <w:rPr>
                <w:sz w:val="20"/>
                <w:szCs w:val="20"/>
                <w:color w:val="auto"/>
              </w:rPr>
            </w:pPr>
            <w:r>
              <w:rPr>
                <w:rFonts w:ascii="Arial" w:cs="Arial" w:eastAsia="Arial" w:hAnsi="Arial"/>
                <w:sz w:val="20"/>
                <w:szCs w:val="20"/>
                <w:color w:val="auto"/>
              </w:rPr>
              <w:t>International:</w:t>
            </w:r>
          </w:p>
        </w:tc>
        <w:tc>
          <w:tcPr>
            <w:tcW w:w="1920" w:type="dxa"/>
            <w:vAlign w:val="bottom"/>
          </w:tcPr>
          <w:p>
            <w:pPr>
              <w:ind w:left="500"/>
              <w:spacing w:after="0"/>
              <w:rPr>
                <w:sz w:val="20"/>
                <w:szCs w:val="20"/>
                <w:color w:val="auto"/>
              </w:rPr>
            </w:pPr>
            <w:r>
              <w:rPr>
                <w:rFonts w:ascii="Arial" w:cs="Arial" w:eastAsia="Arial" w:hAnsi="Arial"/>
                <w:sz w:val="20"/>
                <w:szCs w:val="20"/>
                <w:color w:val="auto"/>
                <w:w w:val="90"/>
              </w:rPr>
              <w:t>+1-412-902-4272</w:t>
            </w:r>
          </w:p>
        </w:tc>
      </w:t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Hong Kong:</w:t>
            </w:r>
          </w:p>
        </w:tc>
        <w:tc>
          <w:tcPr>
            <w:tcW w:w="1920" w:type="dxa"/>
            <w:vAlign w:val="bottom"/>
          </w:tcPr>
          <w:p>
            <w:pPr>
              <w:ind w:left="500"/>
              <w:spacing w:after="0"/>
              <w:rPr>
                <w:sz w:val="20"/>
                <w:szCs w:val="20"/>
                <w:color w:val="auto"/>
              </w:rPr>
            </w:pPr>
            <w:r>
              <w:rPr>
                <w:rFonts w:ascii="Arial" w:cs="Arial" w:eastAsia="Arial" w:hAnsi="Arial"/>
                <w:sz w:val="20"/>
                <w:szCs w:val="20"/>
                <w:color w:val="auto"/>
                <w:w w:val="88"/>
              </w:rPr>
              <w:t>+852-800-905945</w:t>
            </w:r>
          </w:p>
        </w:tc>
      </w:tr>
      <w:tr>
        <w:trPr>
          <w:trHeight w:val="250"/>
        </w:trPr>
        <w:tc>
          <w:tcPr>
            <w:tcW w:w="1840" w:type="dxa"/>
            <w:vAlign w:val="bottom"/>
          </w:tcPr>
          <w:p>
            <w:pPr>
              <w:spacing w:after="0"/>
              <w:rPr>
                <w:sz w:val="20"/>
                <w:szCs w:val="20"/>
                <w:color w:val="auto"/>
              </w:rPr>
            </w:pPr>
            <w:r>
              <w:rPr>
                <w:rFonts w:ascii="Arial" w:cs="Arial" w:eastAsia="Arial" w:hAnsi="Arial"/>
                <w:sz w:val="20"/>
                <w:szCs w:val="20"/>
                <w:color w:val="auto"/>
              </w:rPr>
              <w:t>Mainland China:</w:t>
            </w:r>
          </w:p>
        </w:tc>
        <w:tc>
          <w:tcPr>
            <w:tcW w:w="1920" w:type="dxa"/>
            <w:vAlign w:val="bottom"/>
          </w:tcPr>
          <w:p>
            <w:pPr>
              <w:ind w:left="500"/>
              <w:spacing w:after="0"/>
              <w:rPr>
                <w:sz w:val="20"/>
                <w:szCs w:val="20"/>
                <w:color w:val="auto"/>
              </w:rPr>
            </w:pPr>
            <w:r>
              <w:rPr>
                <w:rFonts w:ascii="Arial" w:cs="Arial" w:eastAsia="Arial" w:hAnsi="Arial"/>
                <w:sz w:val="20"/>
                <w:szCs w:val="20"/>
                <w:color w:val="auto"/>
                <w:w w:val="88"/>
              </w:rPr>
              <w:t>+86-4001-201203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Participants please ask to join the iClick Interactive Asia Group Limited conference call.</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replay of the conference call will be accessible by phone one hour after the conclusion of the live call at the following numbers, until June 2,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20"/>
                <w:szCs w:val="20"/>
                <w:color w:val="auto"/>
              </w:rPr>
              <w:t>United States:</w:t>
            </w:r>
          </w:p>
        </w:tc>
        <w:tc>
          <w:tcPr>
            <w:tcW w:w="1700" w:type="dxa"/>
            <w:vAlign w:val="bottom"/>
          </w:tcPr>
          <w:p>
            <w:pPr>
              <w:ind w:left="320"/>
              <w:spacing w:after="0"/>
              <w:rPr>
                <w:sz w:val="20"/>
                <w:szCs w:val="20"/>
                <w:color w:val="auto"/>
              </w:rPr>
            </w:pPr>
            <w:r>
              <w:rPr>
                <w:rFonts w:ascii="Arial" w:cs="Arial" w:eastAsia="Arial" w:hAnsi="Arial"/>
                <w:sz w:val="20"/>
                <w:szCs w:val="20"/>
                <w:color w:val="auto"/>
                <w:w w:val="88"/>
              </w:rPr>
              <w:t>+1-877-344-7529</w:t>
            </w:r>
          </w:p>
        </w:tc>
      </w:tr>
      <w:tr>
        <w:trPr>
          <w:trHeight w:val="230"/>
        </w:trPr>
        <w:tc>
          <w:tcPr>
            <w:tcW w:w="2020" w:type="dxa"/>
            <w:vAlign w:val="bottom"/>
          </w:tcPr>
          <w:p>
            <w:pPr>
              <w:spacing w:after="0"/>
              <w:rPr>
                <w:sz w:val="20"/>
                <w:szCs w:val="20"/>
                <w:color w:val="auto"/>
              </w:rPr>
            </w:pPr>
            <w:r>
              <w:rPr>
                <w:rFonts w:ascii="Arial" w:cs="Arial" w:eastAsia="Arial" w:hAnsi="Arial"/>
                <w:sz w:val="20"/>
                <w:szCs w:val="20"/>
                <w:color w:val="auto"/>
              </w:rPr>
              <w:t>International:</w:t>
            </w:r>
          </w:p>
        </w:tc>
        <w:tc>
          <w:tcPr>
            <w:tcW w:w="1700" w:type="dxa"/>
            <w:vAlign w:val="bottom"/>
          </w:tcPr>
          <w:p>
            <w:pPr>
              <w:ind w:left="320"/>
              <w:spacing w:after="0"/>
              <w:rPr>
                <w:sz w:val="20"/>
                <w:szCs w:val="20"/>
                <w:color w:val="auto"/>
              </w:rPr>
            </w:pPr>
            <w:r>
              <w:rPr>
                <w:rFonts w:ascii="Arial" w:cs="Arial" w:eastAsia="Arial" w:hAnsi="Arial"/>
                <w:sz w:val="20"/>
                <w:szCs w:val="20"/>
                <w:color w:val="auto"/>
                <w:w w:val="88"/>
              </w:rPr>
              <w:t>+1-412-317-0088</w:t>
            </w:r>
          </w:p>
        </w:tc>
      </w:tr>
      <w:tr>
        <w:trPr>
          <w:trHeight w:val="230"/>
        </w:trPr>
        <w:tc>
          <w:tcPr>
            <w:tcW w:w="2020" w:type="dxa"/>
            <w:vAlign w:val="bottom"/>
          </w:tcPr>
          <w:p>
            <w:pPr>
              <w:spacing w:after="0"/>
              <w:rPr>
                <w:sz w:val="20"/>
                <w:szCs w:val="20"/>
                <w:color w:val="auto"/>
              </w:rPr>
            </w:pPr>
            <w:r>
              <w:rPr>
                <w:rFonts w:ascii="Arial" w:cs="Arial" w:eastAsia="Arial" w:hAnsi="Arial"/>
                <w:sz w:val="20"/>
                <w:szCs w:val="20"/>
                <w:color w:val="auto"/>
              </w:rPr>
              <w:t>Canada:</w:t>
            </w:r>
          </w:p>
        </w:tc>
        <w:tc>
          <w:tcPr>
            <w:tcW w:w="1700" w:type="dxa"/>
            <w:vAlign w:val="bottom"/>
          </w:tcPr>
          <w:p>
            <w:pPr>
              <w:ind w:left="320"/>
              <w:spacing w:after="0"/>
              <w:rPr>
                <w:sz w:val="20"/>
                <w:szCs w:val="20"/>
                <w:color w:val="auto"/>
              </w:rPr>
            </w:pPr>
            <w:r>
              <w:rPr>
                <w:rFonts w:ascii="Arial" w:cs="Arial" w:eastAsia="Arial" w:hAnsi="Arial"/>
                <w:sz w:val="20"/>
                <w:szCs w:val="20"/>
                <w:color w:val="auto"/>
                <w:w w:val="88"/>
              </w:rPr>
              <w:t>+1-855-669-9658</w:t>
            </w:r>
          </w:p>
        </w:tc>
      </w:tr>
      <w:tr>
        <w:trPr>
          <w:trHeight w:val="250"/>
        </w:trPr>
        <w:tc>
          <w:tcPr>
            <w:tcW w:w="2020" w:type="dxa"/>
            <w:vAlign w:val="bottom"/>
          </w:tcPr>
          <w:p>
            <w:pPr>
              <w:spacing w:after="0"/>
              <w:rPr>
                <w:sz w:val="20"/>
                <w:szCs w:val="20"/>
                <w:color w:val="auto"/>
              </w:rPr>
            </w:pPr>
            <w:r>
              <w:rPr>
                <w:rFonts w:ascii="Arial" w:cs="Arial" w:eastAsia="Arial" w:hAnsi="Arial"/>
                <w:sz w:val="20"/>
                <w:szCs w:val="20"/>
                <w:color w:val="auto"/>
              </w:rPr>
              <w:t>Replay Access Code:</w:t>
            </w:r>
          </w:p>
        </w:tc>
        <w:tc>
          <w:tcPr>
            <w:tcW w:w="1700" w:type="dxa"/>
            <w:vAlign w:val="bottom"/>
          </w:tcPr>
          <w:p>
            <w:pPr>
              <w:ind w:left="320"/>
              <w:spacing w:after="0"/>
              <w:rPr>
                <w:sz w:val="20"/>
                <w:szCs w:val="20"/>
                <w:color w:val="auto"/>
              </w:rPr>
            </w:pPr>
            <w:r>
              <w:rPr>
                <w:rFonts w:ascii="Arial" w:cs="Arial" w:eastAsia="Arial" w:hAnsi="Arial"/>
                <w:sz w:val="20"/>
                <w:szCs w:val="20"/>
                <w:color w:val="auto"/>
              </w:rPr>
              <w:t>24763800</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ten locations across Asia and Europe. For more information, please visit ir.i-click.com.</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uses adjusted EBITDA, adjusted net income, and diluted adjusted net income per ADS, each a non-GAAP financial measure, in evaluating the Company’s operating results and for financial and operational decision-making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spacing w:after="0" w:line="260" w:lineRule="auto"/>
        <w:rPr>
          <w:sz w:val="20"/>
          <w:szCs w:val="20"/>
          <w:color w:val="auto"/>
        </w:rPr>
      </w:pPr>
      <w:r>
        <w:rPr>
          <w:rFonts w:ascii="Arial" w:cs="Arial" w:eastAsia="Arial" w:hAnsi="Arial"/>
          <w:sz w:val="19"/>
          <w:szCs w:val="19"/>
          <w:color w:val="auto"/>
        </w:rPr>
        <w:t>The Company believes that adjusted EBITDA, adjusted net income, and diluted adjusted net income per ADS help identify underlying trends in the Company’s business that could otherwise be distorted by the effect of the expenses and gains that the Company includes in net loss. The Company believes that adjusted EBITDA and adjusted net income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Adjusted EBITDA, adjusted net income, and diluted adjusted net income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income, and diluted adjusted net income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more information on these non-GAAP financial measures, please see the table captioned “Unaudited Reconciliations of GAAP and Non-GAAP results” set forth at the end of this press release.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These non-GAAP financial measures were presented with the most directly comparable GAAP financial measures together for facilitating a more comprehensive understanding of operating performance between periods.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4400" w:type="dxa"/>
            <w:vAlign w:val="bottom"/>
          </w:tcPr>
          <w:p>
            <w:pPr>
              <w:spacing w:after="0"/>
              <w:rPr>
                <w:sz w:val="20"/>
                <w:szCs w:val="20"/>
                <w:color w:val="auto"/>
              </w:rPr>
            </w:pPr>
            <w:r>
              <w:rPr>
                <w:rFonts w:ascii="Arial" w:cs="Arial" w:eastAsia="Arial" w:hAnsi="Arial"/>
                <w:sz w:val="20"/>
                <w:szCs w:val="20"/>
                <w:b w:val="1"/>
                <w:bCs w:val="1"/>
                <w:color w:val="auto"/>
                <w:w w:val="94"/>
              </w:rPr>
              <w:t>For investor and media inquiries, please contact:</w:t>
            </w:r>
          </w:p>
        </w:tc>
        <w:tc>
          <w:tcPr>
            <w:tcW w:w="6860" w:type="dxa"/>
            <w:vAlign w:val="bottom"/>
          </w:tcPr>
          <w:p>
            <w:pPr>
              <w:spacing w:after="0"/>
              <w:rPr>
                <w:sz w:val="22"/>
                <w:szCs w:val="22"/>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20"/>
                <w:szCs w:val="20"/>
                <w:b w:val="1"/>
                <w:bCs w:val="1"/>
                <w:color w:val="auto"/>
              </w:rPr>
              <w:t>In China:</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In the United States:</w:t>
            </w:r>
          </w:p>
        </w:tc>
      </w:tr>
      <w:tr>
        <w:trPr>
          <w:trHeight w:val="235"/>
        </w:trPr>
        <w:tc>
          <w:tcPr>
            <w:tcW w:w="4400" w:type="dxa"/>
            <w:vAlign w:val="bottom"/>
          </w:tcPr>
          <w:p>
            <w:pPr>
              <w:spacing w:after="0"/>
              <w:rPr>
                <w:sz w:val="20"/>
                <w:szCs w:val="20"/>
                <w:color w:val="auto"/>
              </w:rPr>
            </w:pPr>
            <w:r>
              <w:rPr>
                <w:rFonts w:ascii="Arial" w:cs="Arial" w:eastAsia="Arial" w:hAnsi="Arial"/>
                <w:sz w:val="20"/>
                <w:szCs w:val="20"/>
                <w:b w:val="1"/>
                <w:bCs w:val="1"/>
                <w:color w:val="auto"/>
              </w:rPr>
              <w:t>iClick Interactive Asia Group Limited</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Core IR</w:t>
            </w:r>
          </w:p>
        </w:tc>
      </w:tr>
      <w:tr>
        <w:trPr>
          <w:trHeight w:val="230"/>
        </w:trPr>
        <w:tc>
          <w:tcPr>
            <w:tcW w:w="4400" w:type="dxa"/>
            <w:vAlign w:val="bottom"/>
          </w:tcPr>
          <w:p>
            <w:pPr>
              <w:spacing w:after="0"/>
              <w:rPr>
                <w:sz w:val="20"/>
                <w:szCs w:val="20"/>
                <w:color w:val="auto"/>
              </w:rPr>
            </w:pPr>
            <w:r>
              <w:rPr>
                <w:rFonts w:ascii="Arial" w:cs="Arial" w:eastAsia="Arial" w:hAnsi="Arial"/>
                <w:sz w:val="20"/>
                <w:szCs w:val="20"/>
                <w:color w:val="auto"/>
              </w:rPr>
              <w:t>Lisa Li</w:t>
            </w:r>
          </w:p>
        </w:tc>
        <w:tc>
          <w:tcPr>
            <w:tcW w:w="6860" w:type="dxa"/>
            <w:vAlign w:val="bottom"/>
          </w:tcPr>
          <w:p>
            <w:pPr>
              <w:ind w:left="1220"/>
              <w:spacing w:after="0"/>
              <w:rPr>
                <w:sz w:val="20"/>
                <w:szCs w:val="20"/>
                <w:color w:val="auto"/>
              </w:rPr>
            </w:pPr>
            <w:r>
              <w:rPr>
                <w:rFonts w:ascii="Arial" w:cs="Arial" w:eastAsia="Arial" w:hAnsi="Arial"/>
                <w:sz w:val="20"/>
                <w:szCs w:val="20"/>
                <w:color w:val="auto"/>
              </w:rPr>
              <w:t>Tom Caden</w:t>
            </w:r>
          </w:p>
        </w:tc>
      </w:tr>
      <w:tr>
        <w:trPr>
          <w:trHeight w:val="229"/>
        </w:trPr>
        <w:tc>
          <w:tcPr>
            <w:tcW w:w="4400" w:type="dxa"/>
            <w:vAlign w:val="bottom"/>
          </w:tcPr>
          <w:p>
            <w:pPr>
              <w:spacing w:after="0"/>
              <w:rPr>
                <w:sz w:val="20"/>
                <w:szCs w:val="20"/>
                <w:color w:val="auto"/>
              </w:rPr>
            </w:pPr>
            <w:r>
              <w:rPr>
                <w:rFonts w:ascii="Arial" w:cs="Arial" w:eastAsia="Arial" w:hAnsi="Arial"/>
                <w:sz w:val="20"/>
                <w:szCs w:val="20"/>
                <w:color w:val="auto"/>
              </w:rPr>
              <w:t>Phone: +86-21-3230-3931 #866</w:t>
            </w:r>
          </w:p>
        </w:tc>
        <w:tc>
          <w:tcPr>
            <w:tcW w:w="6860" w:type="dxa"/>
            <w:vAlign w:val="bottom"/>
          </w:tcPr>
          <w:p>
            <w:pPr>
              <w:ind w:left="1220"/>
              <w:spacing w:after="0"/>
              <w:rPr>
                <w:sz w:val="20"/>
                <w:szCs w:val="20"/>
                <w:color w:val="auto"/>
              </w:rPr>
            </w:pPr>
            <w:r>
              <w:rPr>
                <w:rFonts w:ascii="Arial" w:cs="Arial" w:eastAsia="Arial" w:hAnsi="Arial"/>
                <w:sz w:val="20"/>
                <w:szCs w:val="20"/>
                <w:color w:val="auto"/>
              </w:rPr>
              <w:t>Tel: +1-516-222-2560</w:t>
            </w:r>
          </w:p>
        </w:tc>
      </w:tr>
      <w:tr>
        <w:trPr>
          <w:trHeight w:val="250"/>
        </w:trPr>
        <w:tc>
          <w:tcPr>
            <w:tcW w:w="4400" w:type="dxa"/>
            <w:vAlign w:val="bottom"/>
          </w:tcPr>
          <w:p>
            <w:pPr>
              <w:spacing w:after="0"/>
              <w:rPr>
                <w:sz w:val="20"/>
                <w:szCs w:val="20"/>
                <w:color w:val="auto"/>
              </w:rPr>
            </w:pPr>
            <w:r>
              <w:rPr>
                <w:rFonts w:ascii="Arial" w:cs="Arial" w:eastAsia="Arial" w:hAnsi="Arial"/>
                <w:sz w:val="20"/>
                <w:szCs w:val="20"/>
                <w:color w:val="auto"/>
              </w:rPr>
              <w:t>E-mail: ir@i-click.com</w:t>
            </w:r>
          </w:p>
        </w:tc>
        <w:tc>
          <w:tcPr>
            <w:tcW w:w="6860" w:type="dxa"/>
            <w:vAlign w:val="bottom"/>
          </w:tcPr>
          <w:p>
            <w:pPr>
              <w:ind w:left="1220"/>
              <w:spacing w:after="0"/>
              <w:rPr>
                <w:sz w:val="20"/>
                <w:szCs w:val="20"/>
                <w:color w:val="auto"/>
              </w:rPr>
            </w:pPr>
            <w:r>
              <w:rPr>
                <w:rFonts w:ascii="Arial" w:cs="Arial" w:eastAsia="Arial" w:hAnsi="Arial"/>
                <w:sz w:val="20"/>
                <w:szCs w:val="20"/>
                <w:color w:val="auto"/>
              </w:rPr>
              <w:t>E-mail: tomc@coreir.com</w:t>
            </w:r>
          </w:p>
        </w:tc>
      </w:tr>
      <w:tr>
        <w:trPr>
          <w:trHeight w:val="473"/>
        </w:trPr>
        <w:tc>
          <w:tcPr>
            <w:tcW w:w="4400" w:type="dxa"/>
            <w:vAlign w:val="bottom"/>
          </w:tcPr>
          <w:p>
            <w:pPr>
              <w:spacing w:after="0"/>
              <w:rPr>
                <w:sz w:val="24"/>
                <w:szCs w:val="24"/>
                <w:color w:val="auto"/>
              </w:rPr>
            </w:pPr>
          </w:p>
        </w:tc>
        <w:tc>
          <w:tcPr>
            <w:tcW w:w="6860" w:type="dxa"/>
            <w:vAlign w:val="bottom"/>
          </w:tcPr>
          <w:p>
            <w:pPr>
              <w:ind w:left="280"/>
              <w:spacing w:after="0"/>
              <w:rPr>
                <w:sz w:val="20"/>
                <w:szCs w:val="20"/>
                <w:color w:val="auto"/>
              </w:rPr>
            </w:pPr>
            <w:r>
              <w:rPr>
                <w:rFonts w:ascii="Arial" w:cs="Arial" w:eastAsia="Arial" w:hAnsi="Arial"/>
                <w:sz w:val="20"/>
                <w:szCs w:val="20"/>
                <w:color w:val="auto"/>
              </w:rPr>
              <w:t>(financial tables follow)</w:t>
            </w:r>
          </w:p>
        </w:tc>
      </w:tr>
      <w:tr>
        <w:trPr>
          <w:trHeight w:val="111"/>
        </w:trPr>
        <w:tc>
          <w:tcPr>
            <w:tcW w:w="4400" w:type="dxa"/>
            <w:vAlign w:val="bottom"/>
            <w:tcBorders>
              <w:bottom w:val="single" w:sz="8" w:color="9A9A9A"/>
            </w:tcBorders>
          </w:tcPr>
          <w:p>
            <w:pPr>
              <w:spacing w:after="0"/>
              <w:rPr>
                <w:sz w:val="9"/>
                <w:szCs w:val="9"/>
                <w:color w:val="auto"/>
              </w:rPr>
            </w:pPr>
          </w:p>
        </w:tc>
        <w:tc>
          <w:tcPr>
            <w:tcW w:w="6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Condensed Consolidated Statements of Comprehensive Loss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1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68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720" w:type="dxa"/>
            <w:vAlign w:val="bottom"/>
            <w:vMerge w:val="continue"/>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66,560</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49,035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Cost of revenue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(47,012)</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19,548</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8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680" w:type="dxa"/>
            <w:vAlign w:val="bottom"/>
          </w:tcPr>
          <w:p>
            <w:pPr>
              <w:jc w:val="right"/>
              <w:spacing w:after="0"/>
              <w:rPr>
                <w:sz w:val="20"/>
                <w:szCs w:val="20"/>
                <w:color w:val="auto"/>
              </w:rPr>
            </w:pPr>
            <w:r>
              <w:rPr>
                <w:rFonts w:ascii="Arial" w:cs="Arial" w:eastAsia="Arial" w:hAnsi="Arial"/>
                <w:sz w:val="18"/>
                <w:szCs w:val="18"/>
                <w:color w:val="auto"/>
              </w:rPr>
              <w:t>(17,204)</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(25,929)</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680" w:type="dxa"/>
            <w:vAlign w:val="bottom"/>
          </w:tcPr>
          <w:p>
            <w:pPr>
              <w:jc w:val="right"/>
              <w:spacing w:after="0"/>
              <w:rPr>
                <w:sz w:val="20"/>
                <w:szCs w:val="20"/>
                <w:color w:val="auto"/>
              </w:rPr>
            </w:pPr>
            <w:r>
              <w:rPr>
                <w:rFonts w:ascii="Arial" w:cs="Arial" w:eastAsia="Arial" w:hAnsi="Arial"/>
                <w:sz w:val="18"/>
                <w:szCs w:val="18"/>
                <w:color w:val="auto"/>
              </w:rPr>
              <w:t>(6,381)</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Interest expense</w:t>
            </w:r>
          </w:p>
        </w:tc>
        <w:tc>
          <w:tcPr>
            <w:tcW w:w="1680" w:type="dxa"/>
            <w:vAlign w:val="bottom"/>
          </w:tcPr>
          <w:p>
            <w:pPr>
              <w:jc w:val="right"/>
              <w:spacing w:after="0"/>
              <w:rPr>
                <w:sz w:val="20"/>
                <w:szCs w:val="20"/>
                <w:color w:val="auto"/>
              </w:rPr>
            </w:pPr>
            <w:r>
              <w:rPr>
                <w:rFonts w:ascii="Arial" w:cs="Arial" w:eastAsia="Arial" w:hAnsi="Arial"/>
                <w:sz w:val="18"/>
                <w:szCs w:val="18"/>
                <w:color w:val="auto"/>
              </w:rPr>
              <w:t>(779)</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Interest income</w:t>
            </w: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gains/(losses), net</w:t>
            </w: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Fair value losses on derivative liabilities</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Fair value losses on convertible notes</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(2,527)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16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1680" w:type="dxa"/>
            <w:vAlign w:val="bottom"/>
          </w:tcPr>
          <w:p>
            <w:pPr>
              <w:jc w:val="right"/>
              <w:spacing w:after="0"/>
              <w:rPr>
                <w:sz w:val="20"/>
                <w:szCs w:val="20"/>
                <w:color w:val="auto"/>
              </w:rPr>
            </w:pPr>
            <w:r>
              <w:rPr>
                <w:rFonts w:ascii="Arial" w:cs="Arial" w:eastAsia="Arial" w:hAnsi="Arial"/>
                <w:sz w:val="18"/>
                <w:szCs w:val="18"/>
                <w:color w:val="auto"/>
              </w:rPr>
              <w:t>(7,470)</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2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Net loss attributable to iClick Interactive Asia</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Group Limited’s ordinary shareholders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1680" w:type="dxa"/>
            <w:vAlign w:val="bottom"/>
          </w:tcPr>
          <w:p>
            <w:pPr>
              <w:jc w:val="right"/>
              <w:spacing w:after="0"/>
              <w:rPr>
                <w:sz w:val="20"/>
                <w:szCs w:val="20"/>
                <w:color w:val="auto"/>
              </w:rPr>
            </w:pPr>
            <w:r>
              <w:rPr>
                <w:rFonts w:ascii="Arial" w:cs="Arial" w:eastAsia="Arial" w:hAnsi="Arial"/>
                <w:sz w:val="18"/>
                <w:szCs w:val="18"/>
                <w:color w:val="auto"/>
              </w:rPr>
              <w:t>(7,470)</w:t>
            </w: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 net of</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US$nil tax</w:t>
            </w:r>
          </w:p>
        </w:tc>
        <w:tc>
          <w:tcPr>
            <w:tcW w:w="1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749</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77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680" w:type="dxa"/>
            <w:vAlign w:val="bottom"/>
          </w:tcPr>
          <w:p>
            <w:pPr>
              <w:jc w:val="right"/>
              <w:spacing w:after="0"/>
              <w:rPr>
                <w:sz w:val="20"/>
                <w:szCs w:val="20"/>
                <w:color w:val="auto"/>
              </w:rPr>
            </w:pPr>
            <w:r>
              <w:rPr>
                <w:rFonts w:ascii="Arial" w:cs="Arial" w:eastAsia="Arial" w:hAnsi="Arial"/>
                <w:sz w:val="18"/>
                <w:szCs w:val="18"/>
                <w:color w:val="auto"/>
              </w:rPr>
              <w:t>(6,721)</w:t>
            </w: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noncontrolling</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interests</w:t>
            </w: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iClick Interactive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Asia Group Limited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(6,341)</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ADS attributable to iClick Interactive</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77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Asia Group Limited</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 Basic</w:t>
            </w:r>
          </w:p>
        </w:tc>
        <w:tc>
          <w:tcPr>
            <w:tcW w:w="1680" w:type="dxa"/>
            <w:vAlign w:val="bottom"/>
          </w:tcPr>
          <w:p>
            <w:pPr>
              <w:jc w:val="right"/>
              <w:spacing w:after="0"/>
              <w:rPr>
                <w:sz w:val="20"/>
                <w:szCs w:val="20"/>
                <w:color w:val="auto"/>
              </w:rPr>
            </w:pPr>
            <w:r>
              <w:rPr>
                <w:rFonts w:ascii="Arial" w:cs="Arial" w:eastAsia="Arial" w:hAnsi="Arial"/>
                <w:sz w:val="18"/>
                <w:szCs w:val="18"/>
                <w:color w:val="auto"/>
              </w:rPr>
              <w:t>(0.0751)</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 Diluted</w:t>
            </w:r>
          </w:p>
        </w:tc>
        <w:tc>
          <w:tcPr>
            <w:tcW w:w="1680" w:type="dxa"/>
            <w:vAlign w:val="bottom"/>
          </w:tcPr>
          <w:p>
            <w:pPr>
              <w:jc w:val="right"/>
              <w:spacing w:after="0"/>
              <w:rPr>
                <w:sz w:val="20"/>
                <w:szCs w:val="20"/>
                <w:color w:val="auto"/>
              </w:rPr>
            </w:pPr>
            <w:r>
              <w:rPr>
                <w:rFonts w:ascii="Arial" w:cs="Arial" w:eastAsia="Arial" w:hAnsi="Arial"/>
                <w:sz w:val="18"/>
                <w:szCs w:val="18"/>
                <w:color w:val="auto"/>
              </w:rPr>
              <w:t>(0.0751)</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(0.1201)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72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share calculation:</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 Basic</w:t>
            </w: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94,369,619</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64,375,721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 Diluted</w:t>
            </w:r>
          </w:p>
        </w:tc>
        <w:tc>
          <w:tcPr>
            <w:tcW w:w="1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94,369,619</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64,375,721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7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 w:name="page11"/>
    <w:bookmarkEnd w:id="10"/>
    <w:p>
      <w:pPr>
        <w:jc w:val="center"/>
        <w:ind w:right="20"/>
        <w:spacing w:after="0" w:line="253" w:lineRule="auto"/>
        <w:rPr>
          <w:sz w:val="20"/>
          <w:szCs w:val="20"/>
          <w:color w:val="auto"/>
        </w:rPr>
      </w:pPr>
      <w:r>
        <w:rPr>
          <w:rFonts w:ascii="Arial" w:cs="Arial" w:eastAsia="Arial" w:hAnsi="Arial"/>
          <w:sz w:val="20"/>
          <w:szCs w:val="20"/>
          <w:b w:val="1"/>
          <w:bCs w:val="1"/>
          <w:color w:val="auto"/>
        </w:rPr>
        <w:t xml:space="preserve">ICLICK INTERACTIVE ASIA GROUP LIMITED Unaudited Condensed Consolidated Balance Sheets </w:t>
      </w:r>
      <w:r>
        <w:rPr>
          <w:rFonts w:ascii="Arial" w:cs="Arial" w:eastAsia="Arial" w:hAnsi="Arial"/>
          <w:sz w:val="20"/>
          <w:szCs w:val="20"/>
          <w:color w:val="auto"/>
        </w:rPr>
        <w:t>(US$’000, except share data and per share data, or otherwise noted,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March 31,</w:t>
            </w: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Cash and cash equivalents, time deposit and restricted cash</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100,214</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94,466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Accounts receivable, net of allowance for doubtful receivables of US$12,198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US$11,749 as of March 31, 2021 and December 31, 2020 respectively</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170,065</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143,142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82,358</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83,568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352,637</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321,176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75,198</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74,419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55,666</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56,431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19,865</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150,729</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148,939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503,366</w:t>
            </w:r>
          </w:p>
        </w:tc>
        <w:tc>
          <w:tcPr>
            <w:tcW w:w="160" w:type="dxa"/>
            <w:vAlign w:val="bottom"/>
          </w:tcPr>
          <w:p>
            <w:pPr>
              <w:spacing w:after="0"/>
              <w:rPr>
                <w:sz w:val="24"/>
                <w:szCs w:val="24"/>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470,115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72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43,256</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43,140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Bank borrowings</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78,574</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56,040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59,761</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63,667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181,591</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25,767</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28,180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25,767</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207,358</w:t>
            </w:r>
          </w:p>
        </w:tc>
        <w:tc>
          <w:tcPr>
            <w:tcW w:w="160" w:type="dxa"/>
            <w:vAlign w:val="bottom"/>
          </w:tcPr>
          <w:p>
            <w:pPr>
              <w:spacing w:after="0"/>
              <w:rPr>
                <w:sz w:val="24"/>
                <w:szCs w:val="24"/>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191,027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Ordinary shares – Class A (US$0.001 par value; 80,000,000 shares authorized as of</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March 31, 2021 and December 31, 2020, respectively; 41,652,774 shares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40,996,215 shares issued and outstanding as of March 31, 2021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2020, respectively)</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Ordinary shares – Class B (US$0.001 par value; 20,000,000 shares authorized as of</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March 31, 2021 and December 31, 2020, respectively; 5,034,427 shares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4,820,608 shares issued and outstanding as of March 31, 2021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2020, respectively)</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Treasury shares (2,220,727 shares and 2,396,372 shares as of March 31, 2021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2020, respectively)</w:t>
            </w:r>
          </w:p>
        </w:tc>
        <w:tc>
          <w:tcPr>
            <w:tcW w:w="1680" w:type="dxa"/>
            <w:vAlign w:val="bottom"/>
          </w:tcPr>
          <w:p>
            <w:pPr>
              <w:jc w:val="right"/>
              <w:spacing w:after="0"/>
              <w:rPr>
                <w:sz w:val="20"/>
                <w:szCs w:val="20"/>
                <w:color w:val="auto"/>
              </w:rPr>
            </w:pPr>
            <w:r>
              <w:rPr>
                <w:rFonts w:ascii="Arial" w:cs="Arial" w:eastAsia="Arial" w:hAnsi="Arial"/>
                <w:sz w:val="18"/>
                <w:szCs w:val="18"/>
                <w:color w:val="auto"/>
              </w:rPr>
              <w:t>(11,383)</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reserves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300,737</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282,397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Total iClick Interactive Asia Group Limited shareholders’ equity</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289,401</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272,102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6,607</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296,008</w:t>
            </w:r>
          </w:p>
        </w:tc>
        <w:tc>
          <w:tcPr>
            <w:tcW w:w="160" w:type="dxa"/>
            <w:vAlign w:val="bottom"/>
          </w:tcPr>
          <w:p>
            <w:pPr>
              <w:spacing w:after="0"/>
              <w:rPr>
                <w:sz w:val="24"/>
                <w:szCs w:val="24"/>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279,088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20" w:type="dxa"/>
            <w:vAlign w:val="bottom"/>
            <w:gridSpan w:val="2"/>
            <w:vMerge w:val="continue"/>
          </w:tcPr>
          <w:p>
            <w:pPr>
              <w:spacing w:after="0"/>
              <w:rPr>
                <w:sz w:val="24"/>
                <w:szCs w:val="24"/>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503,366</w:t>
            </w:r>
          </w:p>
        </w:tc>
        <w:tc>
          <w:tcPr>
            <w:tcW w:w="160" w:type="dxa"/>
            <w:vAlign w:val="bottom"/>
          </w:tcPr>
          <w:p>
            <w:pPr>
              <w:spacing w:after="0"/>
              <w:rPr>
                <w:sz w:val="24"/>
                <w:szCs w:val="24"/>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470,115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2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9A9A9A"/>
            </w:tcBorders>
          </w:tcPr>
          <w:p>
            <w:pPr>
              <w:spacing w:after="0"/>
              <w:rPr>
                <w:sz w:val="22"/>
                <w:szCs w:val="22"/>
                <w:color w:val="auto"/>
              </w:rPr>
            </w:pPr>
          </w:p>
        </w:tc>
        <w:tc>
          <w:tcPr>
            <w:tcW w:w="4500" w:type="dxa"/>
            <w:vAlign w:val="bottom"/>
            <w:tcBorders>
              <w:bottom w:val="single" w:sz="8" w:color="9A9A9A"/>
            </w:tcBorders>
          </w:tcPr>
          <w:p>
            <w:pPr>
              <w:spacing w:after="0"/>
              <w:rPr>
                <w:sz w:val="22"/>
                <w:szCs w:val="22"/>
                <w:color w:val="auto"/>
              </w:rPr>
            </w:pPr>
          </w:p>
        </w:tc>
        <w:tc>
          <w:tcPr>
            <w:tcW w:w="168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6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Reconciliations of GAAP and Non-GAAP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interest income, (iv) income tax expense/(benefit), (v) share-based compensation, (vi) fair value losses on derivative liabilities, (vii) fair value losses on convertible notes,</w:t>
      </w:r>
    </w:p>
    <w:p>
      <w:pPr>
        <w:spacing w:after="0" w:line="1" w:lineRule="exact"/>
        <w:rPr>
          <w:sz w:val="20"/>
          <w:szCs w:val="20"/>
          <w:color w:val="auto"/>
        </w:rPr>
      </w:pPr>
    </w:p>
    <w:p>
      <w:pPr>
        <w:ind w:firstLine="8"/>
        <w:spacing w:after="0" w:line="244" w:lineRule="auto"/>
        <w:tabs>
          <w:tab w:leader="none" w:pos="459" w:val="left"/>
        </w:tabs>
        <w:numPr>
          <w:ilvl w:val="0"/>
          <w:numId w:val="5"/>
        </w:numPr>
        <w:rPr>
          <w:rFonts w:ascii="Arial" w:cs="Arial" w:eastAsia="Arial" w:hAnsi="Arial"/>
          <w:sz w:val="20"/>
          <w:szCs w:val="20"/>
          <w:color w:val="auto"/>
        </w:rPr>
      </w:pPr>
      <w:r>
        <w:rPr>
          <w:rFonts w:ascii="Arial" w:cs="Arial" w:eastAsia="Arial" w:hAnsi="Arial"/>
          <w:sz w:val="20"/>
          <w:szCs w:val="20"/>
          <w:color w:val="auto"/>
        </w:rPr>
        <w:t>other gains, net, (ix) convertible notes and shares issuance cost, (x) net loss attributable to noncontrolling interests, and (xi) share of losses from an equity investee.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EBITDA from net loss for the periods indicated:</w:t>
      </w:r>
    </w:p>
    <w:p>
      <w:pPr>
        <w:spacing w:after="0" w:line="223"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(7,470)</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(8,428)</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1,567</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1,654</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779</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435</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Interest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Income tax expense/(benefit)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0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6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(6,631)</w:t>
            </w:r>
          </w:p>
        </w:tc>
      </w:tr>
      <w:tr>
        <w:trPr>
          <w:trHeight w:val="229"/>
        </w:trPr>
        <w:tc>
          <w:tcPr>
            <w:tcW w:w="872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Share-based compensation</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7,327</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1,575</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3,556</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Fair value losses on convertible notes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2,527</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3</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544</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Convertible notes and shares issuance cost</w:t>
            </w:r>
            <w:r>
              <w:rPr>
                <w:rFonts w:ascii="Arial" w:cs="Arial" w:eastAsia="Arial" w:hAnsi="Arial"/>
                <w:sz w:val="15"/>
                <w:szCs w:val="15"/>
                <w:color w:val="auto"/>
              </w:rPr>
              <w:t>4</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44</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5</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9"/>
                <w:szCs w:val="19"/>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694</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6</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41</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0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3,630</w:t>
            </w:r>
          </w:p>
        </w:tc>
        <w:tc>
          <w:tcPr>
            <w:tcW w:w="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2,350</w:t>
            </w: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3025775</wp:posOffset>
            </wp:positionV>
            <wp:extent cx="2040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hanging="111"/>
        <w:spacing w:after="0"/>
        <w:tabs>
          <w:tab w:leader="none" w:pos="120" w:val="left"/>
        </w:tabs>
        <w:numPr>
          <w:ilvl w:val="0"/>
          <w:numId w:val="6"/>
        </w:numPr>
        <w:rPr>
          <w:rFonts w:ascii="Arial" w:cs="Arial" w:eastAsia="Arial" w:hAnsi="Arial"/>
          <w:sz w:val="11"/>
          <w:szCs w:val="11"/>
          <w:color w:val="auto"/>
        </w:rPr>
      </w:pPr>
      <w:r>
        <w:rPr>
          <w:rFonts w:ascii="Arial" w:cs="Arial" w:eastAsia="Arial" w:hAnsi="Arial"/>
          <w:sz w:val="13"/>
          <w:szCs w:val="13"/>
          <w:color w:val="auto"/>
        </w:rPr>
        <w:t>Other gains, net has been adjusted out, except for amounts of US$534 thousand, and US$449 thousand in relation to government grants for the three months ended March 31, 2021 and 2020,</w:t>
      </w:r>
    </w:p>
    <w:p>
      <w:pPr>
        <w:ind w:left="120"/>
        <w:spacing w:after="0" w:line="237" w:lineRule="auto"/>
        <w:rPr>
          <w:sz w:val="20"/>
          <w:szCs w:val="20"/>
          <w:color w:val="auto"/>
        </w:rPr>
      </w:pPr>
      <w:r>
        <w:rPr>
          <w:rFonts w:ascii="Arial" w:cs="Arial" w:eastAsia="Arial" w:hAnsi="Arial"/>
          <w:sz w:val="14"/>
          <w:szCs w:val="14"/>
          <w:color w:val="auto"/>
        </w:rPr>
        <w:t>respectively.</w:t>
      </w:r>
    </w:p>
    <w:p>
      <w:pPr>
        <w:ind w:left="120" w:hanging="112"/>
        <w:spacing w:after="0" w:line="222" w:lineRule="auto"/>
        <w:tabs>
          <w:tab w:leader="none" w:pos="120" w:val="left"/>
        </w:tabs>
        <w:numPr>
          <w:ilvl w:val="0"/>
          <w:numId w:val="7"/>
        </w:numPr>
        <w:rPr>
          <w:rFonts w:ascii="Arial" w:cs="Arial" w:eastAsia="Arial" w:hAnsi="Arial"/>
          <w:sz w:val="12"/>
          <w:szCs w:val="12"/>
          <w:color w:val="auto"/>
        </w:rPr>
      </w:pPr>
      <w:r>
        <w:rPr>
          <w:rFonts w:ascii="Arial" w:cs="Arial" w:eastAsia="Arial" w:hAnsi="Arial"/>
          <w:sz w:val="14"/>
          <w:szCs w:val="14"/>
          <w:color w:val="auto"/>
        </w:rPr>
        <w:t>Convertible notes and shares issuance cost represents legal and professional fee for the issue of convertible notes and shares.</w:t>
      </w:r>
    </w:p>
    <w:p>
      <w:pPr>
        <w:ind w:left="120" w:hanging="112"/>
        <w:spacing w:after="0" w:line="221" w:lineRule="auto"/>
        <w:tabs>
          <w:tab w:leader="none" w:pos="120" w:val="left"/>
        </w:tabs>
        <w:numPr>
          <w:ilvl w:val="0"/>
          <w:numId w:val="8"/>
        </w:numPr>
        <w:rPr>
          <w:rFonts w:ascii="Arial" w:cs="Arial" w:eastAsia="Arial" w:hAnsi="Arial"/>
          <w:sz w:val="12"/>
          <w:szCs w:val="12"/>
          <w:color w:val="auto"/>
        </w:rPr>
      </w:pPr>
      <w:r>
        <w:rPr>
          <w:rFonts w:ascii="Arial" w:cs="Arial" w:eastAsia="Arial" w:hAnsi="Arial"/>
          <w:sz w:val="14"/>
          <w:szCs w:val="14"/>
          <w:color w:val="auto"/>
        </w:rPr>
        <w:t>Net loss attributable to noncontrolling interests has been adjusted back because the Company’s management regularly reviews EBITDA excluding noncontrolling interests as a measure of its operational performance.</w:t>
      </w:r>
    </w:p>
    <w:p>
      <w:pPr>
        <w:spacing w:after="0" w:line="1" w:lineRule="exact"/>
        <w:rPr>
          <w:sz w:val="20"/>
          <w:szCs w:val="20"/>
          <w:color w:val="auto"/>
        </w:rPr>
      </w:pPr>
    </w:p>
    <w:p>
      <w:pPr>
        <w:ind w:left="120" w:hanging="112"/>
        <w:spacing w:after="0" w:line="237" w:lineRule="auto"/>
        <w:tabs>
          <w:tab w:leader="none" w:pos="120" w:val="left"/>
        </w:tabs>
        <w:numPr>
          <w:ilvl w:val="0"/>
          <w:numId w:val="9"/>
        </w:numPr>
        <w:rPr>
          <w:rFonts w:ascii="Arial" w:cs="Arial" w:eastAsia="Arial" w:hAnsi="Arial"/>
          <w:sz w:val="12"/>
          <w:szCs w:val="12"/>
          <w:color w:val="auto"/>
        </w:rPr>
      </w:pPr>
      <w:r>
        <w:rPr>
          <w:rFonts w:ascii="Arial" w:cs="Arial" w:eastAsia="Arial" w:hAnsi="Arial"/>
          <w:sz w:val="14"/>
          <w:szCs w:val="14"/>
          <w:color w:val="auto"/>
        </w:rPr>
        <w:t>Share of losses from an equity investee represents share of losses incurred by the Company’s Thailand business operated through an equity investee over which the Company has significant influence, and which is not considered to be a part of the core business that the Company operates through its 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 w:name="page13"/>
    <w:bookmarkEnd w:id="12"/>
    <w:p>
      <w:pPr>
        <w:jc w:val="both"/>
        <w:spacing w:after="0" w:line="291" w:lineRule="auto"/>
        <w:rPr>
          <w:sz w:val="20"/>
          <w:szCs w:val="20"/>
          <w:color w:val="auto"/>
        </w:rPr>
      </w:pPr>
      <w:r>
        <w:rPr>
          <w:rFonts w:ascii="Arial" w:cs="Arial" w:eastAsia="Arial" w:hAnsi="Arial"/>
          <w:sz w:val="18"/>
          <w:szCs w:val="18"/>
          <w:color w:val="auto"/>
        </w:rPr>
        <w:t>Adjusted net income represents net loss before (i) share-based compensation, (ii) fair value losses on derivative liabilities, (iii) fair value losses on convertible notes, (iv) other gains, net, (v) convertible notes and shares issuance cost, (vi) net loss attributable to noncontrolling interests, and (vii) share of losses from an equity investee. There is no material tax effects on these non-GAAP adjustments.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net income from net loss for the periods indicated:</w:t>
      </w:r>
    </w:p>
    <w:p>
      <w:pPr>
        <w:spacing w:after="0" w:line="223"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7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2020</w:t>
            </w:r>
          </w:p>
        </w:tc>
      </w:tr>
      <w:tr>
        <w:trPr>
          <w:trHeight w:val="222"/>
        </w:trPr>
        <w:tc>
          <w:tcPr>
            <w:tcW w:w="77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(7,470)</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(8,428)</w:t>
            </w:r>
          </w:p>
        </w:tc>
      </w:tr>
      <w:tr>
        <w:trPr>
          <w:trHeight w:val="229"/>
        </w:trPr>
        <w:tc>
          <w:tcPr>
            <w:tcW w:w="872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Share-based compensation</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7,327</w:t>
            </w:r>
          </w:p>
        </w:tc>
        <w:tc>
          <w:tcPr>
            <w:tcW w:w="1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1,575</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3,556</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Fair value losses on convertible notes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2,527</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3</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544</w:t>
            </w:r>
          </w:p>
        </w:tc>
      </w:tr>
      <w:tr>
        <w:trPr>
          <w:trHeight w:val="229"/>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Convertible notes and shares issuance cost</w:t>
            </w:r>
            <w:r>
              <w:rPr>
                <w:rFonts w:ascii="Arial" w:cs="Arial" w:eastAsia="Arial" w:hAnsi="Arial"/>
                <w:sz w:val="15"/>
                <w:szCs w:val="15"/>
                <w:color w:val="auto"/>
              </w:rPr>
              <w:t>4</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44</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5</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694</w:t>
            </w:r>
          </w:p>
        </w:tc>
      </w:tr>
      <w:tr>
        <w:trPr>
          <w:trHeight w:val="230"/>
        </w:trPr>
        <w:tc>
          <w:tcPr>
            <w:tcW w:w="8720" w:type="dxa"/>
            <w:vAlign w:val="bottom"/>
            <w:gridSpan w:val="2"/>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6</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41</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0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553</w:t>
            </w: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diluted adjusted net income per ADS for the periods indicated are calculated as follows:</w:t>
      </w:r>
    </w:p>
    <w:p>
      <w:pPr>
        <w:spacing w:after="0" w:line="223"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68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7720" w:type="dxa"/>
            <w:vAlign w:val="bottom"/>
            <w:vMerge w:val="continue"/>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(7,470)</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(8,428)</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 Non-GAAP adjustments to net loss</w:t>
            </w: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8,117</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Adjusted net income</w:t>
            </w: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Denominator for net loss per ADS - Weighted average</w:t>
            </w: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7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ADS outstanding</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94,369,619</w:t>
            </w:r>
          </w:p>
        </w:tc>
        <w:tc>
          <w:tcPr>
            <w:tcW w:w="160" w:type="dxa"/>
            <w:vAlign w:val="bottom"/>
          </w:tcPr>
          <w:p>
            <w:pPr>
              <w:spacing w:after="0"/>
              <w:rPr>
                <w:sz w:val="20"/>
                <w:szCs w:val="20"/>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64,375,721</w:t>
            </w:r>
          </w:p>
        </w:tc>
        <w:tc>
          <w:tcPr>
            <w:tcW w:w="0" w:type="dxa"/>
            <w:vAlign w:val="bottom"/>
          </w:tcPr>
          <w:p>
            <w:pPr>
              <w:spacing w:after="0"/>
              <w:rPr>
                <w:sz w:val="1"/>
                <w:szCs w:val="1"/>
                <w:color w:val="auto"/>
              </w:rPr>
            </w:pPr>
          </w:p>
        </w:tc>
      </w:tr>
      <w:tr>
        <w:trPr>
          <w:trHeight w:val="445"/>
        </w:trPr>
        <w:tc>
          <w:tcPr>
            <w:tcW w:w="7720" w:type="dxa"/>
            <w:vAlign w:val="bottom"/>
          </w:tcPr>
          <w:p>
            <w:pPr>
              <w:spacing w:after="0"/>
              <w:rPr>
                <w:sz w:val="20"/>
                <w:szCs w:val="20"/>
                <w:color w:val="auto"/>
              </w:rPr>
            </w:pPr>
            <w:r>
              <w:rPr>
                <w:rFonts w:ascii="Arial" w:cs="Arial" w:eastAsia="Arial" w:hAnsi="Arial"/>
                <w:sz w:val="18"/>
                <w:szCs w:val="18"/>
                <w:color w:val="auto"/>
              </w:rPr>
              <w:t>Denominator for diluted adjusted net income per</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ADS - Weighted average ADS outstanding</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100,068,753</w:t>
            </w:r>
          </w:p>
        </w:tc>
        <w:tc>
          <w:tcPr>
            <w:tcW w:w="160" w:type="dxa"/>
            <w:vAlign w:val="bottom"/>
          </w:tcPr>
          <w:p>
            <w:pPr>
              <w:spacing w:after="0"/>
              <w:rPr>
                <w:sz w:val="20"/>
                <w:szCs w:val="20"/>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71,501,720</w:t>
            </w:r>
          </w:p>
        </w:tc>
        <w:tc>
          <w:tcPr>
            <w:tcW w:w="0" w:type="dxa"/>
            <w:vAlign w:val="bottom"/>
          </w:tcPr>
          <w:p>
            <w:pPr>
              <w:spacing w:after="0"/>
              <w:rPr>
                <w:sz w:val="1"/>
                <w:szCs w:val="1"/>
                <w:color w:val="auto"/>
              </w:rPr>
            </w:pPr>
          </w:p>
        </w:tc>
      </w:tr>
      <w:tr>
        <w:trPr>
          <w:trHeight w:val="458"/>
        </w:trPr>
        <w:tc>
          <w:tcPr>
            <w:tcW w:w="7720" w:type="dxa"/>
            <w:vAlign w:val="bottom"/>
          </w:tcPr>
          <w:p>
            <w:pPr>
              <w:spacing w:after="0"/>
              <w:rPr>
                <w:sz w:val="20"/>
                <w:szCs w:val="20"/>
                <w:color w:val="auto"/>
              </w:rPr>
            </w:pPr>
            <w:r>
              <w:rPr>
                <w:rFonts w:ascii="Arial" w:cs="Arial" w:eastAsia="Arial" w:hAnsi="Arial"/>
                <w:sz w:val="18"/>
                <w:szCs w:val="18"/>
                <w:color w:val="auto"/>
              </w:rPr>
              <w:t>Diluted net loss per ADS</w:t>
            </w:r>
          </w:p>
        </w:tc>
        <w:tc>
          <w:tcPr>
            <w:tcW w:w="1680" w:type="dxa"/>
            <w:vAlign w:val="bottom"/>
          </w:tcPr>
          <w:p>
            <w:pPr>
              <w:jc w:val="right"/>
              <w:spacing w:after="0"/>
              <w:rPr>
                <w:sz w:val="20"/>
                <w:szCs w:val="20"/>
                <w:color w:val="auto"/>
              </w:rPr>
            </w:pPr>
            <w:r>
              <w:rPr>
                <w:rFonts w:ascii="Arial" w:cs="Arial" w:eastAsia="Arial" w:hAnsi="Arial"/>
                <w:sz w:val="18"/>
                <w:szCs w:val="18"/>
                <w:color w:val="auto"/>
              </w:rPr>
              <w:t>(0.0792)</w:t>
            </w: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(0.1309)</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 Non-GAAP adjustments to net loss per ADS</w:t>
            </w: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0.0857</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0.1386</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Diluted adjusted net income per ADS</w:t>
            </w: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0.0065</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0.0077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Roman"/>
      <w:start w:val="8"/>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4"/>
      <w:numFmt w:val="bullet"/>
      <w:start w:val="1"/>
    </w:lvl>
  </w:abstractNum>
  <w:abstractNum w:abstractNumId="7">
    <w:nsid w:val="515F007C"/>
    <w:multiLevelType w:val="hybridMultilevel"/>
    <w:lvl w:ilvl="0">
      <w:lvlJc w:val="left"/>
      <w:lvlText w:val="5"/>
      <w:numFmt w:val="bullet"/>
      <w:start w:val="1"/>
    </w:lvl>
  </w:abstractNum>
  <w:abstractNum w:abstractNumId="8">
    <w:nsid w:val="5BD062C2"/>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2021-05-26T16:18:54Z</dcterms:created>
  <dcterms:modified xsi:type="dcterms:W3CDTF">2021-05-26T16:18:54Z</dcterms:modified>
</cp:coreProperties>
</file>