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November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2590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2020 Third-Quarter Unaudited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Reaches Another Record Quarter in Key Financials –</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Enterprise Solutions Business Extends Record-breaking Growth for Four Consecutive Quarters –</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November 24, 2020 </w:t>
      </w:r>
      <w:r>
        <w:rPr>
          <w:rFonts w:ascii="Arial" w:cs="Arial" w:eastAsia="Arial" w:hAnsi="Arial"/>
          <w:sz w:val="20"/>
          <w:szCs w:val="20"/>
          <w:color w:val="auto"/>
        </w:rPr>
        <w:t>-- iClick Interactive Asia Group Limited (“iClick” or the “Company”) (NASDAQ: ICLK), an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online marketing and enterprise data solutions provider in China, today announced unaudited financial results for the third quarter ended September 30,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340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4"/>
              </w:rPr>
              <w:t>Three Months Ended September 30,</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13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3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w w:val="92"/>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560" w:type="dxa"/>
            <w:vAlign w:val="bottom"/>
            <w:vMerge w:val="continue"/>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56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Revenue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1320" w:type="dxa"/>
            <w:vAlign w:val="bottom"/>
          </w:tcPr>
          <w:p>
            <w:pPr>
              <w:jc w:val="right"/>
              <w:spacing w:after="0"/>
              <w:rPr>
                <w:sz w:val="20"/>
                <w:szCs w:val="20"/>
                <w:color w:val="auto"/>
              </w:rPr>
            </w:pPr>
            <w:r>
              <w:rPr>
                <w:rFonts w:ascii="Arial" w:cs="Arial" w:eastAsia="Arial" w:hAnsi="Arial"/>
                <w:sz w:val="18"/>
                <w:szCs w:val="18"/>
                <w:color w:val="auto"/>
              </w:rPr>
              <w:t>60,124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8,781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Total revenue</w:t>
            </w:r>
          </w:p>
        </w:tc>
        <w:tc>
          <w:tcPr>
            <w:tcW w:w="1320" w:type="dxa"/>
            <w:vAlign w:val="bottom"/>
          </w:tcPr>
          <w:p>
            <w:pPr>
              <w:jc w:val="right"/>
              <w:spacing w:after="0"/>
              <w:rPr>
                <w:sz w:val="20"/>
                <w:szCs w:val="20"/>
                <w:color w:val="auto"/>
              </w:rPr>
            </w:pPr>
            <w:r>
              <w:rPr>
                <w:rFonts w:ascii="Arial" w:cs="Arial" w:eastAsia="Arial" w:hAnsi="Arial"/>
                <w:sz w:val="18"/>
                <w:szCs w:val="18"/>
                <w:color w:val="auto"/>
              </w:rPr>
              <w:t>68,905</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jc w:val="right"/>
              <w:spacing w:after="0"/>
              <w:rPr>
                <w:sz w:val="20"/>
                <w:szCs w:val="20"/>
                <w:color w:val="auto"/>
              </w:rPr>
            </w:pPr>
            <w:r>
              <w:rPr>
                <w:rFonts w:ascii="Arial" w:cs="Arial" w:eastAsia="Arial" w:hAnsi="Arial"/>
                <w:sz w:val="18"/>
                <w:szCs w:val="18"/>
                <w:color w:val="auto"/>
              </w:rPr>
              <w:t>20,121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Net (loss)/income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(7,097)</w:t>
            </w:r>
          </w:p>
        </w:tc>
        <w:tc>
          <w:tcPr>
            <w:tcW w:w="1300" w:type="dxa"/>
            <w:vAlign w:val="bottom"/>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4,701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2,424</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6560" w:type="dxa"/>
            <w:vAlign w:val="bottom"/>
          </w:tcPr>
          <w:p>
            <w:pPr>
              <w:spacing w:after="0"/>
              <w:rPr>
                <w:sz w:val="20"/>
                <w:szCs w:val="20"/>
                <w:color w:val="auto"/>
              </w:rPr>
            </w:pPr>
            <w:r>
              <w:rPr>
                <w:rFonts w:ascii="Arial" w:cs="Arial" w:eastAsia="Arial" w:hAnsi="Arial"/>
                <w:sz w:val="18"/>
                <w:szCs w:val="18"/>
                <w:color w:val="auto"/>
              </w:rPr>
              <w:t>Diluted adjusted net income/(loss) per ADS</w:t>
            </w:r>
            <w:r>
              <w:rPr>
                <w:rFonts w:ascii="Arial" w:cs="Arial" w:eastAsia="Arial" w:hAnsi="Arial"/>
                <w:sz w:val="15"/>
                <w:szCs w:val="15"/>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3"/>
        </w:trPr>
        <w:tc>
          <w:tcPr>
            <w:tcW w:w="65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Gross billing</w:t>
            </w:r>
          </w:p>
        </w:tc>
        <w:tc>
          <w:tcPr>
            <w:tcW w:w="1320" w:type="dxa"/>
            <w:vAlign w:val="bottom"/>
          </w:tcPr>
          <w:p>
            <w:pPr>
              <w:jc w:val="right"/>
              <w:spacing w:after="0"/>
              <w:rPr>
                <w:sz w:val="20"/>
                <w:szCs w:val="20"/>
                <w:color w:val="auto"/>
              </w:rPr>
            </w:pPr>
            <w:r>
              <w:rPr>
                <w:rFonts w:ascii="Arial" w:cs="Arial" w:eastAsia="Arial" w:hAnsi="Arial"/>
                <w:sz w:val="18"/>
                <w:szCs w:val="18"/>
                <w:color w:val="auto"/>
              </w:rPr>
              <w:t>167,084</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180,182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have delivered record revenue and gross profit in the third quarter of 2020, as China continues to recover from the coronavirus pandemic,” said Jian “T.J.” Tang, iClick’s Chief Executive Officer and Co-Founder. “Revenue for the third quarter was US$68.9 million, an increase of 27% from the same period of last year, while our gross profit rose to US$20.1 million, up 48% on a year-over-year basis. We recorded a net loss of US$7.1 million, primarily due to the fair value losses of convertible notes and derivative liabilities, as our stock price performance remained strong during the third quarter of 2020. However, our adjusted EBITDA increased by 225% year-over-year to US$4.7 million. In addition, we had adjusted net income of US $2.4 million in the third quarter of 2020. This marks the fourth consecutive quarter of adjusted net income. These solid results of operations are strong evidence of our brand customers’ recognition of the value added by our data-driven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204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8"/>
          <w:szCs w:val="18"/>
          <w:color w:val="auto"/>
        </w:rPr>
        <w:t>“These strong financial results were driven by continued growth in both our Marketing Solutions and Enterprise Solutions segments. The Marketing Solution segment, our core business, reached record revenue with a 17% year-over-year increase to US$60.1 million. Just as encouraging, the higher-margin Enterprise Solutions segment also set a revenue record with a 236% increase year-over-year to US$8.8 million in the third quarter of 2020. This was the fourth consecutive quarter of sequential growth in the Enterprise Solutions segment, and we reiterate our optimism regarding the future growth potential of this business, driven by a robust outlook for ‘smart retail’.”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“Following the equity financing in September, our cash position has become stronger, and we are well-capitalized not only to execute our business plan even better but also to seek M&amp;A opportunities more actively as part of our growth strategy,” T.J. continued. “Lastly, the coronavirus epidemic has brought rapid changes to online consumer behaviour in China and we will continue to monitor the pandemic’s impact on our operations and keep our investors informed.”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2020 Results: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third quarter of 2020 grew to US$68.9 million, up approximately 27% from US$54.2 million for the same period of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year, attributable to the increase in contributions from existing Marketing Solutions and Enterprise Solutions.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US$60.1 million for the third quarter of 2020, up approximately 17% from US$51.6 million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third quarter of 2019, primarily as a result of growing market demand from specified action marketing campaigns.</w:t>
      </w:r>
    </w:p>
    <w:p>
      <w:pPr>
        <w:spacing w:after="0" w:line="204"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Revenue from Enterprise Solutions </w:t>
      </w:r>
      <w:r>
        <w:rPr>
          <w:rFonts w:ascii="Arial" w:cs="Arial" w:eastAsia="Arial" w:hAnsi="Arial"/>
          <w:sz w:val="19"/>
          <w:szCs w:val="19"/>
          <w:color w:val="auto"/>
        </w:rPr>
        <w:t>was US$8.8 million for the third quarter of 2020, up approximately 236% from US$2.6 million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third quarter of 2019, primarily due to the increasing need for online and offline consumers’ behavioral data integration.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third quarter of 2020 was US$20.1 million, representing an approximately 48% increase compared with US$13.6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third quarter of 2019, mainly due to continual expansion of the Company’s Marketing Solutions and contribution from higher-margin Enterprise Solutions.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US$20.0 million for the third quarter of 2020, compared with US$15.8 million for the third quarter of 2019.</w:t>
      </w:r>
      <w:r>
        <w:rPr>
          <w:rFonts w:ascii="Arial" w:cs="Arial" w:eastAsia="Arial" w:hAnsi="Arial"/>
          <w:sz w:val="20"/>
          <w:szCs w:val="20"/>
          <w:b w:val="1"/>
          <w:bCs w:val="1"/>
          <w:color w:val="auto"/>
        </w:rPr>
        <w:t xml:space="preserve"> </w:t>
      </w:r>
      <w:r>
        <w:rPr>
          <w:rFonts w:ascii="Arial" w:cs="Arial" w:eastAsia="Arial" w:hAnsi="Arial"/>
          <w:sz w:val="20"/>
          <w:szCs w:val="20"/>
          <w:color w:val="auto"/>
        </w:rPr>
        <w:t>Higher expenses are attributed to the increase in share-based compensation expense of US$1.2 million and an additional expected credit loss provision of US$2.6 million in view of the uncertainties associated with COVID-19.</w:t>
      </w:r>
    </w:p>
    <w:p>
      <w:pPr>
        <w:spacing w:after="0" w:line="204"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was US $0.1 million for the third quarter of 2020, compared with an operating loss of US$2.3 million for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This improvement was a result of the strong growth in gross profit, which was partially offset by the increase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totalled US$7.1 million for the third quarter of 2020, compared with net income of US$0.9 million for the third quarter of 2019.</w:t>
      </w:r>
      <w:r>
        <w:rPr>
          <w:rFonts w:ascii="Arial" w:cs="Arial" w:eastAsia="Arial" w:hAnsi="Arial"/>
          <w:sz w:val="20"/>
          <w:szCs w:val="20"/>
          <w:b w:val="1"/>
          <w:bCs w:val="1"/>
          <w:color w:val="auto"/>
        </w:rPr>
        <w:t xml:space="preserve"> </w:t>
      </w:r>
      <w:r>
        <w:rPr>
          <w:rFonts w:ascii="Arial" w:cs="Arial" w:eastAsia="Arial" w:hAnsi="Arial"/>
          <w:sz w:val="20"/>
          <w:szCs w:val="20"/>
          <w:color w:val="auto"/>
        </w:rPr>
        <w:t>This was mainly because of (i) the fair value losses of convertible notes of US$1.4 million in the third quarter of 2020, compared to the US$2.9 million fair value gain of convertible notes in the third quarter of 2019, and (ii) the fair value losses of derivative liabilities of US$6.3 million in the third quarter of 2020.</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loss attributable to the Company’s shareholders per basic and diluted ADS for the third quarter of 2020 were US$0.08, compared with a net income attributable to the Company’s shareholders per basic ADS of US$0.02, and a net loss attributable to the Company’s shareholders per diluted ADS of US$0.02 for the third quarter of 2019.</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third quarter of 2020 rose to US$4.7 million, compared with US$1.4 million for the third quarter of 2019, mainly</w:t>
      </w:r>
      <w:r>
        <w:rPr>
          <w:rFonts w:ascii="Arial" w:cs="Arial" w:eastAsia="Arial" w:hAnsi="Arial"/>
          <w:sz w:val="20"/>
          <w:szCs w:val="20"/>
          <w:b w:val="1"/>
          <w:bCs w:val="1"/>
          <w:color w:val="auto"/>
        </w:rPr>
        <w:t xml:space="preserve"> </w:t>
      </w:r>
      <w:r>
        <w:rPr>
          <w:rFonts w:ascii="Arial" w:cs="Arial" w:eastAsia="Arial" w:hAnsi="Arial"/>
          <w:sz w:val="20"/>
          <w:szCs w:val="20"/>
          <w:color w:val="auto"/>
        </w:rPr>
        <w:t>due to the strong growth in gross profit of US$6.6 million, which was partially offset by a US$4.2 million increase in operating expenses. For a reconciliation of the Company’s adjusted EBITDA from net (loss)/income, its most comparable GAAP measure, please refer to “Unaudited Reconciliations of GAAP and Non-GAAP Results.”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third quarter of 2020 was US$2.4 million, compared with an adjusted net loss of US$0.5 million in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2019. For a reconciliation of the Company’s adjusted net income/(loss) from net (loss)/income, its most comparable GAAP measure, please refer to “Unaudited Reconciliations of GAAP and Non-GAAP Results.”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Gross billing</w:t>
      </w:r>
      <w:r>
        <w:rPr>
          <w:rFonts w:ascii="Arial" w:cs="Arial" w:eastAsia="Arial" w:hAnsi="Arial"/>
          <w:sz w:val="15"/>
          <w:szCs w:val="15"/>
          <w:color w:val="auto"/>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was US$167.1 million for the third quarter of 2020, representing a 7% decrease compared with US$180.2 million for the third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2019. This decline was primarily due to the Company’s efforts to optimize its client base to achieve better credit control and to retain and attract customers with a strong financial position amid macroeconomic uncertainties.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30, 2020, the Company had cash and cash equivalents, time deposits and restricted cash of US$128.0 million, compared with US$61.1 million as of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January 15, 2020, the Company announced a share repurchase program in which it may purchase its own ADSs with an aggregate value of up to US$10.0 million over the 12-month period ending on December 29, 2020. As of September 30, 2020, the aggregate value of purchased shares was approximately US$0.7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2032000</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Outlook</w:t>
      </w:r>
    </w:p>
    <w:p>
      <w:pPr>
        <w:spacing w:after="0" w:line="22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provides the following outlook for the fourth quarter of 2020 and updated guidance for the full year given actual results from the first three quarters of fiscal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2020:</w:t>
      </w:r>
    </w:p>
    <w:p>
      <w:pPr>
        <w:spacing w:after="0" w:line="10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estimated to be between US$73 million and US$76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US$8.5 million and US$10.5 million.</w:t>
      </w: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is estimated to be between US$20.5 million and US$23.5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Full Year 2020:</w:t>
      </w:r>
    </w:p>
    <w:p>
      <w:pPr>
        <w:spacing w:after="0" w:line="10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is estimated to be between US$240 million and US$260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profit is estimated to be between US$70 million and US$75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is estimated to be between US$14 million and US$17 million.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noted that the advertising budgets recovered across-the-board during the third quarter, as a result of the relaxation of restrictions on economic and social life due to a slowdown of COVID-19 cases in China.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iClick’s diversified customer base of stable, top-tier brands, and the Chinese government’s efforts to contain the spread of the coronavirus, we remain cautiously optimistic for the rest of the year and 2021. However, 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2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November 24, 2020 (9:00 PM Beijing/Hong Kong time on November 24, 2020).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29"/>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replay of the conference call will be accessible by phone one hour after the conclusion of the live call at the following numbers, until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United States:</w:t>
            </w:r>
          </w:p>
        </w:tc>
        <w:tc>
          <w:tcPr>
            <w:tcW w:w="9240" w:type="dxa"/>
            <w:vAlign w:val="bottom"/>
          </w:tcPr>
          <w:p>
            <w:pPr>
              <w:ind w:left="320"/>
              <w:spacing w:after="0"/>
              <w:rPr>
                <w:sz w:val="20"/>
                <w:szCs w:val="20"/>
                <w:color w:val="auto"/>
              </w:rPr>
            </w:pPr>
            <w:r>
              <w:rPr>
                <w:rFonts w:ascii="Arial" w:cs="Arial" w:eastAsia="Arial" w:hAnsi="Arial"/>
                <w:sz w:val="20"/>
                <w:szCs w:val="20"/>
                <w:color w:val="auto"/>
              </w:rPr>
              <w:t>+1-877-344-7529</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International:</w:t>
            </w:r>
          </w:p>
        </w:tc>
        <w:tc>
          <w:tcPr>
            <w:tcW w:w="9240" w:type="dxa"/>
            <w:vAlign w:val="bottom"/>
          </w:tcPr>
          <w:p>
            <w:pPr>
              <w:ind w:left="320"/>
              <w:spacing w:after="0"/>
              <w:rPr>
                <w:sz w:val="20"/>
                <w:szCs w:val="20"/>
                <w:color w:val="auto"/>
              </w:rPr>
            </w:pPr>
            <w:r>
              <w:rPr>
                <w:rFonts w:ascii="Arial" w:cs="Arial" w:eastAsia="Arial" w:hAnsi="Arial"/>
                <w:sz w:val="20"/>
                <w:szCs w:val="20"/>
                <w:color w:val="auto"/>
              </w:rPr>
              <w:t>+1-412-317-0088</w:t>
            </w:r>
          </w:p>
        </w:tc>
      </w:tr>
      <w:tr>
        <w:trPr>
          <w:trHeight w:val="229"/>
        </w:trPr>
        <w:tc>
          <w:tcPr>
            <w:tcW w:w="2020" w:type="dxa"/>
            <w:vAlign w:val="bottom"/>
          </w:tcPr>
          <w:p>
            <w:pPr>
              <w:spacing w:after="0"/>
              <w:rPr>
                <w:sz w:val="20"/>
                <w:szCs w:val="20"/>
                <w:color w:val="auto"/>
              </w:rPr>
            </w:pPr>
            <w:r>
              <w:rPr>
                <w:rFonts w:ascii="Arial" w:cs="Arial" w:eastAsia="Arial" w:hAnsi="Arial"/>
                <w:sz w:val="20"/>
                <w:szCs w:val="20"/>
                <w:color w:val="auto"/>
              </w:rPr>
              <w:t>Canada:</w:t>
            </w:r>
          </w:p>
        </w:tc>
        <w:tc>
          <w:tcPr>
            <w:tcW w:w="9240" w:type="dxa"/>
            <w:vAlign w:val="bottom"/>
          </w:tcPr>
          <w:p>
            <w:pPr>
              <w:ind w:left="320"/>
              <w:spacing w:after="0"/>
              <w:rPr>
                <w:sz w:val="20"/>
                <w:szCs w:val="20"/>
                <w:color w:val="auto"/>
              </w:rPr>
            </w:pPr>
            <w:r>
              <w:rPr>
                <w:rFonts w:ascii="Arial" w:cs="Arial" w:eastAsia="Arial" w:hAnsi="Arial"/>
                <w:sz w:val="20"/>
                <w:szCs w:val="20"/>
                <w:color w:val="auto"/>
              </w:rPr>
              <w:t>+1-855-669-9658</w:t>
            </w: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Replay Access Code:</w:t>
            </w:r>
          </w:p>
        </w:tc>
        <w:tc>
          <w:tcPr>
            <w:tcW w:w="9240" w:type="dxa"/>
            <w:vAlign w:val="bottom"/>
          </w:tcPr>
          <w:p>
            <w:pPr>
              <w:ind w:left="320"/>
              <w:spacing w:after="0"/>
              <w:rPr>
                <w:sz w:val="20"/>
                <w:szCs w:val="20"/>
                <w:color w:val="auto"/>
              </w:rPr>
            </w:pPr>
            <w:r>
              <w:rPr>
                <w:rFonts w:ascii="Arial" w:cs="Arial" w:eastAsia="Arial" w:hAnsi="Arial"/>
                <w:sz w:val="20"/>
                <w:szCs w:val="20"/>
                <w:color w:val="auto"/>
              </w:rPr>
              <w:t>10149740</w:t>
            </w:r>
          </w:p>
        </w:tc>
      </w:tr>
      <w:tr>
        <w:trPr>
          <w:trHeight w:val="354"/>
        </w:trPr>
        <w:tc>
          <w:tcPr>
            <w:tcW w:w="202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income/(loss), and diluted adjusted net income/(loss) per ADS, each a non-GAAP financial measure, in evaluating the Company’s operating results and for financial and operational decision-making purposes.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believes that adjusted EBITDA, adjusted net income/(loss), and diluted adjusted net income/(loss) per ADS help identify underlying trends in the Company’s business that could otherwise be obscured by the effect of the expenses and gains that the Company includes in net loss. The Company believes that adjusted EBITDA and adjusted net income/(loss) provide useful information about the Company’s operating results, enhance the overall understanding of the Company’s performance and allow for greater visibility with respect to key metrics used by the Company’s management in its financial and operational decision-making.</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income/(loss), and diluted adjusted net income/(loss)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#892</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176,053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(48,784)</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(40,611)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(126,054)</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(103,190)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(1,423)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(3,474)</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(9,035)</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(10,569)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(26,151)</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(9,819)</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(3,856)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(20,946)</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(15,848)</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(772)</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(1,787)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742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gains, net</w:t>
            </w:r>
          </w:p>
        </w:tc>
        <w:tc>
          <w:tcPr>
            <w:tcW w:w="1140" w:type="dxa"/>
            <w:vAlign w:val="bottom"/>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(6,343)</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(11,466)</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(losses)/gain on convertible notes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(4,433)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(Loss)/income before income tax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(1,027)</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(1,347)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(15,546)</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(loss)/income attributable to iClick Interactive Asia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(6,552)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(13,904)</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(7,097)</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(15,546)</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140" w:type="dxa"/>
            <w:vAlign w:val="bottom"/>
          </w:tcPr>
          <w:p>
            <w:pPr>
              <w:jc w:val="right"/>
              <w:spacing w:after="0"/>
              <w:rPr>
                <w:sz w:val="20"/>
                <w:szCs w:val="20"/>
                <w:color w:val="auto"/>
              </w:rPr>
            </w:pPr>
            <w:r>
              <w:rPr>
                <w:rFonts w:ascii="Arial" w:cs="Arial" w:eastAsia="Arial" w:hAnsi="Arial"/>
                <w:sz w:val="18"/>
                <w:szCs w:val="18"/>
                <w:color w:val="auto"/>
              </w:rPr>
              <w:t>3,671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(1,591)</w:t>
            </w:r>
          </w:p>
        </w:tc>
        <w:tc>
          <w:tcPr>
            <w:tcW w:w="1140" w:type="dxa"/>
            <w:vAlign w:val="bottom"/>
          </w:tcPr>
          <w:p>
            <w:pPr>
              <w:jc w:val="right"/>
              <w:spacing w:after="0"/>
              <w:rPr>
                <w:sz w:val="20"/>
                <w:szCs w:val="20"/>
                <w:color w:val="auto"/>
              </w:rPr>
            </w:pPr>
            <w:r>
              <w:rPr>
                <w:rFonts w:ascii="Arial" w:cs="Arial" w:eastAsia="Arial" w:hAnsi="Arial"/>
                <w:sz w:val="18"/>
                <w:szCs w:val="18"/>
                <w:color w:val="auto"/>
              </w:rPr>
              <w:t>4,283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40" w:type="dxa"/>
            <w:vAlign w:val="bottom"/>
            <w:vMerge w:val="continue"/>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(3,426)</w:t>
            </w: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(11,263)</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(2,960)</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(9,682)</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 per ADS attributable to iClick</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83,847,077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57,573,081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74,377,252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57,273,115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83,847,077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67,184,218</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74,377,252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65,915,823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ind w:left="344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20" w:type="dxa"/>
            <w:vAlign w:val="bottom"/>
          </w:tcPr>
          <w:p>
            <w:pPr>
              <w:spacing w:after="0"/>
              <w:rPr>
                <w:sz w:val="12"/>
                <w:szCs w:val="12"/>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2"/>
                <w:szCs w:val="12"/>
                <w:b w:val="1"/>
                <w:bCs w:val="1"/>
                <w:color w:val="auto"/>
              </w:rPr>
              <w:t>As of</w:t>
            </w:r>
          </w:p>
        </w:tc>
        <w:tc>
          <w:tcPr>
            <w:tcW w:w="160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43"/>
        </w:trPr>
        <w:tc>
          <w:tcPr>
            <w:tcW w:w="7720" w:type="dxa"/>
            <w:vAlign w:val="bottom"/>
          </w:tcPr>
          <w:p>
            <w:pPr>
              <w:spacing w:after="0"/>
              <w:rPr>
                <w:sz w:val="12"/>
                <w:szCs w:val="12"/>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September 30, 2020</w:t>
            </w:r>
          </w:p>
        </w:tc>
        <w:tc>
          <w:tcPr>
            <w:tcW w:w="16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December 31, 2019</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72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2"/>
                <w:szCs w:val="12"/>
                <w:color w:val="auto"/>
              </w:rPr>
              <w:t>Cash and cash equivalents, time deposit and restricted cash</w:t>
            </w:r>
          </w:p>
        </w:tc>
        <w:tc>
          <w:tcPr>
            <w:tcW w:w="1560" w:type="dxa"/>
            <w:vAlign w:val="bottom"/>
          </w:tcPr>
          <w:p>
            <w:pPr>
              <w:jc w:val="right"/>
              <w:spacing w:after="0"/>
              <w:rPr>
                <w:sz w:val="20"/>
                <w:szCs w:val="20"/>
                <w:color w:val="auto"/>
              </w:rPr>
            </w:pPr>
            <w:r>
              <w:rPr>
                <w:rFonts w:ascii="Arial" w:cs="Arial" w:eastAsia="Arial" w:hAnsi="Arial"/>
                <w:sz w:val="12"/>
                <w:szCs w:val="12"/>
                <w:color w:val="auto"/>
              </w:rPr>
              <w:t>128,016</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61,116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Accounts receivable, net of allowance for doubtful receivables of US$8,156 and US$3,469 as of</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September 30, 2020 and December 31, 2019 respectively3</w:t>
            </w:r>
          </w:p>
        </w:tc>
        <w:tc>
          <w:tcPr>
            <w:tcW w:w="1560" w:type="dxa"/>
            <w:vAlign w:val="bottom"/>
          </w:tcPr>
          <w:p>
            <w:pPr>
              <w:jc w:val="right"/>
              <w:spacing w:after="0"/>
              <w:rPr>
                <w:sz w:val="20"/>
                <w:szCs w:val="20"/>
                <w:color w:val="auto"/>
              </w:rPr>
            </w:pPr>
            <w:r>
              <w:rPr>
                <w:rFonts w:ascii="Arial" w:cs="Arial" w:eastAsia="Arial" w:hAnsi="Arial"/>
                <w:sz w:val="12"/>
                <w:szCs w:val="12"/>
                <w:color w:val="auto"/>
              </w:rPr>
              <w:t>139,992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143,971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58,722</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326,730</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245,393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772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Arial" w:cs="Arial" w:eastAsia="Arial" w:hAnsi="Arial"/>
                <w:sz w:val="12"/>
                <w:szCs w:val="12"/>
                <w:color w:val="auto"/>
              </w:rPr>
              <w:t>Goodwill</w:t>
            </w:r>
          </w:p>
        </w:tc>
        <w:tc>
          <w:tcPr>
            <w:tcW w:w="1560" w:type="dxa"/>
            <w:vAlign w:val="bottom"/>
          </w:tcPr>
          <w:p>
            <w:pPr>
              <w:jc w:val="right"/>
              <w:spacing w:after="0"/>
              <w:rPr>
                <w:sz w:val="20"/>
                <w:szCs w:val="20"/>
                <w:color w:val="auto"/>
              </w:rPr>
            </w:pPr>
            <w:r>
              <w:rPr>
                <w:rFonts w:ascii="Arial" w:cs="Arial" w:eastAsia="Arial" w:hAnsi="Arial"/>
                <w:sz w:val="12"/>
                <w:szCs w:val="12"/>
                <w:color w:val="auto"/>
              </w:rPr>
              <w:t>65,710</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65,710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72,954</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138,664</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465,394</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72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Accounts payable (including accounts payable of the consolidated variable interest entity (“VIE”) and its subsidiaries</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without recourse to the Company of US$651 and US$27 as of September 30, 2020 and 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27,443</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66,161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Deferred revenue (including deferred revenue of the consolidated VIE and its subsidiaries without recourse to the</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Company of US$1,438 and US$866 as of September 30, 2020 and 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26,349</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27,089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Accrued liabilities and other current liabilities (including accrued liabilities and other current liabilities of the</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100"/>
              <w:spacing w:after="0" w:line="135" w:lineRule="exact"/>
              <w:rPr>
                <w:sz w:val="20"/>
                <w:szCs w:val="20"/>
                <w:color w:val="auto"/>
              </w:rPr>
            </w:pPr>
            <w:r>
              <w:rPr>
                <w:rFonts w:ascii="Arial" w:cs="Arial" w:eastAsia="Arial" w:hAnsi="Arial"/>
                <w:sz w:val="12"/>
                <w:szCs w:val="12"/>
                <w:color w:val="auto"/>
              </w:rPr>
              <w:t>consolidated VIE and its subsidiaries without recourse to the Company of US$1,200 and US$1,802 as of</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September 30, 2020 and 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27,842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19,937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Arial" w:cs="Arial" w:eastAsia="Arial" w:hAnsi="Arial"/>
                <w:sz w:val="12"/>
                <w:szCs w:val="12"/>
                <w:color w:val="auto"/>
              </w:rPr>
              <w:t>Bank borrowings</w:t>
            </w:r>
          </w:p>
        </w:tc>
        <w:tc>
          <w:tcPr>
            <w:tcW w:w="1560" w:type="dxa"/>
            <w:vAlign w:val="bottom"/>
          </w:tcPr>
          <w:p>
            <w:pPr>
              <w:jc w:val="right"/>
              <w:spacing w:after="0"/>
              <w:rPr>
                <w:sz w:val="20"/>
                <w:szCs w:val="20"/>
                <w:color w:val="auto"/>
              </w:rPr>
            </w:pPr>
            <w:r>
              <w:rPr>
                <w:rFonts w:ascii="Arial" w:cs="Arial" w:eastAsia="Arial" w:hAnsi="Arial"/>
                <w:sz w:val="12"/>
                <w:szCs w:val="12"/>
                <w:color w:val="auto"/>
              </w:rPr>
              <w:t>79,412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36,851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2"/>
                <w:szCs w:val="12"/>
                <w:color w:val="auto"/>
              </w:rPr>
              <w:t>Convertible notes at fair value</w:t>
            </w:r>
          </w:p>
        </w:tc>
        <w:tc>
          <w:tcPr>
            <w:tcW w:w="1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49,008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2"/>
                <w:szCs w:val="12"/>
                <w:color w:val="auto"/>
              </w:rPr>
              <w:t>Income tax payable</w:t>
            </w:r>
          </w:p>
        </w:tc>
        <w:tc>
          <w:tcPr>
            <w:tcW w:w="1560" w:type="dxa"/>
            <w:vAlign w:val="bottom"/>
          </w:tcPr>
          <w:p>
            <w:pPr>
              <w:jc w:val="right"/>
              <w:spacing w:after="0"/>
              <w:rPr>
                <w:sz w:val="20"/>
                <w:szCs w:val="20"/>
                <w:color w:val="auto"/>
              </w:rPr>
            </w:pPr>
            <w:r>
              <w:rPr>
                <w:rFonts w:ascii="Arial" w:cs="Arial" w:eastAsia="Arial" w:hAnsi="Arial"/>
                <w:sz w:val="12"/>
                <w:szCs w:val="12"/>
                <w:color w:val="auto"/>
              </w:rPr>
              <w:t>5,430</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3,780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Lease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954</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167,430</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203,940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7720" w:type="dxa"/>
            <w:vAlign w:val="bottom"/>
          </w:tcPr>
          <w:p>
            <w:pPr>
              <w:spacing w:after="0"/>
              <w:rPr>
                <w:sz w:val="20"/>
                <w:szCs w:val="20"/>
                <w:color w:val="auto"/>
              </w:rPr>
            </w:pPr>
            <w:r>
              <w:rPr>
                <w:rFonts w:ascii="Arial" w:cs="Arial" w:eastAsia="Arial" w:hAnsi="Arial"/>
                <w:sz w:val="12"/>
                <w:szCs w:val="12"/>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Deferred tax liabilities (including deferred tax liabilities of the consolidated VIE and its subsidiaries without</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100"/>
              <w:spacing w:after="0" w:line="135" w:lineRule="exact"/>
              <w:rPr>
                <w:sz w:val="20"/>
                <w:szCs w:val="20"/>
                <w:color w:val="auto"/>
              </w:rPr>
            </w:pPr>
            <w:r>
              <w:rPr>
                <w:rFonts w:ascii="Arial" w:cs="Arial" w:eastAsia="Arial" w:hAnsi="Arial"/>
                <w:sz w:val="12"/>
                <w:szCs w:val="12"/>
                <w:color w:val="auto"/>
              </w:rPr>
              <w:t>recourse to the Company of US$176 and US$187 as of September 30, 2020</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and 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13,982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1,865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2"/>
                <w:szCs w:val="12"/>
                <w:color w:val="auto"/>
              </w:rPr>
              <w:t>Lease liabilities</w:t>
            </w:r>
          </w:p>
        </w:tc>
        <w:tc>
          <w:tcPr>
            <w:tcW w:w="1560" w:type="dxa"/>
            <w:vAlign w:val="bottom"/>
          </w:tcPr>
          <w:p>
            <w:pPr>
              <w:jc w:val="right"/>
              <w:spacing w:after="0"/>
              <w:rPr>
                <w:sz w:val="20"/>
                <w:szCs w:val="20"/>
                <w:color w:val="auto"/>
              </w:rPr>
            </w:pPr>
            <w:r>
              <w:rPr>
                <w:rFonts w:ascii="Arial" w:cs="Arial" w:eastAsia="Arial" w:hAnsi="Arial"/>
                <w:sz w:val="12"/>
                <w:szCs w:val="12"/>
                <w:color w:val="auto"/>
              </w:rPr>
              <w:t>1,032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15,457</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182,887</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206,960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Ordinary shares – Class A (US$0.001 par value; 80,000,000 shares authorized as of September 30, 2020 and</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100"/>
              <w:spacing w:after="0" w:line="135" w:lineRule="exact"/>
              <w:rPr>
                <w:sz w:val="20"/>
                <w:szCs w:val="20"/>
                <w:color w:val="auto"/>
              </w:rPr>
            </w:pPr>
            <w:r>
              <w:rPr>
                <w:rFonts w:ascii="Arial" w:cs="Arial" w:eastAsia="Arial" w:hAnsi="Arial"/>
                <w:sz w:val="12"/>
                <w:szCs w:val="12"/>
                <w:color w:val="auto"/>
              </w:rPr>
              <w:t>December 31, 2019, respectively; 40,385,058 and 23,870,027 shares issued and outstanding as of</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September 30, 2020 and 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40</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Ordinary shares – Class B (US$0.001 par value; 20,000,000 shares authorized as of September 30, 2020 and</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100"/>
              <w:spacing w:after="0" w:line="135" w:lineRule="exact"/>
              <w:rPr>
                <w:sz w:val="20"/>
                <w:szCs w:val="20"/>
                <w:color w:val="auto"/>
              </w:rPr>
            </w:pPr>
            <w:r>
              <w:rPr>
                <w:rFonts w:ascii="Arial" w:cs="Arial" w:eastAsia="Arial" w:hAnsi="Arial"/>
                <w:sz w:val="12"/>
                <w:szCs w:val="12"/>
                <w:color w:val="auto"/>
              </w:rPr>
              <w:t>December 31, 2019, respectively; 4,820,608 shares issued and outstanding as of September 30, 2020 and</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December 31, 2019, respectively)</w:t>
            </w:r>
          </w:p>
        </w:tc>
        <w:tc>
          <w:tcPr>
            <w:tcW w:w="1560" w:type="dxa"/>
            <w:vAlign w:val="bottom"/>
          </w:tcPr>
          <w:p>
            <w:pPr>
              <w:jc w:val="right"/>
              <w:spacing w:after="0"/>
              <w:rPr>
                <w:sz w:val="20"/>
                <w:szCs w:val="20"/>
                <w:color w:val="auto"/>
              </w:rPr>
            </w:pPr>
            <w:r>
              <w:rPr>
                <w:rFonts w:ascii="Arial" w:cs="Arial" w:eastAsia="Arial" w:hAnsi="Arial"/>
                <w:sz w:val="12"/>
                <w:szCs w:val="12"/>
                <w:color w:val="auto"/>
              </w:rPr>
              <w:t>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line="136" w:lineRule="exact"/>
              <w:rPr>
                <w:sz w:val="20"/>
                <w:szCs w:val="20"/>
                <w:color w:val="auto"/>
              </w:rPr>
            </w:pPr>
            <w:r>
              <w:rPr>
                <w:rFonts w:ascii="Arial" w:cs="Arial" w:eastAsia="Arial" w:hAnsi="Arial"/>
                <w:sz w:val="12"/>
                <w:szCs w:val="12"/>
                <w:color w:val="auto"/>
              </w:rPr>
              <w:t>Treasury shares (2,129,679 shares and 1,744,873 shares as of September 30, 2020 and</w:t>
            </w: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rPr>
                <w:sz w:val="20"/>
                <w:szCs w:val="20"/>
                <w:color w:val="auto"/>
              </w:rPr>
            </w:pPr>
            <w:r>
              <w:rPr>
                <w:rFonts w:ascii="Arial" w:cs="Arial" w:eastAsia="Arial" w:hAnsi="Arial"/>
                <w:sz w:val="12"/>
                <w:szCs w:val="12"/>
                <w:color w:val="auto"/>
              </w:rPr>
              <w:t>December 31, 2019, respectively)</w:t>
            </w: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(5,346)</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(4,858)</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560" w:type="dxa"/>
            <w:vAlign w:val="bottom"/>
          </w:tcPr>
          <w:p>
            <w:pPr>
              <w:jc w:val="right"/>
              <w:spacing w:after="0"/>
              <w:rPr>
                <w:sz w:val="20"/>
                <w:szCs w:val="20"/>
                <w:color w:val="auto"/>
              </w:rPr>
            </w:pPr>
            <w:r>
              <w:rPr>
                <w:rFonts w:ascii="Arial" w:cs="Arial" w:eastAsia="Arial" w:hAnsi="Arial"/>
                <w:sz w:val="12"/>
                <w:szCs w:val="12"/>
                <w:color w:val="auto"/>
              </w:rPr>
              <w:t>481,022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305,344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Arial" w:cs="Arial" w:eastAsia="Arial" w:hAnsi="Arial"/>
                <w:sz w:val="12"/>
                <w:szCs w:val="12"/>
                <w:color w:val="auto"/>
              </w:rPr>
              <w:t>Statutory reserves</w:t>
            </w:r>
          </w:p>
        </w:tc>
        <w:tc>
          <w:tcPr>
            <w:tcW w:w="1560" w:type="dxa"/>
            <w:vAlign w:val="bottom"/>
          </w:tcPr>
          <w:p>
            <w:pPr>
              <w:jc w:val="right"/>
              <w:spacing w:after="0"/>
              <w:rPr>
                <w:sz w:val="20"/>
                <w:szCs w:val="20"/>
                <w:color w:val="auto"/>
              </w:rPr>
            </w:pPr>
            <w:r>
              <w:rPr>
                <w:rFonts w:ascii="Arial" w:cs="Arial" w:eastAsia="Arial" w:hAnsi="Arial"/>
                <w:sz w:val="12"/>
                <w:szCs w:val="12"/>
                <w:color w:val="auto"/>
              </w:rPr>
              <w:t>81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720" w:type="dxa"/>
            <w:vAlign w:val="bottom"/>
          </w:tcPr>
          <w:p>
            <w:pPr>
              <w:spacing w:after="0"/>
              <w:rPr>
                <w:sz w:val="20"/>
                <w:szCs w:val="20"/>
                <w:color w:val="auto"/>
              </w:rPr>
            </w:pPr>
            <w:r>
              <w:rPr>
                <w:rFonts w:ascii="Arial" w:cs="Arial" w:eastAsia="Arial" w:hAnsi="Arial"/>
                <w:sz w:val="12"/>
                <w:szCs w:val="12"/>
                <w:color w:val="auto"/>
              </w:rPr>
              <w:t>Accumulated other comprehensive losses</w:t>
            </w: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(3,257)</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(7,479)</w:t>
            </w:r>
          </w:p>
        </w:tc>
        <w:tc>
          <w:tcPr>
            <w:tcW w:w="0" w:type="dxa"/>
            <w:vAlign w:val="bottom"/>
          </w:tcPr>
          <w:p>
            <w:pPr>
              <w:spacing w:after="0"/>
              <w:rPr>
                <w:sz w:val="1"/>
                <w:szCs w:val="1"/>
                <w:color w:val="auto"/>
              </w:rPr>
            </w:pPr>
          </w:p>
        </w:tc>
      </w:tr>
      <w:tr>
        <w:trPr>
          <w:trHeight w:val="151"/>
        </w:trPr>
        <w:tc>
          <w:tcPr>
            <w:tcW w:w="7720" w:type="dxa"/>
            <w:vAlign w:val="bottom"/>
          </w:tcPr>
          <w:p>
            <w:pPr>
              <w:spacing w:after="0" w:line="150" w:lineRule="exact"/>
              <w:rPr>
                <w:sz w:val="20"/>
                <w:szCs w:val="20"/>
                <w:color w:val="auto"/>
              </w:rPr>
            </w:pPr>
            <w:r>
              <w:rPr>
                <w:rFonts w:ascii="Arial" w:cs="Arial" w:eastAsia="Arial" w:hAnsi="Arial"/>
                <w:sz w:val="11"/>
                <w:szCs w:val="11"/>
                <w:color w:val="auto"/>
              </w:rPr>
              <w:t>Accumulated deficit</w:t>
            </w:r>
            <w:r>
              <w:rPr>
                <w:rFonts w:ascii="Arial" w:cs="Arial" w:eastAsia="Arial" w:hAnsi="Arial"/>
                <w:sz w:val="17"/>
                <w:szCs w:val="17"/>
                <w:color w:val="auto"/>
                <w:vertAlign w:val="superscript"/>
              </w:rPr>
              <w:t>3</w:t>
            </w: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(208,891)</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(191,016)</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Arial" w:cs="Arial" w:eastAsia="Arial" w:hAnsi="Arial"/>
                <w:sz w:val="12"/>
                <w:szCs w:val="12"/>
                <w:color w:val="auto"/>
              </w:rPr>
              <w:t>Total iClick Interactive Asia Group Limited shareholders’ equity</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263,654</w:t>
            </w:r>
          </w:p>
        </w:tc>
        <w:tc>
          <w:tcPr>
            <w:tcW w:w="280" w:type="dxa"/>
            <w:vAlign w:val="bottom"/>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102,101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18,853</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282,507</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114,556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2"/>
                <w:szCs w:val="12"/>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720" w:type="dxa"/>
            <w:vAlign w:val="bottom"/>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465,394</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50" w:lineRule="exact"/>
        <w:rPr>
          <w:sz w:val="20"/>
          <w:szCs w:val="20"/>
          <w:color w:val="auto"/>
        </w:rPr>
      </w:pPr>
    </w:p>
    <w:p>
      <w:pPr>
        <w:jc w:val="both"/>
        <w:ind w:left="120" w:hanging="112"/>
        <w:spacing w:after="0" w:line="231" w:lineRule="auto"/>
        <w:tabs>
          <w:tab w:leader="none" w:pos="12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Company adopted ASC 326 using the modified retrospective method started from January 1, 2020, which changes the impairment model for financial assets measured at amortized costs by using a new forward-looking “expected loss” model that replaced the “incurred loss” model and resulted in the earlier recognition of allowances for losses. The adoption of ASC 326 resulted in recognition of allowance for doubtful accounts receivable of US$4.0 million and a corresponding increase in accumulated losses of US$4.0 million on January 1, 2020, for the cumulative effect of adopting ASC 326. The consolidated financial information related to periods prior to January 1, 2020 were not restated, and continue to be reported in accordance with previously applicable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Adjusted EBITDA represents net (loss)/income before (i) depreciation and amortization, (ii) interest expense, (iii) interest income, (iv) income tax expense/(benefit), (v) share-based compensation, (vi) fair value losses on derivative liabilities, (vii) fair value (losses)/gain on convertible notes, (viii) other gains, net, (ix) convertible notes issuance cost, (x) net loss attributable to noncontrolling interests, (xi) share of losses from an equity investee, (xii) cost related to new business setup or acquisitions, and (xiii) cost related to filing of Form F-3.</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(loss)/income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(1,104)</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Income tax expense/(benefit)</w:t>
            </w: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140" w:type="dxa"/>
            <w:vAlign w:val="bottom"/>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11,466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losses/(gain) on 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(2,938)</w:t>
            </w:r>
          </w:p>
        </w:tc>
        <w:tc>
          <w:tcPr>
            <w:tcW w:w="1140" w:type="dxa"/>
            <w:vAlign w:val="bottom"/>
          </w:tcPr>
          <w:p>
            <w:pPr>
              <w:jc w:val="right"/>
              <w:spacing w:after="0"/>
              <w:rPr>
                <w:sz w:val="20"/>
                <w:szCs w:val="20"/>
                <w:color w:val="auto"/>
              </w:rPr>
            </w:pPr>
            <w:r>
              <w:rPr>
                <w:rFonts w:ascii="Arial" w:cs="Arial" w:eastAsia="Arial" w:hAnsi="Arial"/>
                <w:sz w:val="18"/>
                <w:szCs w:val="18"/>
                <w:color w:val="auto"/>
              </w:rPr>
              <w:t>4,433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50" w:lineRule="exact"/>
        <w:rPr>
          <w:sz w:val="20"/>
          <w:szCs w:val="20"/>
          <w:color w:val="auto"/>
        </w:rPr>
      </w:pPr>
    </w:p>
    <w:p>
      <w:pPr>
        <w:ind w:left="120" w:right="20" w:hanging="112"/>
        <w:spacing w:after="0"/>
        <w:tabs>
          <w:tab w:leader="none" w:pos="120" w:val="left"/>
        </w:tabs>
        <w:numPr>
          <w:ilvl w:val="0"/>
          <w:numId w:val="6"/>
        </w:numPr>
        <w:rPr>
          <w:rFonts w:ascii="Arial" w:cs="Arial" w:eastAsia="Arial" w:hAnsi="Arial"/>
          <w:sz w:val="12"/>
          <w:szCs w:val="12"/>
          <w:color w:val="auto"/>
        </w:rPr>
      </w:pPr>
      <w:r>
        <w:rPr>
          <w:rFonts w:ascii="Arial" w:cs="Arial" w:eastAsia="Arial" w:hAnsi="Arial"/>
          <w:sz w:val="14"/>
          <w:szCs w:val="14"/>
          <w:color w:val="auto"/>
        </w:rPr>
        <w:t>Other gains, net, have been adjusted out, except for amounts of US$803 thousand, US$494 thousand, US$2,018 thousand, and US$1,168 thousand in relation to government grants for the three months ended September 30, 2020 and 2019 and for the nine months ended September 30, 2020 and 2019, respectively.</w:t>
      </w:r>
    </w:p>
    <w:p>
      <w:pPr>
        <w:ind w:left="120" w:hanging="112"/>
        <w:spacing w:after="0" w:line="222"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Convertible notes issuance cost represents legal and professional fee for the issue of convertible notes.</w:t>
      </w:r>
    </w:p>
    <w:p>
      <w:pPr>
        <w:ind w:left="120" w:hanging="112"/>
        <w:spacing w:after="0" w:line="221"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Net loss attributable to noncontrolling interests has been adjusted back because the Company’s management regularly reviews EBITDA excluding noncontrolling interests as a measure of its operational performance.</w:t>
      </w:r>
    </w:p>
    <w:p>
      <w:pPr>
        <w:ind w:left="120" w:hanging="112"/>
        <w:spacing w:after="0"/>
        <w:tabs>
          <w:tab w:leader="none" w:pos="120" w:val="left"/>
        </w:tabs>
        <w:numPr>
          <w:ilvl w:val="0"/>
          <w:numId w:val="9"/>
        </w:numPr>
        <w:rPr>
          <w:rFonts w:ascii="Arial" w:cs="Arial" w:eastAsia="Arial" w:hAnsi="Arial"/>
          <w:sz w:val="11"/>
          <w:szCs w:val="11"/>
          <w:color w:val="auto"/>
        </w:rPr>
      </w:pPr>
      <w:r>
        <w:rPr>
          <w:rFonts w:ascii="Arial" w:cs="Arial" w:eastAsia="Arial" w:hAnsi="Arial"/>
          <w:sz w:val="13"/>
          <w:szCs w:val="13"/>
          <w:color w:val="auto"/>
        </w:rPr>
        <w:t>Share of losses from an equity investee represents share of losses incurred by the Company’s Thailand business operated through an equity investee over which the Company has significant</w:t>
      </w:r>
    </w:p>
    <w:p>
      <w:pPr>
        <w:ind w:left="120"/>
        <w:spacing w:after="0" w:line="221" w:lineRule="auto"/>
        <w:rPr>
          <w:sz w:val="20"/>
          <w:szCs w:val="20"/>
          <w:color w:val="auto"/>
        </w:rPr>
      </w:pPr>
      <w:r>
        <w:rPr>
          <w:rFonts w:ascii="Arial" w:cs="Arial" w:eastAsia="Arial" w:hAnsi="Arial"/>
          <w:sz w:val="14"/>
          <w:szCs w:val="14"/>
          <w:color w:val="auto"/>
        </w:rPr>
        <w:t>influence, and which is not considered to be a part of the core business that the Company operates through its consolidated entities.</w:t>
      </w:r>
    </w:p>
    <w:p>
      <w:pPr>
        <w:ind w:left="120" w:hanging="112"/>
        <w:spacing w:after="0" w:line="221" w:lineRule="auto"/>
        <w:tabs>
          <w:tab w:leader="none" w:pos="1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for setting up Thailand business and other acquisitions, including audit, legal and professional fee in connection therewith.</w:t>
      </w:r>
    </w:p>
    <w:p>
      <w:pPr>
        <w:ind w:left="120" w:hanging="112"/>
        <w:spacing w:after="0" w:line="222" w:lineRule="auto"/>
        <w:tabs>
          <w:tab w:leader="none" w:pos="1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Cost related to the filing of Form F-3 represents audit, legal and professional fees.</w:t>
      </w:r>
    </w:p>
    <w:p>
      <w:pPr>
        <w:ind w:left="140" w:hanging="132"/>
        <w:spacing w:after="0" w:line="271" w:lineRule="auto"/>
        <w:tabs>
          <w:tab w:leader="none" w:pos="1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The comparative figures for the three months ended September 30, 2019 and nine months ended September 30, 2019 were restated to conform to the presentation of the figures for the same periods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Adjusted net income/(loss) represents net (loss)/income before (i) share-based compensation, (ii) fair value losses on derivative liabilities,</w:t>
      </w:r>
    </w:p>
    <w:p>
      <w:pPr>
        <w:spacing w:after="0" w:line="40" w:lineRule="exact"/>
        <w:rPr>
          <w:sz w:val="20"/>
          <w:szCs w:val="20"/>
          <w:color w:val="auto"/>
        </w:rPr>
      </w:pPr>
    </w:p>
    <w:p>
      <w:pPr>
        <w:jc w:val="both"/>
        <w:ind w:firstLine="8"/>
        <w:spacing w:after="0" w:line="241" w:lineRule="auto"/>
        <w:tabs>
          <w:tab w:leader="none" w:pos="382"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fair value losses/(gain) on convertible notes, (iv) other gains, net, (v) convertible notes issuance cost, (vi) net loss attributable to noncontrolling interests, (vii) share of losses from an equity investee, (viii) cost related to new business setup or acquisitions, and (ix) cost related to filing of Form F-3. There is no material tax effects on these non-GAAP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income/(loss) from net (loss)/income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11,466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losses/(gain) on 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(2,938)</w:t>
            </w:r>
          </w:p>
        </w:tc>
        <w:tc>
          <w:tcPr>
            <w:tcW w:w="1140" w:type="dxa"/>
            <w:vAlign w:val="bottom"/>
          </w:tcPr>
          <w:p>
            <w:pPr>
              <w:jc w:val="right"/>
              <w:spacing w:after="0"/>
              <w:rPr>
                <w:sz w:val="20"/>
                <w:szCs w:val="20"/>
                <w:color w:val="auto"/>
              </w:rPr>
            </w:pPr>
            <w:r>
              <w:rPr>
                <w:rFonts w:ascii="Arial" w:cs="Arial" w:eastAsia="Arial" w:hAnsi="Arial"/>
                <w:sz w:val="18"/>
                <w:szCs w:val="18"/>
                <w:color w:val="auto"/>
              </w:rPr>
              <w:t>4,433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income/(loss)</w:t>
            </w:r>
            <w:r>
              <w:rPr>
                <w:rFonts w:ascii="Arial" w:cs="Arial" w:eastAsia="Arial" w:hAnsi="Arial"/>
                <w:sz w:val="15"/>
                <w:szCs w:val="15"/>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income/(loss) per ADS for the periods indicated are calculated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w:t>
            </w:r>
            <w:r>
              <w:rPr>
                <w:rFonts w:ascii="Arial" w:cs="Arial" w:eastAsia="Arial" w:hAnsi="Arial"/>
                <w:sz w:val="15"/>
                <w:szCs w:val="15"/>
                <w:color w:val="auto"/>
              </w:rPr>
              <w:t>10</w:t>
            </w:r>
          </w:p>
        </w:tc>
        <w:tc>
          <w:tcPr>
            <w:tcW w:w="1140" w:type="dxa"/>
            <w:vAlign w:val="bottom"/>
          </w:tcPr>
          <w:p>
            <w:pPr>
              <w:jc w:val="right"/>
              <w:spacing w:after="0"/>
              <w:rPr>
                <w:sz w:val="20"/>
                <w:szCs w:val="20"/>
                <w:color w:val="auto"/>
              </w:rPr>
            </w:pPr>
            <w:r>
              <w:rPr>
                <w:rFonts w:ascii="Arial" w:cs="Arial" w:eastAsia="Arial" w:hAnsi="Arial"/>
                <w:sz w:val="18"/>
                <w:szCs w:val="18"/>
                <w:color w:val="auto"/>
              </w:rPr>
              <w:t>9,521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(1,380)</w:t>
            </w:r>
          </w:p>
        </w:tc>
        <w:tc>
          <w:tcPr>
            <w:tcW w:w="1140" w:type="dxa"/>
            <w:vAlign w:val="bottom"/>
          </w:tcPr>
          <w:p>
            <w:pPr>
              <w:jc w:val="right"/>
              <w:spacing w:after="0"/>
              <w:rPr>
                <w:sz w:val="20"/>
                <w:szCs w:val="20"/>
                <w:color w:val="auto"/>
              </w:rPr>
            </w:pPr>
            <w:r>
              <w:rPr>
                <w:rFonts w:ascii="Arial" w:cs="Arial" w:eastAsia="Arial" w:hAnsi="Arial"/>
                <w:sz w:val="18"/>
                <w:szCs w:val="18"/>
                <w:color w:val="auto"/>
              </w:rPr>
              <w:t>21,018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10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(loss)/income per ADS - Weighted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83,847,077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67,184,218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74,377,252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65,915,823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income/(loss)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90,085,165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67,184,218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80,615,340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65,915,823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(loss)/income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 per ADS</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income/(loss) per ADS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9"/>
      <w:numFmt w:val="bullet"/>
      <w:start w:val="1"/>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2020-11-24T17:06:24Z</dcterms:created>
  <dcterms:modified xsi:type="dcterms:W3CDTF">2020-11-24T17:06:24Z</dcterms:modified>
</cp:coreProperties>
</file>