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Wang Kejia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20" w:type="dxa"/>
            <w:vAlign w:val="bottom"/>
            <w:tcBorders>
              <w:top w:val="single" w:sz="8" w:color="0000EE"/>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Amber International Holding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AMBR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313" w:lineRule="auto"/>
        <w:rPr>
          <w:sz w:val="20"/>
          <w:szCs w:val="20"/>
          <w:color w:val="auto"/>
        </w:rPr>
      </w:pPr>
      <w:r>
        <w:rPr>
          <w:rFonts w:ascii="Times New Roman" w:cs="Times New Roman" w:eastAsia="Times New Roman" w:hAnsi="Times New Roman"/>
          <w:sz w:val="18"/>
          <w:szCs w:val="18"/>
          <w:color w:val="0000FF"/>
        </w:rPr>
        <w:t>RM8640, 86/F, INTERNATIONAL COMMERCE</w:t>
      </w:r>
    </w:p>
    <w:p>
      <w:pPr>
        <w:ind w:left="140"/>
        <w:spacing w:after="0"/>
        <w:rPr>
          <w:sz w:val="20"/>
          <w:szCs w:val="20"/>
          <w:color w:val="auto"/>
        </w:rPr>
      </w:pPr>
      <w:r>
        <w:rPr>
          <w:rFonts w:ascii="Times New Roman" w:cs="Times New Roman" w:eastAsia="Times New Roman" w:hAnsi="Times New Roman"/>
          <w:sz w:val="18"/>
          <w:szCs w:val="18"/>
          <w:color w:val="0000FF"/>
        </w:rPr>
        <w:t>CENTRE 1 AUSTIN ROAD WEST</w:t>
      </w:r>
    </w:p>
    <w:p>
      <w:pPr>
        <w:spacing w:after="0" w:line="34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183" w:lineRule="auto"/>
        <w:tabs>
          <w:tab w:leader="none" w:pos="1140" w:val="left"/>
        </w:tabs>
        <w:rPr>
          <w:sz w:val="20"/>
          <w:szCs w:val="20"/>
          <w:color w:val="auto"/>
        </w:rPr>
      </w:pPr>
      <w:r>
        <w:rPr>
          <w:rFonts w:ascii="Times New Roman" w:cs="Times New Roman" w:eastAsia="Times New Roman" w:hAnsi="Times New Roman"/>
          <w:sz w:val="18"/>
          <w:szCs w:val="18"/>
          <w:color w:val="0000FF"/>
        </w:rPr>
        <w:t>HONG</w:t>
      </w:r>
      <w:r>
        <w:rPr>
          <w:sz w:val="20"/>
          <w:szCs w:val="20"/>
          <w:color w:val="auto"/>
        </w:rPr>
        <w:tab/>
      </w:r>
      <w:r>
        <w:rPr>
          <w:rFonts w:ascii="Times New Roman" w:cs="Times New Roman" w:eastAsia="Times New Roman" w:hAnsi="Times New Roman"/>
          <w:sz w:val="34"/>
          <w:szCs w:val="34"/>
          <w:color w:val="0000FF"/>
          <w:vertAlign w:val="subscript"/>
        </w:rPr>
        <w:t>K3</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KONG</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203"/>
        <w:spacing w:after="0"/>
        <w:rPr>
          <w:sz w:val="20"/>
          <w:szCs w:val="20"/>
          <w:color w:val="auto"/>
        </w:rPr>
      </w:pPr>
      <w:r>
        <w:rPr>
          <w:rFonts w:ascii="Times New Roman" w:cs="Times New Roman" w:eastAsia="Times New Roman" w:hAnsi="Times New Roman"/>
          <w:sz w:val="20"/>
          <w:szCs w:val="20"/>
          <w:color w:val="0000FF"/>
        </w:rPr>
        <w:t>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6"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41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w w:val="98"/>
              </w:rPr>
              <w:t>Class A ordinary shares, par value $0.001 per share</w:t>
            </w:r>
          </w:p>
        </w:tc>
        <w:tc>
          <w:tcPr>
            <w:tcW w:w="8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4,174,345</w:t>
            </w: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00" w:type="dxa"/>
            <w:vAlign w:val="bottom"/>
            <w:vMerge w:val="restart"/>
          </w:tcPr>
          <w:p>
            <w:pPr>
              <w:ind w:left="3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6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60" w:type="dxa"/>
            <w:vAlign w:val="bottom"/>
          </w:tcPr>
          <w:p>
            <w:pPr>
              <w:ind w:left="4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Supreme Golden Holding Limited ("Supreme Golden") is the record holder of the Class A ordinary shares reported herein. Supreme Golden is wholly owned by the Reporting Person.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Kejia Wang</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4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 xml:space="preserve">Know all by these presents that the undersigned, does hereby make, constitute and appoint each of </w:t>
      </w:r>
      <w:r>
        <w:rPr>
          <w:rFonts w:ascii="Times New Roman" w:cs="Times New Roman" w:eastAsia="Times New Roman" w:hAnsi="Times New Roman"/>
          <w:sz w:val="20"/>
          <w:szCs w:val="20"/>
          <w:b w:val="1"/>
          <w:bCs w:val="1"/>
          <w:color w:val="auto"/>
        </w:rPr>
        <w:t>Binlin Cai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Hoi Ying Chau,</w:t>
      </w:r>
      <w:r>
        <w:rPr>
          <w:rFonts w:ascii="Times New Roman" w:cs="Times New Roman" w:eastAsia="Times New Roman" w:hAnsi="Times New Roman"/>
          <w:sz w:val="20"/>
          <w:szCs w:val="20"/>
          <w:color w:val="auto"/>
        </w:rPr>
        <w:t xml:space="preserve">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Amber International Holding Limited (the “Company”) (i) pursuant to Section 16(a) of the Securities Exchange Act of 1934, as amended, including without limitation, statements on Form 3, Form 4,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w:t>
      </w:r>
      <w:r>
        <w:rPr>
          <w:rFonts w:ascii="Times New Roman" w:cs="Times New Roman" w:eastAsia="Times New Roman" w:hAnsi="Times New Roman"/>
          <w:sz w:val="20"/>
          <w:szCs w:val="20"/>
          <w:b w:val="1"/>
          <w:bCs w:val="1"/>
          <w:color w:val="auto"/>
        </w:rPr>
        <w:t>Binlin Cai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Hoi Ying Chau,</w:t>
      </w:r>
      <w:r>
        <w:rPr>
          <w:rFonts w:ascii="Times New Roman" w:cs="Times New Roman" w:eastAsia="Times New Roman" w:hAnsi="Times New Roman"/>
          <w:sz w:val="20"/>
          <w:szCs w:val="20"/>
          <w:color w:val="auto"/>
        </w:rPr>
        <w:t xml:space="preserve"> are not assuming any of the undersigned’s responsibilities to comply with Section 16 of the Securities Exchange Act of 1934, as amended, or Rule 144 under the Securities Act of 1933, as amended.</w:t>
      </w:r>
    </w:p>
    <w:p>
      <w:pPr>
        <w:spacing w:after="0" w:line="21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By:</w:t>
        <w:tab/>
        <w:t>/s/Kejia Wang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Name:Kejia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18 March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20927" TargetMode="External"/><Relationship Id="rId11" Type="http://schemas.openxmlformats.org/officeDocument/2006/relationships/hyperlink" Target="http://www.sec.gov/cgi-bin/browse-edgar?action=getcompany&amp;CIK=00016978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2026-03-18T16:45:36Z</dcterms:created>
  <dcterms:modified xsi:type="dcterms:W3CDTF">2026-03-18T16:45:36Z</dcterms:modified>
</cp:coreProperties>
</file>