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 dated September 3, 2020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Relating to Preliminary Prospectus Supplement dated September 1, 2020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To Prospectus dated June 28, 2019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Nos. 333-232435 and 333-248565</w:t>
      </w:r>
    </w:p>
    <w:p>
      <w:pPr>
        <w:spacing w:after="0" w:line="200" w:lineRule="exact"/>
        <w:rPr>
          <w:sz w:val="24"/>
          <w:szCs w:val="24"/>
          <w:color w:val="auto"/>
        </w:rPr>
      </w:pPr>
    </w:p>
    <w:p>
      <w:pPr>
        <w:spacing w:after="0" w:line="2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 Announces Pricing of its Follow-on Offering</w:t>
      </w:r>
    </w:p>
    <w:p>
      <w:pPr>
        <w:spacing w:after="0" w:line="225" w:lineRule="exact"/>
        <w:rPr>
          <w:sz w:val="24"/>
          <w:szCs w:val="24"/>
          <w:color w:val="auto"/>
        </w:rPr>
      </w:pPr>
    </w:p>
    <w:p>
      <w:pPr>
        <w:ind w:left="4"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New York, September 3, 2020 </w:t>
      </w:r>
      <w:r>
        <w:rPr>
          <w:rFonts w:ascii="Times New Roman" w:cs="Times New Roman" w:eastAsia="Times New Roman" w:hAnsi="Times New Roman"/>
          <w:sz w:val="18"/>
          <w:szCs w:val="18"/>
          <w:color w:val="auto"/>
        </w:rPr>
        <w:t>— iClick Interactive Asia Group Limited (“iClick” or the “Company”) (NASDAQ: ICLK), an independent online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and enterprise data solutions provider in China, today announced that its previously announced follow-on offering of up to 7,922,787 American depositary shares (the “ADSs”), with two ADSs representing one Class A ordinary share of the Company, par value US$0.001 per share (the “Offering”), was increased to 8,500,001 ADSs and priced at US$8.50 per ADS.</w:t>
      </w:r>
    </w:p>
    <w:p>
      <w:pPr>
        <w:spacing w:after="0" w:line="180" w:lineRule="exact"/>
        <w:rPr>
          <w:sz w:val="24"/>
          <w:szCs w:val="24"/>
          <w:color w:val="auto"/>
        </w:rPr>
      </w:pPr>
    </w:p>
    <w:p>
      <w:pPr>
        <w:jc w:val="both"/>
        <w:ind w:left="4" w:right="120"/>
        <w:spacing w:after="0" w:line="266" w:lineRule="auto"/>
        <w:rPr>
          <w:sz w:val="20"/>
          <w:szCs w:val="20"/>
          <w:color w:val="auto"/>
        </w:rPr>
      </w:pPr>
      <w:r>
        <w:rPr>
          <w:rFonts w:ascii="Times New Roman" w:cs="Times New Roman" w:eastAsia="Times New Roman" w:hAnsi="Times New Roman"/>
          <w:sz w:val="18"/>
          <w:szCs w:val="18"/>
          <w:color w:val="auto"/>
        </w:rPr>
        <w:t>Of the ADSs being offered, 6,877,214 ADSs are being offered by iClick, and 1,622,787 ADSs are being offered by Sumitomo Corporation Equity Asia Limited, a selling shareholder. iClick will not receive any proceeds from the sale of ADSs by such selling shareholder. In connection with the Offering, iClick intends to grant the underwriters a 30-day option to purchase up to an additional 15% of the total ADSs sold in the Offering.</w:t>
      </w:r>
    </w:p>
    <w:p>
      <w:pPr>
        <w:spacing w:after="0" w:line="176" w:lineRule="exact"/>
        <w:rPr>
          <w:sz w:val="24"/>
          <w:szCs w:val="24"/>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Mr. Wing Hong Sammy Hsieh and Mr. Jian Tang, two of the Company’s principal shareholders and co-founders, and Mr. Terence Li, chief financial officer of the Company, have indicated interests in purchasing an aggregate of US$1.0 million of the ADSs being offered in the Offering at the public offering price and on the same terms as the other ADSs being offered, with respect to which the underwriters will not receive any underwriting discounts or commissions.</w:t>
      </w:r>
    </w:p>
    <w:p>
      <w:pPr>
        <w:spacing w:after="0" w:line="18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The Offering is expected to close on September 8, 2020, subject to customary closing conditions.</w:t>
      </w:r>
    </w:p>
    <w:p>
      <w:pPr>
        <w:spacing w:after="0" w:line="225" w:lineRule="exact"/>
        <w:rPr>
          <w:sz w:val="24"/>
          <w:szCs w:val="24"/>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iClick’s ADSs are listed on the NASDAQ Global Market under the symbol “ICLK.” BofA Securities, Inc. is acting as the lead left book-running manager for the Offering, with China Renaissance Securities (Hong Kong) Limited, ICBC International Securities Limited</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and A.G.P./Alliance Global Partners acting as joint book-running managers for the Offering. The Benchmark Company, LLC is acting as co-manager for the Offering. Roth Capital Partners, LLC is acting as financial advisor to the Company in connection with the Offering.</w:t>
      </w:r>
    </w:p>
    <w:p>
      <w:pPr>
        <w:spacing w:after="0" w:line="180" w:lineRule="exact"/>
        <w:rPr>
          <w:sz w:val="24"/>
          <w:szCs w:val="24"/>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 xml:space="preserve">A registration statement on Form F-3 was previously filed with the U.S. Securities and Exchange Commission (“SEC”) on June 28, 2019, and has been declared effective on July 15, 2019. An additional registration statement on Form F-3 was filed pursuant to Rule 462(b) and became automatically effective on September 2, 2020. A prospectus supplement and the accompanying base prospectus describing the terms of the Offering have been filed with the SEC. When available, the final prospectus supplement for the Offering will be filed with the SEC. The Offering is being made only by means of the prospectus supplement and the accompanying base prospectus. Before you invest, you should read the prospectus supplement and the accompanying base prospectus and other documents that the Company has filed with the SEC for more complete information about the Company and the Offering. You may obtain these documents free of charge by visiting EDGAR on the SEC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Alternatively, a copy of the prospectus supplement and the accompanying base prospectus may be obtained from BofA Securities, Inc., NC1-004-03-43, 200 North College Street, 3rd floor, Charlotte NC 28255-0001, Attention: Prospectus Department or by emailing dg.prospectus_requests@bofa.com.</w:t>
      </w:r>
    </w:p>
    <w:p>
      <w:pPr>
        <w:spacing w:after="0" w:line="188" w:lineRule="exact"/>
        <w:rPr>
          <w:sz w:val="24"/>
          <w:szCs w:val="24"/>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any securities, nor will there be any sale of these securities in any state or jurisdiction in which such an offer, solicitation or sale would be unlawful prior to registration or qualification under the securities laws of any such state or other jurisdiction. This press release contains information about the Offering, and there can be no assurance that the Offering will be completed.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4"/>
          <w:szCs w:val="24"/>
          <w:color w:val="auto"/>
        </w:rPr>
      </w:pPr>
    </w:p>
    <w:p>
      <w:pPr>
        <w:ind w:left="424" w:right="200" w:hanging="424"/>
        <w:spacing w:after="0" w:line="282" w:lineRule="auto"/>
        <w:tabs>
          <w:tab w:leader="none" w:pos="424"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ICBC International Securities Limited is not a broker-dealer registered with the United States Securities Exchange Commission, and has not and will not offer or sell any of the Company’s ADSs in the United States.</w:t>
      </w:r>
    </w:p>
    <w:p>
      <w:pPr>
        <w:sectPr>
          <w:pgSz w:w="11900" w:h="16838" w:orient="portrait"/>
          <w:cols w:equalWidth="0" w:num="1">
            <w:col w:w="11024"/>
          </w:cols>
          <w:pgMar w:left="436"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iClick Interactive Asia Group Limited</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iClick Interactive Asia Group Limited (NASDAQ: ICLK) is an independent online marketing and enterprise data solutions provider that connects worldwide marketers with audiences in China. Built on cutting-edge technologies, our proprietary platform possesses omni-channel marketing capabilities and fulfils various marketing objectives in a data-driven and automated manner, helping both international and domestic marketers reach their target audiences in China. Headquartered in Hong Kong, iClick was established in 2009 and is currently operating in ten locations worldwide including Asia and Europe.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the duration of the COVID-19 outbreak and its potential impact on the Company’s business and financial performance; fluctuations in foreign exchange rates; and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in the prospectus supplement related to the Offering and other filings with the SEC. All information provided in this press release is as of the date of this press release, and none of the Company nor the underwriters undertakes any obligation to update any forward-looking statement.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inquiries, please contact:</w:t>
      </w:r>
    </w:p>
    <w:p>
      <w:pPr>
        <w:sectPr>
          <w:pgSz w:w="11900" w:h="16838" w:orient="portrait"/>
          <w:cols w:equalWidth="0" w:num="1">
            <w:col w:w="10960"/>
          </w:cols>
          <w:pgMar w:left="440" w:top="266" w:right="49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China: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iClick Interactive Asia Group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Li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+86-21-3230-3931 #892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ir@i-click.com</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United States: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 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Marco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+1-516-222-2560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johnm@coreir.com</w:t>
      </w:r>
    </w:p>
    <w:sectPr>
      <w:pgSz w:w="11900" w:h="16838" w:orient="portrait"/>
      <w:cols w:equalWidth="0" w:num="2">
        <w:col w:w="5020" w:space="720"/>
        <w:col w:w="5220"/>
      </w:cols>
      <w:pgMar w:left="440" w:top="266"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2020-09-03T05:09:49Z</dcterms:created>
  <dcterms:modified xsi:type="dcterms:W3CDTF">2020-09-03T05:09:49Z</dcterms:modified>
</cp:coreProperties>
</file>