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iClick Interactive Asia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Sponsored American Depository Receipt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45113Y203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45113Y203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College Retirement Equities Fund- Stock Account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iClick Interactive Asia Group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15/F, Prosperity Millennia Plaza 663 King's Road, Quarry Bay Hong Kong S.A.R., People's Republic of 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College Retirement Equities Fund-Stock Account ("CREF 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730 Third Avenue New York, NY 10017-3206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Sponsored American Depository Receipt</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45113Y203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Nuveen Asset Management, LLC ("NAM"), is a registered investment adviser affiliated with TCIM and TAL. NAM may be deemed to be a beneficial owner of 0 shares of Issuer's common stock. TIAA-CREF Investment Management, LLC ("TCIM") is the investment adviser to the College Retirement Equities Fund ("CREF"), a registered investment company, and may be deemed to be a beneficial owner of 0 shares of Issuer's common stock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0 shares of Issuer's common stock owned separately by Funds, Life Funds, VA-1, and/or the Separate Accounts.. These shares were acquired in the ordinary course of business, and not with the purpose or effect of changing or influencing control of the Issuer.</w:t>
      </w:r>
    </w:p>
    <w:p>
      <w:pPr>
        <w:spacing w:after="0" w:line="17"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College Retirement Equities Fund- Stock Account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Stuart R. Brunet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Stuart Brunet, Managing Director, Chief</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2025-05-07T12:06:15Z</dcterms:created>
  <dcterms:modified xsi:type="dcterms:W3CDTF">2025-05-07T12:06:15Z</dcterms:modified>
</cp:coreProperties>
</file>