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153035</wp:posOffset>
            </wp:positionV>
            <wp:extent cx="714057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3238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217805</wp:posOffset>
            </wp:positionV>
            <wp:extent cx="7140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8255"/>
                    </a:xfrm>
                    <a:prstGeom prst="rect">
                      <a:avLst/>
                    </a:prstGeom>
                    <a:noFill/>
                  </pic:spPr>
                </pic:pic>
              </a:graphicData>
            </a:graphic>
          </wp:anchor>
        </w:drawing>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3"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37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0"/>
          <w:szCs w:val="30"/>
          <w:b w:val="1"/>
          <w:bCs w:val="1"/>
          <w:color w:val="auto"/>
        </w:rPr>
        <w:t>FORM 6-K</w:t>
      </w:r>
    </w:p>
    <w:p>
      <w:pPr>
        <w:spacing w:after="0" w:line="200" w:lineRule="exact"/>
        <w:rPr>
          <w:sz w:val="24"/>
          <w:szCs w:val="24"/>
          <w:color w:val="auto"/>
        </w:rPr>
      </w:pP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REPORT OF FOREIGN PRIVATE ISSUER</w:t>
      </w:r>
    </w:p>
    <w:p>
      <w:pPr>
        <w:spacing w:after="0" w:line="2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PURSUANT TO RULE 13a-16 OR 15d-16</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18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 the month of November 2022</w:t>
      </w:r>
    </w:p>
    <w:p>
      <w:pPr>
        <w:spacing w:after="0" w:line="210"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Commission File Number: 001-38313</w:t>
      </w:r>
    </w:p>
    <w:p>
      <w:pPr>
        <w:spacing w:after="0" w:line="200" w:lineRule="exact"/>
        <w:rPr>
          <w:sz w:val="24"/>
          <w:szCs w:val="24"/>
          <w:color w:val="auto"/>
        </w:rPr>
      </w:pP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0"/>
          <w:szCs w:val="30"/>
          <w:b w:val="1"/>
          <w:bCs w:val="1"/>
          <w:color w:val="auto"/>
        </w:rPr>
        <w:t>iClick Interactive Asia Group Limited</w:t>
      </w:r>
    </w:p>
    <w:p>
      <w:pPr>
        <w:spacing w:after="0" w:line="4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7"/>
          <w:szCs w:val="17"/>
          <w:color w:val="auto"/>
        </w:rPr>
        <w:t>(Translation of registrant’s name into English)</w:t>
      </w:r>
    </w:p>
    <w:p>
      <w:pPr>
        <w:spacing w:after="0" w:line="200" w:lineRule="exact"/>
        <w:rPr>
          <w:sz w:val="24"/>
          <w:szCs w:val="24"/>
          <w:color w:val="auto"/>
        </w:rPr>
      </w:pP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15/F</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Prosperity Millennia Plaza</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663 King’s Road, Quarry Bay</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Hong Kong S.A.R., People’s Republic of China</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Tel: +852 3700 9000</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(Address of principal executive office)</w:t>
      </w:r>
    </w:p>
    <w:p>
      <w:pPr>
        <w:spacing w:after="0" w:line="38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files or will file annual reports under cover of Form 20-F or Form 40-F. 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1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 (1): </w:t>
      </w:r>
      <w:r>
        <w:rPr>
          <w:rFonts w:ascii="MS PGothic" w:cs="MS PGothic" w:eastAsia="MS PGothic" w:hAnsi="MS PGothic"/>
          <w:sz w:val="17"/>
          <w:szCs w:val="17"/>
          <w:color w:val="auto"/>
        </w:rPr>
        <w:t>☐</w:t>
      </w:r>
    </w:p>
    <w:p>
      <w:pPr>
        <w:spacing w:after="0" w:line="21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 (7):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161290</wp:posOffset>
            </wp:positionV>
            <wp:extent cx="7140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201930</wp:posOffset>
            </wp:positionV>
            <wp:extent cx="7140575" cy="3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0575" cy="3238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542925</wp:posOffset>
            </wp:positionV>
            <wp:extent cx="718248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100" w:type="dxa"/>
            <w:vAlign w:val="bottom"/>
          </w:tcPr>
          <w:p>
            <w:pPr>
              <w:ind w:left="184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343"/>
        </w:trPr>
        <w:tc>
          <w:tcPr>
            <w:tcW w:w="22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880" w:type="dxa"/>
            <w:vAlign w:val="bottom"/>
          </w:tcPr>
          <w:p>
            <w:pPr>
              <w:spacing w:after="0"/>
              <w:rPr>
                <w:sz w:val="24"/>
                <w:szCs w:val="24"/>
                <w:color w:val="auto"/>
              </w:rPr>
            </w:pPr>
          </w:p>
        </w:tc>
        <w:tc>
          <w:tcPr>
            <w:tcW w:w="8100" w:type="dxa"/>
            <w:vAlign w:val="bottom"/>
          </w:tcPr>
          <w:p>
            <w:pPr>
              <w:ind w:left="2900"/>
              <w:spacing w:after="0"/>
              <w:rPr>
                <w:sz w:val="20"/>
                <w:szCs w:val="20"/>
                <w:color w:val="auto"/>
              </w:rPr>
            </w:pPr>
            <w:r>
              <w:rPr>
                <w:rFonts w:ascii="Times New Roman" w:cs="Times New Roman" w:eastAsia="Times New Roman" w:hAnsi="Times New Roman"/>
                <w:sz w:val="13"/>
                <w:szCs w:val="13"/>
                <w:b w:val="1"/>
                <w:bCs w:val="1"/>
                <w:color w:val="auto"/>
              </w:rPr>
              <w:t>Description of Document</w:t>
            </w:r>
          </w:p>
        </w:tc>
      </w:tr>
      <w:tr>
        <w:trPr>
          <w:trHeight w:val="360"/>
        </w:trPr>
        <w:tc>
          <w:tcPr>
            <w:tcW w:w="2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99.1</w:t>
            </w:r>
          </w:p>
        </w:tc>
        <w:tc>
          <w:tcPr>
            <w:tcW w:w="220" w:type="dxa"/>
            <w:vAlign w:val="bottom"/>
          </w:tcPr>
          <w:p>
            <w:pPr>
              <w:spacing w:after="0"/>
              <w:rPr>
                <w:sz w:val="24"/>
                <w:szCs w:val="24"/>
                <w:color w:val="auto"/>
              </w:rPr>
            </w:pPr>
          </w:p>
        </w:tc>
        <w:tc>
          <w:tcPr>
            <w:tcW w:w="88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7"/>
                <w:szCs w:val="17"/>
                <w:color w:val="0000EE"/>
                <w:w w:val="98"/>
              </w:rPr>
              <w:t>Press release</w:t>
            </w:r>
          </w:p>
        </w:tc>
        <w:tc>
          <w:tcPr>
            <w:tcW w:w="810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452755</wp:posOffset>
            </wp:positionV>
            <wp:extent cx="718248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7"/>
          <w:szCs w:val="17"/>
          <w:b w:val="1"/>
          <w:bCs w:val="1"/>
          <w:color w:val="auto"/>
        </w:rPr>
        <w:t>iClick Interactive Asia Group Limited</w:t>
      </w:r>
    </w:p>
    <w:p>
      <w:pPr>
        <w:spacing w:after="0" w:line="200" w:lineRule="exact"/>
        <w:rPr>
          <w:sz w:val="20"/>
          <w:szCs w:val="20"/>
          <w:color w:val="auto"/>
        </w:rPr>
      </w:pPr>
    </w:p>
    <w:p>
      <w:pPr>
        <w:spacing w:after="0" w:line="216" w:lineRule="exact"/>
        <w:rPr>
          <w:sz w:val="20"/>
          <w:szCs w:val="20"/>
          <w:color w:val="auto"/>
        </w:rPr>
      </w:pPr>
    </w:p>
    <w:tbl>
      <w:tblPr>
        <w:tblLayout w:type="fixed"/>
        <w:tblInd w:w="5640" w:type="dxa"/>
        <w:tblCellMar>
          <w:top w:w="0" w:type="dxa"/>
          <w:left w:w="0" w:type="dxa"/>
          <w:bottom w:w="0" w:type="dxa"/>
          <w:right w:w="0" w:type="dxa"/>
        </w:tblCellMar>
      </w:tblPr>
      <w:tr>
        <w:trPr>
          <w:trHeight w:val="218"/>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David Zhang</w:t>
            </w:r>
          </w:p>
        </w:tc>
      </w:tr>
      <w:tr>
        <w:trPr>
          <w:trHeight w:val="179"/>
        </w:trPr>
        <w:tc>
          <w:tcPr>
            <w:tcW w:w="7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Name:</w:t>
            </w:r>
          </w:p>
        </w:tc>
        <w:tc>
          <w:tcPr>
            <w:tcW w:w="490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David Zhang</w:t>
            </w:r>
          </w:p>
        </w:tc>
      </w:tr>
      <w:tr>
        <w:trPr>
          <w:trHeight w:val="218"/>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30, 2022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32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290830</wp:posOffset>
            </wp:positionV>
            <wp:extent cx="1125855" cy="4502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5855" cy="45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iClick Interactive Regains Compliance with Nasdaq’s Minimum Bid Price Requirement</w:t>
      </w:r>
    </w:p>
    <w:p>
      <w:pPr>
        <w:spacing w:after="0" w:line="212" w:lineRule="exact"/>
        <w:rPr>
          <w:sz w:val="20"/>
          <w:szCs w:val="20"/>
          <w:color w:val="auto"/>
        </w:rPr>
      </w:pPr>
    </w:p>
    <w:p>
      <w:pPr>
        <w:jc w:val="both"/>
        <w:ind w:left="20" w:hanging="11"/>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HONG KONG </w:t>
      </w:r>
      <w:r>
        <w:rPr>
          <w:rFonts w:ascii="Times New Roman" w:cs="Times New Roman" w:eastAsia="Times New Roman" w:hAnsi="Times New Roman"/>
          <w:sz w:val="19"/>
          <w:szCs w:val="19"/>
          <w:color w:val="auto"/>
        </w:rPr>
        <w:t>— Nov 30, 2022 — iClick Interactive Asia Group Limited (“iClick” or the “Company”) (NASDAQ: ICLK), a leading enterprise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marketing cloud platform in China that empowers worldwide brands with full-stack consumer lifecycle solutions, today announced that it received a notification letter (the “Compliance Notice”) from the Listing Qualifications Department of The Nasdaq Stock Market LLC (“Nasdaq”) dated November 29, 2022, informing the Company that it has regained compliance with the Nasdaq Listing Rule 5450(a)(1) (the “Minimum Bid Price Requirement”).</w:t>
      </w:r>
    </w:p>
    <w:p>
      <w:pPr>
        <w:spacing w:after="0" w:line="190" w:lineRule="exact"/>
        <w:rPr>
          <w:sz w:val="20"/>
          <w:szCs w:val="20"/>
          <w:color w:val="auto"/>
        </w:rPr>
      </w:pPr>
    </w:p>
    <w:p>
      <w:pPr>
        <w:jc w:val="both"/>
        <w:ind w:left="20" w:hanging="11"/>
        <w:spacing w:after="0" w:line="242" w:lineRule="auto"/>
        <w:rPr>
          <w:sz w:val="20"/>
          <w:szCs w:val="20"/>
          <w:color w:val="auto"/>
        </w:rPr>
      </w:pPr>
      <w:r>
        <w:rPr>
          <w:rFonts w:ascii="Times New Roman" w:cs="Times New Roman" w:eastAsia="Times New Roman" w:hAnsi="Times New Roman"/>
          <w:sz w:val="19"/>
          <w:szCs w:val="19"/>
          <w:color w:val="auto"/>
        </w:rPr>
        <w:t>As previously announced, the Company received a notification letter from the Nasdaq dated June 14, 2022 indicating that the closing bid price of the Company’s American depositary shares (the “ADSs”) was below the minimum bid price of $1.00 required for continued listing under the Nasdaq Listing Rule 5450(a)(1) for 30 consecutive business days. In order to regain compliance with the Minimum Bid Price Requirement, the Company changed the ratio of its ADSs representing its Class A ordinary shares from one (1) ADS representing one-half (1/2) of one Class A ordinary share to one (1) ADS representing five (5) Class A ordinary shares. The change became effective on November 14, 2022.</w:t>
      </w:r>
    </w:p>
    <w:p>
      <w:pPr>
        <w:spacing w:after="0" w:line="190" w:lineRule="exact"/>
        <w:rPr>
          <w:sz w:val="20"/>
          <w:szCs w:val="20"/>
          <w:color w:val="auto"/>
        </w:rPr>
      </w:pPr>
    </w:p>
    <w:p>
      <w:pPr>
        <w:jc w:val="both"/>
        <w:ind w:left="20" w:hanging="11"/>
        <w:spacing w:after="0" w:line="249" w:lineRule="auto"/>
        <w:rPr>
          <w:sz w:val="20"/>
          <w:szCs w:val="20"/>
          <w:color w:val="auto"/>
        </w:rPr>
      </w:pPr>
      <w:r>
        <w:rPr>
          <w:rFonts w:ascii="Times New Roman" w:cs="Times New Roman" w:eastAsia="Times New Roman" w:hAnsi="Times New Roman"/>
          <w:sz w:val="19"/>
          <w:szCs w:val="19"/>
          <w:color w:val="auto"/>
        </w:rPr>
        <w:t>According to the Compliance Notice, the closing bid price of the Company’s ADSs has been at $1.00 per ADS or greater for 10 consecutive business days from November 14 through November 28, 2022, and the Company has regained compliance with the Minimum Bid Price Requirement and the matter is closed.</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About iClick Interactive Asia Group Limited</w:t>
      </w:r>
    </w:p>
    <w:p>
      <w:pPr>
        <w:spacing w:after="0" w:line="216" w:lineRule="exact"/>
        <w:rPr>
          <w:sz w:val="20"/>
          <w:szCs w:val="20"/>
          <w:color w:val="auto"/>
        </w:rPr>
      </w:pPr>
    </w:p>
    <w:p>
      <w:pPr>
        <w:jc w:val="both"/>
        <w:ind w:left="20"/>
        <w:spacing w:after="0" w:line="242" w:lineRule="auto"/>
        <w:rPr>
          <w:sz w:val="20"/>
          <w:szCs w:val="20"/>
          <w:color w:val="auto"/>
        </w:rPr>
      </w:pPr>
      <w:r>
        <w:rPr>
          <w:rFonts w:ascii="Times New Roman" w:cs="Times New Roman" w:eastAsia="Times New Roman" w:hAnsi="Times New Roman"/>
          <w:sz w:val="19"/>
          <w:szCs w:val="19"/>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https://ir.i-click.com.</w:t>
      </w: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49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investor and media inquiries, please contact:</w:t>
            </w:r>
          </w:p>
        </w:tc>
        <w:tc>
          <w:tcPr>
            <w:tcW w:w="16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408"/>
        </w:trPr>
        <w:tc>
          <w:tcPr>
            <w:tcW w:w="4960" w:type="dxa"/>
            <w:vAlign w:val="bottom"/>
          </w:tcPr>
          <w:p>
            <w:pPr>
              <w:spacing w:after="0"/>
              <w:rPr>
                <w:sz w:val="20"/>
                <w:szCs w:val="20"/>
                <w:color w:val="auto"/>
              </w:rPr>
            </w:pPr>
            <w:r>
              <w:rPr>
                <w:rFonts w:ascii="Calibri" w:cs="Calibri" w:eastAsia="Calibri" w:hAnsi="Calibri"/>
                <w:sz w:val="19"/>
                <w:szCs w:val="19"/>
                <w:b w:val="1"/>
                <w:bCs w:val="1"/>
                <w:color w:val="auto"/>
              </w:rPr>
              <w:t>In China:</w:t>
            </w:r>
          </w:p>
        </w:tc>
        <w:tc>
          <w:tcPr>
            <w:tcW w:w="3020" w:type="dxa"/>
            <w:vAlign w:val="bottom"/>
            <w:gridSpan w:val="2"/>
          </w:tcPr>
          <w:p>
            <w:pPr>
              <w:ind w:left="1080"/>
              <w:spacing w:after="0"/>
              <w:rPr>
                <w:sz w:val="20"/>
                <w:szCs w:val="20"/>
                <w:color w:val="auto"/>
              </w:rPr>
            </w:pPr>
            <w:r>
              <w:rPr>
                <w:rFonts w:ascii="Calibri" w:cs="Calibri" w:eastAsia="Calibri" w:hAnsi="Calibri"/>
                <w:sz w:val="19"/>
                <w:szCs w:val="19"/>
                <w:b w:val="1"/>
                <w:bCs w:val="1"/>
                <w:color w:val="auto"/>
              </w:rPr>
              <w:t>In the United States:</w:t>
            </w:r>
          </w:p>
        </w:tc>
      </w:tr>
      <w:tr>
        <w:trPr>
          <w:trHeight w:val="228"/>
        </w:trPr>
        <w:tc>
          <w:tcPr>
            <w:tcW w:w="4960" w:type="dxa"/>
            <w:vAlign w:val="bottom"/>
          </w:tcPr>
          <w:p>
            <w:pPr>
              <w:spacing w:after="0" w:line="228" w:lineRule="exact"/>
              <w:rPr>
                <w:sz w:val="20"/>
                <w:szCs w:val="20"/>
                <w:color w:val="auto"/>
              </w:rPr>
            </w:pPr>
            <w:r>
              <w:rPr>
                <w:rFonts w:ascii="Calibri" w:cs="Calibri" w:eastAsia="Calibri" w:hAnsi="Calibri"/>
                <w:sz w:val="19"/>
                <w:szCs w:val="19"/>
                <w:b w:val="1"/>
                <w:bCs w:val="1"/>
                <w:color w:val="auto"/>
              </w:rPr>
              <w:t>iClick Interactve Asia Group Limited</w:t>
            </w:r>
          </w:p>
        </w:tc>
        <w:tc>
          <w:tcPr>
            <w:tcW w:w="3020" w:type="dxa"/>
            <w:vAlign w:val="bottom"/>
            <w:gridSpan w:val="2"/>
          </w:tcPr>
          <w:p>
            <w:pPr>
              <w:ind w:left="1080"/>
              <w:spacing w:after="0" w:line="228" w:lineRule="exact"/>
              <w:rPr>
                <w:sz w:val="20"/>
                <w:szCs w:val="20"/>
                <w:color w:val="auto"/>
              </w:rPr>
            </w:pPr>
            <w:r>
              <w:rPr>
                <w:rFonts w:ascii="Calibri" w:cs="Calibri" w:eastAsia="Calibri" w:hAnsi="Calibri"/>
                <w:sz w:val="19"/>
                <w:szCs w:val="19"/>
                <w:b w:val="1"/>
                <w:bCs w:val="1"/>
                <w:color w:val="auto"/>
              </w:rPr>
              <w:t>Core IR</w:t>
            </w:r>
          </w:p>
        </w:tc>
      </w:tr>
      <w:tr>
        <w:trPr>
          <w:trHeight w:val="228"/>
        </w:trPr>
        <w:tc>
          <w:tcPr>
            <w:tcW w:w="4960" w:type="dxa"/>
            <w:vAlign w:val="bottom"/>
          </w:tcPr>
          <w:p>
            <w:pPr>
              <w:spacing w:after="0" w:line="228" w:lineRule="exact"/>
              <w:rPr>
                <w:sz w:val="20"/>
                <w:szCs w:val="20"/>
                <w:color w:val="auto"/>
              </w:rPr>
            </w:pPr>
            <w:r>
              <w:rPr>
                <w:rFonts w:ascii="Calibri" w:cs="Calibri" w:eastAsia="Calibri" w:hAnsi="Calibri"/>
                <w:sz w:val="19"/>
                <w:szCs w:val="19"/>
                <w:color w:val="auto"/>
              </w:rPr>
              <w:t>Lisa Li</w:t>
            </w:r>
          </w:p>
        </w:tc>
        <w:tc>
          <w:tcPr>
            <w:tcW w:w="3020" w:type="dxa"/>
            <w:vAlign w:val="bottom"/>
            <w:gridSpan w:val="2"/>
          </w:tcPr>
          <w:p>
            <w:pPr>
              <w:ind w:left="1080"/>
              <w:spacing w:after="0" w:line="228" w:lineRule="exact"/>
              <w:rPr>
                <w:sz w:val="20"/>
                <w:szCs w:val="20"/>
                <w:color w:val="auto"/>
              </w:rPr>
            </w:pPr>
            <w:r>
              <w:rPr>
                <w:rFonts w:ascii="Calibri" w:cs="Calibri" w:eastAsia="Calibri" w:hAnsi="Calibri"/>
                <w:sz w:val="19"/>
                <w:szCs w:val="19"/>
                <w:color w:val="auto"/>
              </w:rPr>
              <w:t>Tom Caden</w:t>
            </w:r>
          </w:p>
        </w:tc>
      </w:tr>
      <w:tr>
        <w:trPr>
          <w:trHeight w:val="228"/>
        </w:trPr>
        <w:tc>
          <w:tcPr>
            <w:tcW w:w="4960" w:type="dxa"/>
            <w:vAlign w:val="bottom"/>
          </w:tcPr>
          <w:p>
            <w:pPr>
              <w:spacing w:after="0" w:line="228" w:lineRule="exact"/>
              <w:rPr>
                <w:sz w:val="20"/>
                <w:szCs w:val="20"/>
                <w:color w:val="auto"/>
              </w:rPr>
            </w:pPr>
            <w:r>
              <w:rPr>
                <w:rFonts w:ascii="Calibri" w:cs="Calibri" w:eastAsia="Calibri" w:hAnsi="Calibri"/>
                <w:sz w:val="19"/>
                <w:szCs w:val="19"/>
                <w:color w:val="auto"/>
              </w:rPr>
              <w:t>Phone: +86-21-3230-3931 #866</w:t>
            </w:r>
          </w:p>
        </w:tc>
        <w:tc>
          <w:tcPr>
            <w:tcW w:w="3020" w:type="dxa"/>
            <w:vAlign w:val="bottom"/>
            <w:gridSpan w:val="2"/>
          </w:tcPr>
          <w:p>
            <w:pPr>
              <w:ind w:left="1080"/>
              <w:spacing w:after="0" w:line="228" w:lineRule="exact"/>
              <w:rPr>
                <w:sz w:val="20"/>
                <w:szCs w:val="20"/>
                <w:color w:val="auto"/>
              </w:rPr>
            </w:pPr>
            <w:r>
              <w:rPr>
                <w:rFonts w:ascii="Calibri" w:cs="Calibri" w:eastAsia="Calibri" w:hAnsi="Calibri"/>
                <w:sz w:val="19"/>
                <w:szCs w:val="19"/>
                <w:color w:val="auto"/>
              </w:rPr>
              <w:t>Tel: +1-516-222-2560</w:t>
            </w:r>
          </w:p>
        </w:tc>
      </w:tr>
      <w:tr>
        <w:trPr>
          <w:trHeight w:val="195"/>
        </w:trPr>
        <w:tc>
          <w:tcPr>
            <w:tcW w:w="4960" w:type="dxa"/>
            <w:vAlign w:val="bottom"/>
          </w:tcPr>
          <w:p>
            <w:pPr>
              <w:spacing w:after="0" w:line="195" w:lineRule="exact"/>
              <w:rPr>
                <w:sz w:val="20"/>
                <w:szCs w:val="20"/>
                <w:color w:val="auto"/>
              </w:rPr>
            </w:pPr>
            <w:r>
              <w:rPr>
                <w:rFonts w:ascii="Calibri" w:cs="Calibri" w:eastAsia="Calibri" w:hAnsi="Calibri"/>
                <w:sz w:val="19"/>
                <w:szCs w:val="19"/>
                <w:color w:val="auto"/>
              </w:rPr>
              <w:t>E-mail: ir@i-click.com</w:t>
            </w:r>
          </w:p>
        </w:tc>
        <w:tc>
          <w:tcPr>
            <w:tcW w:w="3020" w:type="dxa"/>
            <w:vAlign w:val="bottom"/>
            <w:gridSpan w:val="2"/>
          </w:tcPr>
          <w:p>
            <w:pPr>
              <w:ind w:left="1080"/>
              <w:spacing w:after="0" w:line="195" w:lineRule="exact"/>
              <w:rPr>
                <w:sz w:val="20"/>
                <w:szCs w:val="20"/>
                <w:color w:val="auto"/>
              </w:rPr>
            </w:pPr>
            <w:r>
              <w:rPr>
                <w:rFonts w:ascii="Calibri" w:cs="Calibri" w:eastAsia="Calibri" w:hAnsi="Calibri"/>
                <w:sz w:val="19"/>
                <w:szCs w:val="19"/>
                <w:color w:val="auto"/>
                <w:w w:val="97"/>
              </w:rPr>
              <w:t>E-mail: tomc@coreir.com</w:t>
            </w:r>
          </w:p>
        </w:tc>
      </w:tr>
      <w:tr>
        <w:trPr>
          <w:trHeight w:val="20"/>
        </w:trPr>
        <w:tc>
          <w:tcPr>
            <w:tcW w:w="4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60"/>
      </w:cols>
      <w:pgMar w:left="30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2022-11-30T15:31:43Z</dcterms:created>
  <dcterms:modified xsi:type="dcterms:W3CDTF">2022-11-30T15:31:43Z</dcterms:modified>
</cp:coreProperties>
</file>