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5" w:lineRule="exact"/>
        <w:rPr>
          <w:sz w:val="24"/>
          <w:szCs w:val="24"/>
          <w:color w:val="auto"/>
        </w:rPr>
      </w:pPr>
    </w:p>
    <w:p>
      <w:pPr>
        <w:ind w:left="320" w:right="80"/>
        <w:spacing w:after="0" w:line="27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-180975</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3" w:lineRule="exact"/>
        <w:rPr>
          <w:sz w:val="24"/>
          <w:szCs w:val="24"/>
          <w:color w:val="auto"/>
        </w:rPr>
      </w:pPr>
    </w:p>
    <w:p>
      <w:pPr>
        <w:ind w:left="320"/>
        <w:spacing w:after="0" w:line="23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-530860</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2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4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5112385</wp:posOffset>
            </wp:positionH>
            <wp:positionV relativeFrom="paragraph">
              <wp:posOffset>-575945</wp:posOffset>
            </wp:positionV>
            <wp:extent cx="55245" cy="589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928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-575945</wp:posOffset>
            </wp:positionV>
            <wp:extent cx="55245" cy="589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928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605790</wp:posOffset>
            </wp:positionV>
            <wp:extent cx="7004685" cy="7966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685" cy="796671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20" w:space="500"/>
            <w:col w:w="8260"/>
          </w:cols>
          <w:pgMar w:left="460" w:top="211"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Wu Yuao</w:t>
        </w:r>
      </w:hyperlink>
    </w:p>
    <w:p>
      <w:pPr>
        <w:spacing w:after="0" w:line="27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#30-02, GUOCO TOWER 1 WALLICH STREET</w:t>
      </w:r>
    </w:p>
    <w:p>
      <w:pPr>
        <w:spacing w:after="0" w:line="314"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1080" w:type="dxa"/>
            <w:vAlign w:val="bottom"/>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9"/>
        </w:trPr>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SINGAPORE</w:t>
            </w:r>
          </w:p>
        </w:tc>
        <w:tc>
          <w:tcPr>
            <w:tcW w:w="90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U0</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078881</w:t>
            </w:r>
          </w:p>
        </w:tc>
      </w:tr>
    </w:tbl>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38" w:lineRule="auto"/>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Amber International Holding Ltd</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AMBR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Foreign Trading Symbol</w:t>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05/29/2026</w:t>
      </w:r>
    </w:p>
    <w:p>
      <w:pPr>
        <w:spacing w:after="0" w:line="20" w:lineRule="exact"/>
        <w:rPr>
          <w:sz w:val="24"/>
          <w:szCs w:val="24"/>
          <w:color w:val="auto"/>
        </w:rPr>
      </w:pPr>
      <w:r>
        <w:rPr>
          <w:sz w:val="24"/>
          <w:szCs w:val="24"/>
          <w:color w:val="auto"/>
        </w:rPr>
        <w:br w:type="column"/>
      </w:r>
    </w:p>
    <w:p>
      <w:pPr>
        <w:ind w:right="840"/>
        <w:spacing w:after="0" w:line="256"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32"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303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3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1"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 w:lineRule="exact"/>
        <w:rPr>
          <w:sz w:val="24"/>
          <w:szCs w:val="24"/>
          <w:color w:val="auto"/>
        </w:rPr>
      </w:pPr>
    </w:p>
    <w:p>
      <w:pPr>
        <w:ind w:left="520"/>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2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5"/>
          <w:szCs w:val="15"/>
          <w:color w:val="0000FF"/>
        </w:rPr>
        <w:t>Chief Executive Officer</w:t>
      </w:r>
    </w:p>
    <w:p>
      <w:pPr>
        <w:spacing w:after="0" w:line="846" w:lineRule="exact"/>
        <w:rPr>
          <w:sz w:val="24"/>
          <w:szCs w:val="24"/>
          <w:color w:val="auto"/>
        </w:rPr>
      </w:pPr>
    </w:p>
    <w:p>
      <w:pPr>
        <w:sectPr>
          <w:pgSz w:w="11900" w:h="16838" w:orient="portrait"/>
          <w:cols w:equalWidth="0" w:num="3">
            <w:col w:w="3200" w:space="700"/>
            <w:col w:w="3240" w:space="600"/>
            <w:col w:w="3340"/>
          </w:cols>
          <w:pgMar w:left="460" w:top="211"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80" w:type="dxa"/>
            <w:vAlign w:val="bottom"/>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3180" w:type="dxa"/>
            <w:vAlign w:val="bottom"/>
            <w:gridSpan w:val="7"/>
            <w:vMerge w:val="restart"/>
          </w:tcPr>
          <w:p>
            <w:pPr>
              <w:ind w:left="140"/>
              <w:spacing w:after="0"/>
              <w:rPr>
                <w:sz w:val="20"/>
                <w:szCs w:val="20"/>
                <w:color w:val="auto"/>
              </w:rPr>
            </w:pPr>
            <w:r>
              <w:rPr>
                <w:rFonts w:ascii="Arial" w:cs="Arial" w:eastAsia="Arial" w:hAnsi="Arial"/>
                <w:sz w:val="12"/>
                <w:szCs w:val="12"/>
                <w:color w:val="auto"/>
                <w:w w:val="98"/>
              </w:rPr>
              <w:t>4. If Amendment, Date of Original Filed (Month/Day/Year)</w:t>
            </w:r>
          </w:p>
        </w:tc>
        <w:tc>
          <w:tcPr>
            <w:tcW w:w="460" w:type="dxa"/>
            <w:vAlign w:val="bottom"/>
          </w:tcPr>
          <w:p>
            <w:pPr>
              <w:spacing w:after="0"/>
              <w:rPr>
                <w:sz w:val="3"/>
                <w:szCs w:val="3"/>
                <w:color w:val="auto"/>
              </w:rPr>
            </w:pPr>
          </w:p>
        </w:tc>
        <w:tc>
          <w:tcPr>
            <w:tcW w:w="3680" w:type="dxa"/>
            <w:vAlign w:val="bottom"/>
            <w:gridSpan w:val="12"/>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8"/>
                <w:szCs w:val="8"/>
                <w:color w:val="auto"/>
              </w:rPr>
            </w:pPr>
          </w:p>
        </w:tc>
        <w:tc>
          <w:tcPr>
            <w:tcW w:w="1020" w:type="dxa"/>
            <w:vAlign w:val="bottom"/>
            <w:vMerge w:val="restart"/>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22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8"/>
                <w:szCs w:val="8"/>
                <w:color w:val="auto"/>
              </w:rPr>
            </w:pPr>
          </w:p>
        </w:tc>
        <w:tc>
          <w:tcPr>
            <w:tcW w:w="3180" w:type="dxa"/>
            <w:vAlign w:val="bottom"/>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368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color w:val="auto"/>
              </w:rPr>
              <w:t>Form filed by One Reporting Person</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SINGAPORE</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color w:val="auto"/>
                <w:w w:val="97"/>
              </w:rPr>
              <w:t>Form filed by More than One Reporting Person</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(Country)</w:t>
            </w: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3"/>
          </w:tcPr>
          <w:p>
            <w:pPr>
              <w:spacing w:after="0"/>
              <w:rPr>
                <w:sz w:val="6"/>
                <w:szCs w:val="6"/>
                <w:color w:val="auto"/>
              </w:rPr>
            </w:pPr>
          </w:p>
        </w:tc>
        <w:tc>
          <w:tcPr>
            <w:tcW w:w="2780" w:type="dxa"/>
            <w:vAlign w:val="bottom"/>
            <w:tcBorders>
              <w:bottom w:val="single" w:sz="8" w:color="2C2C2C"/>
            </w:tcBorders>
            <w:gridSpan w:val="6"/>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4"/>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34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3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0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4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w w:val="92"/>
              </w:rPr>
              <w:t>Transaction(s)</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right"/>
              <w:ind w:right="210"/>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3"/>
              </w:rPr>
              <w:t>(Instr. 3 and 4)</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34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05/29/2026</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309,834,748</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vMerge w:val="restart"/>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Pr>
          <w:p>
            <w:pPr>
              <w:spacing w:after="0"/>
              <w:rPr>
                <w:sz w:val="19"/>
                <w:szCs w:val="19"/>
                <w:color w:val="auto"/>
              </w:rPr>
            </w:pPr>
          </w:p>
        </w:tc>
        <w:tc>
          <w:tcPr>
            <w:tcW w:w="740" w:type="dxa"/>
            <w:vAlign w:val="bottom"/>
            <w:gridSpan w:val="2"/>
            <w:vMerge w:val="restart"/>
          </w:tcPr>
          <w:p>
            <w:pPr>
              <w:jc w:val="center"/>
              <w:ind w:left="233"/>
              <w:spacing w:after="0"/>
              <w:rPr>
                <w:sz w:val="20"/>
                <w:szCs w:val="20"/>
                <w:color w:val="auto"/>
              </w:rPr>
            </w:pPr>
            <w:r>
              <w:rPr>
                <w:rFonts w:ascii="Times New Roman" w:cs="Times New Roman" w:eastAsia="Times New Roman" w:hAnsi="Times New Roman"/>
                <w:sz w:val="15"/>
                <w:szCs w:val="15"/>
                <w:color w:val="0000FF"/>
              </w:rPr>
              <w:t>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6"/>
              </w:rPr>
              <w:t>AGL</w:t>
            </w:r>
            <w:r>
              <w:rPr>
                <w:rFonts w:ascii="Times New Roman" w:cs="Times New Roman" w:eastAsia="Times New Roman" w:hAnsi="Times New Roman"/>
                <w:sz w:val="19"/>
                <w:szCs w:val="19"/>
                <w:color w:val="008000"/>
                <w:w w:val="96"/>
                <w:vertAlign w:val="superscript"/>
              </w:rPr>
              <w:t>(1)</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gridSpan w:val="2"/>
            <w:vMerge w:val="continue"/>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34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0000FF"/>
              </w:rPr>
              <w:t>05/29/2026</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69,552,266</w:t>
            </w:r>
          </w:p>
        </w:tc>
        <w:tc>
          <w:tcPr>
            <w:tcW w:w="46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740" w:type="dxa"/>
            <w:vAlign w:val="bottom"/>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Pr>
          <w:p>
            <w:pPr>
              <w:spacing w:after="0"/>
              <w:rPr>
                <w:sz w:val="24"/>
                <w:szCs w:val="24"/>
                <w:color w:val="auto"/>
              </w:rPr>
            </w:pPr>
          </w:p>
        </w:tc>
        <w:tc>
          <w:tcPr>
            <w:tcW w:w="1160" w:type="dxa"/>
            <w:vAlign w:val="bottom"/>
            <w:gridSpan w:val="3"/>
          </w:tcPr>
          <w:p>
            <w:pPr>
              <w:jc w:val="center"/>
              <w:ind w:right="45"/>
              <w:spacing w:after="0"/>
              <w:rPr>
                <w:sz w:val="20"/>
                <w:szCs w:val="20"/>
                <w:color w:val="auto"/>
              </w:rPr>
            </w:pPr>
            <w:r>
              <w:rPr>
                <w:rFonts w:ascii="Times New Roman" w:cs="Times New Roman" w:eastAsia="Times New Roman" w:hAnsi="Times New Roman"/>
                <w:sz w:val="15"/>
                <w:szCs w:val="15"/>
                <w:color w:val="0000FF"/>
              </w:rPr>
              <w:t>69,552,266</w:t>
            </w:r>
          </w:p>
        </w:tc>
        <w:tc>
          <w:tcPr>
            <w:tcW w:w="3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rPr>
              <w:t>By AFL</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226"/>
        </w:trPr>
        <w:tc>
          <w:tcPr>
            <w:tcW w:w="33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05/29/2026</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5"/>
                <w:szCs w:val="15"/>
                <w:color w:val="0000FF"/>
              </w:rPr>
              <w:t>19,458,931</w:t>
            </w:r>
          </w:p>
        </w:tc>
        <w:tc>
          <w:tcPr>
            <w:tcW w:w="4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740" w:type="dxa"/>
            <w:vAlign w:val="bottom"/>
            <w:tcBorders>
              <w:top w:val="single" w:sz="8" w:color="2C2C2C"/>
            </w:tcBorders>
            <w:vMerge w:val="restart"/>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gridSpan w:val="3"/>
            <w:vMerge w:val="restart"/>
          </w:tcPr>
          <w:p>
            <w:pPr>
              <w:jc w:val="center"/>
              <w:ind w:right="45"/>
              <w:spacing w:after="0"/>
              <w:rPr>
                <w:sz w:val="20"/>
                <w:szCs w:val="20"/>
                <w:color w:val="auto"/>
              </w:rPr>
            </w:pPr>
            <w:r>
              <w:rPr>
                <w:rFonts w:ascii="Times New Roman" w:cs="Times New Roman" w:eastAsia="Times New Roman" w:hAnsi="Times New Roman"/>
                <w:sz w:val="15"/>
                <w:szCs w:val="15"/>
                <w:color w:val="0000FF"/>
              </w:rPr>
              <w:t>19,458,931</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5"/>
                <w:szCs w:val="15"/>
                <w:color w:val="0000FF"/>
              </w:rPr>
              <w:t>APUH</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05/29/2026</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6,698,479</w:t>
            </w:r>
          </w:p>
        </w:tc>
        <w:tc>
          <w:tcPr>
            <w:tcW w:w="4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740" w:type="dxa"/>
            <w:vAlign w:val="bottom"/>
            <w:tcBorders>
              <w:top w:val="single" w:sz="8" w:color="2C2C2C"/>
            </w:tcBorders>
            <w:vMerge w:val="restart"/>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gridSpan w:val="3"/>
            <w:vMerge w:val="restart"/>
          </w:tcPr>
          <w:p>
            <w:pPr>
              <w:jc w:val="center"/>
              <w:ind w:right="45"/>
              <w:spacing w:after="0"/>
              <w:rPr>
                <w:sz w:val="20"/>
                <w:szCs w:val="20"/>
                <w:color w:val="auto"/>
              </w:rPr>
            </w:pPr>
            <w:r>
              <w:rPr>
                <w:rFonts w:ascii="Times New Roman" w:cs="Times New Roman" w:eastAsia="Times New Roman" w:hAnsi="Times New Roman"/>
                <w:sz w:val="15"/>
                <w:szCs w:val="15"/>
                <w:color w:val="0000FF"/>
              </w:rPr>
              <w:t>6,698,479</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5"/>
                <w:szCs w:val="15"/>
                <w:color w:val="0000FF"/>
              </w:rPr>
              <w:t>DFAL</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05/29/2026</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4,620,646</w:t>
            </w:r>
          </w:p>
        </w:tc>
        <w:tc>
          <w:tcPr>
            <w:tcW w:w="4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740" w:type="dxa"/>
            <w:vAlign w:val="bottom"/>
            <w:tcBorders>
              <w:top w:val="single" w:sz="8" w:color="2C2C2C"/>
            </w:tcBorders>
            <w:vMerge w:val="restart"/>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gridSpan w:val="3"/>
            <w:vMerge w:val="restart"/>
          </w:tcPr>
          <w:p>
            <w:pPr>
              <w:jc w:val="center"/>
              <w:ind w:right="45"/>
              <w:spacing w:after="0"/>
              <w:rPr>
                <w:sz w:val="20"/>
                <w:szCs w:val="20"/>
                <w:color w:val="auto"/>
              </w:rPr>
            </w:pPr>
            <w:r>
              <w:rPr>
                <w:rFonts w:ascii="Times New Roman" w:cs="Times New Roman" w:eastAsia="Times New Roman" w:hAnsi="Times New Roman"/>
                <w:sz w:val="15"/>
                <w:szCs w:val="15"/>
                <w:color w:val="0000FF"/>
              </w:rPr>
              <w:t>4,620,646</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w w:val="96"/>
              </w:rPr>
              <w:t>AAL</w:t>
            </w:r>
            <w:r>
              <w:rPr>
                <w:rFonts w:ascii="Times New Roman" w:cs="Times New Roman" w:eastAsia="Times New Roman" w:hAnsi="Times New Roman"/>
                <w:sz w:val="19"/>
                <w:szCs w:val="19"/>
                <w:color w:val="008000"/>
                <w:w w:val="96"/>
                <w:vertAlign w:val="superscript"/>
              </w:rPr>
              <w:t>(1)</w:t>
            </w: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gridSpan w:val="2"/>
            <w:vMerge w:val="continue"/>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4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06/02/2026</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11,729,691</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vMerge w:val="restart"/>
          </w:tcPr>
          <w:p>
            <w:pPr>
              <w:jc w:val="center"/>
              <w:ind w:left="30"/>
              <w:spacing w:after="0"/>
              <w:rPr>
                <w:sz w:val="20"/>
                <w:szCs w:val="20"/>
                <w:color w:val="auto"/>
              </w:rPr>
            </w:pPr>
            <w:r>
              <w:rPr>
                <w:rFonts w:ascii="Arial" w:cs="Arial" w:eastAsia="Arial" w:hAnsi="Arial"/>
                <w:sz w:val="30"/>
                <w:szCs w:val="30"/>
                <w:color w:val="000000"/>
                <w:w w:val="85"/>
                <w:vertAlign w:val="subscript"/>
              </w:rPr>
              <w:t>$</w:t>
            </w:r>
            <w:r>
              <w:rPr>
                <w:rFonts w:ascii="Times New Roman" w:cs="Times New Roman" w:eastAsia="Times New Roman" w:hAnsi="Times New Roman"/>
                <w:sz w:val="30"/>
                <w:szCs w:val="30"/>
                <w:color w:val="0000FF"/>
                <w:w w:val="85"/>
                <w:vertAlign w:val="subscript"/>
              </w:rPr>
              <w:t>0</w:t>
            </w:r>
            <w:r>
              <w:rPr>
                <w:rFonts w:ascii="Times New Roman" w:cs="Times New Roman" w:eastAsia="Times New Roman" w:hAnsi="Times New Roman"/>
                <w:sz w:val="10"/>
                <w:szCs w:val="10"/>
                <w:color w:val="008000"/>
                <w:w w:val="85"/>
              </w:rPr>
              <w:t>(2)</w:t>
            </w:r>
          </w:p>
        </w:tc>
        <w:tc>
          <w:tcPr>
            <w:tcW w:w="40" w:type="dxa"/>
            <w:vAlign w:val="bottom"/>
          </w:tcPr>
          <w:p>
            <w:pPr>
              <w:spacing w:after="0"/>
              <w:rPr>
                <w:sz w:val="19"/>
                <w:szCs w:val="19"/>
                <w:color w:val="auto"/>
              </w:rPr>
            </w:pPr>
          </w:p>
        </w:tc>
        <w:tc>
          <w:tcPr>
            <w:tcW w:w="1160" w:type="dxa"/>
            <w:vAlign w:val="bottom"/>
            <w:gridSpan w:val="3"/>
            <w:vMerge w:val="restart"/>
          </w:tcPr>
          <w:p>
            <w:pPr>
              <w:jc w:val="center"/>
              <w:ind w:right="45"/>
              <w:spacing w:after="0"/>
              <w:rPr>
                <w:sz w:val="20"/>
                <w:szCs w:val="20"/>
                <w:color w:val="auto"/>
              </w:rPr>
            </w:pPr>
            <w:r>
              <w:rPr>
                <w:rFonts w:ascii="Times New Roman" w:cs="Times New Roman" w:eastAsia="Times New Roman" w:hAnsi="Times New Roman"/>
                <w:sz w:val="15"/>
                <w:szCs w:val="15"/>
                <w:color w:val="0000FF"/>
              </w:rPr>
              <w:t>7,729,240</w:t>
            </w:r>
          </w:p>
        </w:tc>
        <w:tc>
          <w:tcPr>
            <w:tcW w:w="340" w:type="dxa"/>
            <w:vAlign w:val="bottom"/>
          </w:tcPr>
          <w:p>
            <w:pPr>
              <w:spacing w:after="0"/>
              <w:rPr>
                <w:sz w:val="19"/>
                <w:szCs w:val="19"/>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340" w:type="dxa"/>
            <w:vAlign w:val="bottom"/>
            <w:gridSpan w:val="5"/>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0000FF"/>
              </w:rPr>
              <w:t>APUH</w:t>
            </w:r>
            <w:r>
              <w:rPr>
                <w:rFonts w:ascii="Times New Roman" w:cs="Times New Roman" w:eastAsia="Times New Roman" w:hAnsi="Times New Roman"/>
                <w:sz w:val="19"/>
                <w:szCs w:val="19"/>
                <w:color w:val="008000"/>
                <w:vertAlign w:val="superscript"/>
              </w:rPr>
              <w:t>(2)</w:t>
            </w:r>
          </w:p>
        </w:tc>
        <w:tc>
          <w:tcPr>
            <w:tcW w:w="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3"/>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33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5"/>
                <w:szCs w:val="15"/>
                <w:color w:val="0000FF"/>
              </w:rPr>
              <w:t>06/02/2026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6,225,342</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5"/>
              <w:spacing w:after="0"/>
              <w:rPr>
                <w:sz w:val="20"/>
                <w:szCs w:val="20"/>
                <w:color w:val="auto"/>
              </w:rPr>
            </w:pPr>
            <w:r>
              <w:rPr>
                <w:rFonts w:ascii="Times New Roman" w:cs="Times New Roman" w:eastAsia="Times New Roman" w:hAnsi="Times New Roman"/>
                <w:sz w:val="15"/>
                <w:szCs w:val="15"/>
                <w:color w:val="0000FF"/>
              </w:rPr>
              <w:t>63,326,924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72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5"/>
                <w:szCs w:val="15"/>
                <w:color w:val="0000FF"/>
              </w:rPr>
              <w:t>By AFL</w:t>
            </w:r>
            <w:r>
              <w:rPr>
                <w:rFonts w:ascii="Times New Roman" w:cs="Times New Roman" w:eastAsia="Times New Roman" w:hAnsi="Times New Roman"/>
                <w:sz w:val="19"/>
                <w:szCs w:val="19"/>
                <w:color w:val="008000"/>
                <w:vertAlign w:val="superscript"/>
              </w:rPr>
              <w:t>(3)</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5"/>
                <w:szCs w:val="15"/>
                <w:color w:val="0000FF"/>
              </w:rPr>
              <w:t>06/04/2026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18,147,222</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5"/>
              <w:spacing w:after="0"/>
              <w:rPr>
                <w:sz w:val="20"/>
                <w:szCs w:val="20"/>
                <w:color w:val="auto"/>
              </w:rPr>
            </w:pPr>
            <w:r>
              <w:rPr>
                <w:rFonts w:ascii="Times New Roman" w:cs="Times New Roman" w:eastAsia="Times New Roman" w:hAnsi="Times New Roman"/>
                <w:sz w:val="15"/>
                <w:szCs w:val="15"/>
                <w:color w:val="0000FF"/>
              </w:rPr>
              <w:t>45,179,702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72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5"/>
                <w:szCs w:val="15"/>
                <w:color w:val="0000FF"/>
              </w:rPr>
              <w:t>By AFL</w:t>
            </w:r>
            <w:r>
              <w:rPr>
                <w:rFonts w:ascii="Times New Roman" w:cs="Times New Roman" w:eastAsia="Times New Roman" w:hAnsi="Times New Roman"/>
                <w:sz w:val="19"/>
                <w:szCs w:val="19"/>
                <w:color w:val="008000"/>
                <w:vertAlign w:val="superscript"/>
              </w:rPr>
              <w:t>(3)</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5"/>
                <w:szCs w:val="15"/>
                <w:color w:val="0000FF"/>
              </w:rPr>
              <w:t>06/10/2026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19,753,953</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5"/>
              <w:spacing w:after="0"/>
              <w:rPr>
                <w:sz w:val="20"/>
                <w:szCs w:val="20"/>
                <w:color w:val="auto"/>
              </w:rPr>
            </w:pPr>
            <w:r>
              <w:rPr>
                <w:rFonts w:ascii="Times New Roman" w:cs="Times New Roman" w:eastAsia="Times New Roman" w:hAnsi="Times New Roman"/>
                <w:sz w:val="15"/>
                <w:szCs w:val="15"/>
                <w:color w:val="0000FF"/>
              </w:rPr>
              <w:t>25,425,749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72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5"/>
                <w:szCs w:val="15"/>
                <w:color w:val="0000FF"/>
              </w:rPr>
              <w:t>By AFL</w:t>
            </w:r>
            <w:r>
              <w:rPr>
                <w:rFonts w:ascii="Times New Roman" w:cs="Times New Roman" w:eastAsia="Times New Roman" w:hAnsi="Times New Roman"/>
                <w:sz w:val="19"/>
                <w:szCs w:val="19"/>
                <w:color w:val="008000"/>
                <w:vertAlign w:val="superscript"/>
              </w:rPr>
              <w:t>(3)</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0000FF"/>
              </w:rPr>
              <w:t>06/11/2026</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4,536,770</w:t>
            </w:r>
          </w:p>
        </w:tc>
        <w:tc>
          <w:tcPr>
            <w:tcW w:w="46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Pr>
          <w:p>
            <w:pPr>
              <w:spacing w:after="0"/>
              <w:rPr>
                <w:sz w:val="24"/>
                <w:szCs w:val="24"/>
                <w:color w:val="auto"/>
              </w:rPr>
            </w:pPr>
          </w:p>
        </w:tc>
        <w:tc>
          <w:tcPr>
            <w:tcW w:w="1160" w:type="dxa"/>
            <w:vAlign w:val="bottom"/>
            <w:gridSpan w:val="3"/>
          </w:tcPr>
          <w:p>
            <w:pPr>
              <w:jc w:val="center"/>
              <w:ind w:right="45"/>
              <w:spacing w:after="0"/>
              <w:rPr>
                <w:sz w:val="20"/>
                <w:szCs w:val="20"/>
                <w:color w:val="auto"/>
              </w:rPr>
            </w:pPr>
            <w:r>
              <w:rPr>
                <w:rFonts w:ascii="Times New Roman" w:cs="Times New Roman" w:eastAsia="Times New Roman" w:hAnsi="Times New Roman"/>
                <w:sz w:val="15"/>
                <w:szCs w:val="15"/>
                <w:color w:val="0000FF"/>
              </w:rPr>
              <w:t>20,888,979</w:t>
            </w:r>
          </w:p>
        </w:tc>
        <w:tc>
          <w:tcPr>
            <w:tcW w:w="34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rPr>
              <w:t>By AFL</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226"/>
        </w:trPr>
        <w:tc>
          <w:tcPr>
            <w:tcW w:w="33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09/30/2026</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1,360,337</w:t>
            </w:r>
          </w:p>
        </w:tc>
        <w:tc>
          <w:tcPr>
            <w:tcW w:w="4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tcBorders>
              <w:top w:val="single" w:sz="8" w:color="2C2C2C"/>
            </w:tcBorders>
            <w:vMerge w:val="restart"/>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gridSpan w:val="3"/>
            <w:vMerge w:val="restart"/>
          </w:tcPr>
          <w:p>
            <w:pPr>
              <w:jc w:val="center"/>
              <w:ind w:right="45"/>
              <w:spacing w:after="0"/>
              <w:rPr>
                <w:sz w:val="20"/>
                <w:szCs w:val="20"/>
                <w:color w:val="auto"/>
              </w:rPr>
            </w:pPr>
            <w:r>
              <w:rPr>
                <w:rFonts w:ascii="Times New Roman" w:cs="Times New Roman" w:eastAsia="Times New Roman" w:hAnsi="Times New Roman"/>
                <w:sz w:val="15"/>
                <w:szCs w:val="15"/>
                <w:color w:val="0000FF"/>
              </w:rPr>
              <w:t>6,368,903</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5"/>
                <w:szCs w:val="15"/>
                <w:color w:val="0000FF"/>
              </w:rPr>
              <w:t>APUH</w:t>
            </w:r>
            <w:r>
              <w:rPr>
                <w:rFonts w:ascii="Times New Roman" w:cs="Times New Roman" w:eastAsia="Times New Roman" w:hAnsi="Times New Roman"/>
                <w:sz w:val="19"/>
                <w:szCs w:val="19"/>
                <w:color w:val="008000"/>
                <w:vertAlign w:val="superscript"/>
              </w:rPr>
              <w:t>(4)</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Class A ordinary shares, par value $0.001 per share</w:t>
            </w:r>
          </w:p>
        </w:tc>
        <w:tc>
          <w:tcPr>
            <w:tcW w:w="1020" w:type="dxa"/>
            <w:vAlign w:val="bottom"/>
            <w:tcBorders>
              <w:top w:val="single" w:sz="8" w:color="2C2C2C"/>
            </w:tcBorders>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09/30/2026</w:t>
            </w:r>
          </w:p>
        </w:tc>
        <w:tc>
          <w:tcPr>
            <w:tcW w:w="10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4,081,011</w:t>
            </w:r>
          </w:p>
        </w:tc>
        <w:tc>
          <w:tcPr>
            <w:tcW w:w="4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740" w:type="dxa"/>
            <w:vAlign w:val="bottom"/>
            <w:tcBorders>
              <w:top w:val="single" w:sz="8" w:color="2C2C2C"/>
            </w:tcBorders>
            <w:vMerge w:val="restart"/>
          </w:tcPr>
          <w:p>
            <w:pPr>
              <w:jc w:val="center"/>
              <w:ind w:left="3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4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gridSpan w:val="3"/>
            <w:vMerge w:val="restart"/>
          </w:tcPr>
          <w:p>
            <w:pPr>
              <w:jc w:val="center"/>
              <w:ind w:right="45"/>
              <w:spacing w:after="0"/>
              <w:rPr>
                <w:sz w:val="20"/>
                <w:szCs w:val="20"/>
                <w:color w:val="auto"/>
              </w:rPr>
            </w:pPr>
            <w:r>
              <w:rPr>
                <w:rFonts w:ascii="Times New Roman" w:cs="Times New Roman" w:eastAsia="Times New Roman" w:hAnsi="Times New Roman"/>
                <w:sz w:val="15"/>
                <w:szCs w:val="15"/>
                <w:color w:val="0000FF"/>
              </w:rPr>
              <w:t>2,287,892</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5"/>
                <w:szCs w:val="15"/>
                <w:color w:val="0000FF"/>
              </w:rPr>
              <w:t>I</w:t>
            </w:r>
          </w:p>
        </w:tc>
        <w:tc>
          <w:tcPr>
            <w:tcW w:w="2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w w:val="91"/>
              </w:rPr>
              <w:t>By</w:t>
            </w: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34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gridSpan w:val="5"/>
            <w:vMerge w:val="restart"/>
          </w:tcPr>
          <w:p>
            <w:pPr>
              <w:ind w:left="20"/>
              <w:spacing w:after="0"/>
              <w:rPr>
                <w:sz w:val="20"/>
                <w:szCs w:val="20"/>
                <w:color w:val="auto"/>
              </w:rPr>
            </w:pPr>
            <w:r>
              <w:rPr>
                <w:rFonts w:ascii="Times New Roman" w:cs="Times New Roman" w:eastAsia="Times New Roman" w:hAnsi="Times New Roman"/>
                <w:sz w:val="15"/>
                <w:szCs w:val="15"/>
                <w:color w:val="0000FF"/>
              </w:rPr>
              <w:t>APUH</w:t>
            </w:r>
            <w:r>
              <w:rPr>
                <w:rFonts w:ascii="Times New Roman" w:cs="Times New Roman" w:eastAsia="Times New Roman" w:hAnsi="Times New Roman"/>
                <w:sz w:val="19"/>
                <w:szCs w:val="19"/>
                <w:color w:val="008000"/>
                <w:vertAlign w:val="superscript"/>
              </w:rPr>
              <w:t>(4)</w:t>
            </w: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580" w:type="dxa"/>
            <w:vAlign w:val="bottom"/>
            <w:gridSpan w:val="14"/>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40" w:type="dxa"/>
            <w:vAlign w:val="bottom"/>
            <w:gridSpan w:val="11"/>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20" w:type="dxa"/>
            <w:vAlign w:val="bottom"/>
            <w:tcBorders>
              <w:bottom w:val="single" w:sz="8" w:color="2C2C2C"/>
              <w:right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5. Number of Derivative</w:t>
            </w:r>
          </w:p>
        </w:tc>
        <w:tc>
          <w:tcPr>
            <w:tcW w:w="1540" w:type="dxa"/>
            <w:vAlign w:val="bottom"/>
            <w:gridSpan w:val="3"/>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3"/>
                <w:szCs w:val="13"/>
                <w:color w:val="auto"/>
              </w:rPr>
            </w:pPr>
          </w:p>
        </w:tc>
        <w:tc>
          <w:tcPr>
            <w:tcW w:w="62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Conversion</w:t>
            </w:r>
          </w:p>
        </w:tc>
        <w:tc>
          <w:tcPr>
            <w:tcW w:w="10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Securities Acquired (A)</w:t>
            </w:r>
          </w:p>
        </w:tc>
        <w:tc>
          <w:tcPr>
            <w:tcW w:w="1540" w:type="dxa"/>
            <w:vAlign w:val="bottom"/>
            <w:gridSpan w:val="3"/>
          </w:tcPr>
          <w:p>
            <w:pPr>
              <w:ind w:left="180"/>
              <w:spacing w:after="0" w:line="119"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Ownership</w:t>
            </w:r>
          </w:p>
        </w:tc>
        <w:tc>
          <w:tcPr>
            <w:tcW w:w="620" w:type="dxa"/>
            <w:vAlign w:val="bottom"/>
            <w:tcBorders>
              <w:right w:val="single" w:sz="8" w:color="2C2C2C"/>
            </w:tcBorders>
            <w:gridSpan w:val="4"/>
          </w:tcPr>
          <w:p>
            <w:pPr>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10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w w:val="94"/>
              </w:rPr>
              <w:t>or Disposed of (D) (Instr.</w:t>
            </w:r>
          </w:p>
        </w:tc>
        <w:tc>
          <w:tcPr>
            <w:tcW w:w="1540" w:type="dxa"/>
            <w:vAlign w:val="bottom"/>
            <w:gridSpan w:val="3"/>
          </w:tcPr>
          <w:p>
            <w:pPr>
              <w:ind w:left="180"/>
              <w:spacing w:after="0" w:line="119"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0"/>
                <w:szCs w:val="10"/>
                <w:color w:val="auto"/>
              </w:rPr>
            </w:pPr>
          </w:p>
        </w:tc>
        <w:tc>
          <w:tcPr>
            <w:tcW w:w="620" w:type="dxa"/>
            <w:vAlign w:val="bottom"/>
            <w:tcBorders>
              <w:right w:val="single" w:sz="8" w:color="2C2C2C"/>
            </w:tcBorders>
            <w:gridSpan w:val="4"/>
          </w:tcPr>
          <w:p>
            <w:pPr>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4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2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3, 4 and 5)</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2"/>
              </w:rPr>
              <w:t>Direct (D)</w:t>
            </w:r>
          </w:p>
        </w:tc>
        <w:tc>
          <w:tcPr>
            <w:tcW w:w="200" w:type="dxa"/>
            <w:vAlign w:val="bottom"/>
          </w:tcPr>
          <w:p>
            <w:pPr>
              <w:spacing w:after="0"/>
              <w:rPr>
                <w:sz w:val="10"/>
                <w:szCs w:val="10"/>
                <w:color w:val="auto"/>
              </w:rPr>
            </w:pPr>
          </w:p>
        </w:tc>
        <w:tc>
          <w:tcPr>
            <w:tcW w:w="620" w:type="dxa"/>
            <w:vAlign w:val="bottom"/>
            <w:tcBorders>
              <w:right w:val="single" w:sz="8" w:color="2C2C2C"/>
            </w:tcBorders>
            <w:gridSpan w:val="4"/>
          </w:tcPr>
          <w:p>
            <w:pPr>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8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620" w:type="dxa"/>
            <w:vAlign w:val="bottom"/>
            <w:tcBorders>
              <w:right w:val="single" w:sz="8" w:color="2C2C2C"/>
            </w:tcBorders>
            <w:gridSpan w:val="4"/>
          </w:tcPr>
          <w:p>
            <w:pPr>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line="95" w:lineRule="exact"/>
              <w:rPr>
                <w:sz w:val="20"/>
                <w:szCs w:val="20"/>
                <w:color w:val="auto"/>
              </w:rPr>
            </w:pPr>
            <w:r>
              <w:rPr>
                <w:rFonts w:ascii="Arial" w:cs="Arial" w:eastAsia="Arial" w:hAnsi="Arial"/>
                <w:sz w:val="11"/>
                <w:szCs w:val="11"/>
                <w:b w:val="1"/>
                <w:bCs w:val="1"/>
                <w:color w:val="auto"/>
              </w:rPr>
              <w:t>(I) (Instr. 4)</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ind w:left="180"/>
              <w:spacing w:after="0" w:line="119" w:lineRule="exact"/>
              <w:rPr>
                <w:sz w:val="20"/>
                <w:szCs w:val="20"/>
                <w:color w:val="auto"/>
              </w:rPr>
            </w:pPr>
            <w:r>
              <w:rPr>
                <w:rFonts w:ascii="Arial" w:cs="Arial" w:eastAsia="Arial" w:hAnsi="Arial"/>
                <w:sz w:val="11"/>
                <w:szCs w:val="11"/>
                <w:b w:val="1"/>
                <w:bCs w:val="1"/>
                <w:color w:val="auto"/>
                <w:w w:val="92"/>
              </w:rPr>
              <w:t>Date</w:t>
            </w:r>
          </w:p>
        </w:tc>
        <w:tc>
          <w:tcPr>
            <w:tcW w:w="36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40" w:type="dxa"/>
            <w:vAlign w:val="bottom"/>
            <w:gridSpan w:val="2"/>
          </w:tcPr>
          <w:p>
            <w:pPr>
              <w:ind w:left="5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w w:val="94"/>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vMerge w:val="restart"/>
          </w:tcPr>
          <w:p>
            <w:pPr>
              <w:ind w:left="240"/>
              <w:spacing w:after="0"/>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(7)</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36,233,237</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right w:val="single" w:sz="8" w:color="2C2C2C"/>
            </w:tcBorders>
            <w:gridSpan w:val="4"/>
            <w:vMerge w:val="restart"/>
          </w:tcPr>
          <w:p>
            <w:pPr>
              <w:spacing w:after="0"/>
              <w:rPr>
                <w:sz w:val="20"/>
                <w:szCs w:val="20"/>
                <w:color w:val="auto"/>
              </w:rPr>
            </w:pPr>
            <w:r>
              <w:rPr>
                <w:rFonts w:ascii="Times New Roman" w:cs="Times New Roman" w:eastAsia="Times New Roman" w:hAnsi="Times New Roman"/>
                <w:sz w:val="12"/>
                <w:szCs w:val="12"/>
                <w:color w:val="0000FF"/>
              </w:rPr>
              <w:t>By AFL</w:t>
            </w:r>
            <w:r>
              <w:rPr>
                <w:rFonts w:ascii="Times New Roman" w:cs="Times New Roman" w:eastAsia="Times New Roman" w:hAnsi="Times New Roman"/>
                <w:sz w:val="19"/>
                <w:szCs w:val="19"/>
                <w:color w:val="008000"/>
                <w:vertAlign w:val="superscript"/>
              </w:rPr>
              <w:t>(5)</w:t>
            </w:r>
          </w:p>
        </w:tc>
        <w:tc>
          <w:tcPr>
            <w:tcW w:w="0" w:type="dxa"/>
            <w:vAlign w:val="bottom"/>
          </w:tcPr>
          <w:p>
            <w:pPr>
              <w:spacing w:after="0"/>
              <w:rPr>
                <w:sz w:val="1"/>
                <w:szCs w:val="1"/>
                <w:color w:val="auto"/>
              </w:rPr>
            </w:pPr>
          </w:p>
        </w:tc>
      </w:tr>
      <w:tr>
        <w:trPr>
          <w:trHeight w:val="136"/>
        </w:trPr>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8"/>
              </w:rPr>
              <w:t>06/10/2026</w:t>
            </w:r>
          </w:p>
        </w:tc>
        <w:tc>
          <w:tcPr>
            <w:tcW w:w="1000" w:type="dxa"/>
            <w:vAlign w:val="bottom"/>
          </w:tcPr>
          <w:p>
            <w:pPr>
              <w:spacing w:after="0"/>
              <w:rPr>
                <w:sz w:val="11"/>
                <w:szCs w:val="11"/>
                <w:color w:val="auto"/>
              </w:rPr>
            </w:pPr>
          </w:p>
        </w:tc>
        <w:tc>
          <w:tcPr>
            <w:tcW w:w="8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2"/>
                <w:szCs w:val="12"/>
                <w:color w:val="0000FF"/>
              </w:rPr>
              <w:t>J</w:t>
            </w:r>
          </w:p>
        </w:tc>
        <w:tc>
          <w:tcPr>
            <w:tcW w:w="220" w:type="dxa"/>
            <w:vAlign w:val="bottom"/>
          </w:tcPr>
          <w:p>
            <w:pPr>
              <w:spacing w:after="0"/>
              <w:rPr>
                <w:sz w:val="11"/>
                <w:szCs w:val="11"/>
                <w:color w:val="auto"/>
              </w:rPr>
            </w:pPr>
          </w:p>
        </w:tc>
        <w:tc>
          <w:tcPr>
            <w:tcW w:w="1460" w:type="dxa"/>
            <w:vAlign w:val="bottom"/>
            <w:gridSpan w:val="3"/>
          </w:tcPr>
          <w:p>
            <w:pPr>
              <w:ind w:left="560"/>
              <w:spacing w:after="0" w:line="136" w:lineRule="exact"/>
              <w:rPr>
                <w:sz w:val="20"/>
                <w:szCs w:val="20"/>
                <w:color w:val="auto"/>
              </w:rPr>
            </w:pPr>
            <w:r>
              <w:rPr>
                <w:rFonts w:ascii="Times New Roman" w:cs="Times New Roman" w:eastAsia="Times New Roman" w:hAnsi="Times New Roman"/>
                <w:sz w:val="12"/>
                <w:szCs w:val="12"/>
                <w:color w:val="0000FF"/>
              </w:rPr>
              <w:t>36,233,237</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0"/>
                <w:szCs w:val="10"/>
                <w:color w:val="008000"/>
                <w:w w:val="85"/>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60" w:type="dxa"/>
            <w:vAlign w:val="bottom"/>
          </w:tcPr>
          <w:p>
            <w:pPr>
              <w:spacing w:after="0" w:line="136" w:lineRule="exact"/>
              <w:rPr>
                <w:sz w:val="20"/>
                <w:szCs w:val="20"/>
                <w:color w:val="auto"/>
              </w:rPr>
            </w:pPr>
            <w:r>
              <w:rPr>
                <w:rFonts w:ascii="Times New Roman" w:cs="Times New Roman" w:eastAsia="Times New Roman" w:hAnsi="Times New Roman"/>
                <w:sz w:val="12"/>
                <w:szCs w:val="12"/>
                <w:color w:val="0000FF"/>
              </w:rPr>
              <w:t>ordinary</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420" w:type="dxa"/>
            <w:vAlign w:val="bottom"/>
          </w:tcPr>
          <w:p>
            <w:pPr>
              <w:jc w:val="center"/>
              <w:ind w:left="265"/>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1"/>
                <w:szCs w:val="11"/>
                <w:color w:val="auto"/>
              </w:rPr>
            </w:pPr>
          </w:p>
        </w:tc>
        <w:tc>
          <w:tcPr>
            <w:tcW w:w="580" w:type="dxa"/>
            <w:vAlign w:val="bottom"/>
          </w:tcPr>
          <w:p>
            <w:pPr>
              <w:jc w:val="center"/>
              <w:ind w:left="112"/>
              <w:spacing w:after="0" w:line="136" w:lineRule="exact"/>
              <w:rPr>
                <w:sz w:val="20"/>
                <w:szCs w:val="20"/>
                <w:color w:val="auto"/>
              </w:rPr>
            </w:pPr>
            <w:r>
              <w:rPr>
                <w:rFonts w:ascii="Times New Roman" w:cs="Times New Roman" w:eastAsia="Times New Roman" w:hAnsi="Times New Roman"/>
                <w:sz w:val="12"/>
                <w:szCs w:val="12"/>
                <w:color w:val="0000FF"/>
                <w:w w:val="98"/>
              </w:rPr>
              <w:t>I</w:t>
            </w:r>
          </w:p>
        </w:tc>
        <w:tc>
          <w:tcPr>
            <w:tcW w:w="200" w:type="dxa"/>
            <w:vAlign w:val="bottom"/>
          </w:tcPr>
          <w:p>
            <w:pPr>
              <w:spacing w:after="0"/>
              <w:rPr>
                <w:sz w:val="11"/>
                <w:szCs w:val="11"/>
                <w:color w:val="auto"/>
              </w:rPr>
            </w:pPr>
          </w:p>
        </w:tc>
        <w:tc>
          <w:tcPr>
            <w:tcW w:w="620" w:type="dxa"/>
            <w:vAlign w:val="bottom"/>
            <w:tcBorders>
              <w:right w:val="single" w:sz="8" w:color="2C2C2C"/>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2C2C2C"/>
            </w:tcBorders>
            <w:gridSpan w:val="2"/>
          </w:tcPr>
          <w:p>
            <w:pPr>
              <w:ind w:left="60"/>
              <w:spacing w:after="0" w:line="206"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(7)</w:t>
            </w:r>
          </w:p>
        </w:tc>
        <w:tc>
          <w:tcPr>
            <w:tcW w:w="6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vMerge w:val="restart"/>
          </w:tcPr>
          <w:p>
            <w:pPr>
              <w:ind w:left="240"/>
              <w:spacing w:after="0"/>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(7)</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36,233,237</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By</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64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vMerge w:val="continue"/>
          </w:tcPr>
          <w:p>
            <w:pPr>
              <w:spacing w:after="0"/>
              <w:rPr>
                <w:sz w:val="7"/>
                <w:szCs w:val="7"/>
                <w:color w:val="auto"/>
              </w:rPr>
            </w:pPr>
          </w:p>
        </w:tc>
        <w:tc>
          <w:tcPr>
            <w:tcW w:w="10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8"/>
              </w:rPr>
              <w:t>06/10/2026</w:t>
            </w:r>
          </w:p>
        </w:tc>
        <w:tc>
          <w:tcPr>
            <w:tcW w:w="1000" w:type="dxa"/>
            <w:vAlign w:val="bottom"/>
          </w:tcPr>
          <w:p>
            <w:pPr>
              <w:spacing w:after="0"/>
              <w:rPr>
                <w:sz w:val="7"/>
                <w:szCs w:val="7"/>
                <w:color w:val="auto"/>
              </w:rPr>
            </w:pPr>
          </w:p>
        </w:tc>
        <w:tc>
          <w:tcPr>
            <w:tcW w:w="800" w:type="dxa"/>
            <w:vAlign w:val="bottom"/>
            <w:gridSpan w:val="2"/>
            <w:vMerge w:val="restart"/>
          </w:tcPr>
          <w:p>
            <w:pPr>
              <w:ind w:left="180"/>
              <w:spacing w:after="0" w:line="129" w:lineRule="exact"/>
              <w:rPr>
                <w:sz w:val="20"/>
                <w:szCs w:val="20"/>
                <w:color w:val="auto"/>
              </w:rPr>
            </w:pPr>
            <w:r>
              <w:rPr>
                <w:rFonts w:ascii="Times New Roman" w:cs="Times New Roman" w:eastAsia="Times New Roman" w:hAnsi="Times New Roman"/>
                <w:sz w:val="12"/>
                <w:szCs w:val="12"/>
                <w:color w:val="0000FF"/>
              </w:rPr>
              <w:t>J</w:t>
            </w:r>
          </w:p>
        </w:tc>
        <w:tc>
          <w:tcPr>
            <w:tcW w:w="1220" w:type="dxa"/>
            <w:vAlign w:val="bottom"/>
            <w:gridSpan w:val="2"/>
            <w:vMerge w:val="restart"/>
          </w:tcPr>
          <w:p>
            <w:pPr>
              <w:jc w:val="right"/>
              <w:ind w:right="566"/>
              <w:spacing w:after="0" w:line="129" w:lineRule="exact"/>
              <w:rPr>
                <w:sz w:val="20"/>
                <w:szCs w:val="20"/>
                <w:color w:val="auto"/>
              </w:rPr>
            </w:pPr>
            <w:r>
              <w:rPr>
                <w:rFonts w:ascii="Times New Roman" w:cs="Times New Roman" w:eastAsia="Times New Roman" w:hAnsi="Times New Roman"/>
                <w:sz w:val="12"/>
                <w:szCs w:val="12"/>
                <w:color w:val="0000FF"/>
              </w:rPr>
              <w:t>36,233,237</w:t>
            </w: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0"/>
                <w:szCs w:val="10"/>
                <w:color w:val="008000"/>
                <w:w w:val="85"/>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60" w:type="dxa"/>
            <w:vAlign w:val="bottom"/>
            <w:vMerge w:val="restart"/>
          </w:tcPr>
          <w:p>
            <w:pPr>
              <w:spacing w:after="0" w:line="129" w:lineRule="exact"/>
              <w:rPr>
                <w:sz w:val="20"/>
                <w:szCs w:val="20"/>
                <w:color w:val="auto"/>
              </w:rPr>
            </w:pPr>
            <w:r>
              <w:rPr>
                <w:rFonts w:ascii="Times New Roman" w:cs="Times New Roman" w:eastAsia="Times New Roman" w:hAnsi="Times New Roman"/>
                <w:sz w:val="12"/>
                <w:szCs w:val="12"/>
                <w:color w:val="0000FF"/>
              </w:rPr>
              <w:t>ordinary</w:t>
            </w:r>
          </w:p>
        </w:tc>
        <w:tc>
          <w:tcPr>
            <w:tcW w:w="780" w:type="dxa"/>
            <w:vAlign w:val="bottom"/>
            <w:gridSpan w:val="2"/>
            <w:vMerge w:val="continue"/>
          </w:tcPr>
          <w:p>
            <w:pPr>
              <w:spacing w:after="0"/>
              <w:rPr>
                <w:sz w:val="7"/>
                <w:szCs w:val="7"/>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9"/>
              </w:rPr>
              <w:t>36,233,237</w:t>
            </w:r>
          </w:p>
        </w:tc>
        <w:tc>
          <w:tcPr>
            <w:tcW w:w="580" w:type="dxa"/>
            <w:vAlign w:val="bottom"/>
            <w:vMerge w:val="restart"/>
          </w:tcPr>
          <w:p>
            <w:pPr>
              <w:jc w:val="center"/>
              <w:ind w:left="112"/>
              <w:spacing w:after="0" w:line="129" w:lineRule="exact"/>
              <w:rPr>
                <w:sz w:val="20"/>
                <w:szCs w:val="20"/>
                <w:color w:val="auto"/>
              </w:rPr>
            </w:pPr>
            <w:r>
              <w:rPr>
                <w:rFonts w:ascii="Times New Roman" w:cs="Times New Roman" w:eastAsia="Times New Roman" w:hAnsi="Times New Roman"/>
                <w:sz w:val="12"/>
                <w:szCs w:val="12"/>
                <w:color w:val="0000FF"/>
                <w:w w:val="98"/>
              </w:rPr>
              <w:t>I</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4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008000"/>
                <w:w w:val="85"/>
              </w:rPr>
              <w:t>(5)</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88"/>
              </w:rPr>
              <w:t>MWL</w:t>
            </w:r>
          </w:p>
        </w:tc>
        <w:tc>
          <w:tcPr>
            <w:tcW w:w="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0" w:type="dxa"/>
            <w:vAlign w:val="bottom"/>
            <w:tcBorders>
              <w:bottom w:val="single" w:sz="8" w:color="2C2C2C"/>
            </w:tcBorders>
            <w:gridSpan w:val="2"/>
          </w:tcPr>
          <w:p>
            <w:pPr>
              <w:ind w:left="60"/>
              <w:spacing w:after="0" w:line="214"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(7)</w:t>
            </w:r>
          </w:p>
        </w:tc>
        <w:tc>
          <w:tcPr>
            <w:tcW w:w="6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vMerge w:val="continue"/>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vMerge w:val="restart"/>
          </w:tcPr>
          <w:p>
            <w:pPr>
              <w:ind w:left="240"/>
              <w:spacing w:after="0"/>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(7)</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vMerge w:val="restart"/>
          </w:tcPr>
          <w:p>
            <w:pPr>
              <w:jc w:val="center"/>
              <w:ind w:right="486"/>
              <w:spacing w:after="0"/>
              <w:rPr>
                <w:sz w:val="20"/>
                <w:szCs w:val="20"/>
                <w:color w:val="auto"/>
              </w:rPr>
            </w:pPr>
            <w:r>
              <w:rPr>
                <w:rFonts w:ascii="Times New Roman" w:cs="Times New Roman" w:eastAsia="Times New Roman" w:hAnsi="Times New Roman"/>
                <w:sz w:val="12"/>
                <w:szCs w:val="12"/>
                <w:color w:val="0000FF"/>
                <w:w w:val="92"/>
              </w:rPr>
              <w:t>23,469,189</w:t>
            </w:r>
            <w:r>
              <w:rPr>
                <w:rFonts w:ascii="Times New Roman" w:cs="Times New Roman" w:eastAsia="Times New Roman" w:hAnsi="Times New Roman"/>
                <w:sz w:val="19"/>
                <w:szCs w:val="19"/>
                <w:color w:val="008000"/>
                <w:w w:val="92"/>
                <w:vertAlign w:val="superscript"/>
              </w:rPr>
              <w:t>(6)</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23,469,189</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vMerge w:val="continue"/>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10/23/2026</w:t>
            </w:r>
          </w:p>
        </w:tc>
        <w:tc>
          <w:tcPr>
            <w:tcW w:w="1000" w:type="dxa"/>
            <w:vAlign w:val="bottom"/>
          </w:tcPr>
          <w:p>
            <w:pPr>
              <w:spacing w:after="0"/>
              <w:rPr>
                <w:sz w:val="12"/>
                <w:szCs w:val="12"/>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2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0"/>
                <w:szCs w:val="10"/>
                <w:color w:val="008000"/>
                <w:w w:val="85"/>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60" w:type="dxa"/>
            <w:vAlign w:val="bottom"/>
          </w:tcPr>
          <w:p>
            <w:pPr>
              <w:spacing w:after="0"/>
              <w:rPr>
                <w:sz w:val="20"/>
                <w:szCs w:val="20"/>
                <w:color w:val="auto"/>
              </w:rPr>
            </w:pPr>
            <w:r>
              <w:rPr>
                <w:rFonts w:ascii="Times New Roman" w:cs="Times New Roman" w:eastAsia="Times New Roman" w:hAnsi="Times New Roman"/>
                <w:sz w:val="12"/>
                <w:szCs w:val="12"/>
                <w:color w:val="0000FF"/>
              </w:rPr>
              <w:t>ordinary</w:t>
            </w:r>
          </w:p>
        </w:tc>
        <w:tc>
          <w:tcPr>
            <w:tcW w:w="780" w:type="dxa"/>
            <w:vAlign w:val="bottom"/>
            <w:gridSpan w:val="2"/>
            <w:vMerge w:val="continue"/>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23,469,189</w:t>
            </w: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2"/>
                <w:szCs w:val="12"/>
                <w:color w:val="0000FF"/>
                <w:w w:val="91"/>
              </w:rPr>
              <w:t>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2C2C2C"/>
            </w:tcBorders>
            <w:gridSpan w:val="2"/>
          </w:tcPr>
          <w:p>
            <w:pPr>
              <w:ind w:left="60"/>
              <w:spacing w:after="0" w:line="202"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(7)</w:t>
            </w:r>
          </w:p>
        </w:tc>
        <w:tc>
          <w:tcPr>
            <w:tcW w:w="68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-2087880</wp:posOffset>
            </wp:positionV>
            <wp:extent cx="27940" cy="2093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209359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4"/>
          <w:szCs w:val="24"/>
          <w:color w:val="auto"/>
        </w:rPr>
      </w:pPr>
    </w:p>
    <w:p>
      <w:pPr>
        <w:ind w:left="40" w:right="140" w:hanging="10"/>
        <w:spacing w:after="0" w:line="236"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Amber Global Limited ("AGL") effected a pro-rata in-kind distribution to its shareholders of all 309,834,748 Class A Ordinary Shares of the Issuer previously held by AGL (the "Share Distribution"). In the Share Distribution, Amber Fort Limited ("AFL"), Amber Primary Unit Holding Limited ("APUH"), Digital Future Alliance Limited ("DFAL") and Amber Alliance Limited ("AAL") received 69,552,266, 19,458,931, 6,698,479 and 4,620,646 Class A ordinary shares, respectively. The remaining Class A ordinary shares were distributed to other shareholders of AGL and are no longer reported as beneficially owned by the Reporting Person. The Reporting Person is the sole shareholder of APUH, the sole voting shareholder of DFAL and AAL, and the sole director of each of APUH, DFAL and AAL, and may be deemed to beneficially own the shares held by each such entity.</w:t>
      </w:r>
    </w:p>
    <w:p>
      <w:pPr>
        <w:spacing w:after="0" w:line="25" w:lineRule="exact"/>
        <w:rPr>
          <w:rFonts w:ascii="Times New Roman" w:cs="Times New Roman" w:eastAsia="Times New Roman" w:hAnsi="Times New Roman"/>
          <w:sz w:val="12"/>
          <w:szCs w:val="12"/>
          <w:color w:val="008000"/>
        </w:rPr>
      </w:pPr>
    </w:p>
    <w:p>
      <w:pPr>
        <w:ind w:left="140" w:hanging="110"/>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APUH transferred 11,729,691 Class A Ordinary Shares to Celeste Core Inc. pursuant to an incentive arrangement for nominal aggregate consideration of US$1.00. The per-share cash price is rounded to US$0.00.</w:t>
      </w:r>
    </w:p>
    <w:p>
      <w:pPr>
        <w:spacing w:after="0" w:line="39" w:lineRule="exact"/>
        <w:rPr>
          <w:rFonts w:ascii="Times New Roman" w:cs="Times New Roman" w:eastAsia="Times New Roman" w:hAnsi="Times New Roman"/>
          <w:sz w:val="12"/>
          <w:szCs w:val="12"/>
          <w:color w:val="008000"/>
        </w:rPr>
      </w:pPr>
    </w:p>
    <w:p>
      <w:pPr>
        <w:ind w:left="40" w:right="420" w:hanging="10"/>
        <w:spacing w:after="0" w:line="253"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AFL transferred 6,225,342, 18,147,222, 19,753,953 and 4,536,770 Class A Ordinary Shares, respectively, to Amber Zillion Limited as dividends to a designated shareholder, without additional consideration. Amber Zillion Limited is not controlled by the Reporting Person, and the transferred shares are not beneficially owned by the Reporting Person.</w:t>
      </w:r>
    </w:p>
    <w:p>
      <w:pPr>
        <w:spacing w:after="0" w:line="16" w:lineRule="exact"/>
        <w:rPr>
          <w:rFonts w:ascii="Times New Roman" w:cs="Times New Roman" w:eastAsia="Times New Roman" w:hAnsi="Times New Roman"/>
          <w:sz w:val="12"/>
          <w:szCs w:val="12"/>
          <w:color w:val="008000"/>
        </w:rPr>
      </w:pPr>
    </w:p>
    <w:p>
      <w:pPr>
        <w:ind w:left="140" w:hanging="110"/>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APUH transferred 1,360,337 and 4,081,011 Class A Ordinary Shares to Hanover Moon Limited and Mirabilis Mythos Limited, respectively, without cash consideration in settlement of PSUs of AGL.</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10" w:hanging="10"/>
        <w:spacing w:after="0"/>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transfer by AFL to Mars Wayfinder Limited ("MWL") as a dividend to a designated shareholder of AFL, without additional consideration. Following the transfer, the 36,233,237 Class B ordinary shares are held directly by MWL, a wholly owned entity of the Reporting Person, of which the Reporting Person is the sole director. MWL holds all of the voting shares of AFL, representing all of its voting power, but does not wholly own AFL. The Reporting Person is the sole director of AFL.</w:t>
      </w:r>
    </w:p>
    <w:p>
      <w:pPr>
        <w:spacing w:after="0" w:line="24" w:lineRule="exact"/>
        <w:rPr>
          <w:rFonts w:ascii="Times New Roman" w:cs="Times New Roman" w:eastAsia="Times New Roman" w:hAnsi="Times New Roman"/>
          <w:sz w:val="12"/>
          <w:szCs w:val="12"/>
          <w:color w:val="008000"/>
        </w:rPr>
      </w:pPr>
    </w:p>
    <w:p>
      <w:pPr>
        <w:ind w:left="10" w:right="240" w:hanging="10"/>
        <w:spacing w:after="0" w:line="253"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represent the one-off incentive share award to the Reporting Person, consisting of an aggregate of 23,469,189 Class B ordinary shares, which were fully vested and issued on October 23, 2026. The issuance was approved by a special resolution of the members of the Issuer at the annual general meeting on October 23, 2026. The securities were issued directly to the Reporting Person.</w:t>
      </w:r>
    </w:p>
    <w:p>
      <w:pPr>
        <w:spacing w:after="0" w:line="16" w:lineRule="exact"/>
        <w:rPr>
          <w:rFonts w:ascii="Times New Roman" w:cs="Times New Roman" w:eastAsia="Times New Roman" w:hAnsi="Times New Roman"/>
          <w:sz w:val="12"/>
          <w:szCs w:val="12"/>
          <w:color w:val="008000"/>
        </w:rPr>
      </w:pPr>
    </w:p>
    <w:p>
      <w:pPr>
        <w:ind w:left="110" w:hanging="110"/>
        <w:spacing w:after="0"/>
        <w:tabs>
          <w:tab w:leader="none" w:pos="11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Class B ordinary share is convertible at any time at the option of its holder into one Class A ordinary share for no additional consideration and has no expiration date.</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Remarks:</w:t>
      </w:r>
    </w:p>
    <w:p>
      <w:pPr>
        <w:spacing w:after="0" w:line="55"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12"/>
          <w:szCs w:val="12"/>
          <w:color w:val="008000"/>
        </w:rPr>
        <w:t>The Reporting Person disclaims beneficial ownership of the securities reported herein as indirectly beneficially owned, except to the extent of such Reporting Person's pecuniary interest therein, and this report shall not be deemed an admission that the Reporting Person is the beneficial owner of such securities for purposes of Section 16 or any other purpose.</w:t>
      </w:r>
    </w:p>
    <w:p>
      <w:pPr>
        <w:spacing w:after="0" w:line="33" w:lineRule="exact"/>
        <w:rPr>
          <w:sz w:val="20"/>
          <w:szCs w:val="20"/>
          <w:color w:val="auto"/>
        </w:rPr>
      </w:pPr>
    </w:p>
    <w:tbl>
      <w:tblPr>
        <w:tblLayout w:type="fixed"/>
        <w:tblInd w:w="657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 Wu Yuao</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w w:val="99"/>
              </w:rPr>
              <w:t>10/28/2026</w:t>
            </w:r>
          </w:p>
        </w:tc>
      </w:tr>
      <w:tr>
        <w:trPr>
          <w:trHeight w:val="20"/>
        </w:trPr>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7"/>
        </w:trPr>
        <w:tc>
          <w:tcPr>
            <w:tcW w:w="19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1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1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10" w:right="4020" w:hanging="10"/>
        <w:spacing w:after="0" w:line="335" w:lineRule="auto"/>
        <w:tabs>
          <w:tab w:leader="none" w:pos="135"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1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50"/>
      </w:cols>
      <w:pgMar w:left="49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120901" TargetMode="External"/><Relationship Id="rId14"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2026-10-28T05:55:51Z</dcterms:created>
  <dcterms:modified xsi:type="dcterms:W3CDTF">2026-10-28T05:55:51Z</dcterms:modified>
</cp:coreProperties>
</file>