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60" w:type="dxa"/>
            <w:vAlign w:val="bottom"/>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0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Josephine Ngai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Josephine Ngai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7124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24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Reports 2024 Full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Financial Results and Highlights Strategic Developments</w:t>
      </w:r>
    </w:p>
    <w:p>
      <w:pPr>
        <w:spacing w:after="0" w:line="20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April 28, 2025 </w:t>
      </w:r>
      <w:r>
        <w:rPr>
          <w:rFonts w:ascii="Times New Roman" w:cs="Times New Roman" w:eastAsia="Times New Roman" w:hAnsi="Times New Roman"/>
          <w:sz w:val="18"/>
          <w:szCs w:val="18"/>
          <w:color w:val="auto"/>
        </w:rPr>
        <w:t>– Amber International Holding Limited (Nasdaq: AMBR) (“Amber International”, “we,” “us,” or the “Company”),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of institutional crypto financial services and solutions and operating under the brand name “Amber Premium”, today announced unaudited financial results for the year ended December 31, 2024.</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March 12, 2025, the Company completed its previously announced merger with Amber DWM Holding Limited (“Amber DWM”), the digital wealth management business of Amber Group. The transaction was carried out via a merger between Amber DWM and Overlord Merger Sub Ltd., a wholly owned subsidiary of the Company. As part of this transaction, Amber DWM became a wholly owned subsidiary of the Company. The merger followed the signing of a definitive agreement on November 29, 2024, which was subsequently amended through a waiver and framework agreement dated March 12, 2025.</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connection with the merger, the Company changed its name from iClick Interactive Asia Group Limited to Amber International Holding Limited. The Company’s American Depositary Shares (“ADSs”) began trading on the Nasdaq under the new ticker symbol “AMBR” on March 13, 2025.</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listing represents a major milestone for Amber International, providing us with a robust capital markets platform to scale our institutional crypto financial services and solutions globally,” said Wayne Huo, CEO and Director of Amber International. “The legacy of iClick as a public company provided a strong foundation of governance and transparency, enabling a seamless transition to a listed crypto financial firm.”</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public company headquartered in Singapore, Amber International is focused on building a secure, efficient, and compliant ecosystem for institutional investors and high-net-worth individuals to thrive in digital asset markets,” he continued. “With a deep product pipeline and strong client momentum, we are poised to support the full lifecycle of institutional crypto engagement.”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for the Year Ended December 31, 2024</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financial results discussed below reflect the Company’s legacy operations in marketing solutions and enterprise solutions in Asia and do not include the performance of Amber DWM Holding Limited, which merged with the Company post year-end.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the merger, the Company completed the disposal of two businesses in mainland China: the enterprise solutions business on September 23, 2024, and the demand-side marketing solutions business on November 27, 2024. As a result, these businesses were deconsolidated from the Company’s financial statements, and their results are reflected as discontinued operations in the consolidated financial statements in accordance with applicable accounting standards. Historical financial results are adjusted for comparative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Borders>
              <w:bottom w:val="single" w:sz="8" w:color="auto"/>
            </w:tcBorders>
          </w:tcPr>
          <w:p>
            <w:pPr>
              <w:spacing w:after="0"/>
              <w:rPr>
                <w:sz w:val="20"/>
                <w:szCs w:val="20"/>
                <w:color w:val="auto"/>
              </w:rPr>
            </w:pPr>
          </w:p>
        </w:tc>
      </w:tr>
      <w:tr>
        <w:trPr>
          <w:trHeight w:val="187"/>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r>
      <w:tr>
        <w:trPr>
          <w:trHeight w:val="238"/>
        </w:trPr>
        <w:tc>
          <w:tcPr>
            <w:tcW w:w="6460" w:type="dxa"/>
            <w:vAlign w:val="bottom"/>
          </w:tcPr>
          <w:p>
            <w:pPr>
              <w:spacing w:after="0"/>
              <w:rPr>
                <w:sz w:val="20"/>
                <w:szCs w:val="20"/>
                <w:color w:val="auto"/>
              </w:rPr>
            </w:pPr>
          </w:p>
        </w:tc>
        <w:tc>
          <w:tcPr>
            <w:tcW w:w="2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w w:val="97"/>
              </w:rPr>
              <w:t>(US$ in thousands, except per share data)</w:t>
            </w: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continuing operations</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Solutions</w:t>
            </w:r>
          </w:p>
        </w:tc>
        <w:tc>
          <w:tcPr>
            <w:tcW w:w="20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23,528</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27,036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Solutions</w:t>
            </w:r>
          </w:p>
        </w:tc>
        <w:tc>
          <w:tcPr>
            <w:tcW w:w="20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9,278</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continuing operations</w:t>
            </w:r>
          </w:p>
        </w:tc>
        <w:tc>
          <w:tcPr>
            <w:tcW w:w="20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32,806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36,051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from continuing operations</w:t>
            </w:r>
          </w:p>
        </w:tc>
        <w:tc>
          <w:tcPr>
            <w:tcW w:w="20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16,747</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19,081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(24,006)</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(13,683)</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(5,104)</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(25,187)</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from continuing operations per American Depositary Shares (“ADS”)</w:t>
            </w:r>
          </w:p>
        </w:tc>
        <w:tc>
          <w:tcPr>
            <w:tcW w:w="20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(2.61)</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of 2024 Results:</w:t>
      </w:r>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 2024 was US$32.8 million, compared with US$36.1 million for the full year of 2023. Revenue from Marketing Solutions declined by US$3.5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to US$23.5 million in 2024, compared with US$27.0 million for 2023, which was resulted from clients’ tightened budget on advertising due to uncertainty in the macro-economic environment. Revenue from Enterprise Solutions was US$9.3 million in 2024, improved from US$9.0 million in 2023 due to the increasing demand for digital transformation and services.</w:t>
      </w:r>
    </w:p>
    <w:p>
      <w:pPr>
        <w:spacing w:after="0" w:line="17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2024 was US$16.7 million, compared with US$19.1 million in 2023. Gross profit margin was relatively stable at 51.0% for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52.9% for 2023.</w:t>
      </w:r>
    </w:p>
    <w:p>
      <w:pPr>
        <w:spacing w:after="0" w:line="15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US$34.1 million in 2024, increased from US$30.7 million in 2023. The change was primarily due to non-recurring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consultancy, legal and other professional service fees for our restructuring and merger preparation in 2024, partially offset by (i) our tighter cost controls, which resulted in reduction of staff cost and savings on promotional expenses, and (ii) the decline in impairment of long-lived assets in 2024.</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losses, net, </w:t>
      </w:r>
      <w:r>
        <w:rPr>
          <w:rFonts w:ascii="Times New Roman" w:cs="Times New Roman" w:eastAsia="Times New Roman" w:hAnsi="Times New Roman"/>
          <w:sz w:val="18"/>
          <w:szCs w:val="18"/>
          <w:color w:val="auto"/>
        </w:rPr>
        <w:t>were US$7.2 million in 2024, increased from US$2.3 million in 2023. It was mainly due to the increase of impairment loss on our long-term investments, non-recurring losses on restructuring, and exchange loss in 2024, partially offset by the gain from the disposal of discontinued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from continuing operations </w:t>
      </w:r>
      <w:r>
        <w:rPr>
          <w:rFonts w:ascii="Times New Roman" w:cs="Times New Roman" w:eastAsia="Times New Roman" w:hAnsi="Times New Roman"/>
          <w:sz w:val="18"/>
          <w:szCs w:val="18"/>
          <w:color w:val="auto"/>
        </w:rPr>
        <w:t>was US$24.0 million in 2024, compared with the net loss of US$13.7 million in 2023, as a result of the foregoing.</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from continuing operations attributable to the Company’s shareholders per basic and diluted ADS </w:t>
      </w:r>
      <w:r>
        <w:rPr>
          <w:rFonts w:ascii="Times New Roman" w:cs="Times New Roman" w:eastAsia="Times New Roman" w:hAnsi="Times New Roman"/>
          <w:sz w:val="18"/>
          <w:szCs w:val="18"/>
          <w:color w:val="auto"/>
        </w:rPr>
        <w:t>in 2024 was US$2.61, compared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loss attributable to the Company’s shareholders per basic and diluted ADS of US$1.33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 w:name="page6"/>
    <w:bookmarkEnd w:id="5"/>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loss from discontinued operations </w:t>
      </w:r>
      <w:r>
        <w:rPr>
          <w:rFonts w:ascii="Times New Roman" w:cs="Times New Roman" w:eastAsia="Times New Roman" w:hAnsi="Times New Roman"/>
          <w:sz w:val="18"/>
          <w:szCs w:val="18"/>
          <w:color w:val="auto"/>
        </w:rPr>
        <w:t>was US$5.1 million in 2024, compared with the net loss of US$25.2 million in 2023. The change was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because the financial results of loss-making discontinued operations were deconsolidated after the Disposals, and the gain on disposal of discontinued operations amounting to US$2.6 million in 2024.</w:t>
      </w:r>
    </w:p>
    <w:p>
      <w:pPr>
        <w:spacing w:after="0" w:line="17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As of December 31, 2024, the Company (with continuing operations) had cash and cash equivalents, time deposits and restricted cash of US$19.6 million, compared with US$41.3 million as of December 31, 2023. The Company repaid bank borrowing, net of US$35.0 million for the restructuring in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Strategic Updates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Following the completion of the merger in March 2025, Amber International is executing a focused strategy to strengthen its leadership in institutional crypto finance.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enhancing its compliance-first, scalable platform to better serve the evolving needs of institutions and high-net-worth individuals globally. Strategic priorities for 2025 include continued expansion into the tokenization of real-world assets (RWA), enhancement of its institutional-grade product suite, and the rollout of a refined go-to-market strategy across core financial hubs. These efforts are supported by a broadened geographic footprint, with a particular focus on regulated markets in Asia and the Middle East.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previously announced, Sparrow Tech Private Limited (Sparrow), a Major Payment Institution (MPI) licensed under the Payment Services Act by the Monetary Authority of Singapore, has recently integrated into Amber International Holding Limited following the approval from the Monetary Authority of Singapore, a milestone in executing our strategic priorities. Effective April 30, 2025, Sparrow will operate under the new brand name Amber Premium Singapore, further reinforcing the Company’s regulated presence in Asia.</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These developments mark the beginning of a new chapter for the Company as it expands its institutional digital asset business under the Amber Premium brand.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DWM Financial Snapshot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summarized the financial figures of Amber DWM for the first half of 2024, second half of 2024 and full year of 2024.</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Six-month</w:t>
            </w: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Six-month</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9"/>
              </w:rPr>
              <w:t>period ended</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period ended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Year ended</w:t>
            </w:r>
          </w:p>
        </w:tc>
      </w:tr>
      <w:tr>
        <w:trPr>
          <w:trHeight w:val="23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in thousands)</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June 30, 2024</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December 31, 2024</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December 31, 2024</w:t>
            </w:r>
          </w:p>
        </w:tc>
      </w:tr>
      <w:tr>
        <w:trPr>
          <w:trHeight w:val="210"/>
        </w:trPr>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19,021</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12,003</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14,641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26,644</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4,077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5,135</w:t>
            </w: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glad to announce that our Board of Directors has approved a US$10 million crypto reserve plan signalling our strategic commitment to digital assets,” said Josephine Ngai, CFO of Amber International. “With surplus capital available, we view crypto holdings as an effective way to strengthen our balance sheet. This US$10 million allocation serves as a prudent trial and we plan to diligently roll out this initiative in coming quarters to support our growth and long-term value creation in the evolving crypto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Based on the information available as of the date of this press release, the Company provides the following outlook for Amber Premium only in the first quarter of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2025:</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Premium’s Revenue is estimated to be between US$12.5 million and US$13.5 million</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will host an earnings conference call at 8:00 AM U.S. Eastern Time on April 28, 2025 (8:00 PM Singapore time on April 28, 2025). Participants are asked to use one of the following teleconferencing numbers to participate in the call and reference the ID number 13753493. The Company requests that participants dial in 10 minutes before the conference call begins.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Dial-in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1-877-407-0784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1-201-689-8560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via a live webcast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https://viavid.webcasts.com/starthere.jsp?ei=1717116&amp;tp_key=f464eb896f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Dial-in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1-844-512-2921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1-412-317-6671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Pin Number: 13753493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be available on Monday, April 28, 2025, after 12:00 PM ET through Monday, May 12, 2025 at 11:59 PM ET.</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earnings release and investor presentation will be available shortly after issuance in the Investor Relations section of Amber International's website at https://ir.ambr.io.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Amber International Holding Limited (Nasdaq: AMBR), operating under the brand name "Amber Premium", is a leading provider of institutional crypto financial services and solutions. A subsidiary of Amber Group, Amber Premium delivers institutional-grade market access, execution infrastructure, and investment solutions to help institutions and high-net-worth individuals optimize their digital asset portfolios. The firm offers a regulated, scalable financial ecosystem powered by proprietary blockchain and financial technologies, AI-driven risk management, and quantitative algorithms across CeFi, DeFi, and OTC markets. Learn more at www.ambr.io.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the risk that the Company may not obtain the regulatory approval in relation to DWM Asset Restructuring in a timely manner or at all and may need to continue relying on the intercompany service agreements to receive the economic benefits of the WFTL Assigned Contracts; (ii) risks related to the performance of the amendment, waiver and framework agreement, including the expected timing and likelihood of receipt of the regulatory approvals contemplated therein; (iii) the risk that the Company’s business lines are nascent, not fully proven by market and subject to material legal, regulatory, operational, reputational, tax and other risks in the jurisdictions where it operates; (iv) the risk of declining prices of digital assets and reduced transaction volumes conducted by the Company; and (v) regulatory and market risks related to cryptocurrencies and digital assets and in the jurisdictions where the Company operates. Further information regarding these and other risks is included in the Company’s annual report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Asia: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Serena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 6022 0228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pr@ambr.io | ir@ambr.io | amber@paradigmconsulting.com.hk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Elite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(646) 866-7928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amber@iecapitalusa.com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ind w:right="26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Comprehensive Loss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Cost of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5715</wp:posOffset>
            </wp:positionV>
            <wp:extent cx="17056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39" w:lineRule="exact"/>
        <w:rPr>
          <w:sz w:val="20"/>
          <w:szCs w:val="20"/>
          <w:color w:val="auto"/>
        </w:rPr>
      </w:pPr>
    </w:p>
    <w:p>
      <w:pPr>
        <w:ind w:left="32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32,806</w:t>
      </w:r>
      <w:r>
        <w:rPr>
          <w:sz w:val="20"/>
          <w:szCs w:val="20"/>
          <w:color w:val="auto"/>
        </w:rPr>
        <w:tab/>
      </w:r>
      <w:r>
        <w:rPr>
          <w:rFonts w:ascii="Times New Roman" w:cs="Times New Roman" w:eastAsia="Times New Roman" w:hAnsi="Times New Roman"/>
          <w:sz w:val="18"/>
          <w:szCs w:val="18"/>
          <w:b w:val="1"/>
          <w:bCs w:val="1"/>
          <w:color w:val="auto"/>
        </w:rPr>
        <w:t>36,051</w:t>
      </w:r>
    </w:p>
    <w:p>
      <w:pPr>
        <w:spacing w:after="0" w:line="31" w:lineRule="exact"/>
        <w:rPr>
          <w:sz w:val="20"/>
          <w:szCs w:val="20"/>
          <w:color w:val="auto"/>
        </w:rPr>
      </w:pPr>
    </w:p>
    <w:p>
      <w:pPr>
        <w:jc w:val="right"/>
        <w:ind w:right="40"/>
        <w:spacing w:after="0"/>
        <w:tabs>
          <w:tab w:leader="none" w:pos="600" w:val="left"/>
        </w:tabs>
        <w:rPr>
          <w:sz w:val="20"/>
          <w:szCs w:val="20"/>
          <w:color w:val="auto"/>
        </w:rPr>
      </w:pPr>
      <w:r>
        <w:rPr>
          <w:rFonts w:ascii="Times New Roman" w:cs="Times New Roman" w:eastAsia="Times New Roman" w:hAnsi="Times New Roman"/>
          <w:sz w:val="18"/>
          <w:szCs w:val="18"/>
          <w:color w:val="auto"/>
        </w:rPr>
        <w:t>(16,059)</w:t>
      </w:r>
      <w:r>
        <w:rPr>
          <w:sz w:val="20"/>
          <w:szCs w:val="20"/>
          <w:color w:val="auto"/>
        </w:rPr>
        <w:tab/>
      </w:r>
      <w:r>
        <w:rPr>
          <w:rFonts w:ascii="Times New Roman" w:cs="Times New Roman" w:eastAsia="Times New Roman" w:hAnsi="Times New Roman"/>
          <w:sz w:val="18"/>
          <w:szCs w:val="18"/>
          <w:color w:val="auto"/>
        </w:rPr>
        <w:t>(16,970)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14605</wp:posOffset>
            </wp:positionV>
            <wp:extent cx="17056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16,747</w:t>
      </w:r>
      <w:r>
        <w:rPr>
          <w:sz w:val="20"/>
          <w:szCs w:val="20"/>
          <w:color w:val="auto"/>
        </w:rPr>
        <w:tab/>
      </w:r>
      <w:r>
        <w:rPr>
          <w:rFonts w:ascii="Times New Roman" w:cs="Times New Roman" w:eastAsia="Times New Roman" w:hAnsi="Times New Roman"/>
          <w:sz w:val="18"/>
          <w:szCs w:val="18"/>
          <w:b w:val="1"/>
          <w:bCs w:val="1"/>
          <w:color w:val="auto"/>
        </w:rPr>
        <w:t>19,081</w:t>
      </w:r>
    </w:p>
    <w:p>
      <w:pPr>
        <w:spacing w:after="0" w:line="23" w:lineRule="exact"/>
        <w:rPr>
          <w:sz w:val="20"/>
          <w:szCs w:val="20"/>
          <w:color w:val="auto"/>
        </w:rPr>
      </w:pPr>
    </w:p>
    <w:p>
      <w:pPr>
        <w:sectPr>
          <w:pgSz w:w="11900" w:h="16838" w:orient="portrait"/>
          <w:cols w:equalWidth="0" w:num="2">
            <w:col w:w="8160" w:space="720"/>
            <w:col w:w="236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1880" w:type="dxa"/>
            <w:vAlign w:val="bottom"/>
            <w:tcBorders>
              <w:top w:val="single" w:sz="8" w:color="CCEEFF"/>
            </w:tcBorders>
            <w:shd w:val="clear" w:color="auto" w:fill="CCEEFF"/>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(17,280)</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(26,058)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w:t>
            </w: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w:t>
            </w:r>
          </w:p>
        </w:tc>
      </w:tr>
      <w:tr>
        <w:trPr>
          <w:trHeight w:val="209"/>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(34,107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174"/>
        </w:trPr>
        <w:tc>
          <w:tcPr>
            <w:tcW w:w="844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from continuing operations before share of loss from an equity investee</w:t>
            </w:r>
          </w:p>
        </w:tc>
        <w:tc>
          <w:tcPr>
            <w:tcW w:w="1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income tax expense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(23,998)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(12,974)</w:t>
            </w: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9"/>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credit/(expense)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09"/>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(24,006)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8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Company’s ordinary shareholders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(23,935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69"/>
        </w:trPr>
        <w:tc>
          <w:tcPr>
            <w:tcW w:w="84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880" w:type="dxa"/>
            <w:vAlign w:val="bottom"/>
            <w:tcBorders>
              <w:top w:val="single" w:sz="8" w:color="auto"/>
            </w:tcBorders>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of discontinued operations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(7,666)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2,585</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(5,104)</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(25,187)</w:t>
            </w:r>
          </w:p>
        </w:tc>
        <w:tc>
          <w:tcPr>
            <w:tcW w:w="100" w:type="dxa"/>
            <w:vAlign w:val="bottom"/>
          </w:tcPr>
          <w:p>
            <w:pPr>
              <w:spacing w:after="0"/>
              <w:rPr>
                <w:sz w:val="18"/>
                <w:szCs w:val="18"/>
                <w:color w:val="auto"/>
              </w:rPr>
            </w:pPr>
          </w:p>
        </w:tc>
      </w:tr>
      <w:tr>
        <w:trPr>
          <w:trHeight w:val="23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w:t>
            </w:r>
          </w:p>
        </w:tc>
      </w:tr>
      <w:tr>
        <w:trPr>
          <w:trHeight w:val="174"/>
        </w:trPr>
        <w:tc>
          <w:tcPr>
            <w:tcW w:w="84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from discontinued operations attributable to the Company’s ordinary</w:t>
            </w: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(5,072)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(25,110)</w:t>
            </w:r>
          </w:p>
        </w:tc>
      </w:tr>
      <w:tr>
        <w:trPr>
          <w:trHeight w:val="230"/>
        </w:trPr>
        <w:tc>
          <w:tcPr>
            <w:tcW w:w="188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(29,110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(38,870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Company’s ordinary shareholders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(29,007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18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(24,006)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retirement benefits plan – prior service cost</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3,749</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w:t>
            </w:r>
          </w:p>
        </w:tc>
      </w:tr>
      <w:tr>
        <w:trPr>
          <w:trHeight w:val="210"/>
        </w:trPr>
        <w:tc>
          <w:tcPr>
            <w:tcW w:w="1880" w:type="dxa"/>
            <w:vAlign w:val="bottom"/>
            <w:tcBorders>
              <w:top w:val="single" w:sz="8" w:color="CCEEFF"/>
            </w:tcBorders>
            <w:shd w:val="clear" w:color="auto" w:fill="CCEEFF"/>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 from continuing operations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(20,257)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(13,233)</w:t>
            </w:r>
          </w:p>
        </w:tc>
      </w:tr>
      <w:tr>
        <w:trPr>
          <w:trHeight w:val="198"/>
        </w:trPr>
        <w:tc>
          <w:tcPr>
            <w:tcW w:w="8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loss from continuing operations attributable to</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2,736</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w:t>
            </w:r>
          </w:p>
        </w:tc>
      </w:tr>
      <w:tr>
        <w:trPr>
          <w:trHeight w:val="174"/>
        </w:trPr>
        <w:tc>
          <w:tcPr>
            <w:tcW w:w="84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 loss from continuing operations attributable to the</w:t>
            </w: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Company’s ordinary shareholders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(17,521)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(13,070)</w:t>
            </w:r>
          </w:p>
        </w:tc>
      </w:tr>
      <w:tr>
        <w:trPr>
          <w:trHeight w:val="459"/>
        </w:trPr>
        <w:tc>
          <w:tcPr>
            <w:tcW w:w="18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19"/>
                <w:szCs w:val="19"/>
                <w:color w:val="auto"/>
              </w:rPr>
            </w:pPr>
          </w:p>
        </w:tc>
        <w:tc>
          <w:tcPr>
            <w:tcW w:w="19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44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9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r>
      <w:tr>
        <w:trPr>
          <w:trHeight w:val="20"/>
        </w:trPr>
        <w:tc>
          <w:tcPr>
            <w:tcW w:w="8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from discontinued operations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(5,104)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(25,672)</w:t>
            </w:r>
          </w:p>
        </w:tc>
      </w:tr>
      <w:tr>
        <w:trPr>
          <w:trHeight w:val="198"/>
        </w:trPr>
        <w:tc>
          <w:tcPr>
            <w:tcW w:w="8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Comprehensive loss from discontinued operations attributable to</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1"/>
                <w:szCs w:val="21"/>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from discontinued operations attributable to the Company’s ordinary shareholders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the Company’s ordinary shareholders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(22,593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8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from continuing operations per ADS attributable to the Company’s</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8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from discontinued operations per ADS attributable to the Company’s</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ADS attributable to the Company’s ordinary shareholders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ADS used in per share calculation: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9,161,391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10,223,660</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9,161,391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10,223,660</w:t>
            </w:r>
          </w:p>
        </w:tc>
      </w:tr>
      <w:tr>
        <w:trPr>
          <w:trHeight w:val="432"/>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4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time deposits and restricted cash</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41,264</w:t>
            </w:r>
          </w:p>
        </w:tc>
      </w:tr>
      <w:tr>
        <w:trPr>
          <w:trHeight w:val="198"/>
        </w:trPr>
        <w:tc>
          <w:tcPr>
            <w:tcW w:w="8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US$2,633 and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US$1,434 as of December 31, 2024 and December 31, 2023, respectively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13,535</w:t>
            </w:r>
          </w:p>
        </w:tc>
      </w:tr>
      <w:tr>
        <w:trPr>
          <w:trHeight w:val="198"/>
        </w:trPr>
        <w:tc>
          <w:tcPr>
            <w:tcW w:w="8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current assets, net of allowance for credit losses of US$1,376 and US$23 as of December 31, 2024 and</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11,516</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93,488</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3,596</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49,597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163,704</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20,212</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93,433</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120,072</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35,215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122,452</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 Class A (US$0.001 par value; 80,000,000 shares authorized as of December 31, 2024 and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 39,344,526 shares and 44,477,356 shares issued and outstanding as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31,2024 and December 31, 2023, respectively)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198"/>
        </w:trPr>
        <w:tc>
          <w:tcPr>
            <w:tcW w:w="8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 Class B (US$0.001 par value; 20,000,000 shares authorized as of December 31, 2024 and</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 5,034,427 shares issued and outstanding as of December 31, 2024 and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8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shares (3,011,702 shares and 6,398,614 shares as of December 31, 2024 and December 31, 2023,</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(28,656)</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13,011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65,731</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attributable to equity holders of the Company</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10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4,127</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41,252</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49,597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163,704</w:t>
            </w:r>
          </w:p>
        </w:tc>
      </w:tr>
      <w:tr>
        <w:trPr>
          <w:trHeight w:val="432"/>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2025-04-28T07:06:38Z</dcterms:created>
  <dcterms:modified xsi:type="dcterms:W3CDTF">2025-04-28T07:06:38Z</dcterms:modified>
</cp:coreProperties>
</file>