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Amendment No.</w:t>
        <w:tab/>
        <w:t>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ICLICK INTERACTIVE ASIA-ADR</w:t>
      </w:r>
    </w:p>
    <w:p>
      <w:pPr>
        <w:spacing w:after="0" w:line="238" w:lineRule="auto"/>
        <w:rPr>
          <w:sz w:val="20"/>
          <w:szCs w:val="20"/>
          <w:color w:val="auto"/>
        </w:rPr>
      </w:pPr>
      <w:r>
        <w:rPr>
          <w:rFonts w:ascii="Courier New" w:cs="Courier New" w:eastAsia="Courier New" w:hAnsi="Courier New"/>
          <w:sz w:val="18"/>
          <w:szCs w:val="18"/>
          <w:color w:val="auto"/>
        </w:rPr>
        <w:t>CLASS A COMMON STOCK</w:t>
      </w:r>
    </w:p>
    <w:p>
      <w:pPr>
        <w:spacing w:after="0" w:line="238" w:lineRule="auto"/>
        <w:rPr>
          <w:sz w:val="20"/>
          <w:szCs w:val="20"/>
          <w:color w:val="auto"/>
        </w:rPr>
      </w:pPr>
      <w:r>
        <w:rPr>
          <w:rFonts w:ascii="Courier New" w:cs="Courier New" w:eastAsia="Courier New" w:hAnsi="Courier New"/>
          <w:sz w:val="18"/>
          <w:szCs w:val="18"/>
          <w:color w:val="auto"/>
        </w:rPr>
        <w:t>Cusip #45113Y203</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appropriate box to designate the rule pursuant to which this</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4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#45113Y203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FIL Limited</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4: Bermuda</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5: 2,226,340</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6: 0</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7: 2,351,020</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9: 2,351,020</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11: 6.800%</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12: FI</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#45113Y203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Pandanus Partners, L.P.</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439" w:firstLine="850"/>
        <w:spacing w:after="0" w:line="268" w:lineRule="auto"/>
        <w:tabs>
          <w:tab w:leader="none" w:pos="1369"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2,351,020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2,351,020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6.800%</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PN</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#45113Y203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Pandanus Associates, Inc.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439" w:firstLine="850"/>
        <w:spacing w:after="0" w:line="268" w:lineRule="auto"/>
        <w:tabs>
          <w:tab w:leader="none" w:pos="1369"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2,351,020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2,351,020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6.800%</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CO</w:t>
      </w: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ICLICK INTERACTIVE ASIA-ADR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MILLENNIA PLAZA, 663 KING'S ROAD</w:t>
      </w:r>
    </w:p>
    <w:p>
      <w:pPr>
        <w:spacing w:after="0" w:line="29"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QUARRY BAY,</w:t>
      </w:r>
      <w:r>
        <w:rPr>
          <w:sz w:val="20"/>
          <w:szCs w:val="20"/>
          <w:color w:val="auto"/>
        </w:rPr>
        <w:tab/>
      </w:r>
      <w:r>
        <w:rPr>
          <w:rFonts w:ascii="Courier New" w:cs="Courier New" w:eastAsia="Courier New" w:hAnsi="Courier New"/>
          <w:sz w:val="16"/>
          <w:szCs w:val="16"/>
          <w:color w:val="auto"/>
        </w:rPr>
        <w:t>F4 00000</w:t>
      </w:r>
    </w:p>
    <w:p>
      <w:pPr>
        <w:spacing w:after="0"/>
        <w:rPr>
          <w:sz w:val="20"/>
          <w:szCs w:val="20"/>
          <w:color w:val="auto"/>
        </w:rPr>
      </w:pPr>
      <w:r>
        <w:rPr>
          <w:rFonts w:ascii="Courier New" w:cs="Courier New" w:eastAsia="Courier New" w:hAnsi="Courier New"/>
          <w:sz w:val="18"/>
          <w:szCs w:val="18"/>
          <w:color w:val="auto"/>
        </w:rPr>
        <w:t>HONG KONG</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 Limited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2(b). Address or Principal Business Office or, if None, Residence:</w:t>
      </w: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Pembroke Hall, 42 Crow Lane, Hamilton, Bermuda, HM19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CLASS A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ectPr>
          <w:pgSz w:w="11900" w:h="16838" w:orient="portrait"/>
          <w:cols w:equalWidth="0" w:num="1">
            <w:col w:w="10139"/>
          </w:cols>
          <w:pgMar w:left="32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45113Y203</w:t>
      </w:r>
    </w:p>
    <w:p>
      <w:pPr>
        <w:spacing w:after="0" w:line="201" w:lineRule="exact"/>
        <w:rPr>
          <w:sz w:val="20"/>
          <w:szCs w:val="20"/>
          <w:color w:val="auto"/>
        </w:rPr>
      </w:pPr>
    </w:p>
    <w:p>
      <w:pPr>
        <w:ind w:right="2119"/>
        <w:spacing w:after="0" w:line="292"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FIL Limited, is a non-U.S. institution in accordance with Section 240.13d-1(b)(1)(ii)(J). (Note: See Exhibit A).</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filing as a non-U.S. institution in accordance with Section</w:t>
      </w:r>
    </w:p>
    <w:p>
      <w:pPr>
        <w:spacing w:after="0" w:line="31" w:lineRule="exact"/>
        <w:rPr>
          <w:sz w:val="20"/>
          <w:szCs w:val="20"/>
          <w:color w:val="auto"/>
        </w:rPr>
      </w:pPr>
    </w:p>
    <w:p>
      <w:pPr>
        <w:ind w:right="2019"/>
        <w:spacing w:after="0" w:line="309" w:lineRule="auto"/>
        <w:rPr>
          <w:sz w:val="20"/>
          <w:szCs w:val="20"/>
          <w:color w:val="auto"/>
        </w:rPr>
      </w:pPr>
      <w:r>
        <w:rPr>
          <w:rFonts w:ascii="Courier New" w:cs="Courier New" w:eastAsia="Courier New" w:hAnsi="Courier New"/>
          <w:sz w:val="18"/>
          <w:szCs w:val="18"/>
          <w:color w:val="auto"/>
        </w:rPr>
        <w:t>240.13d-1(b)(1)(ii)(J), please specify type of institution: Parent holding or control person.</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2,351,020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6.800%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2,226,340</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2,351,020</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CLASS A COMMON STOCK of ICLICK INTERACTIVE ASIA-ADR.</w:t>
      </w:r>
    </w:p>
    <w:p>
      <w:pPr>
        <w:spacing w:after="0" w:line="2" w:lineRule="exact"/>
        <w:rPr>
          <w:sz w:val="20"/>
          <w:szCs w:val="20"/>
          <w:color w:val="auto"/>
        </w:rPr>
      </w:pPr>
    </w:p>
    <w:p>
      <w:pPr>
        <w:jc w:val="both"/>
        <w:ind w:right="2119"/>
        <w:spacing w:after="0" w:line="323" w:lineRule="auto"/>
        <w:rPr>
          <w:sz w:val="20"/>
          <w:szCs w:val="20"/>
          <w:color w:val="auto"/>
        </w:rPr>
      </w:pPr>
      <w:r>
        <w:rPr>
          <w:rFonts w:ascii="Courier New" w:cs="Courier New" w:eastAsia="Courier New" w:hAnsi="Courier New"/>
          <w:sz w:val="16"/>
          <w:szCs w:val="16"/>
          <w:color w:val="auto"/>
        </w:rPr>
        <w:t>The interest of Fidelity China Special Situations PLC, in the CLASS A COMMON STOCK of ICLICK INTERACTIVE ASIA-ADR, amounted to 1,818,320 shares or 5.259% of the total outstanding CLASS A COMMON STOCK at December 30, 2022.</w:t>
      </w:r>
    </w:p>
    <w:p>
      <w:pPr>
        <w:spacing w:after="0" w:line="46"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1919"/>
        <w:spacing w:after="0" w:line="28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By signing below I certify that, to the best of my knowledge and belief, the foreign regulatory scheme applicable to FIL Limited and its various non-U.S. investment management subsidiaries included on this Schedule 13G is substantially comparable to the regulatory scheme applicable to the functionally equivalent U.S. institutions. I also undertake to furnish to the Commission staff, upon request, information that would otherwise be disclosed in a Schedule 13D.</w:t>
      </w: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819"/>
        <w:spacing w:after="0" w:line="402"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rPr>
          <w:sz w:val="20"/>
          <w:szCs w:val="20"/>
          <w:color w:val="auto"/>
        </w:rPr>
      </w:pPr>
      <w:r>
        <w:rPr>
          <w:rFonts w:ascii="Courier New" w:cs="Courier New" w:eastAsia="Courier New" w:hAnsi="Courier New"/>
          <w:sz w:val="18"/>
          <w:szCs w:val="18"/>
          <w:color w:val="auto"/>
        </w:rPr>
        <w:t>February 9, 2023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Stephanie J. Brown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Duly authorized under Power of Attorney effective as of December 19, 2022, by</w:t>
      </w:r>
    </w:p>
    <w:p>
      <w:pPr>
        <w:sectPr>
          <w:pgSz w:w="11900" w:h="16838" w:orient="portrait"/>
          <w:cols w:equalWidth="0" w:num="1">
            <w:col w:w="10139"/>
          </w:cols>
          <w:pgMar w:left="320" w:top="110"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and on behalf of FIL Limited and its direct and indirect subsidiaries*</w:t>
      </w:r>
    </w:p>
    <w:p>
      <w:pPr>
        <w:spacing w:after="0" w:line="200" w:lineRule="exact"/>
        <w:rPr>
          <w:sz w:val="20"/>
          <w:szCs w:val="20"/>
          <w:color w:val="auto"/>
        </w:rPr>
      </w:pPr>
    </w:p>
    <w:p>
      <w:pPr>
        <w:spacing w:after="0" w:line="204" w:lineRule="exact"/>
        <w:rPr>
          <w:sz w:val="20"/>
          <w:szCs w:val="20"/>
          <w:color w:val="auto"/>
        </w:rPr>
      </w:pPr>
    </w:p>
    <w:p>
      <w:pPr>
        <w:ind w:right="2019" w:firstLine="8"/>
        <w:spacing w:after="0" w:line="292"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FIL Limited on January 31, 2023, accession number: 0000318989-23-000005.</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Entity</w:t>
        <w:tab/>
        <w:t>ITEM 3 Classification</w:t>
      </w:r>
    </w:p>
    <w:p>
      <w:pPr>
        <w:spacing w:after="0" w:line="201" w:lineRule="exact"/>
        <w:rPr>
          <w:sz w:val="20"/>
          <w:szCs w:val="20"/>
          <w:color w:val="auto"/>
        </w:rPr>
      </w:pPr>
    </w:p>
    <w:p>
      <w:pPr>
        <w:ind w:right="4979"/>
        <w:spacing w:after="0" w:line="346" w:lineRule="auto"/>
        <w:rPr>
          <w:sz w:val="20"/>
          <w:szCs w:val="20"/>
          <w:color w:val="auto"/>
        </w:rPr>
      </w:pPr>
      <w:r>
        <w:rPr>
          <w:rFonts w:ascii="Courier New" w:cs="Courier New" w:eastAsia="Courier New" w:hAnsi="Courier New"/>
          <w:sz w:val="18"/>
          <w:szCs w:val="18"/>
          <w:color w:val="auto"/>
        </w:rPr>
        <w:t>FIL Investment Management (Hong Kong) Limited FI FIL Investment Services (UK) Limited * FI</w:t>
      </w:r>
    </w:p>
    <w:p>
      <w:pPr>
        <w:spacing w:after="0" w:line="222" w:lineRule="exact"/>
        <w:rPr>
          <w:sz w:val="20"/>
          <w:szCs w:val="20"/>
          <w:color w:val="auto"/>
        </w:rPr>
      </w:pPr>
    </w:p>
    <w:p>
      <w:pPr>
        <w:ind w:right="2439" w:firstLine="8"/>
        <w:spacing w:after="0" w:line="346"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Pandanus Partners, L.P. ("Pandanus") owns shares of FIL Limited ("FIL") voting stock. While the percentage of total voting power represented by these shares of FIL voting stock may fluctuate as a result of changes in the total number of shares of FIL voting stock outstanding from time to time, it normally represents more than 25% and less than 48.5% of the total votes which may be cast by all holders of FIL voting stock. Pandanus Associates, Inc. ("PAI") acts as general partner of Pandanus. Pandanus is owned by trusts for the benefit of members of the Johnson family, including FIL's Chairman Abigail P. Johnson, but disclaims that any such member is a beneficial owner of the securities reported on this Schedule 13G.</w:t>
      </w:r>
    </w:p>
    <w:p>
      <w:pPr>
        <w:spacing w:after="0" w:line="103" w:lineRule="exact"/>
        <w:rPr>
          <w:sz w:val="20"/>
          <w:szCs w:val="20"/>
          <w:color w:val="auto"/>
        </w:rPr>
      </w:pPr>
    </w:p>
    <w:p>
      <w:pPr>
        <w:ind w:right="1919"/>
        <w:spacing w:after="0" w:line="275" w:lineRule="auto"/>
        <w:rPr>
          <w:sz w:val="20"/>
          <w:szCs w:val="20"/>
          <w:color w:val="auto"/>
        </w:rPr>
      </w:pPr>
      <w:r>
        <w:rPr>
          <w:rFonts w:ascii="Courier New" w:cs="Courier New" w:eastAsia="Courier New" w:hAnsi="Courier New"/>
          <w:sz w:val="16"/>
          <w:szCs w:val="16"/>
          <w:color w:val="auto"/>
        </w:rPr>
        <w:t>This filing reflects the securities beneficially owned, or that may be deemed to be beneficially owned, by FIL, certain of its subsidiaries and affiliates, and other companies (collectively, the "FIL Reporters"). This filing does not reflect securities, if any, beneficially owned by certain other companies whose beneficial ownership of securities is disaggregated from that of the FIL Reporters in accordance with Securities and Exchange Commission Release No.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34-39538 (January 12, 1998).</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274" w:lineRule="auto"/>
        <w:rPr>
          <w:sz w:val="20"/>
          <w:szCs w:val="20"/>
          <w:color w:val="auto"/>
        </w:rPr>
      </w:pPr>
      <w:r>
        <w:rPr>
          <w:rFonts w:ascii="Courier New" w:cs="Courier New" w:eastAsia="Courier New" w:hAnsi="Courier New"/>
          <w:sz w:val="18"/>
          <w:szCs w:val="18"/>
          <w:color w:val="auto"/>
        </w:rPr>
        <w:t>The undersigned persons, on February 9, 2023, agree and consent to the joint filing on their behalf of this Schedule 13G in connection with their beneficial ownership of the CLASS A COMMON STOCK of ICLICK INTERACTIVE ASIA-ADR at December 30, 2022.</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FIL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0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December 19, 2022, by and on behalf of FIL Limited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Pandanus Partners, 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0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December 19, 2022, by Pandanus Associates, Inc. on behalf of Pandanus Partners, L.P.*</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Pandanus Associates,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0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December 19, 2022, by and on behalf of Pandanus Associates, Inc.*</w:t>
      </w:r>
    </w:p>
    <w:p>
      <w:pPr>
        <w:spacing w:after="0" w:line="253" w:lineRule="exact"/>
        <w:rPr>
          <w:sz w:val="20"/>
          <w:szCs w:val="20"/>
          <w:color w:val="auto"/>
        </w:rPr>
      </w:pPr>
    </w:p>
    <w:p>
      <w:pPr>
        <w:ind w:right="2019" w:firstLine="8"/>
        <w:spacing w:after="0" w:line="292" w:lineRule="auto"/>
        <w:tabs>
          <w:tab w:leader="none" w:pos="21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FIL Limited on January 31, 2023, accession number: 0000318989-23-000005.</w:t>
      </w:r>
    </w:p>
    <w:sectPr>
      <w:pgSz w:w="11900" w:h="16838" w:orient="portrait"/>
      <w:cols w:equalWidth="0" w:num="1">
        <w:col w:w="10139"/>
      </w:cols>
      <w:pgMar w:left="320" w:top="110" w:right="1440" w:bottom="232"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Roman"/>
      <w:start w:val="10"/>
    </w:lvl>
  </w:abstractNum>
  <w:abstractNum w:abstractNumId="1">
    <w:nsid w:val="3D1B58BA"/>
    <w:multiLevelType w:val="hybridMultilevel"/>
    <w:lvl w:ilvl="0">
      <w:lvlJc w:val="left"/>
      <w:lvlText w:val="(%1)"/>
      <w:numFmt w:val="lowerLetter"/>
      <w:start w:val="2"/>
    </w:lvl>
  </w:abstractNum>
  <w:abstractNum w:abstractNumId="2">
    <w:nsid w:val="507ED7AB"/>
    <w:multiLevelType w:val="hybridMultilevel"/>
    <w:lvl w:ilvl="0">
      <w:lvlJc w:val="left"/>
      <w:lvlText w:val="(%1)"/>
      <w:numFmt w:val="lowerLetter"/>
      <w:start w:val="2"/>
    </w:lvl>
  </w:abstractNum>
  <w:abstractNum w:abstractNumId="3">
    <w:nsid w:val="2EB141F2"/>
    <w:multiLevelType w:val="hybridMultilevel"/>
    <w:lvl w:ilvl="0">
      <w:lvlJc w:val="left"/>
      <w:lvlText w:val="(%1)"/>
      <w:numFmt w:val="lowerLetter"/>
      <w:start w:val="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Roman"/>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2023-02-09T06:59:19Z</dcterms:created>
  <dcterms:modified xsi:type="dcterms:W3CDTF">2023-02-09T06:59:19Z</dcterms:modified>
</cp:coreProperties>
</file>