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19436d1_6k.htm"/>
      <w:bookmarkStart w:id="1" w:name="kstm251943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Amber International Holding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hyperlink w:anchor="tm251943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519436d1_ex99-1.htm">
              <w:r>
                <w:rPr>
                  <w:rStyle w:val="InternetLink"/>
                  <w:rFonts w:ascii="Times New Roman;Times;Serif" w:hAnsi="Times New Roman;Times;Serif"/>
                  <w:sz w:val="20"/>
                </w:rPr>
                <w:t>Press release – Amber International Announces $25.5 Million Private Placement to Accelerate Institutional Crypto Expansion Across U.S. and Southeast Asia</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545"/>
        <w:gridCol w:w="324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19436d1_ex99-1.htm"/>
      <w:bookmarkStart w:id="3" w:name="kstm2519436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54380" cy="2882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4380" cy="288290"/>
                    </a:xfrm>
                    <a:prstGeom prst="rect">
                      <a:avLst/>
                    </a:prstGeom>
                  </pic:spPr>
                </pic:pic>
              </a:graphicData>
            </a:graphic>
          </wp:inline>
        </w:drawing>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Announces $25.5 Million Private Placement to Accelerate Institutional Crypto Expansion Across U.S. and Southeast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June 30, 2025</w:t>
      </w:r>
      <w:r>
        <w:rPr>
          <w:rFonts w:ascii="Times New Roman;Times;Serif" w:hAnsi="Times New Roman;Times;Serif"/>
          <w:b w:val="false"/>
          <w:i w:val="false"/>
          <w:caps w:val="false"/>
          <w:smallCaps w:val="false"/>
          <w:sz w:val="20"/>
        </w:rPr>
        <w:t xml:space="preserve"> -- Amber International Holding Limited (Nasdaq: AMBR) (“Amber International”, or the “Company”), a leading provider of institutional crypto financial services &amp; solutions and operating under the brand name “Amber Premium”, today announced that it has successfully entered into subscription agreements for a private placement totaling $25.5 million. This strategic financing is backed by a group of distinguished investors, including Mile Green, Harvest Capital, Pantera Capital, Choco Up, and other leading investors from Asia, signaling strong confidence in Amber International’s growth trajectory and market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will be used to accelerate Amber International’s expansion in key institutional crypto services across the U.S. and Southeast Asia, with a focus on enhancing its crypto reserve strategy, asset tokenization in areas of stablecoins and real-world assets (RWAs), as well as innovative AI-AgentFi initiatives, all subject to prevailing laws and regulations in relevant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This private placement is about forging deeper alignment with strategic investors,” </w:t>
      </w:r>
      <w:r>
        <w:rPr>
          <w:rFonts w:ascii="Times New Roman;Times;Serif" w:hAnsi="Times New Roman;Times;Serif"/>
          <w:b/>
          <w:i w:val="false"/>
          <w:caps w:val="false"/>
          <w:smallCaps w:val="false"/>
          <w:sz w:val="20"/>
        </w:rPr>
        <w:t>said Wayne Huo, CEO of Amber International.</w:t>
      </w:r>
      <w:r>
        <w:rPr>
          <w:rFonts w:ascii="Times New Roman;Times;Serif" w:hAnsi="Times New Roman;Times;Serif"/>
          <w:b w:val="false"/>
          <w:i w:val="false"/>
          <w:caps w:val="false"/>
          <w:smallCaps w:val="false"/>
          <w:sz w:val="20"/>
        </w:rPr>
        <w:t xml:space="preserve"> “This exceptional group of investors bring global networks, policy insight, and sector expertise that will amplify our growth in key markets. We’re entering a new chapter for institutional crypto — and we’re doing it with partners who share our conviction.”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participating investors, Mile Green brings a particularly valuable regional dimension to the syndicate. Led by a group of prominent investors and business leaders including Chatchaval Jiaravanon, a key member of the family (“CP Group Family”) controlling The Charoen Pokphand Group Company (“CP Group”) — Asia’s largest diversified conglomerate — Mile Green provides not only regional access but also sets the stage for joint initiatives tailored to Southeast Asia’s institutional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Pantera Capital, a leading US-based blockchain-focused investment firm and long-time Amber Group investor, also reaffirmed its continued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Pantera led Amber Group’s Series A in 2019, drawn by a team with deep global finance experience and a clear vision for compliant, intuitive institutional access,” said </w:t>
      </w:r>
      <w:r>
        <w:rPr>
          <w:rFonts w:ascii="Times New Roman;Times;Serif" w:hAnsi="Times New Roman;Times;Serif"/>
          <w:b/>
          <w:i w:val="false"/>
          <w:caps w:val="false"/>
          <w:smallCaps w:val="false"/>
          <w:sz w:val="20"/>
        </w:rPr>
        <w:t>Paul Veradittakit, Managing Partner at Pantera Capital</w:t>
      </w:r>
      <w:r>
        <w:rPr>
          <w:rFonts w:ascii="Times New Roman;Times;Serif" w:hAnsi="Times New Roman;Times;Serif"/>
          <w:b w:val="false"/>
          <w:i w:val="false"/>
          <w:caps w:val="false"/>
          <w:smallCaps w:val="false"/>
          <w:sz w:val="20"/>
        </w:rPr>
        <w:t>. “We’re proud to have been not just early investors, but also early users of the platform—transacting over $6 billion to date—and we’re excited to support Amber International as it enters its next phase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involvement of both leading crypto and traditional finance investors brings not only capital but also strategic resources and diversified networks, strengthening Amber International’s ability to scale rapidly and solidify its position as a trusted partner for institutions and high-net-worth clients navigating digital asset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is expected to close on or around July 4, 2025. It is expected that the share issuances will be exempted from registration under the Securities Act of 1933, as amended (the “Securities Act”), pursuant to Regulation S under the Securities Act, and the shares issued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purchase nor the solicitation of an offer to sell or purchase securities and shall not constitute an offer, solicitation or sale in the United States and any other state or jurisdiction in which, or to any person to whom such an offer, solicitation or sale would be unlawful. Any public offering of securities to be made in the United States will be made by means of a prospectus that may be obtained from the Company or the selling security holder and that will contain detailed information about the Company and management, as well as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Amber International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www.ambr.io.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to rely on intercompany service agreements;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 transaction volumes conducted by the Company; (v) regulatory and market risks related to cryptocurrencies and digital assets and in the jurisdictions where the Company operates; (vi) risks related to fluctuations in the market price of bitcoin and any associated unrealized gains or losses on the digital assets that the Company may record in its financial statements as a result of a change in the market price of bitcoin from the value at which the Company's bitcoins are carried on its balance sheet, as well as commercial, legal, regulatory, accounting and technical uncertainties associated with the Company’s crypto holdings; (vii) a decrease in liquidity in the markets in which the cryptocurrencies and digital assets are traded; and (viii) the impact of the availability of spot exchange traded products and other investment vehicles for digital assets.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&amp; 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Asia:</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Wang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+65 6022 0228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pr@ambr.io | ir@ambr.io | ambr@paradigmconsulting.com.hk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the United States: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 Elite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Annabelle Zhang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(646) 866-7928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amber@iecapitalusa.com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1387</Words>
  <Characters>8102</Characters>
  <CharactersWithSpaces>9508</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